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8"/>
          <w:szCs w:val="28"/>
        </w:rPr>
      </w:pPr>
    </w:p>
    <w:p>
      <w:pPr>
        <w:tabs>
          <w:tab w:pos="6346" w:val="left" w:leader="none"/>
        </w:tabs>
        <w:spacing w:before="14"/>
        <w:ind w:left="575" w:right="153" w:firstLine="0"/>
        <w:jc w:val="left"/>
        <w:rPr>
          <w:rFonts w:ascii="宋体" w:hAnsi="宋体" w:cs="宋体" w:eastAsia="宋体" w:hint="default"/>
          <w:sz w:val="28"/>
          <w:szCs w:val="28"/>
        </w:rPr>
      </w:pPr>
      <w:r>
        <w:rPr/>
        <w:pict>
          <v:group style="position:absolute;margin-left:55.200001pt;margin-top:-89.888412pt;width:484.9pt;height:.1pt;mso-position-horizontal-relative:page;mso-position-vertical-relative:paragraph;z-index:0" coordorigin="1104,-1798" coordsize="9698,2">
            <v:shape style="position:absolute;left:1104;top:-1798;width:9698;height:2" coordorigin="1104,-1798" coordsize="9698,0" path="m1104,-1798l10802,-1798e" filled="false" stroked="true" strokeweight=".72pt" strokecolor="#000000">
              <v:path arrowok="t"/>
            </v:shape>
            <w10:wrap type="none"/>
          </v:group>
        </w:pict>
      </w:r>
      <w:r>
        <w:rPr>
          <w:rFonts w:ascii="宋体" w:hAnsi="宋体" w:cs="宋体" w:eastAsia="宋体" w:hint="default"/>
          <w:b/>
          <w:bCs/>
          <w:w w:val="95"/>
          <w:sz w:val="28"/>
          <w:szCs w:val="28"/>
        </w:rPr>
        <w:t>证券代码：</w:t>
      </w:r>
      <w:r>
        <w:rPr>
          <w:rFonts w:ascii="宋体" w:hAnsi="宋体" w:cs="宋体" w:eastAsia="宋体" w:hint="default"/>
          <w:b/>
          <w:bCs/>
          <w:w w:val="95"/>
          <w:sz w:val="28"/>
          <w:szCs w:val="28"/>
        </w:rPr>
        <w:t>002369</w:t>
        <w:tab/>
      </w:r>
      <w:r>
        <w:rPr>
          <w:rFonts w:ascii="宋体" w:hAnsi="宋体" w:cs="宋体" w:eastAsia="宋体" w:hint="default"/>
          <w:b/>
          <w:bCs/>
          <w:sz w:val="28"/>
          <w:szCs w:val="28"/>
        </w:rPr>
        <w:t>证券简称：卓翼科技</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20"/>
          <w:szCs w:val="20"/>
        </w:rPr>
      </w:pPr>
    </w:p>
    <w:p>
      <w:pPr>
        <w:spacing w:before="0"/>
        <w:ind w:left="494" w:right="498" w:firstLine="0"/>
        <w:jc w:val="center"/>
        <w:rPr>
          <w:rFonts w:ascii="宋体" w:hAnsi="宋体" w:cs="宋体" w:eastAsia="宋体" w:hint="default"/>
          <w:sz w:val="48"/>
          <w:szCs w:val="48"/>
        </w:rPr>
      </w:pPr>
      <w:r>
        <w:rPr>
          <w:rFonts w:ascii="宋体" w:hAnsi="宋体" w:cs="宋体" w:eastAsia="宋体" w:hint="default"/>
          <w:b/>
          <w:bCs/>
          <w:sz w:val="48"/>
          <w:szCs w:val="48"/>
        </w:rPr>
        <w:t>深圳市卓翼科技股份有限公司</w:t>
      </w:r>
      <w:r>
        <w:rPr>
          <w:rFonts w:ascii="宋体" w:hAnsi="宋体" w:cs="宋体" w:eastAsia="宋体" w:hint="default"/>
          <w:sz w:val="48"/>
          <w:szCs w:val="48"/>
        </w:rPr>
      </w:r>
    </w:p>
    <w:p>
      <w:pPr>
        <w:spacing w:before="334"/>
        <w:ind w:left="494" w:right="494" w:firstLine="0"/>
        <w:jc w:val="center"/>
        <w:rPr>
          <w:rFonts w:ascii="宋体" w:hAnsi="宋体" w:cs="宋体" w:eastAsia="宋体" w:hint="default"/>
          <w:sz w:val="30"/>
          <w:szCs w:val="30"/>
        </w:rPr>
      </w:pPr>
      <w:r>
        <w:rPr>
          <w:rFonts w:ascii="宋体" w:hAnsi="宋体" w:cs="宋体" w:eastAsia="宋体" w:hint="default"/>
          <w:b/>
          <w:bCs/>
          <w:sz w:val="30"/>
          <w:szCs w:val="30"/>
        </w:rPr>
        <w:t>（</w:t>
      </w:r>
      <w:r>
        <w:rPr>
          <w:rFonts w:ascii="宋体" w:hAnsi="宋体" w:cs="宋体" w:eastAsia="宋体" w:hint="default"/>
          <w:b/>
          <w:bCs/>
          <w:sz w:val="30"/>
          <w:szCs w:val="30"/>
        </w:rPr>
        <w:t>SHENZHEN ZOWEE TECHNOLOGY. CO.,</w:t>
      </w:r>
      <w:r>
        <w:rPr>
          <w:rFonts w:ascii="宋体" w:hAnsi="宋体" w:cs="宋体" w:eastAsia="宋体" w:hint="default"/>
          <w:b/>
          <w:bCs/>
          <w:spacing w:val="-7"/>
          <w:sz w:val="30"/>
          <w:szCs w:val="30"/>
        </w:rPr>
        <w:t> </w:t>
      </w:r>
      <w:r>
        <w:rPr>
          <w:rFonts w:ascii="宋体" w:hAnsi="宋体" w:cs="宋体" w:eastAsia="宋体" w:hint="default"/>
          <w:b/>
          <w:bCs/>
          <w:sz w:val="30"/>
          <w:szCs w:val="30"/>
        </w:rPr>
        <w:t>LTD.</w:t>
      </w:r>
      <w:r>
        <w:rPr>
          <w:rFonts w:ascii="宋体" w:hAnsi="宋体" w:cs="宋体" w:eastAsia="宋体" w:hint="default"/>
          <w:b/>
          <w:bCs/>
          <w:sz w:val="30"/>
          <w:szCs w:val="30"/>
        </w:rPr>
        <w:t>）</w:t>
      </w:r>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p>
      <w:pPr>
        <w:spacing w:line="2232" w:lineRule="exact"/>
        <w:ind w:left="2378" w:right="0" w:firstLine="0"/>
        <w:rPr>
          <w:rFonts w:ascii="宋体" w:hAnsi="宋体" w:cs="宋体" w:eastAsia="宋体" w:hint="default"/>
          <w:sz w:val="20"/>
          <w:szCs w:val="20"/>
        </w:rPr>
      </w:pPr>
      <w:r>
        <w:rPr>
          <w:rFonts w:ascii="宋体" w:hAnsi="宋体" w:cs="宋体" w:eastAsia="宋体" w:hint="default"/>
          <w:position w:val="-44"/>
          <w:sz w:val="20"/>
          <w:szCs w:val="20"/>
        </w:rPr>
        <w:drawing>
          <wp:inline distT="0" distB="0" distL="0" distR="0">
            <wp:extent cx="3288689" cy="141731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3288689" cy="1417319"/>
                    </a:xfrm>
                    <a:prstGeom prst="rect">
                      <a:avLst/>
                    </a:prstGeom>
                  </pic:spPr>
                </pic:pic>
              </a:graphicData>
            </a:graphic>
          </wp:inline>
        </w:drawing>
      </w:r>
      <w:r>
        <w:rPr>
          <w:rFonts w:ascii="宋体" w:hAnsi="宋体" w:cs="宋体" w:eastAsia="宋体" w:hint="default"/>
          <w:position w:val="-44"/>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8"/>
          <w:szCs w:val="28"/>
        </w:rPr>
      </w:pPr>
    </w:p>
    <w:p>
      <w:pPr>
        <w:spacing w:before="0"/>
        <w:ind w:left="494" w:right="49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53"/>
        <w:jc w:val="left"/>
        <w:rPr>
          <w:b w:val="0"/>
          <w:bCs w:val="0"/>
        </w:rPr>
      </w:pP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2"/>
        <w:ind w:left="152" w:right="151" w:firstLine="562"/>
        <w:jc w:val="both"/>
        <w:rPr>
          <w:rFonts w:ascii="宋体" w:hAnsi="宋体" w:cs="宋体" w:eastAsia="宋体" w:hint="default"/>
          <w:sz w:val="28"/>
          <w:szCs w:val="28"/>
        </w:rPr>
      </w:pPr>
      <w:r>
        <w:rPr>
          <w:rFonts w:ascii="宋体" w:hAnsi="宋体" w:cs="宋体" w:eastAsia="宋体" w:hint="default"/>
          <w:b/>
          <w:bCs/>
          <w:sz w:val="28"/>
          <w:szCs w:val="28"/>
        </w:rPr>
        <w:t>公司负责人夏传武、主管会计工作负责人曾兆豪</w:t>
      </w:r>
      <w:r>
        <w:rPr>
          <w:rFonts w:ascii="宋体" w:hAnsi="宋体" w:cs="宋体" w:eastAsia="宋体" w:hint="default"/>
          <w:b/>
          <w:bCs/>
          <w:spacing w:val="127"/>
          <w:sz w:val="28"/>
          <w:szCs w:val="28"/>
        </w:rPr>
        <w:t> </w:t>
      </w:r>
      <w:r>
        <w:rPr>
          <w:rFonts w:ascii="宋体" w:hAnsi="宋体" w:cs="宋体" w:eastAsia="宋体" w:hint="default"/>
          <w:b/>
          <w:bCs/>
          <w:sz w:val="28"/>
          <w:szCs w:val="28"/>
        </w:rPr>
        <w:t>及会计机构负责人</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会计</w:t>
      </w:r>
      <w:r>
        <w:rPr>
          <w:rFonts w:ascii="宋体" w:hAnsi="宋体" w:cs="宋体" w:eastAsia="宋体" w:hint="default"/>
          <w:b/>
          <w:bCs/>
          <w:w w:val="99"/>
          <w:sz w:val="28"/>
          <w:szCs w:val="28"/>
        </w:rPr>
        <w:t> </w:t>
      </w:r>
      <w:r>
        <w:rPr>
          <w:rFonts w:ascii="宋体" w:hAnsi="宋体" w:cs="宋体" w:eastAsia="宋体" w:hint="default"/>
          <w:b/>
          <w:bCs/>
          <w:sz w:val="28"/>
          <w:szCs w:val="28"/>
        </w:rPr>
        <w:t>主管人员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韦丽丹声明：保证年度报告中财务报告的真实、准确、完整。</w:t>
      </w:r>
      <w:r>
        <w:rPr>
          <w:rFonts w:ascii="宋体" w:hAnsi="宋体" w:cs="宋体" w:eastAsia="宋体" w:hint="default"/>
          <w:sz w:val="28"/>
          <w:szCs w:val="28"/>
        </w:rPr>
      </w:r>
    </w:p>
    <w:p>
      <w:pPr>
        <w:spacing w:line="472" w:lineRule="auto" w:before="148"/>
        <w:ind w:left="714" w:right="15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本年度报告涉及未来相关经营计划、目标、发展战略等前瞻性陈述，属于</w:t>
      </w:r>
      <w:r>
        <w:rPr>
          <w:rFonts w:ascii="宋体" w:hAnsi="宋体" w:cs="宋体" w:eastAsia="宋体" w:hint="default"/>
          <w:spacing w:val="2"/>
          <w:sz w:val="28"/>
          <w:szCs w:val="28"/>
        </w:rPr>
      </w:r>
    </w:p>
    <w:p>
      <w:pPr>
        <w:spacing w:line="475" w:lineRule="auto" w:before="0"/>
        <w:ind w:left="714" w:right="152" w:hanging="563"/>
        <w:jc w:val="left"/>
        <w:rPr>
          <w:rFonts w:ascii="宋体" w:hAnsi="宋体" w:cs="宋体" w:eastAsia="宋体" w:hint="default"/>
          <w:sz w:val="28"/>
          <w:szCs w:val="28"/>
        </w:rPr>
      </w:pPr>
      <w:r>
        <w:rPr>
          <w:rFonts w:ascii="宋体" w:hAnsi="宋体" w:cs="宋体" w:eastAsia="宋体" w:hint="default"/>
          <w:b/>
          <w:bCs/>
          <w:sz w:val="28"/>
          <w:szCs w:val="28"/>
        </w:rPr>
        <w:t>计划性事项，并不构成公司对投资者的实质承诺，敬请投资者注意投资风险。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公司在本报告第四节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管理层讨论与分析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中公司未来发展的展望部分描述</w:t>
      </w:r>
      <w:r>
        <w:rPr>
          <w:rFonts w:ascii="宋体" w:hAnsi="宋体" w:cs="宋体" w:eastAsia="宋体" w:hint="default"/>
          <w:spacing w:val="2"/>
          <w:sz w:val="28"/>
          <w:szCs w:val="28"/>
        </w:rPr>
      </w:r>
    </w:p>
    <w:p>
      <w:pPr>
        <w:spacing w:line="299" w:lineRule="exact" w:before="0"/>
        <w:ind w:left="152" w:right="153" w:firstLine="0"/>
        <w:jc w:val="left"/>
        <w:rPr>
          <w:rFonts w:ascii="宋体" w:hAnsi="宋体" w:cs="宋体" w:eastAsia="宋体" w:hint="default"/>
          <w:sz w:val="28"/>
          <w:szCs w:val="28"/>
        </w:rPr>
      </w:pPr>
      <w:r>
        <w:rPr>
          <w:rFonts w:ascii="宋体" w:hAnsi="宋体" w:cs="宋体" w:eastAsia="宋体" w:hint="default"/>
          <w:b/>
          <w:bCs/>
          <w:sz w:val="28"/>
          <w:szCs w:val="28"/>
        </w:rPr>
        <w:t>了公司未来经营中可能面临的风险，敬请广大投资者注意查阅。</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before="0"/>
        <w:ind w:left="714" w:right="153"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0"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494" w:right="49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8"/>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8"/>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9"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8"/>
              </w:rPr>
              <w:t> </w:t>
            </w:r>
            <w:r>
              <w:rPr/>
              <w:t>管理层讨论与分析</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8"/>
              </w:rPr>
              <w:t> </w:t>
            </w:r>
            <w:r>
              <w:rPr/>
              <w:t>股份变动及股东情况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8"/>
              </w:rPr>
              <w:t> </w:t>
            </w:r>
            <w:r>
              <w:rPr/>
              <w:t>优先股相关情况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18"/>
              </w:rPr>
              <w:t> </w:t>
            </w:r>
            <w:r>
              <w:rPr/>
              <w:t>董事、监事、高级管理人员和员工情况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8"/>
              </w:rPr>
              <w:t> </w:t>
            </w:r>
            <w:r>
              <w:rPr/>
              <w:t>公司治理</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8"/>
              </w:rPr>
              <w:t> </w:t>
            </w:r>
            <w:r>
              <w:rPr/>
              <w:t>财务报告</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9">
            <w:r>
              <w:rPr/>
              <w:t>第十一节</w:t>
            </w:r>
            <w:r>
              <w:rPr>
                <w:spacing w:val="-18"/>
              </w:rPr>
              <w:t> </w:t>
            </w:r>
            <w:r>
              <w:rPr/>
              <w:t>备查文件目录</w:t>
            </w:r>
            <w:r>
              <w:rPr>
                <w:rFonts w:ascii="Times New Roman" w:hAnsi="Times New Roman" w:cs="Times New Roman" w:eastAsia="Times New Roman" w:hint="default"/>
              </w:rPr>
              <w:tab/>
              <w:t>193</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80" w:top="1060" w:bottom="1160" w:left="980" w:right="980"/>
        </w:sectPr>
      </w:pPr>
    </w:p>
    <w:p>
      <w:pPr>
        <w:spacing w:before="945"/>
        <w:ind w:left="494" w:right="49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6"/>
          <w:szCs w:val="16"/>
        </w:rPr>
      </w:pPr>
    </w:p>
    <w:p>
      <w:pPr>
        <w:pStyle w:val="BodyText"/>
        <w:spacing w:line="240" w:lineRule="auto"/>
        <w:ind w:left="0" w:right="159"/>
        <w:jc w:val="right"/>
      </w:pPr>
      <w:r>
        <w:rPr/>
        <w:pict>
          <v:shape style="position:absolute;margin-left:56.400002pt;margin-top:-344.738281pt;width:479.3pt;height:581.1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本公司、公司、卓翼科技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中国证券监督管理委员会深圳监管局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深圳市卓翼科技股份有限公司章程</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深圳市卓翼科技股份有限公司股东大会、董事会、监事会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中广视讯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深圳市中广视讯科技发展有限公司，系公司全资子公司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天津卓达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天津卓达科技发展有限公司，系公司全资子公司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卓翼香港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卓翼科技（香港）有限公司，系公司香港全资子公司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卓大精密</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深圳市卓大精密模具有限公司，系公司全资子公司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卓翼智造</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深圳市卓翼智造有限公司，系公司全资子公司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翼飞投资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深圳市翼飞投资有限公司，系公司全资子公司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中广互联</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中广互联（厦门）信息科技有限公司，系中广视讯之全资子公司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卓翼营销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卓翼营销有限公司，系中广视讯之香港全资子公司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Double</w:t>
                        </w:r>
                        <w:r>
                          <w:rPr>
                            <w:rFonts w:ascii="Times New Roman"/>
                            <w:spacing w:val="-5"/>
                            <w:sz w:val="18"/>
                          </w:rPr>
                          <w:t> </w:t>
                        </w:r>
                        <w:r>
                          <w:rPr>
                            <w:rFonts w:ascii="Times New Roman"/>
                            <w:sz w:val="18"/>
                          </w:rPr>
                          <w:t>Power</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Double Power Technology Inc.</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，系卓翼营销之全资子公司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Haxis Fund</w:t>
                        </w:r>
                        <w:r>
                          <w:rPr>
                            <w:rFonts w:ascii="Times New Roman"/>
                            <w:spacing w:val="-2"/>
                            <w:sz w:val="18"/>
                          </w:rPr>
                          <w:t> </w:t>
                        </w:r>
                        <w:r>
                          <w:rPr>
                            <w:rFonts w:ascii="Times New Roman"/>
                            <w:sz w:val="18"/>
                          </w:rPr>
                          <w:t>I</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Haxis Fund I</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LP</w:t>
                        </w:r>
                        <w:r>
                          <w:rPr>
                            <w:rFonts w:ascii="宋体" w:hAnsi="宋体" w:cs="宋体" w:eastAsia="宋体" w:hint="default"/>
                            <w:sz w:val="18"/>
                            <w:szCs w:val="18"/>
                          </w:rPr>
                          <w:t>，系卓翼营销之控股子公司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限制性股票激励计划</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111"/>
                          <w:jc w:val="left"/>
                          <w:rPr>
                            <w:rFonts w:ascii="宋体" w:hAnsi="宋体" w:cs="宋体" w:eastAsia="宋体" w:hint="default"/>
                            <w:sz w:val="18"/>
                            <w:szCs w:val="18"/>
                          </w:rPr>
                        </w:pPr>
                        <w:r>
                          <w:rPr>
                            <w:rFonts w:ascii="宋体" w:hAnsi="宋体" w:cs="宋体" w:eastAsia="宋体" w:hint="default"/>
                            <w:spacing w:val="-5"/>
                            <w:sz w:val="18"/>
                            <w:szCs w:val="18"/>
                          </w:rPr>
                          <w:t>《深圳市卓翼科技股份有限公司限制性股票激励计划（草案修订稿）</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及其摘要</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ODM</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49"/>
                          <w:ind w:left="28" w:right="19"/>
                          <w:jc w:val="both"/>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Original</w:t>
                        </w:r>
                        <w:r>
                          <w:rPr>
                            <w:rFonts w:ascii="Times New Roman" w:hAnsi="Times New Roman" w:cs="Times New Roman" w:eastAsia="Times New Roman" w:hint="default"/>
                            <w:spacing w:val="4"/>
                            <w:w w:val="99"/>
                            <w:sz w:val="18"/>
                            <w:szCs w:val="18"/>
                          </w:rPr>
                          <w:t> </w:t>
                        </w:r>
                        <w:r>
                          <w:rPr>
                            <w:rFonts w:ascii="Times New Roman" w:hAnsi="Times New Roman" w:cs="Times New Roman" w:eastAsia="Times New Roman" w:hint="default"/>
                            <w:spacing w:val="-1"/>
                            <w:w w:val="99"/>
                            <w:sz w:val="18"/>
                            <w:szCs w:val="18"/>
                          </w:rPr>
                          <w:t>Design</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pacing w:val="-6"/>
                            <w:w w:val="99"/>
                            <w:sz w:val="18"/>
                            <w:szCs w:val="18"/>
                          </w:rPr>
                          <w:t>Manufacture</w:t>
                        </w:r>
                        <w:r>
                          <w:rPr>
                            <w:rFonts w:ascii="宋体" w:hAnsi="宋体" w:cs="宋体" w:eastAsia="宋体" w:hint="default"/>
                            <w:spacing w:val="-6"/>
                            <w:w w:val="99"/>
                            <w:sz w:val="18"/>
                            <w:szCs w:val="18"/>
                          </w:rPr>
                          <w:t>（自主设计制造），结构、外观、工艺等均</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pacing w:val="-2"/>
                            <w:sz w:val="18"/>
                            <w:szCs w:val="18"/>
                          </w:rPr>
                          <w:t>由生产商自主开发，由客户下订单后进行生产，产品以客户的品牌进</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行销售。</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EMS</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49"/>
                          <w:ind w:left="28"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Electronic </w:t>
                        </w:r>
                        <w:r>
                          <w:rPr>
                            <w:rFonts w:ascii="Times New Roman" w:hAnsi="Times New Roman" w:cs="Times New Roman" w:eastAsia="Times New Roman" w:hint="default"/>
                            <w:spacing w:val="-1"/>
                            <w:w w:val="99"/>
                            <w:sz w:val="18"/>
                            <w:szCs w:val="18"/>
                          </w:rPr>
                          <w:t>Manufacturing</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4"/>
                            <w:w w:val="99"/>
                            <w:sz w:val="18"/>
                            <w:szCs w:val="18"/>
                          </w:rPr>
                          <w:t>Services</w:t>
                        </w:r>
                        <w:r>
                          <w:rPr>
                            <w:rFonts w:ascii="宋体" w:hAnsi="宋体" w:cs="宋体" w:eastAsia="宋体" w:hint="default"/>
                            <w:spacing w:val="-4"/>
                            <w:w w:val="99"/>
                            <w:sz w:val="18"/>
                            <w:szCs w:val="18"/>
                          </w:rPr>
                          <w:t>（电子制造服务），公司为品牌生产</w:t>
                        </w:r>
                        <w:r>
                          <w:rPr>
                            <w:rFonts w:ascii="宋体" w:hAnsi="宋体" w:cs="宋体" w:eastAsia="宋体" w:hint="default"/>
                            <w:spacing w:val="-81"/>
                            <w:w w:val="99"/>
                            <w:sz w:val="18"/>
                            <w:szCs w:val="18"/>
                          </w:rPr>
                          <w:t> </w:t>
                        </w:r>
                        <w:r>
                          <w:rPr>
                            <w:rFonts w:ascii="宋体" w:hAnsi="宋体" w:cs="宋体" w:eastAsia="宋体" w:hint="default"/>
                            <w:spacing w:val="-81"/>
                            <w:w w:val="99"/>
                            <w:sz w:val="18"/>
                            <w:szCs w:val="18"/>
                          </w:rPr>
                        </w:r>
                        <w:r>
                          <w:rPr>
                            <w:rFonts w:ascii="宋体" w:hAnsi="宋体" w:cs="宋体" w:eastAsia="宋体" w:hint="default"/>
                            <w:spacing w:val="-2"/>
                            <w:sz w:val="18"/>
                            <w:szCs w:val="18"/>
                          </w:rPr>
                          <w:t>商提供原材料的采购、产品的制造和相关的物流配送、售后服务等环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节服务。</w:t>
                        </w:r>
                      </w:p>
                    </w:tc>
                  </w:tr>
                  <w:tr>
                    <w:trPr>
                      <w:trHeight w:val="392"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
              </w:txbxContent>
            </v:textbox>
            <w10:wrap type="none"/>
          </v:shape>
        </w:pict>
      </w:r>
      <w:r>
        <w:rPr/>
        <w:t>》</w:t>
      </w:r>
    </w:p>
    <w:p>
      <w:pPr>
        <w:spacing w:after="0" w:line="240" w:lineRule="auto"/>
        <w:jc w:val="right"/>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group style="position:absolute;margin-left:172.339996pt;margin-top:272.78598pt;width:361.55pt;height:19.6pt;mso-position-horizontal-relative:page;mso-position-vertical-relative:page;z-index:-1099936"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53"/>
        <w:jc w:val="left"/>
        <w:rPr>
          <w:b w:val="0"/>
          <w:bCs w:val="0"/>
        </w:rPr>
      </w:pPr>
      <w:bookmarkStart w:name="_bookmark0" w:id="1"/>
      <w:bookmarkEnd w:id="1"/>
      <w:r>
        <w:rPr>
          <w:b w:val="0"/>
          <w:bCs w:val="0"/>
        </w:rPr>
      </w:r>
      <w:r>
        <w:rPr/>
        <w:t>第二节</w:t>
      </w:r>
      <w:r>
        <w:rPr>
          <w:spacing w:val="-2"/>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3"/>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002369</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卓翼科技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SHENZHEN ZOWEE </w:t>
            </w:r>
            <w:r>
              <w:rPr>
                <w:rFonts w:ascii="Times New Roman"/>
                <w:spacing w:val="-3"/>
                <w:sz w:val="18"/>
              </w:rPr>
              <w:t>TECHNOLOGY. </w:t>
            </w:r>
            <w:r>
              <w:rPr>
                <w:rFonts w:ascii="Times New Roman"/>
                <w:sz w:val="18"/>
              </w:rPr>
              <w:t>CO.,</w:t>
            </w:r>
            <w:r>
              <w:rPr>
                <w:rFonts w:ascii="Times New Roman"/>
                <w:spacing w:val="4"/>
                <w:sz w:val="18"/>
              </w:rPr>
              <w:t> </w:t>
            </w:r>
            <w:r>
              <w:rPr>
                <w:rFonts w:ascii="Times New Roman"/>
                <w:spacing w:val="-5"/>
                <w:sz w:val="18"/>
              </w:rPr>
              <w:t>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ZOWEE</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夏传武</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深圳市南山区西丽平山民企科技工业园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深圳市南山区西丽平山民企科技工业园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www.zowee.com.cn</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message@zowee.com.cn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刘芷然</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深圳市南山区西丽平山民企科技园５栋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深圳市南山区西丽平山民企科技园５栋</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0755-26997888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0755-26986749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0755-26986712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0755-26986712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message@zowee.com.cn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message@zowee.com.cn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4"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153"/>
        <w:jc w:val="left"/>
        <w:rPr>
          <w:b w:val="0"/>
          <w:bCs w:val="0"/>
        </w:rPr>
      </w:pP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p>
      <w:pPr>
        <w:pStyle w:val="BodyText"/>
        <w:spacing w:line="240" w:lineRule="auto" w:before="44"/>
        <w:ind w:left="0" w:right="159"/>
        <w:jc w:val="right"/>
      </w:pPr>
      <w:r>
        <w:rPr/>
        <w:pict>
          <v:shape style="position:absolute;margin-left:56.459999pt;margin-top:-36.368305pt;width:479.2pt;height:247.9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75862566-1</w:t>
                        </w:r>
                      </w:p>
                    </w:tc>
                  </w:tr>
                  <w:tr>
                    <w:trPr>
                      <w:trHeight w:val="321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6"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日，经深圳市市场监督管理局核准，公司经营范围变更为： 计算机周边板卡、消费数码产品、通讯网络产品、音响产品、广播电影电视器材 </w:t>
                        </w:r>
                        <w:r>
                          <w:rPr>
                            <w:rFonts w:ascii="宋体" w:hAnsi="宋体" w:cs="宋体" w:eastAsia="宋体" w:hint="default"/>
                            <w:spacing w:val="-5"/>
                            <w:w w:val="99"/>
                            <w:sz w:val="18"/>
                            <w:szCs w:val="18"/>
                          </w:rPr>
                          <w:t>调制解调器（不含卫星电视广播地面接收设施）、</w:t>
                        </w:r>
                        <w:r>
                          <w:rPr>
                            <w:rFonts w:ascii="Times New Roman" w:hAnsi="Times New Roman" w:cs="Times New Roman" w:eastAsia="Times New Roman" w:hint="default"/>
                            <w:spacing w:val="-5"/>
                            <w:w w:val="99"/>
                            <w:sz w:val="18"/>
                            <w:szCs w:val="18"/>
                          </w:rPr>
                          <w:t>U</w:t>
                        </w:r>
                        <w:r>
                          <w:rPr>
                            <w:rFonts w:ascii="Times New Roman" w:hAnsi="Times New Roman" w:cs="Times New Roman" w:eastAsia="Times New Roman" w:hint="default"/>
                            <w:w w:val="99"/>
                            <w:sz w:val="18"/>
                            <w:szCs w:val="18"/>
                          </w:rPr>
                          <w:t> </w:t>
                        </w:r>
                        <w:r>
                          <w:rPr>
                            <w:rFonts w:ascii="宋体" w:hAnsi="宋体" w:cs="宋体" w:eastAsia="宋体" w:hint="default"/>
                            <w:spacing w:val="-2"/>
                            <w:w w:val="99"/>
                            <w:sz w:val="18"/>
                            <w:szCs w:val="18"/>
                          </w:rPr>
                          <w:t>盘、</w:t>
                        </w:r>
                        <w:r>
                          <w:rPr>
                            <w:rFonts w:ascii="Times New Roman" w:hAnsi="Times New Roman" w:cs="Times New Roman" w:eastAsia="Times New Roman" w:hint="default"/>
                            <w:spacing w:val="-2"/>
                            <w:w w:val="99"/>
                            <w:sz w:val="18"/>
                            <w:szCs w:val="18"/>
                          </w:rPr>
                          <w:t>MP3</w:t>
                        </w:r>
                        <w:r>
                          <w:rPr>
                            <w:rFonts w:ascii="宋体" w:hAnsi="宋体" w:cs="宋体" w:eastAsia="宋体" w:hint="default"/>
                            <w:spacing w:val="-2"/>
                            <w:w w:val="99"/>
                            <w:sz w:val="18"/>
                            <w:szCs w:val="18"/>
                          </w:rPr>
                          <w:t>、</w:t>
                        </w:r>
                        <w:r>
                          <w:rPr>
                            <w:rFonts w:ascii="Times New Roman" w:hAnsi="Times New Roman" w:cs="Times New Roman" w:eastAsia="Times New Roman" w:hint="default"/>
                            <w:spacing w:val="-2"/>
                            <w:w w:val="99"/>
                            <w:sz w:val="18"/>
                            <w:szCs w:val="18"/>
                          </w:rPr>
                          <w:t>MP4</w:t>
                        </w:r>
                        <w:r>
                          <w:rPr>
                            <w:rFonts w:ascii="宋体" w:hAnsi="宋体" w:cs="宋体" w:eastAsia="宋体" w:hint="default"/>
                            <w:spacing w:val="-2"/>
                            <w:w w:val="99"/>
                            <w:sz w:val="18"/>
                            <w:szCs w:val="18"/>
                          </w:rPr>
                          <w:t>、数字电视系</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z w:val="18"/>
                            <w:szCs w:val="18"/>
                          </w:rPr>
                          <w:t>统用户终端接收机、网络交换机、无线网络适配器、无线路由器、</w:t>
                        </w: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网关、 </w:t>
                        </w:r>
                        <w:r>
                          <w:rPr>
                            <w:rFonts w:ascii="Times New Roman" w:hAnsi="Times New Roman" w:cs="Times New Roman" w:eastAsia="Times New Roman" w:hint="default"/>
                            <w:spacing w:val="-1"/>
                            <w:w w:val="99"/>
                            <w:sz w:val="18"/>
                            <w:szCs w:val="18"/>
                          </w:rPr>
                          <w:t>VOIP</w:t>
                        </w:r>
                        <w:r>
                          <w:rPr>
                            <w:rFonts w:ascii="Times New Roman" w:hAnsi="Times New Roman" w:cs="Times New Roman" w:eastAsia="Times New Roman" w:hint="default"/>
                            <w:spacing w:val="9"/>
                            <w:w w:val="99"/>
                            <w:sz w:val="18"/>
                            <w:szCs w:val="18"/>
                          </w:rPr>
                          <w:t> </w:t>
                        </w:r>
                        <w:r>
                          <w:rPr>
                            <w:rFonts w:ascii="宋体" w:hAnsi="宋体" w:cs="宋体" w:eastAsia="宋体" w:hint="default"/>
                            <w:spacing w:val="-3"/>
                            <w:w w:val="99"/>
                            <w:sz w:val="18"/>
                            <w:szCs w:val="18"/>
                          </w:rPr>
                          <w:t>电话、</w:t>
                        </w:r>
                        <w:r>
                          <w:rPr>
                            <w:rFonts w:ascii="Times New Roman" w:hAnsi="Times New Roman" w:cs="Times New Roman" w:eastAsia="Times New Roman" w:hint="default"/>
                            <w:spacing w:val="-3"/>
                            <w:w w:val="99"/>
                            <w:sz w:val="18"/>
                            <w:szCs w:val="18"/>
                          </w:rPr>
                          <w:t>IP</w:t>
                        </w:r>
                        <w:r>
                          <w:rPr>
                            <w:rFonts w:ascii="Times New Roman" w:hAnsi="Times New Roman" w:cs="Times New Roman" w:eastAsia="Times New Roman" w:hint="default"/>
                            <w:spacing w:val="9"/>
                            <w:w w:val="99"/>
                            <w:sz w:val="18"/>
                            <w:szCs w:val="18"/>
                          </w:rPr>
                          <w:t> </w:t>
                        </w:r>
                        <w:r>
                          <w:rPr>
                            <w:rFonts w:ascii="宋体" w:hAnsi="宋体" w:cs="宋体" w:eastAsia="宋体" w:hint="default"/>
                            <w:spacing w:val="-4"/>
                            <w:sz w:val="18"/>
                            <w:szCs w:val="18"/>
                          </w:rPr>
                          <w:t>机顶盒的组装生产（在许可有效期内生产）；手机和平板电脑等移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动手持终端的生产（由分支机构经营，执照另行申办）；技术开发、购销、电子产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品的购销及其他国内商业、物资供销业（不含专营、专控、专卖商品）；经营进出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口业务（法律、行政法规、国务院决定禁止的项目除外，限制的项目须取得许可 </w:t>
                        </w:r>
                        <w:r>
                          <w:rPr>
                            <w:rFonts w:ascii="宋体" w:hAnsi="宋体" w:cs="宋体" w:eastAsia="宋体" w:hint="default"/>
                            <w:spacing w:val="-5"/>
                            <w:sz w:val="18"/>
                            <w:szCs w:val="18"/>
                          </w:rPr>
                          <w:t>后方可经营）；机械设备租赁（不配备操作人员的机械设备租赁，不包括金融租赁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6"/>
                            <w:sz w:val="18"/>
                            <w:szCs w:val="18"/>
                          </w:rPr>
                          <w:t>活动）；汽车租赁（不包括带操作人员的汽车出租）；计算机与通讯设备租赁。</w:t>
                        </w:r>
                      </w:p>
                    </w:tc>
                  </w:tr>
                  <w:tr>
                    <w:trPr>
                      <w:trHeight w:val="133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20" w:firstLine="362"/>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年，公司原控股股东、实际控制人田昱先生因减持公司股份后，所持股 份少于夏传武先生，夏传武先生成为公司第一大股东。根据相关法律、法规的规 定，自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日起，公司控股股东、实际控制人由田昱先生变更为夏传 武先生。</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2"/>
        <w:spacing w:line="240" w:lineRule="auto" w:before="26"/>
        <w:ind w:right="153"/>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深圳市滨河大道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号联合广场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楼</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张晓义、龚晨艳</w:t>
            </w:r>
          </w:p>
        </w:tc>
      </w:tr>
    </w:tbl>
    <w:p>
      <w:pPr>
        <w:pStyle w:val="BodyText"/>
        <w:spacing w:line="240" w:lineRule="auto" w:before="49"/>
        <w:ind w:right="153"/>
        <w:jc w:val="left"/>
      </w:pPr>
      <w:r>
        <w:rPr/>
        <w:t>公司聘请的报告期内履行持续督导职责的保荐机构</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1"/>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公司是否因会计政策变更及会计差错更正等追溯调整或重述以前年度会计数据</w:t>
      </w:r>
    </w:p>
    <w:p>
      <w:pPr>
        <w:pStyle w:val="BodyText"/>
        <w:spacing w:line="240" w:lineRule="auto" w:before="117"/>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6"/>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3,779,465,102.22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3,586,877,473.77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2,043,620,035.39</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-54,229,745.00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44,323,268.61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89,575,017.21</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-70,195,739.46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40,440,872.99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85,820,239.30</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333,434,584.16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4,637,317.00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7,090.25%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33,890,277.84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6"/>
      </w:tblGrid>
      <w:tr>
        <w:trPr>
          <w:trHeight w:val="36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-0.11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-0.11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0.19</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3,208,566,941.47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3,262,738,439.72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2,311,218,506.33</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1,340,400,893.24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1,395,606,639.23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1,365,930,051.95</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85"/>
        <w:gridCol w:w="1741"/>
        <w:gridCol w:w="2004"/>
        <w:gridCol w:w="1769"/>
        <w:gridCol w:w="1772"/>
      </w:tblGrid>
      <w:tr>
        <w:trPr>
          <w:trHeight w:val="206"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99"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2" w:hRule="exact"/>
        </w:trPr>
        <w:tc>
          <w:tcPr>
            <w:tcW w:w="2285" w:type="dxa"/>
            <w:vMerge w:val="restart"/>
            <w:tcBorders>
              <w:top w:val="nil" w:sz="6" w:space="0" w:color="auto"/>
              <w:left w:val="single" w:sz="4" w:space="0" w:color="000000"/>
              <w:right w:val="single" w:sz="4" w:space="0" w:color="000000"/>
            </w:tcBorders>
            <w:shd w:val="clear" w:color="auto" w:fill="D2D2D2"/>
          </w:tcPr>
          <w:p>
            <w:pPr/>
          </w:p>
        </w:tc>
        <w:tc>
          <w:tcPr>
            <w:tcW w:w="3745"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285" w:type="dxa"/>
            <w:vMerge/>
            <w:tcBorders>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4"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607" w:right="0"/>
              <w:jc w:val="left"/>
              <w:rPr>
                <w:rFonts w:ascii="Times New Roman" w:hAnsi="Times New Roman" w:cs="Times New Roman" w:eastAsia="Times New Roman" w:hint="default"/>
                <w:sz w:val="18"/>
                <w:szCs w:val="18"/>
              </w:rPr>
            </w:pPr>
            <w:r>
              <w:rPr>
                <w:rFonts w:ascii="Times New Roman"/>
                <w:sz w:val="18"/>
              </w:rPr>
              <w:t>-54,229,745.00</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5" w:right="0"/>
              <w:jc w:val="left"/>
              <w:rPr>
                <w:rFonts w:ascii="Times New Roman" w:hAnsi="Times New Roman" w:cs="Times New Roman" w:eastAsia="Times New Roman" w:hint="default"/>
                <w:sz w:val="18"/>
                <w:szCs w:val="18"/>
              </w:rPr>
            </w:pPr>
            <w:r>
              <w:rPr>
                <w:rFonts w:ascii="Times New Roman"/>
                <w:sz w:val="18"/>
              </w:rPr>
              <w:t>44,323,268.61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7" w:right="0"/>
              <w:jc w:val="left"/>
              <w:rPr>
                <w:rFonts w:ascii="Times New Roman" w:hAnsi="Times New Roman" w:cs="Times New Roman" w:eastAsia="Times New Roman" w:hint="default"/>
                <w:sz w:val="18"/>
                <w:szCs w:val="18"/>
              </w:rPr>
            </w:pPr>
            <w:r>
              <w:rPr>
                <w:rFonts w:ascii="Times New Roman"/>
                <w:sz w:val="18"/>
              </w:rPr>
              <w:t>1,340,400,893.24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8" w:right="0"/>
              <w:jc w:val="left"/>
              <w:rPr>
                <w:rFonts w:ascii="Times New Roman" w:hAnsi="Times New Roman" w:cs="Times New Roman" w:eastAsia="Times New Roman" w:hint="default"/>
                <w:sz w:val="18"/>
                <w:szCs w:val="18"/>
              </w:rPr>
            </w:pPr>
            <w:r>
              <w:rPr>
                <w:rFonts w:ascii="Times New Roman"/>
                <w:sz w:val="18"/>
              </w:rPr>
              <w:t>1,395,606,639.23</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41"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85"/>
        <w:gridCol w:w="1729"/>
        <w:gridCol w:w="2004"/>
        <w:gridCol w:w="1769"/>
        <w:gridCol w:w="1772"/>
      </w:tblGrid>
      <w:tr>
        <w:trPr>
          <w:trHeight w:val="206"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85" w:type="dxa"/>
            <w:vMerge w:val="restart"/>
            <w:tcBorders>
              <w:top w:val="nil" w:sz="6" w:space="0" w:color="auto"/>
              <w:left w:val="single" w:sz="4" w:space="0" w:color="000000"/>
              <w:right w:val="single" w:sz="4" w:space="0" w:color="000000"/>
            </w:tcBorders>
            <w:shd w:val="clear" w:color="auto" w:fill="D2D2D2"/>
          </w:tcPr>
          <w:p>
            <w:pPr/>
          </w:p>
        </w:tc>
        <w:tc>
          <w:tcPr>
            <w:tcW w:w="3733"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85" w:type="dxa"/>
            <w:vMerge/>
            <w:tcBorders>
              <w:left w:val="single" w:sz="4" w:space="0" w:color="000000"/>
              <w:bottom w:val="nil" w:sz="6" w:space="0" w:color="auto"/>
              <w:right w:val="single" w:sz="4" w:space="0" w:color="000000"/>
            </w:tcBorders>
            <w:shd w:val="clear" w:color="auto" w:fill="D2D2D2"/>
          </w:tcPr>
          <w:p>
            <w:pP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-54,229,745.00</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44,323,268.61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1,340,400,893.24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8" w:right="0"/>
              <w:jc w:val="left"/>
              <w:rPr>
                <w:rFonts w:ascii="Times New Roman" w:hAnsi="Times New Roman" w:cs="Times New Roman" w:eastAsia="Times New Roman" w:hint="default"/>
                <w:sz w:val="18"/>
                <w:szCs w:val="18"/>
              </w:rPr>
            </w:pPr>
            <w:r>
              <w:rPr>
                <w:rFonts w:ascii="Times New Roman"/>
                <w:sz w:val="18"/>
              </w:rPr>
              <w:t>1,395,606,639.23</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pStyle w:val="BodyText"/>
        <w:spacing w:line="240" w:lineRule="auto" w:before="8"/>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0"/>
        <w:gridCol w:w="1742"/>
        <w:gridCol w:w="1739"/>
        <w:gridCol w:w="1738"/>
        <w:gridCol w:w="1720"/>
      </w:tblGrid>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1"/>
        <w:gridCol w:w="1740"/>
        <w:gridCol w:w="1738"/>
        <w:gridCol w:w="1731"/>
      </w:tblGrid>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764,078,268.12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1,025,379,309.05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946,930,826.33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1,043,076,698.72</w:t>
            </w:r>
          </w:p>
        </w:tc>
      </w:tr>
      <w:tr>
        <w:trPr>
          <w:trHeight w:val="404"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-28,573,572.75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4,687,262.56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-8,128,156.94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-22,215,277.87</w:t>
            </w:r>
          </w:p>
        </w:tc>
      </w:tr>
      <w:tr>
        <w:trPr>
          <w:trHeight w:val="71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-29,333,932.39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-2,152,876.02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-8,857,204.96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-29,851,726.09</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168,645,637.69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93,308,867.52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-53,553,861.47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125,033,940.42</w:t>
            </w:r>
          </w:p>
        </w:tc>
      </w:tr>
    </w:tbl>
    <w:p>
      <w:pPr>
        <w:pStyle w:val="BodyText"/>
        <w:spacing w:line="240" w:lineRule="auto" w:before="49"/>
        <w:ind w:right="153"/>
        <w:jc w:val="left"/>
      </w:pPr>
      <w:r>
        <w:rPr/>
        <w:t>上述财务指标或其加总数是否与公司已披露季度报告、半年度报告相关财务指标存在重大差异</w:t>
      </w:r>
    </w:p>
    <w:p>
      <w:pPr>
        <w:pStyle w:val="BodyText"/>
        <w:spacing w:line="240" w:lineRule="auto" w:before="115"/>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2"/>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-733,095.18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-63,500.25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-231,889.42</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13,485,081.28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3,191,443.29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4,294,808.28</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6,446,951.05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1,444,030.03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46,583.63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-3,279,526.32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277,445.45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558,773.47</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967,022.90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866,914.42</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15,965,994.46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3,882,395.62</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3,754,777.91</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70"/>
        <w:jc w:val="center"/>
        <w:rPr>
          <w:b w:val="0"/>
          <w:bCs w:val="0"/>
        </w:rPr>
      </w:pPr>
      <w:bookmarkStart w:name="_bookmark1" w:id="2"/>
      <w:bookmarkEnd w:id="2"/>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3" w:firstLine="360"/>
        <w:jc w:val="left"/>
      </w:pPr>
      <w:r>
        <w:rPr>
          <w:spacing w:val="-2"/>
        </w:rPr>
        <w:t>公司主要从事网络通讯、消费电子、智能终端类产品的研发、制造与销售，向中外客户提供优质服务。报告期内，公司</w:t>
      </w:r>
      <w:r>
        <w:rPr/>
        <w:t> 主营业务未发生重大变化。</w:t>
      </w:r>
    </w:p>
    <w:p>
      <w:pPr>
        <w:pStyle w:val="BodyText"/>
        <w:spacing w:line="316" w:lineRule="auto" w:before="19"/>
        <w:ind w:right="93" w:firstLine="360"/>
        <w:jc w:val="left"/>
      </w:pPr>
      <w:r>
        <w:rPr>
          <w:spacing w:val="-2"/>
        </w:rPr>
        <w:t>公司属于内资电子制造外包服务行业的领先企业之一，在生产经营规模、研发设计能力、生产工艺与技术装备、产品制</w:t>
      </w:r>
      <w:r>
        <w:rPr/>
        <w:t> </w:t>
      </w:r>
      <w:r>
        <w:rPr>
          <w:spacing w:val="-4"/>
        </w:rPr>
        <w:t>造能力、大客户服务能力等方面均处于国内同行领先地位，产品门类宽，客户结构优良。未来，公司将进一步加强经营管理、</w:t>
      </w:r>
      <w:r>
        <w:rPr>
          <w:spacing w:val="-43"/>
        </w:rPr>
        <w:t> </w:t>
      </w:r>
      <w:r>
        <w:rPr>
          <w:spacing w:val="-43"/>
        </w:rPr>
      </w:r>
      <w:r>
        <w:rPr/>
        <w:t>严格把控产品质量，加强竞争优势，把握发展机遇，提高经营业绩。</w:t>
      </w:r>
    </w:p>
    <w:p>
      <w:pPr>
        <w:pStyle w:val="BodyText"/>
        <w:spacing w:line="316" w:lineRule="auto" w:before="19"/>
        <w:ind w:left="513" w:right="93"/>
        <w:jc w:val="left"/>
      </w:pPr>
      <w:r>
        <w:rPr/>
        <w:t>（一）主要产品及用途 公司产品主要涵盖</w:t>
      </w:r>
      <w:r>
        <w:rPr>
          <w:rFonts w:ascii="Times New Roman" w:hAnsi="Times New Roman" w:cs="Times New Roman" w:eastAsia="Times New Roman" w:hint="default"/>
        </w:rPr>
        <w:t>XDSL</w:t>
      </w:r>
      <w:r>
        <w:rPr/>
        <w:t>宽带接入设备、路由器、数据卡、</w:t>
      </w:r>
      <w:r>
        <w:rPr>
          <w:rFonts w:ascii="Times New Roman" w:hAnsi="Times New Roman" w:cs="Times New Roman" w:eastAsia="Times New Roman" w:hint="default"/>
        </w:rPr>
        <w:t>4G</w:t>
      </w:r>
      <w:r>
        <w:rPr/>
        <w:t>网关、无线</w:t>
      </w:r>
      <w:r>
        <w:rPr>
          <w:rFonts w:ascii="Times New Roman" w:hAnsi="Times New Roman" w:cs="Times New Roman" w:eastAsia="Times New Roman" w:hint="default"/>
        </w:rPr>
        <w:t>AP</w:t>
      </w:r>
      <w:r>
        <w:rPr/>
        <w:t>、</w:t>
      </w:r>
      <w:r>
        <w:rPr>
          <w:rFonts w:ascii="Times New Roman" w:hAnsi="Times New Roman" w:cs="Times New Roman" w:eastAsia="Times New Roman" w:hint="default"/>
        </w:rPr>
        <w:t>PON</w:t>
      </w:r>
      <w:r>
        <w:rPr/>
        <w:t>以及平板电脑、智能手机、移动电</w:t>
      </w:r>
    </w:p>
    <w:p>
      <w:pPr>
        <w:pStyle w:val="BodyText"/>
        <w:spacing w:line="309" w:lineRule="auto"/>
        <w:ind w:right="191"/>
        <w:jc w:val="both"/>
      </w:pPr>
      <w:r>
        <w:rPr/>
        <w:t>源、智能手环</w:t>
      </w:r>
      <w:r>
        <w:rPr>
          <w:rFonts w:ascii="Times New Roman" w:hAnsi="Times New Roman" w:cs="Times New Roman" w:eastAsia="Times New Roman" w:hint="default"/>
        </w:rPr>
        <w:t>/</w:t>
      </w:r>
      <w:r>
        <w:rPr/>
        <w:t>智能手表、无线音响、蓝牙音响等，为华为、</w:t>
      </w:r>
      <w:r>
        <w:rPr>
          <w:rFonts w:ascii="Times New Roman" w:hAnsi="Times New Roman" w:cs="Times New Roman" w:eastAsia="Times New Roman" w:hint="default"/>
        </w:rPr>
        <w:t>Medion</w:t>
      </w:r>
      <w:r>
        <w:rPr/>
        <w:t>、阿尔卡特贝尔、小米、中兴等中外大型品牌商提供产</w:t>
      </w:r>
      <w:r>
        <w:rPr>
          <w:spacing w:val="-68"/>
        </w:rPr>
        <w:t> </w:t>
      </w:r>
      <w:r>
        <w:rPr>
          <w:spacing w:val="-68"/>
        </w:rPr>
      </w:r>
      <w:r>
        <w:rPr>
          <w:spacing w:val="-2"/>
        </w:rPr>
        <w:t>品设计和制造服务。公司重视创新和研发能力提升，不断提高产品能力，自主研发并引进国内外先进设备，打造现代化生产</w:t>
      </w:r>
      <w:r>
        <w:rPr>
          <w:spacing w:val="-65"/>
        </w:rPr>
        <w:t> </w:t>
      </w:r>
      <w:r>
        <w:rPr>
          <w:spacing w:val="-65"/>
        </w:rPr>
      </w:r>
      <w:r>
        <w:rPr/>
        <w:t>基地，提升柔性生产及精益生产与管理。</w:t>
      </w:r>
    </w:p>
    <w:p>
      <w:pPr>
        <w:pStyle w:val="BodyText"/>
        <w:spacing w:line="316" w:lineRule="auto" w:before="24"/>
        <w:ind w:left="513" w:right="93"/>
        <w:jc w:val="left"/>
      </w:pPr>
      <w:r>
        <w:rPr/>
        <w:t>（二）主要经营模式 公司业务经营模式主要为</w:t>
      </w:r>
      <w:r>
        <w:rPr>
          <w:rFonts w:ascii="Times New Roman" w:hAnsi="Times New Roman" w:cs="Times New Roman" w:eastAsia="Times New Roman" w:hint="default"/>
        </w:rPr>
        <w:t>ODM/EMS</w:t>
      </w:r>
      <w:r>
        <w:rPr/>
        <w:t>，基于</w:t>
      </w:r>
      <w:r>
        <w:rPr>
          <w:rFonts w:ascii="Times New Roman" w:hAnsi="Times New Roman" w:cs="Times New Roman" w:eastAsia="Times New Roman" w:hint="default"/>
        </w:rPr>
        <w:t>ODM/EMS</w:t>
      </w:r>
      <w:r>
        <w:rPr/>
        <w:t>的业务模式，灵活配置服务团队，既能满足大客户强体系运营需</w:t>
      </w:r>
    </w:p>
    <w:p>
      <w:pPr>
        <w:pStyle w:val="BodyText"/>
        <w:spacing w:line="235" w:lineRule="exact"/>
        <w:ind w:right="0"/>
        <w:jc w:val="both"/>
      </w:pPr>
      <w:r>
        <w:rPr/>
        <w:t>求，又能匹配互联网公司及虚拟运营商快速的定制需求。</w:t>
      </w:r>
    </w:p>
    <w:p>
      <w:pPr>
        <w:pStyle w:val="BodyText"/>
        <w:spacing w:line="240" w:lineRule="auto" w:before="76"/>
        <w:ind w:left="513" w:right="93"/>
        <w:jc w:val="left"/>
      </w:pPr>
      <w:r>
        <w:rPr/>
        <w:t>（三）公司所属行业的发展状况</w:t>
      </w:r>
    </w:p>
    <w:p>
      <w:pPr>
        <w:pStyle w:val="BodyText"/>
        <w:spacing w:line="240" w:lineRule="auto" w:before="76"/>
        <w:ind w:left="513" w:right="93"/>
        <w:jc w:val="left"/>
      </w:pPr>
      <w:r>
        <w:rPr/>
        <w:t>详见</w:t>
      </w:r>
      <w:r>
        <w:rPr>
          <w:rFonts w:ascii="Times New Roman" w:hAnsi="Times New Roman" w:cs="Times New Roman" w:eastAsia="Times New Roman" w:hint="default"/>
        </w:rPr>
        <w:t>“</w:t>
      </w:r>
      <w:r>
        <w:rPr/>
        <w:t>第四节</w:t>
      </w:r>
      <w:r>
        <w:rPr>
          <w:spacing w:val="-21"/>
        </w:rPr>
        <w:t> </w:t>
      </w:r>
      <w:r>
        <w:rPr/>
        <w:t>管理层讨论与分析</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九、公司未来发展的展望</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（一）行业发展趋势</w:t>
      </w:r>
      <w:r>
        <w:rPr>
          <w:rFonts w:ascii="Times New Roman" w:hAnsi="Times New Roman" w:cs="Times New Roman" w:eastAsia="Times New Roman" w:hint="default"/>
        </w:rPr>
        <w:t>”</w:t>
      </w:r>
      <w:r>
        <w:rPr/>
        <w:t>相关内容。</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9"/>
        <w:gridCol w:w="6519"/>
      </w:tblGrid>
      <w:tr>
        <w:trPr>
          <w:trHeight w:val="187"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19"/>
              <w:jc w:val="left"/>
              <w:rPr>
                <w:rFonts w:ascii="宋体" w:hAnsi="宋体" w:cs="宋体" w:eastAsia="宋体" w:hint="default"/>
                <w:sz w:val="18"/>
                <w:szCs w:val="18"/>
              </w:rPr>
            </w:pPr>
            <w:r>
              <w:rPr>
                <w:rFonts w:ascii="宋体" w:hAnsi="宋体" w:cs="宋体" w:eastAsia="宋体" w:hint="default"/>
                <w:sz w:val="18"/>
                <w:szCs w:val="18"/>
              </w:rPr>
              <w:t>在建工程期末余额较期初减少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112,872,985.07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元，减少比例为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49.61%</w:t>
            </w:r>
            <w:r>
              <w:rPr>
                <w:rFonts w:ascii="宋体" w:hAnsi="宋体" w:cs="宋体" w:eastAsia="宋体" w:hint="default"/>
                <w:sz w:val="18"/>
                <w:szCs w:val="18"/>
              </w:rPr>
              <w:t>，主要系在建 工程陆续完工结转固定资产所致。</w:t>
            </w:r>
          </w:p>
        </w:tc>
      </w:tr>
      <w:tr>
        <w:trPr>
          <w:trHeight w:val="394"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vMerge/>
            <w:tcBorders>
              <w:left w:val="single" w:sz="10" w:space="0" w:color="D2D2D2"/>
              <w:right w:val="single" w:sz="4" w:space="0" w:color="000000"/>
            </w:tcBorders>
          </w:tcPr>
          <w:p>
            <w:pPr/>
          </w:p>
        </w:tc>
      </w:tr>
      <w:tr>
        <w:trPr>
          <w:trHeight w:val="161"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9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6"/>
        <w:gridCol w:w="1063"/>
        <w:gridCol w:w="1064"/>
        <w:gridCol w:w="1066"/>
        <w:gridCol w:w="1061"/>
        <w:gridCol w:w="1061"/>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8" w:right="74" w:hanging="272"/>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7"/>
              <w:jc w:val="right"/>
              <w:rPr>
                <w:rFonts w:ascii="宋体" w:hAnsi="宋体" w:cs="宋体" w:eastAsia="宋体" w:hint="default"/>
                <w:sz w:val="18"/>
                <w:szCs w:val="18"/>
              </w:rPr>
            </w:pPr>
            <w:r>
              <w:rPr>
                <w:rFonts w:ascii="宋体" w:hAnsi="宋体" w:cs="宋体" w:eastAsia="宋体" w:hint="default"/>
                <w:sz w:val="18"/>
                <w:szCs w:val="18"/>
              </w:rPr>
              <w:t>形成原因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境外子公司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58"/>
              <w:jc w:val="center"/>
              <w:rPr>
                <w:rFonts w:ascii="Times New Roman" w:hAnsi="Times New Roman" w:cs="Times New Roman" w:eastAsia="Times New Roman" w:hint="default"/>
                <w:sz w:val="18"/>
                <w:szCs w:val="18"/>
              </w:rPr>
            </w:pPr>
            <w:r>
              <w:rPr>
                <w:rFonts w:ascii="Times New Roman"/>
                <w:sz w:val="18"/>
              </w:rPr>
              <w:t>8,978,337.98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委派专人负 责</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-27,751,371.0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4" w:right="0"/>
              <w:jc w:val="left"/>
              <w:rPr>
                <w:rFonts w:ascii="Times New Roman" w:hAnsi="Times New Roman" w:cs="Times New Roman" w:eastAsia="Times New Roman" w:hint="default"/>
                <w:sz w:val="18"/>
                <w:szCs w:val="18"/>
              </w:rPr>
            </w:pPr>
            <w:r>
              <w:rPr>
                <w:rFonts w:ascii="Times New Roman"/>
                <w:sz w:val="18"/>
              </w:rPr>
              <w:t>0.67%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2"/>
        <w:gridCol w:w="8507"/>
      </w:tblGrid>
      <w:tr>
        <w:trPr>
          <w:trHeight w:val="1652"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129"/>
              <w:jc w:val="left"/>
              <w:rPr>
                <w:rFonts w:ascii="宋体" w:hAnsi="宋体" w:cs="宋体" w:eastAsia="宋体" w:hint="default"/>
                <w:sz w:val="18"/>
                <w:szCs w:val="18"/>
              </w:rPr>
            </w:pPr>
            <w:r>
              <w:rPr>
                <w:rFonts w:ascii="宋体" w:hAnsi="宋体" w:cs="宋体" w:eastAsia="宋体" w:hint="default"/>
                <w:sz w:val="18"/>
                <w:szCs w:val="18"/>
              </w:rPr>
              <w:t>其他情况说 明</w:t>
            </w:r>
          </w:p>
        </w:tc>
        <w:tc>
          <w:tcPr>
            <w:tcW w:w="85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firstLine="362"/>
              <w:jc w:val="left"/>
              <w:rPr>
                <w:rFonts w:ascii="宋体" w:hAnsi="宋体" w:cs="宋体" w:eastAsia="宋体" w:hint="default"/>
                <w:sz w:val="18"/>
                <w:szCs w:val="18"/>
              </w:rPr>
            </w:pPr>
            <w:r>
              <w:rPr>
                <w:rFonts w:ascii="宋体" w:hAnsi="宋体" w:cs="宋体" w:eastAsia="宋体" w:hint="default"/>
                <w:sz w:val="18"/>
                <w:szCs w:val="18"/>
              </w:rPr>
              <w:t>本公司将</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Double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Power2015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日所有资产认定为一个资产组，来判断与商誉相关的资产组是否</w:t>
            </w:r>
            <w:r>
              <w:rPr>
                <w:rFonts w:ascii="宋体" w:hAnsi="宋体" w:cs="宋体" w:eastAsia="宋体" w:hint="default"/>
                <w:sz w:val="18"/>
                <w:szCs w:val="18"/>
              </w:rPr>
              <w:t> 存在减值迹象。根据以往获利能力及营运资金情况制定最近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年的利润表及现金流量预测表，预期收入增长</w:t>
            </w:r>
          </w:p>
          <w:p>
            <w:pPr>
              <w:pStyle w:val="TableParagraph"/>
              <w:spacing w:line="300" w:lineRule="auto" w:before="13"/>
              <w:ind w:left="24" w:right="20"/>
              <w:jc w:val="both"/>
              <w:rPr>
                <w:rFonts w:ascii="宋体" w:hAnsi="宋体" w:cs="宋体" w:eastAsia="宋体" w:hint="default"/>
                <w:sz w:val="18"/>
                <w:szCs w:val="18"/>
              </w:rPr>
            </w:pPr>
            <w:r>
              <w:rPr>
                <w:rFonts w:ascii="宋体" w:hAnsi="宋体" w:cs="宋体" w:eastAsia="宋体" w:hint="default"/>
                <w:sz w:val="18"/>
                <w:szCs w:val="18"/>
              </w:rPr>
              <w:t>率不超过行业的平均长期增长率，预算毛利率和费用率根据以往表现确定，并假设</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年之后现金流量维持不 变。根据测算，</w:t>
            </w:r>
            <w:r>
              <w:rPr>
                <w:rFonts w:ascii="Times New Roman" w:hAnsi="Times New Roman" w:cs="Times New Roman" w:eastAsia="Times New Roman" w:hint="default"/>
                <w:sz w:val="18"/>
                <w:szCs w:val="18"/>
              </w:rPr>
              <w:t>Double Power</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包含商誉的资产组的可收回金额少于该资产组的账面价值，商誉全额发生减值 损失，予以全额计提商誉减值准备。</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三、核心竞争力分析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3"/>
        <w:jc w:val="left"/>
      </w:pPr>
      <w:r>
        <w:rPr/>
        <w:t>公司的核心竞争力主要表现在以下几个方面：</w:t>
      </w:r>
    </w:p>
    <w:p>
      <w:pPr>
        <w:pStyle w:val="BodyText"/>
        <w:spacing w:line="300" w:lineRule="auto" w:before="76"/>
        <w:ind w:left="513" w:right="93"/>
        <w:jc w:val="left"/>
      </w:pPr>
      <w:r>
        <w:rPr>
          <w:rFonts w:ascii="Times New Roman" w:hAnsi="Times New Roman" w:cs="Times New Roman" w:eastAsia="Times New Roman" w:hint="default"/>
        </w:rPr>
        <w:t>1</w:t>
      </w:r>
      <w:r>
        <w:rPr/>
        <w:t>、广度技术积累与研发优势 </w:t>
      </w:r>
      <w:r>
        <w:rPr>
          <w:spacing w:val="-2"/>
        </w:rPr>
        <w:t>公司是国家级高新技术企业，拥有专业的研发团队和先进的测试、生产设备。公司积极布局前沿技术，在宽带接入、无</w:t>
      </w:r>
    </w:p>
    <w:p>
      <w:pPr>
        <w:pStyle w:val="BodyText"/>
        <w:spacing w:line="300" w:lineRule="auto" w:before="31"/>
        <w:ind w:right="193"/>
        <w:jc w:val="both"/>
      </w:pPr>
      <w:r>
        <w:rPr>
          <w:spacing w:val="-2"/>
        </w:rPr>
        <w:t>线数据传输、音视频播放、嵌入式系统、结构设计等多个领域的应用技术方面有较深的积累，获得专利近</w:t>
      </w:r>
      <w:r>
        <w:rPr>
          <w:rFonts w:ascii="Times New Roman" w:hAnsi="Times New Roman" w:cs="Times New Roman" w:eastAsia="Times New Roman" w:hint="default"/>
          <w:spacing w:val="-2"/>
        </w:rPr>
        <w:t>30</w:t>
      </w:r>
      <w:r>
        <w:rPr>
          <w:spacing w:val="-2"/>
        </w:rPr>
        <w:t>项，既能够满足</w:t>
      </w:r>
      <w:r>
        <w:rPr>
          <w:spacing w:val="-65"/>
        </w:rPr>
        <w:t> </w:t>
      </w:r>
      <w:r>
        <w:rPr>
          <w:spacing w:val="-65"/>
        </w:rPr>
      </w:r>
      <w:r>
        <w:rPr>
          <w:spacing w:val="-2"/>
        </w:rPr>
        <w:t>大客户强体系运营需求，又能够为</w:t>
      </w:r>
      <w:r>
        <w:rPr>
          <w:rFonts w:ascii="Times New Roman" w:hAnsi="Times New Roman" w:cs="Times New Roman" w:eastAsia="Times New Roman" w:hint="default"/>
          <w:spacing w:val="-2"/>
        </w:rPr>
        <w:t>“</w:t>
      </w:r>
      <w:r>
        <w:rPr>
          <w:spacing w:val="-2"/>
        </w:rPr>
        <w:t>软件</w:t>
      </w:r>
      <w:r>
        <w:rPr>
          <w:rFonts w:ascii="Times New Roman" w:hAnsi="Times New Roman" w:cs="Times New Roman" w:eastAsia="Times New Roman" w:hint="default"/>
          <w:spacing w:val="-2"/>
        </w:rPr>
        <w:t>+</w:t>
      </w:r>
      <w:r>
        <w:rPr>
          <w:spacing w:val="-2"/>
        </w:rPr>
        <w:t>硬件</w:t>
      </w:r>
      <w:r>
        <w:rPr>
          <w:rFonts w:ascii="Times New Roman" w:hAnsi="Times New Roman" w:cs="Times New Roman" w:eastAsia="Times New Roman" w:hint="default"/>
          <w:spacing w:val="-2"/>
        </w:rPr>
        <w:t>+</w:t>
      </w:r>
      <w:r>
        <w:rPr>
          <w:spacing w:val="-2"/>
        </w:rPr>
        <w:t>应用</w:t>
      </w:r>
      <w:r>
        <w:rPr>
          <w:rFonts w:ascii="Times New Roman" w:hAnsi="Times New Roman" w:cs="Times New Roman" w:eastAsia="Times New Roman" w:hint="default"/>
          <w:spacing w:val="-2"/>
        </w:rPr>
        <w:t>”</w:t>
      </w:r>
      <w:r>
        <w:rPr>
          <w:spacing w:val="-2"/>
        </w:rPr>
        <w:t>模式的互联网公司及虚拟运营商提供有价值的技术补充及支撑，加快产</w:t>
      </w:r>
      <w:r>
        <w:rPr>
          <w:spacing w:val="-69"/>
        </w:rPr>
        <w:t> </w:t>
      </w:r>
      <w:r>
        <w:rPr>
          <w:spacing w:val="-69"/>
        </w:rPr>
      </w:r>
      <w:r>
        <w:rPr/>
        <w:t>品开发速度。</w:t>
      </w:r>
    </w:p>
    <w:p>
      <w:pPr>
        <w:pStyle w:val="BodyText"/>
        <w:spacing w:line="300" w:lineRule="auto" w:before="31"/>
        <w:ind w:left="513" w:right="6213"/>
        <w:jc w:val="left"/>
      </w:pPr>
      <w:r>
        <w:rPr>
          <w:rFonts w:ascii="Times New Roman" w:hAnsi="Times New Roman" w:cs="Times New Roman" w:eastAsia="Times New Roman" w:hint="default"/>
        </w:rPr>
        <w:t>2</w:t>
      </w:r>
      <w:r>
        <w:rPr/>
        <w:t>、成本控制优势 公司在成本控制方面形成了较强的优势：</w:t>
      </w:r>
    </w:p>
    <w:p>
      <w:pPr>
        <w:pStyle w:val="BodyText"/>
        <w:spacing w:line="316" w:lineRule="auto" w:before="31"/>
        <w:ind w:left="513" w:right="93"/>
        <w:jc w:val="left"/>
      </w:pPr>
      <w:r>
        <w:rPr/>
        <w:t>其一，公司具有较强的研发能力，通过产品方案的合理设计，获得成本优势； 其二，公司通过经营积累，熟知各种电子元器件的性能，通过对原材料的合理选配，有效控制成本； 其三，公司具备完善的供应链体系，伴随业务规模的扩张，采购议价能力不断增强； </w:t>
      </w:r>
      <w:r>
        <w:rPr>
          <w:spacing w:val="-2"/>
        </w:rPr>
        <w:t>其四，通过对产线的合理布局、产品测试工具的自主开发，以及国际先进管理经验的消化与吸收，公司具备了较高的生</w:t>
      </w:r>
    </w:p>
    <w:p>
      <w:pPr>
        <w:pStyle w:val="BodyText"/>
        <w:spacing w:line="240" w:lineRule="auto" w:before="19"/>
        <w:ind w:right="0"/>
        <w:jc w:val="both"/>
      </w:pPr>
      <w:r>
        <w:rPr/>
        <w:t>产效率，可有效控制生产成本。</w:t>
      </w:r>
    </w:p>
    <w:p>
      <w:pPr>
        <w:pStyle w:val="BodyText"/>
        <w:spacing w:line="300" w:lineRule="auto" w:before="76"/>
        <w:ind w:left="513" w:right="163"/>
        <w:jc w:val="left"/>
      </w:pPr>
      <w:r>
        <w:rPr>
          <w:rFonts w:ascii="Times New Roman" w:hAnsi="Times New Roman" w:cs="Times New Roman" w:eastAsia="Times New Roman" w:hint="default"/>
        </w:rPr>
        <w:t>3</w:t>
      </w:r>
      <w:r>
        <w:rPr/>
        <w:t>、综合服务优势 公司的业务模式多样，以</w:t>
      </w:r>
      <w:r>
        <w:rPr>
          <w:rFonts w:ascii="Times New Roman" w:hAnsi="Times New Roman" w:cs="Times New Roman" w:eastAsia="Times New Roman" w:hint="default"/>
        </w:rPr>
        <w:t>ODM</w:t>
      </w:r>
      <w:r>
        <w:rPr/>
        <w:t>、</w:t>
      </w:r>
      <w:r>
        <w:rPr>
          <w:rFonts w:ascii="Times New Roman" w:hAnsi="Times New Roman" w:cs="Times New Roman" w:eastAsia="Times New Roman" w:hint="default"/>
        </w:rPr>
        <w:t>EMS</w:t>
      </w:r>
      <w:r>
        <w:rPr/>
        <w:t>为主，辅以</w:t>
      </w:r>
      <w:r>
        <w:rPr>
          <w:rFonts w:ascii="Times New Roman" w:hAnsi="Times New Roman" w:cs="Times New Roman" w:eastAsia="Times New Roman" w:hint="default"/>
        </w:rPr>
        <w:t>OEM</w:t>
      </w:r>
      <w:r>
        <w:rPr/>
        <w:t>、</w:t>
      </w:r>
      <w:r>
        <w:rPr>
          <w:rFonts w:ascii="Times New Roman" w:hAnsi="Times New Roman" w:cs="Times New Roman" w:eastAsia="Times New Roman" w:hint="default"/>
        </w:rPr>
        <w:t>JDM</w:t>
      </w:r>
      <w:r>
        <w:rPr/>
        <w:t>，灵活配置服务团队，既能满足大客户强体系运营需求，</w:t>
      </w:r>
    </w:p>
    <w:p>
      <w:pPr>
        <w:pStyle w:val="BodyText"/>
        <w:spacing w:line="240" w:lineRule="auto" w:before="13"/>
        <w:ind w:right="0"/>
        <w:jc w:val="both"/>
      </w:pPr>
      <w:r>
        <w:rPr/>
        <w:t>也能匹配车联网、</w:t>
      </w:r>
      <w:r>
        <w:rPr>
          <w:rFonts w:ascii="Times New Roman" w:hAnsi="Times New Roman" w:cs="Times New Roman" w:eastAsia="Times New Roman" w:hint="default"/>
        </w:rPr>
        <w:t>VR</w:t>
      </w:r>
      <w:r>
        <w:rPr/>
        <w:t>（虚拟现实）等新兴业务快速的定制需求。</w:t>
      </w:r>
    </w:p>
    <w:p>
      <w:pPr>
        <w:pStyle w:val="BodyText"/>
        <w:spacing w:line="300" w:lineRule="auto" w:before="63"/>
        <w:ind w:left="513" w:right="93"/>
        <w:jc w:val="left"/>
      </w:pPr>
      <w:r>
        <w:rPr>
          <w:rFonts w:ascii="Times New Roman" w:hAnsi="Times New Roman" w:cs="Times New Roman" w:eastAsia="Times New Roman" w:hint="default"/>
        </w:rPr>
        <w:t>4</w:t>
      </w:r>
      <w:r>
        <w:rPr/>
        <w:t>、精密制造优势 公司拥有从日本和德国进口的先进的</w:t>
      </w:r>
      <w:r>
        <w:rPr>
          <w:rFonts w:ascii="Times New Roman" w:hAnsi="Times New Roman" w:cs="Times New Roman" w:eastAsia="Times New Roman" w:hint="default"/>
        </w:rPr>
        <w:t>SMT</w:t>
      </w:r>
      <w:r>
        <w:rPr/>
        <w:t>设备，具备一定的规模，能够满足各类高端产品的精密制造需求。 </w:t>
      </w:r>
      <w:r>
        <w:rPr>
          <w:rFonts w:ascii="Times New Roman" w:hAnsi="Times New Roman" w:cs="Times New Roman" w:eastAsia="Times New Roman" w:hint="default"/>
        </w:rPr>
        <w:t>5</w:t>
      </w:r>
      <w:r>
        <w:rPr/>
        <w:t>、自动化优势 经过几年的自动化技术研发和实践积累，公司已研制出一批重要的智能化设备，并已将部分生产线进行了自动化改造，</w:t>
      </w:r>
    </w:p>
    <w:p>
      <w:pPr>
        <w:pStyle w:val="BodyText"/>
        <w:spacing w:line="240" w:lineRule="auto" w:before="31"/>
        <w:ind w:right="0"/>
        <w:jc w:val="both"/>
      </w:pPr>
      <w:r>
        <w:rPr/>
        <w:t>提高了生产效率，得到客户的广泛好评，其中对</w:t>
      </w:r>
      <w:r>
        <w:rPr>
          <w:rFonts w:ascii="Times New Roman" w:hAnsi="Times New Roman" w:cs="Times New Roman" w:eastAsia="Times New Roman" w:hint="default"/>
        </w:rPr>
        <w:t>LED</w:t>
      </w:r>
      <w:r>
        <w:rPr/>
        <w:t>灯条生产测试设备的研发，打破了日、韩国家对此类设备的垄断。</w:t>
      </w:r>
    </w:p>
    <w:p>
      <w:pPr>
        <w:spacing w:after="0" w:line="240" w:lineRule="auto"/>
        <w:jc w:val="both"/>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5" w:right="153"/>
        <w:jc w:val="left"/>
        <w:rPr>
          <w:b w:val="0"/>
          <w:bCs w:val="0"/>
        </w:rPr>
      </w:pPr>
      <w:bookmarkStart w:name="_bookmark2" w:id="3"/>
      <w:bookmarkEnd w:id="3"/>
      <w:r>
        <w:rPr>
          <w:b w:val="0"/>
          <w:bCs w:val="0"/>
        </w:rPr>
      </w:r>
      <w:r>
        <w:rPr/>
        <w:t>第四节</w:t>
      </w:r>
      <w:r>
        <w:rPr>
          <w:spacing w:val="-6"/>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53"/>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54" w:firstLine="360"/>
        <w:jc w:val="both"/>
      </w:pPr>
      <w:r>
        <w:rPr>
          <w:rFonts w:ascii="Times New Roman" w:hAnsi="Times New Roman" w:cs="Times New Roman" w:eastAsia="Times New Roman" w:hint="default"/>
          <w:spacing w:val="-2"/>
        </w:rPr>
        <w:t>2015</w:t>
      </w:r>
      <w:r>
        <w:rPr>
          <w:spacing w:val="-2"/>
        </w:rPr>
        <w:t>年，国内外经济形势依然严峻，欧债危机影响持续存在，外销市场整体复苏缓慢，国内经济增速放缓，内销市场增</w:t>
      </w:r>
      <w:r>
        <w:rPr/>
        <w:t> 长不足，加之劳动力成本持续高企，出口产品竞争优势不断弱化，制造行业整体盈利不容乐观。</w:t>
      </w:r>
    </w:p>
    <w:p>
      <w:pPr>
        <w:pStyle w:val="BodyText"/>
        <w:spacing w:line="307" w:lineRule="auto" w:before="31"/>
        <w:ind w:right="151" w:firstLine="360"/>
        <w:jc w:val="both"/>
      </w:pPr>
      <w:r>
        <w:rPr>
          <w:rFonts w:ascii="Times New Roman" w:hAnsi="Times New Roman" w:cs="Times New Roman" w:eastAsia="Times New Roman" w:hint="default"/>
          <w:spacing w:val="-2"/>
        </w:rPr>
        <w:t>2015</w:t>
      </w:r>
      <w:r>
        <w:rPr>
          <w:spacing w:val="-2"/>
        </w:rPr>
        <w:t>年是公司转型升级的开局之年，面对经营中遇到的各种机遇与挑战，公司董事会审时度势、科学决策，经营管理班</w:t>
      </w:r>
      <w:r>
        <w:rPr/>
        <w:t> </w:t>
      </w:r>
      <w:r>
        <w:rPr>
          <w:spacing w:val="-2"/>
        </w:rPr>
        <w:t>子精诚团结、攻坚克难，全体员工奋勇拼搏，取得一定成效。</w:t>
      </w:r>
      <w:r>
        <w:rPr>
          <w:rFonts w:ascii="Times New Roman" w:hAnsi="Times New Roman" w:cs="Times New Roman" w:eastAsia="Times New Roman" w:hint="default"/>
          <w:spacing w:val="-2"/>
        </w:rPr>
        <w:t>“</w:t>
      </w:r>
      <w:r>
        <w:rPr>
          <w:spacing w:val="-2"/>
        </w:rPr>
        <w:t>拥抱万物互联、引领中国智造、助力全球创新</w:t>
      </w:r>
      <w:r>
        <w:rPr>
          <w:rFonts w:ascii="Times New Roman" w:hAnsi="Times New Roman" w:cs="Times New Roman" w:eastAsia="Times New Roman" w:hint="default"/>
          <w:spacing w:val="-2"/>
        </w:rPr>
        <w:t>”</w:t>
      </w:r>
      <w:r>
        <w:rPr>
          <w:spacing w:val="-2"/>
        </w:rPr>
        <w:t>是</w:t>
      </w:r>
      <w:r>
        <w:rPr>
          <w:rFonts w:ascii="Times New Roman" w:hAnsi="Times New Roman" w:cs="Times New Roman" w:eastAsia="Times New Roman" w:hint="default"/>
          <w:spacing w:val="-2"/>
        </w:rPr>
        <w:t>2015</w:t>
      </w:r>
      <w:r>
        <w:rPr>
          <w:spacing w:val="-2"/>
        </w:rPr>
        <w:t>年公司</w:t>
      </w:r>
      <w:r>
        <w:rPr>
          <w:spacing w:val="-43"/>
        </w:rPr>
        <w:t> </w:t>
      </w:r>
      <w:r>
        <w:rPr>
          <w:spacing w:val="-43"/>
        </w:rPr>
      </w:r>
      <w:r>
        <w:rPr>
          <w:spacing w:val="-1"/>
        </w:rPr>
        <w:t>确定的目标，</w:t>
      </w:r>
      <w:r>
        <w:rPr>
          <w:rFonts w:ascii="Times New Roman" w:hAnsi="Times New Roman" w:cs="Times New Roman" w:eastAsia="Times New Roman" w:hint="default"/>
          <w:spacing w:val="-1"/>
        </w:rPr>
        <w:t>“</w:t>
      </w:r>
      <w:r>
        <w:rPr>
          <w:spacing w:val="-1"/>
        </w:rPr>
        <w:t>致力产品与服务增值</w:t>
      </w:r>
      <w:r>
        <w:rPr>
          <w:rFonts w:ascii="Times New Roman" w:hAnsi="Times New Roman" w:cs="Times New Roman" w:eastAsia="Times New Roman" w:hint="default"/>
          <w:spacing w:val="-1"/>
        </w:rPr>
        <w:t>”</w:t>
      </w:r>
      <w:r>
        <w:rPr>
          <w:spacing w:val="-1"/>
        </w:rPr>
        <w:t>是每个卓翼人的使命，</w:t>
      </w:r>
      <w:r>
        <w:rPr>
          <w:rFonts w:ascii="Times New Roman" w:hAnsi="Times New Roman" w:cs="Times New Roman" w:eastAsia="Times New Roman" w:hint="default"/>
          <w:spacing w:val="-1"/>
        </w:rPr>
        <w:t>“</w:t>
      </w:r>
      <w:r>
        <w:rPr>
          <w:spacing w:val="-1"/>
        </w:rPr>
        <w:t>诚信、进取、合作、分享</w:t>
      </w:r>
      <w:r>
        <w:rPr>
          <w:rFonts w:ascii="Times New Roman" w:hAnsi="Times New Roman" w:cs="Times New Roman" w:eastAsia="Times New Roman" w:hint="default"/>
          <w:spacing w:val="-1"/>
        </w:rPr>
        <w:t>”</w:t>
      </w:r>
      <w:r>
        <w:rPr>
          <w:spacing w:val="-1"/>
        </w:rPr>
        <w:t>是每个卓翼人的价值观，面对滚滚而</w:t>
      </w:r>
      <w:r>
        <w:rPr>
          <w:spacing w:val="-81"/>
        </w:rPr>
        <w:t> </w:t>
      </w:r>
      <w:r>
        <w:rPr>
          <w:spacing w:val="-81"/>
        </w:rPr>
      </w:r>
      <w:r>
        <w:rPr>
          <w:spacing w:val="-2"/>
        </w:rPr>
        <w:t>来的万物互联浪潮，公司将一如既往地肩负科技使命，心怀梦想，憧憬未来，努力抓住物联网时代提供的慷慨成长机遇，构</w:t>
      </w:r>
      <w:r>
        <w:rPr>
          <w:spacing w:val="-67"/>
        </w:rPr>
        <w:t> </w:t>
      </w:r>
      <w:r>
        <w:rPr>
          <w:spacing w:val="-67"/>
        </w:rPr>
      </w:r>
      <w:r>
        <w:rPr>
          <w:spacing w:val="-2"/>
        </w:rPr>
        <w:t>筑产品、制造、创业加速为一体的综合服务平台，力争成为中国智能制造的标杆、创新创业合作的理想平台，成为科技服务</w:t>
      </w:r>
      <w:r>
        <w:rPr>
          <w:spacing w:val="-67"/>
        </w:rPr>
        <w:t> </w:t>
      </w:r>
      <w:r>
        <w:rPr>
          <w:spacing w:val="-67"/>
        </w:rPr>
      </w:r>
      <w:r>
        <w:rPr/>
        <w:t>型的一流企业。</w:t>
      </w:r>
      <w:r>
        <w:rPr>
          <w:rFonts w:ascii="Times New Roman" w:hAnsi="Times New Roman" w:cs="Times New Roman" w:eastAsia="Times New Roman" w:hint="default"/>
        </w:rPr>
        <w:t>2015</w:t>
      </w:r>
      <w:r>
        <w:rPr/>
        <w:t>年，公司的主要工作如下：</w:t>
      </w:r>
    </w:p>
    <w:p>
      <w:pPr>
        <w:pStyle w:val="BodyText"/>
        <w:spacing w:line="300" w:lineRule="auto" w:before="7"/>
        <w:ind w:right="152" w:firstLine="360"/>
        <w:jc w:val="both"/>
      </w:pPr>
      <w:r>
        <w:rPr>
          <w:rFonts w:ascii="Times New Roman" w:hAnsi="Times New Roman" w:cs="Times New Roman" w:eastAsia="Times New Roman" w:hint="default"/>
        </w:rPr>
        <w:t>1</w:t>
      </w:r>
      <w:r>
        <w:rPr/>
        <w:t>、在市场开拓方面：借欧美经济尤其是北美逐步复苏的契机，针对性拓展美国、德国、西班牙等发达国家市场，与重 点客户加强战略合作，强化客户关系管理，稳定现有客户、提高新客户份额，开拓新的利润增长点。</w:t>
      </w:r>
    </w:p>
    <w:p>
      <w:pPr>
        <w:pStyle w:val="BodyText"/>
        <w:spacing w:line="300" w:lineRule="auto" w:before="31"/>
        <w:ind w:right="153" w:firstLine="360"/>
        <w:jc w:val="both"/>
      </w:pPr>
      <w:r>
        <w:rPr>
          <w:rFonts w:ascii="Times New Roman" w:hAnsi="Times New Roman" w:cs="Times New Roman" w:eastAsia="Times New Roman" w:hint="default"/>
        </w:rPr>
        <w:t>2</w:t>
      </w:r>
      <w:r>
        <w:rPr/>
        <w:t>、在产品研发方面：依托丰富的技术积累和实践经验，公司在智能可穿戴设备、智能家居等智能产品业务方面取得一 定成果，并又开发出空气智能检测、</w:t>
      </w:r>
      <w:r>
        <w:rPr>
          <w:rFonts w:ascii="Times New Roman" w:hAnsi="Times New Roman" w:cs="Times New Roman" w:eastAsia="Times New Roman" w:hint="default"/>
        </w:rPr>
        <w:t>WIFI</w:t>
      </w:r>
      <w:r>
        <w:rPr/>
        <w:t>放大器、</w:t>
      </w:r>
      <w:r>
        <w:rPr>
          <w:rFonts w:ascii="Times New Roman" w:hAnsi="Times New Roman" w:cs="Times New Roman" w:eastAsia="Times New Roman" w:hint="default"/>
        </w:rPr>
        <w:t>IPC</w:t>
      </w:r>
      <w:r>
        <w:rPr/>
        <w:t>、</w:t>
      </w:r>
      <w:r>
        <w:rPr>
          <w:rFonts w:ascii="Times New Roman" w:hAnsi="Times New Roman" w:cs="Times New Roman" w:eastAsia="Times New Roman" w:hint="default"/>
        </w:rPr>
        <w:t>RFID</w:t>
      </w:r>
      <w:r>
        <w:rPr/>
        <w:t>等新产品。</w:t>
      </w:r>
    </w:p>
    <w:p>
      <w:pPr>
        <w:pStyle w:val="BodyText"/>
        <w:spacing w:line="300" w:lineRule="auto" w:before="13"/>
        <w:ind w:right="153" w:firstLine="360"/>
        <w:jc w:val="both"/>
      </w:pPr>
      <w:r>
        <w:rPr>
          <w:rFonts w:ascii="Times New Roman" w:hAnsi="Times New Roman" w:cs="Times New Roman" w:eastAsia="Times New Roman" w:hint="default"/>
        </w:rPr>
        <w:t>3</w:t>
      </w:r>
      <w:r>
        <w:rPr/>
        <w:t>、在自动化技术方面：持续推进自动化设备研发与应用，推行精益化生产，不断提升生产效率，对测试、组装、包装 等生产环节实施了智能化改造，得到客户的高度认可。</w:t>
      </w:r>
    </w:p>
    <w:p>
      <w:pPr>
        <w:pStyle w:val="BodyText"/>
        <w:spacing w:line="309" w:lineRule="auto" w:before="31"/>
        <w:ind w:right="153" w:firstLine="360"/>
        <w:jc w:val="both"/>
      </w:pPr>
      <w:r>
        <w:rPr>
          <w:rFonts w:ascii="Times New Roman" w:hAnsi="Times New Roman" w:cs="Times New Roman" w:eastAsia="Times New Roman" w:hint="default"/>
        </w:rPr>
        <w:t>4</w:t>
      </w:r>
      <w:r>
        <w:rPr/>
        <w:t>、在企业管理方面：持续加强生产体系标准化，采取工艺技术改进、品质稽核等多举措提升品质；成立精益生产项目 </w:t>
      </w:r>
      <w:r>
        <w:rPr>
          <w:spacing w:val="-2"/>
        </w:rPr>
        <w:t>小组，推动精益生产与改善革新工作；提高精益管理能力，完善配套激励体系，充分调动与激发员工积极性，持续促进公司</w:t>
      </w:r>
      <w:r>
        <w:rPr>
          <w:spacing w:val="-67"/>
        </w:rPr>
        <w:t> </w:t>
      </w:r>
      <w:r>
        <w:rPr>
          <w:spacing w:val="-67"/>
        </w:rPr>
      </w:r>
      <w:r>
        <w:rPr/>
        <w:t>管理水平提升。</w:t>
      </w:r>
    </w:p>
    <w:p>
      <w:pPr>
        <w:pStyle w:val="BodyText"/>
        <w:spacing w:line="309" w:lineRule="auto" w:before="24"/>
        <w:ind w:right="155" w:firstLine="360"/>
        <w:jc w:val="both"/>
      </w:pPr>
      <w:r>
        <w:rPr>
          <w:rFonts w:ascii="Times New Roman" w:hAnsi="Times New Roman" w:cs="Times New Roman" w:eastAsia="Times New Roman" w:hint="default"/>
        </w:rPr>
        <w:t>5</w:t>
      </w:r>
      <w:r>
        <w:rPr/>
        <w:t>、在创新方面：设立了基金公司，搭建起富有创造力的创新平台，将</w:t>
      </w:r>
      <w:r>
        <w:rPr>
          <w:rFonts w:ascii="Times New Roman" w:hAnsi="Times New Roman" w:cs="Times New Roman" w:eastAsia="Times New Roman" w:hint="default"/>
        </w:rPr>
        <w:t>“</w:t>
      </w:r>
      <w:r>
        <w:rPr/>
        <w:t>创新</w:t>
      </w:r>
      <w:r>
        <w:rPr>
          <w:rFonts w:ascii="Times New Roman" w:hAnsi="Times New Roman" w:cs="Times New Roman" w:eastAsia="Times New Roman" w:hint="default"/>
        </w:rPr>
        <w:t>”</w:t>
      </w:r>
      <w:r>
        <w:rPr/>
        <w:t>与</w:t>
      </w:r>
      <w:r>
        <w:rPr>
          <w:rFonts w:ascii="Times New Roman" w:hAnsi="Times New Roman" w:cs="Times New Roman" w:eastAsia="Times New Roman" w:hint="default"/>
        </w:rPr>
        <w:t>“</w:t>
      </w:r>
      <w:r>
        <w:rPr/>
        <w:t>制造</w:t>
      </w:r>
      <w:r>
        <w:rPr>
          <w:rFonts w:ascii="Times New Roman" w:hAnsi="Times New Roman" w:cs="Times New Roman" w:eastAsia="Times New Roman" w:hint="default"/>
        </w:rPr>
        <w:t>”</w:t>
      </w:r>
      <w:r>
        <w:rPr/>
        <w:t>加以有效衔接，为提高公司的整 </w:t>
      </w:r>
      <w:r>
        <w:rPr>
          <w:spacing w:val="-2"/>
        </w:rPr>
        <w:t>体盈利能力打下基础，并且已在智能健康管理硬件、轻型智能医疗硬件（对应中国一类或二类医疗设备）、可穿戴硬件、智</w:t>
      </w:r>
      <w:r>
        <w:rPr>
          <w:spacing w:val="-70"/>
        </w:rPr>
        <w:t> </w:t>
      </w:r>
      <w:r>
        <w:rPr>
          <w:spacing w:val="-70"/>
        </w:rPr>
      </w:r>
      <w:r>
        <w:rPr/>
        <w:t>能机器人等领域展开项目合作。</w:t>
      </w:r>
    </w:p>
    <w:p>
      <w:pPr>
        <w:pStyle w:val="BodyText"/>
        <w:spacing w:line="300" w:lineRule="auto" w:before="24"/>
        <w:ind w:right="151" w:firstLine="360"/>
        <w:jc w:val="both"/>
      </w:pPr>
      <w:r>
        <w:rPr>
          <w:rFonts w:ascii="Times New Roman" w:hAnsi="Times New Roman" w:cs="Times New Roman" w:eastAsia="Times New Roman" w:hint="default"/>
        </w:rPr>
        <w:t>6</w:t>
      </w:r>
      <w:r>
        <w:rPr/>
        <w:t>、在资本运作方面：先后投资参股了朝歌科技、格兰莫尔等公司；启动了</w:t>
      </w:r>
      <w:r>
        <w:rPr>
          <w:rFonts w:ascii="Times New Roman" w:hAnsi="Times New Roman" w:cs="Times New Roman" w:eastAsia="Times New Roman" w:hint="default"/>
        </w:rPr>
        <w:t>2015</w:t>
      </w:r>
      <w:r>
        <w:rPr/>
        <w:t>年度非公开发行项目，计划募集资金不 超过</w:t>
      </w:r>
      <w:r>
        <w:rPr>
          <w:rFonts w:ascii="Times New Roman" w:hAnsi="Times New Roman" w:cs="Times New Roman" w:eastAsia="Times New Roman" w:hint="default"/>
        </w:rPr>
        <w:t>8</w:t>
      </w:r>
      <w:r>
        <w:rPr/>
        <w:t>亿元人民币，用于智能制造项目、创新支持项目，以及补充公司流动资金。</w:t>
      </w:r>
    </w:p>
    <w:p>
      <w:pPr>
        <w:spacing w:line="240" w:lineRule="auto" w:before="5"/>
        <w:rPr>
          <w:rFonts w:ascii="宋体" w:hAnsi="宋体" w:cs="宋体" w:eastAsia="宋体" w:hint="default"/>
          <w:sz w:val="20"/>
          <w:szCs w:val="20"/>
        </w:rPr>
      </w:pPr>
    </w:p>
    <w:p>
      <w:pPr>
        <w:pStyle w:val="Heading2"/>
        <w:spacing w:line="240" w:lineRule="auto"/>
        <w:ind w:right="153"/>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50" w:firstLine="360"/>
        <w:jc w:val="both"/>
      </w:pPr>
      <w:r>
        <w:rPr/>
        <w:t>（</w:t>
      </w:r>
      <w:r>
        <w:rPr>
          <w:rFonts w:ascii="Times New Roman" w:hAnsi="Times New Roman" w:cs="Times New Roman" w:eastAsia="Times New Roman" w:hint="default"/>
        </w:rPr>
        <w:t>1</w:t>
      </w:r>
      <w:r>
        <w:rPr/>
        <w:t>）报告期内，公司实现营业收入</w:t>
      </w:r>
      <w:r>
        <w:rPr>
          <w:rFonts w:ascii="Times New Roman" w:hAnsi="Times New Roman" w:cs="Times New Roman" w:eastAsia="Times New Roman" w:hint="default"/>
        </w:rPr>
        <w:t>377,946.51</w:t>
      </w:r>
      <w:r>
        <w:rPr/>
        <w:t>万元，比上年同期增长</w:t>
      </w:r>
      <w:r>
        <w:rPr>
          <w:rFonts w:ascii="Times New Roman" w:hAnsi="Times New Roman" w:cs="Times New Roman" w:eastAsia="Times New Roman" w:hint="default"/>
        </w:rPr>
        <w:t>5.37%</w:t>
      </w:r>
      <w:r>
        <w:rPr/>
        <w:t>，营业成本为</w:t>
      </w:r>
      <w:r>
        <w:rPr>
          <w:rFonts w:ascii="Times New Roman" w:hAnsi="Times New Roman" w:cs="Times New Roman" w:eastAsia="Times New Roman" w:hint="default"/>
        </w:rPr>
        <w:t>357,037.22</w:t>
      </w:r>
      <w:r>
        <w:rPr/>
        <w:t>万元，比上年同期 </w:t>
      </w:r>
      <w:r>
        <w:rPr>
          <w:spacing w:val="-2"/>
        </w:rPr>
        <w:t>增长</w:t>
      </w:r>
      <w:r>
        <w:rPr>
          <w:rFonts w:ascii="Times New Roman" w:hAnsi="Times New Roman" w:cs="Times New Roman" w:eastAsia="Times New Roman" w:hint="default"/>
          <w:spacing w:val="-2"/>
        </w:rPr>
        <w:t>7.84%</w:t>
      </w:r>
      <w:r>
        <w:rPr>
          <w:spacing w:val="-2"/>
        </w:rPr>
        <w:t>，实现归属于上市公司股东的净利润为</w:t>
      </w:r>
      <w:r>
        <w:rPr>
          <w:rFonts w:ascii="Times New Roman" w:hAnsi="Times New Roman" w:cs="Times New Roman" w:eastAsia="Times New Roman" w:hint="default"/>
          <w:spacing w:val="-2"/>
        </w:rPr>
        <w:t>-5,422.97</w:t>
      </w:r>
      <w:r>
        <w:rPr>
          <w:spacing w:val="-2"/>
        </w:rPr>
        <w:t>万元，比去年同期下降</w:t>
      </w:r>
      <w:r>
        <w:rPr>
          <w:rFonts w:ascii="Times New Roman" w:hAnsi="Times New Roman" w:cs="Times New Roman" w:eastAsia="Times New Roman" w:hint="default"/>
          <w:spacing w:val="-2"/>
        </w:rPr>
        <w:t>222.35%</w:t>
      </w:r>
      <w:r>
        <w:rPr>
          <w:spacing w:val="-2"/>
        </w:rPr>
        <w:t>。报告期内公司的主营业务略有增</w:t>
      </w:r>
      <w:r>
        <w:rPr>
          <w:spacing w:val="-50"/>
        </w:rPr>
        <w:t> </w:t>
      </w:r>
      <w:r>
        <w:rPr>
          <w:spacing w:val="-50"/>
        </w:rPr>
      </w:r>
      <w:r>
        <w:rPr/>
        <w:t>长，但受消费电子类业务竞争加剧、人工工资普遍上涨、汇率大幅波动等影响，净利润较上年有较大幅度的下滑。</w:t>
      </w:r>
    </w:p>
    <w:p>
      <w:pPr>
        <w:pStyle w:val="BodyText"/>
        <w:spacing w:line="300" w:lineRule="auto" w:before="31"/>
        <w:ind w:right="148" w:firstLine="360"/>
        <w:jc w:val="both"/>
      </w:pPr>
      <w:r>
        <w:rPr>
          <w:spacing w:val="-1"/>
        </w:rPr>
        <w:t>（</w:t>
      </w:r>
      <w:r>
        <w:rPr>
          <w:rFonts w:ascii="Times New Roman" w:hAnsi="Times New Roman" w:cs="Times New Roman" w:eastAsia="Times New Roman" w:hint="default"/>
          <w:spacing w:val="-1"/>
        </w:rPr>
        <w:t>2</w:t>
      </w:r>
      <w:r>
        <w:rPr>
          <w:spacing w:val="-1"/>
        </w:rPr>
        <w:t>）报告期内，公司的研发投入为</w:t>
      </w:r>
      <w:r>
        <w:rPr>
          <w:rFonts w:ascii="Times New Roman" w:hAnsi="Times New Roman" w:cs="Times New Roman" w:eastAsia="Times New Roman" w:hint="default"/>
          <w:spacing w:val="-1"/>
        </w:rPr>
        <w:t>7,758.31</w:t>
      </w:r>
      <w:r>
        <w:rPr>
          <w:spacing w:val="-1"/>
        </w:rPr>
        <w:t>万元，占公司营业务收入的</w:t>
      </w:r>
      <w:r>
        <w:rPr>
          <w:rFonts w:ascii="Times New Roman" w:hAnsi="Times New Roman" w:cs="Times New Roman" w:eastAsia="Times New Roman" w:hint="default"/>
          <w:spacing w:val="-1"/>
        </w:rPr>
        <w:t>2.05%</w:t>
      </w:r>
      <w:r>
        <w:rPr>
          <w:spacing w:val="-1"/>
        </w:rPr>
        <w:t>，比上年同期增长</w:t>
      </w:r>
      <w:r>
        <w:rPr>
          <w:rFonts w:ascii="Times New Roman" w:hAnsi="Times New Roman" w:cs="Times New Roman" w:eastAsia="Times New Roman" w:hint="default"/>
          <w:spacing w:val="-1"/>
        </w:rPr>
        <w:t>32.48%</w:t>
      </w:r>
      <w:r>
        <w:rPr>
          <w:spacing w:val="-1"/>
        </w:rPr>
        <w:t>，因公司加大研</w:t>
      </w:r>
      <w:r>
        <w:rPr/>
        <w:t> 发投入所致。</w:t>
      </w:r>
    </w:p>
    <w:p>
      <w:pPr>
        <w:pStyle w:val="BodyText"/>
        <w:spacing w:line="300" w:lineRule="auto" w:before="31"/>
        <w:ind w:right="151" w:firstLine="360"/>
        <w:jc w:val="both"/>
      </w:pPr>
      <w:r>
        <w:rPr>
          <w:spacing w:val="-1"/>
        </w:rPr>
        <w:t>（</w:t>
      </w:r>
      <w:r>
        <w:rPr>
          <w:rFonts w:ascii="Times New Roman" w:hAnsi="Times New Roman" w:cs="Times New Roman" w:eastAsia="Times New Roman" w:hint="default"/>
          <w:spacing w:val="-1"/>
        </w:rPr>
        <w:t>3</w:t>
      </w:r>
      <w:r>
        <w:rPr>
          <w:spacing w:val="-1"/>
        </w:rPr>
        <w:t>）报告期内，公司经营活动产生的现金流量净额比去年同期增长</w:t>
      </w:r>
      <w:r>
        <w:rPr>
          <w:rFonts w:ascii="Times New Roman" w:hAnsi="Times New Roman" w:cs="Times New Roman" w:eastAsia="Times New Roman" w:hint="default"/>
          <w:spacing w:val="-1"/>
        </w:rPr>
        <w:t>7090.25%</w:t>
      </w:r>
      <w:r>
        <w:rPr>
          <w:spacing w:val="-1"/>
        </w:rPr>
        <w:t>，主要因为出口税费返还增加，以及收到</w:t>
      </w:r>
      <w:r>
        <w:rPr/>
        <w:t> 的销售回款增加。</w:t>
      </w:r>
    </w:p>
    <w:p>
      <w:pPr>
        <w:pStyle w:val="BodyText"/>
        <w:spacing w:line="240" w:lineRule="auto" w:before="31"/>
        <w:ind w:left="513" w:right="0"/>
        <w:jc w:val="left"/>
      </w:pPr>
      <w:r>
        <w:rPr/>
        <w:t>（</w:t>
      </w:r>
      <w:r>
        <w:rPr>
          <w:rFonts w:ascii="Times New Roman" w:hAnsi="Times New Roman" w:cs="Times New Roman" w:eastAsia="Times New Roman" w:hint="default"/>
        </w:rPr>
        <w:t>4</w:t>
      </w:r>
      <w:r>
        <w:rPr/>
        <w:t>）报告期内，公司产品的毛利率为</w:t>
      </w:r>
      <w:r>
        <w:rPr>
          <w:rFonts w:ascii="Times New Roman" w:hAnsi="Times New Roman" w:cs="Times New Roman" w:eastAsia="Times New Roman" w:hint="default"/>
        </w:rPr>
        <w:t>5.53%</w:t>
      </w:r>
      <w:r>
        <w:rPr/>
        <w:t>，比上年同期下降</w:t>
      </w:r>
      <w:r>
        <w:rPr>
          <w:rFonts w:ascii="Times New Roman" w:hAnsi="Times New Roman" w:cs="Times New Roman" w:eastAsia="Times New Roman" w:hint="default"/>
        </w:rPr>
        <w:t>2.26%</w:t>
      </w:r>
      <w:r>
        <w:rPr/>
        <w:t>，主要由材料成本增加，以及市场竞争加剧导致。</w:t>
      </w:r>
    </w:p>
    <w:p>
      <w:pPr>
        <w:pStyle w:val="BodyText"/>
        <w:spacing w:line="240" w:lineRule="auto" w:before="63"/>
        <w:ind w:left="513" w:right="153"/>
        <w:jc w:val="left"/>
      </w:pPr>
      <w:r>
        <w:rPr/>
        <w:t>（</w:t>
      </w:r>
      <w:r>
        <w:rPr>
          <w:rFonts w:ascii="Times New Roman" w:hAnsi="Times New Roman" w:cs="Times New Roman" w:eastAsia="Times New Roman" w:hint="default"/>
        </w:rPr>
        <w:t>5</w:t>
      </w:r>
      <w:r>
        <w:rPr/>
        <w:t>）公司根据产品订单进行生产，不存在产品积压情况。</w:t>
      </w:r>
    </w:p>
    <w:p>
      <w:pPr>
        <w:pStyle w:val="BodyText"/>
        <w:spacing w:line="240" w:lineRule="auto" w:before="62"/>
        <w:ind w:left="513" w:right="0"/>
        <w:jc w:val="left"/>
      </w:pPr>
      <w:r>
        <w:rPr/>
        <w:t>（</w:t>
      </w:r>
      <w:r>
        <w:rPr>
          <w:rFonts w:ascii="Times New Roman" w:hAnsi="Times New Roman" w:cs="Times New Roman" w:eastAsia="Times New Roman" w:hint="default"/>
        </w:rPr>
        <w:t>6</w:t>
      </w:r>
      <w:r>
        <w:rPr/>
        <w:t>）报告期内，公司与前五名供应商、客户不存在关联关系，公司董事、监事、高级管理人员、核心技术人员、持股</w:t>
      </w:r>
    </w:p>
    <w:p>
      <w:pPr>
        <w:pStyle w:val="BodyText"/>
        <w:spacing w:line="240" w:lineRule="auto" w:before="63"/>
        <w:ind w:right="153"/>
        <w:jc w:val="left"/>
      </w:pPr>
      <w:r>
        <w:rPr>
          <w:rFonts w:ascii="Times New Roman" w:hAnsi="Times New Roman" w:cs="Times New Roman" w:eastAsia="Times New Roman" w:hint="default"/>
        </w:rPr>
        <w:t>5%</w:t>
      </w:r>
      <w:r>
        <w:rPr/>
        <w:t>以上股东、实际控制人和其他关联方在主要客户、供应商中不直接或者间接拥有权益等。</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513" w:right="153"/>
        <w:jc w:val="left"/>
      </w:pPr>
      <w:r>
        <w:rPr/>
        <w:t>（</w:t>
      </w:r>
      <w:r>
        <w:rPr>
          <w:rFonts w:ascii="Times New Roman" w:hAnsi="Times New Roman" w:cs="Times New Roman" w:eastAsia="Times New Roman" w:hint="default"/>
        </w:rPr>
        <w:t>7</w:t>
      </w:r>
      <w:r>
        <w:rPr/>
        <w:t>）报告期内，公司主要设备的盈利能力状况未发生变化。</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3,779,465,102.22</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3,586,877,473.77</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通讯及设备制造行 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3,779,465,102.22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3,586,877,473.77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5.37%</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网络通讯终端类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2,615,599,704.80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69.21%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1,877,476,574.11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52.34%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39.31%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便携式消费电子类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825,475,414.31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21.84%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1,534,179,056.36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42.77%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-46.19%</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338,389,983.11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175,221,843.30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93.12%</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2,680,290,173.66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70.92%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2,372,635,850.04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66.15%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12.97%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1,099,174,928.56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28.08%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1,214,241,623.73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33.85%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1"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314" w:lineRule="auto"/>
              <w:ind w:left="24" w:right="120"/>
              <w:jc w:val="left"/>
              <w:rPr>
                <w:rFonts w:ascii="宋体" w:hAnsi="宋体" w:cs="宋体" w:eastAsia="宋体" w:hint="default"/>
                <w:sz w:val="18"/>
                <w:szCs w:val="18"/>
              </w:rPr>
            </w:pPr>
            <w:r>
              <w:rPr>
                <w:rFonts w:ascii="宋体" w:hAnsi="宋体" w:cs="宋体" w:eastAsia="宋体" w:hint="default"/>
                <w:sz w:val="18"/>
                <w:szCs w:val="18"/>
              </w:rPr>
              <w:t>通讯及设备制造行 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PCS</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64,883,305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50,173,397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29.32%</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PCS</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63,501,782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48,873,991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29.93%</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PCS</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263,413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11.54%</w:t>
            </w:r>
          </w:p>
        </w:tc>
      </w:tr>
    </w:tbl>
    <w:p>
      <w:pPr>
        <w:pStyle w:val="BodyText"/>
        <w:spacing w:line="240" w:lineRule="auto" w:before="49"/>
        <w:ind w:right="15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2"/>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513"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日，公司全资子公司天津卓达与江苏紫米电子技术有限公司签订了《委托生产加工框架协议》，天津卓达为</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93"/>
        <w:jc w:val="left"/>
      </w:pPr>
      <w:r>
        <w:rPr/>
        <w:t>江苏紫米电子技术有限公司生产移动电源等电子产品。现该合同正在执行中，截至报告期末已确认收入</w:t>
      </w:r>
      <w:r>
        <w:rPr>
          <w:rFonts w:ascii="Times New Roman" w:hAnsi="Times New Roman" w:cs="Times New Roman" w:eastAsia="Times New Roman" w:hint="default"/>
        </w:rPr>
        <w:t>38,059.09</w:t>
      </w:r>
      <w:r>
        <w:rPr/>
        <w:t>万元。</w:t>
      </w:r>
    </w:p>
    <w:p>
      <w:pPr>
        <w:spacing w:line="240" w:lineRule="auto" w:before="2"/>
        <w:rPr>
          <w:rFonts w:ascii="宋体" w:hAnsi="宋体" w:cs="宋体" w:eastAsia="宋体" w:hint="default"/>
          <w:sz w:val="26"/>
          <w:szCs w:val="26"/>
        </w:rPr>
      </w:pPr>
    </w:p>
    <w:p>
      <w:pPr>
        <w:pStyle w:val="Heading3"/>
        <w:spacing w:line="240" w:lineRule="auto"/>
        <w:ind w:right="9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3"/>
        <w:jc w:val="left"/>
      </w:pPr>
      <w:r>
        <w:rPr/>
        <w:t>行业和产品分类</w:t>
      </w:r>
    </w:p>
    <w:p>
      <w:pPr>
        <w:pStyle w:val="BodyText"/>
        <w:spacing w:line="240" w:lineRule="auto" w:before="115"/>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通讯及设备制造 行业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3,570,372,207.81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3,310,746,909.26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网络通讯终端类</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2,489,958,982.96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1,760,892,811.42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41.40%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便携式消费电子 类</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785,698,607.42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1,384,191,991.02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-43.24%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294,714,617.43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165,662,106.82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77.90%</w:t>
            </w:r>
          </w:p>
        </w:tc>
      </w:tr>
    </w:tbl>
    <w:p>
      <w:pPr>
        <w:pStyle w:val="BodyText"/>
        <w:spacing w:line="357" w:lineRule="auto" w:before="49"/>
        <w:ind w:right="9454"/>
        <w:jc w:val="left"/>
      </w:pPr>
      <w:r>
        <w:rPr/>
        <w:t>说明 无</w:t>
      </w:r>
    </w:p>
    <w:p>
      <w:pPr>
        <w:spacing w:line="240" w:lineRule="auto" w:before="6"/>
        <w:rPr>
          <w:rFonts w:ascii="宋体" w:hAnsi="宋体" w:cs="宋体" w:eastAsia="宋体" w:hint="default"/>
          <w:sz w:val="20"/>
          <w:szCs w:val="20"/>
        </w:rPr>
      </w:pPr>
    </w:p>
    <w:p>
      <w:pPr>
        <w:pStyle w:val="Heading3"/>
        <w:spacing w:line="240" w:lineRule="auto"/>
        <w:ind w:right="9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00" w:lineRule="auto" w:before="103"/>
        <w:ind w:right="191"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10</w:t>
      </w:r>
      <w:r>
        <w:rPr>
          <w:spacing w:val="-2"/>
        </w:rPr>
        <w:t>日，公司召开第三届董事会第十四次会议，审议通过了《关于设立投资公司的议案》，同意公司设立全</w:t>
      </w:r>
      <w:r>
        <w:rPr/>
        <w:t> 资子公司深圳市翼飞投资有限公司，注册资本</w:t>
      </w:r>
      <w:r>
        <w:rPr>
          <w:rFonts w:ascii="Times New Roman" w:hAnsi="Times New Roman" w:cs="Times New Roman" w:eastAsia="Times New Roman" w:hint="default"/>
        </w:rPr>
        <w:t>1</w:t>
      </w:r>
      <w:r>
        <w:rPr/>
        <w:t>亿元，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日，翼飞投资完成工商登记并取得营业执照，自</w:t>
      </w:r>
      <w:r>
        <w:rPr>
          <w:rFonts w:ascii="Times New Roman" w:hAnsi="Times New Roman" w:cs="Times New Roman" w:eastAsia="Times New Roman" w:hint="default"/>
        </w:rPr>
        <w:t>2015</w:t>
      </w:r>
      <w:r>
        <w:rPr/>
        <w:t>年</w:t>
      </w:r>
      <w:r>
        <w:rPr>
          <w:spacing w:val="-87"/>
        </w:rPr>
        <w:t> </w:t>
      </w:r>
      <w:r>
        <w:rPr>
          <w:rFonts w:ascii="Times New Roman" w:hAnsi="Times New Roman" w:cs="Times New Roman" w:eastAsia="Times New Roman" w:hint="default"/>
        </w:rPr>
        <w:t>10</w:t>
      </w:r>
      <w:r>
        <w:rPr/>
        <w:t>月起该公司纳入合并范围。</w:t>
      </w:r>
    </w:p>
    <w:p>
      <w:pPr>
        <w:pStyle w:val="BodyText"/>
        <w:spacing w:line="300" w:lineRule="auto" w:before="13"/>
        <w:ind w:right="93" w:firstLine="360"/>
        <w:jc w:val="left"/>
      </w:pPr>
      <w:r>
        <w:rPr>
          <w:rFonts w:ascii="Times New Roman" w:hAnsi="Times New Roman" w:cs="Times New Roman" w:eastAsia="Times New Roman" w:hint="default"/>
        </w:rPr>
        <w:t>2</w:t>
      </w:r>
      <w:r>
        <w:rPr/>
        <w:t>、根据公司战略规划的需要，为开拓投资渠道，创新业务模式，探索智能硬件、可穿戴设备及其他新兴产业的发展机 </w:t>
      </w:r>
      <w:r>
        <w:rPr>
          <w:spacing w:val="-5"/>
          <w:w w:val="99"/>
        </w:rPr>
        <w:t>会，推动公司外延式发展战略的顺利实施，公司全资子公司卓翼营销有限公司与</w:t>
      </w:r>
      <w:r>
        <w:rPr>
          <w:rFonts w:ascii="Times New Roman" w:hAnsi="Times New Roman" w:cs="Times New Roman" w:eastAsia="Times New Roman" w:hint="default"/>
          <w:spacing w:val="-5"/>
          <w:w w:val="99"/>
        </w:rPr>
        <w:t>ACME</w:t>
      </w:r>
      <w:r>
        <w:rPr>
          <w:rFonts w:ascii="Times New Roman" w:hAnsi="Times New Roman" w:cs="Times New Roman" w:eastAsia="Times New Roman" w:hint="default"/>
          <w:spacing w:val="-6"/>
          <w:w w:val="99"/>
        </w:rPr>
        <w:t> </w:t>
      </w:r>
      <w:r>
        <w:rPr>
          <w:rFonts w:ascii="Times New Roman" w:hAnsi="Times New Roman" w:cs="Times New Roman" w:eastAsia="Times New Roman" w:hint="default"/>
          <w:w w:val="99"/>
        </w:rPr>
        <w:t>Partners</w:t>
      </w:r>
      <w:r>
        <w:rPr>
          <w:rFonts w:ascii="Times New Roman" w:hAnsi="Times New Roman" w:cs="Times New Roman" w:eastAsia="Times New Roman" w:hint="default"/>
          <w:spacing w:val="-7"/>
          <w:w w:val="99"/>
        </w:rPr>
        <w:t> </w:t>
      </w:r>
      <w:r>
        <w:rPr>
          <w:rFonts w:ascii="Times New Roman" w:hAnsi="Times New Roman" w:cs="Times New Roman" w:eastAsia="Times New Roman" w:hint="default"/>
          <w:spacing w:val="-1"/>
          <w:w w:val="99"/>
        </w:rPr>
        <w:t>Investment</w:t>
      </w:r>
      <w:r>
        <w:rPr>
          <w:rFonts w:ascii="Times New Roman" w:hAnsi="Times New Roman" w:cs="Times New Roman" w:eastAsia="Times New Roman" w:hint="default"/>
          <w:spacing w:val="-6"/>
          <w:w w:val="99"/>
        </w:rPr>
        <w:t> </w:t>
      </w:r>
      <w:r>
        <w:rPr>
          <w:rFonts w:ascii="Times New Roman" w:hAnsi="Times New Roman" w:cs="Times New Roman" w:eastAsia="Times New Roman" w:hint="default"/>
        </w:rPr>
        <w:t>Ltd.</w:t>
      </w:r>
      <w:r>
        <w:rPr/>
        <w:t>和</w:t>
      </w:r>
      <w:r>
        <w:rPr>
          <w:rFonts w:ascii="Times New Roman" w:hAnsi="Times New Roman" w:cs="Times New Roman" w:eastAsia="Times New Roman" w:hint="default"/>
        </w:rPr>
        <w:t>Wanquan</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1"/>
        </w:rPr>
        <w:t>Ltd.</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在开曼群岛设立</w:t>
      </w:r>
      <w:r>
        <w:rPr>
          <w:rFonts w:ascii="Times New Roman" w:hAnsi="Times New Roman" w:cs="Times New Roman" w:eastAsia="Times New Roman" w:hint="default"/>
        </w:rPr>
        <w:t>Itasca</w:t>
      </w:r>
      <w:r>
        <w:rPr>
          <w:rFonts w:ascii="Times New Roman" w:hAnsi="Times New Roman" w:cs="Times New Roman" w:eastAsia="Times New Roman" w:hint="default"/>
          <w:spacing w:val="-19"/>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5"/>
        </w:rPr>
        <w:t>Ltd</w:t>
      </w:r>
      <w:r>
        <w:rPr>
          <w:spacing w:val="-5"/>
        </w:rPr>
        <w:t>，</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9</w:t>
      </w:r>
      <w:r>
        <w:rPr>
          <w:spacing w:val="-5"/>
        </w:rPr>
        <w:t>日，</w:t>
      </w:r>
      <w:r>
        <w:rPr>
          <w:rFonts w:ascii="Times New Roman" w:hAnsi="Times New Roman" w:cs="Times New Roman" w:eastAsia="Times New Roman" w:hint="default"/>
          <w:spacing w:val="-5"/>
        </w:rPr>
        <w:t>Itasca</w:t>
      </w:r>
      <w:r>
        <w:rPr>
          <w:rFonts w:ascii="Times New Roman" w:hAnsi="Times New Roman" w:cs="Times New Roman" w:eastAsia="Times New Roman" w:hint="default"/>
          <w:spacing w:val="-19"/>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20"/>
        </w:rPr>
        <w:t> </w:t>
      </w:r>
      <w:r>
        <w:rPr>
          <w:rFonts w:ascii="Times New Roman" w:hAnsi="Times New Roman" w:cs="Times New Roman" w:eastAsia="Times New Roman" w:hint="default"/>
        </w:rPr>
        <w:t>Ltd</w:t>
      </w:r>
      <w:r>
        <w:rPr/>
        <w:t>已完成注册登记手续，取得开曼群岛下发的注册证明书， 同时，</w:t>
      </w:r>
      <w:r>
        <w:rPr>
          <w:rFonts w:ascii="Times New Roman" w:hAnsi="Times New Roman" w:cs="Times New Roman" w:eastAsia="Times New Roman" w:hint="default"/>
        </w:rPr>
        <w:t>Itasca Holding Ltd</w:t>
      </w:r>
      <w:r>
        <w:rPr/>
        <w:t>在美国设立了全资子公司</w:t>
      </w:r>
      <w:r>
        <w:rPr>
          <w:rFonts w:ascii="Times New Roman" w:hAnsi="Times New Roman" w:cs="Times New Roman" w:eastAsia="Times New Roman" w:hint="default"/>
        </w:rPr>
        <w:t>Haxis Labs Incorporated</w:t>
      </w:r>
      <w:r>
        <w:rPr/>
        <w:t>，其注册登记手续于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日完成。</w:t>
      </w:r>
      <w:r>
        <w:rPr>
          <w:rFonts w:ascii="Times New Roman" w:hAnsi="Times New Roman" w:cs="Times New Roman" w:eastAsia="Times New Roman" w:hint="default"/>
        </w:rPr>
        <w:t>Itasca</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rFonts w:ascii="Times New Roman" w:hAnsi="Times New Roman" w:cs="Times New Roman" w:eastAsia="Times New Roman" w:hint="default"/>
        </w:rPr>
        <w:t>Holding Ltd</w:t>
      </w:r>
      <w:r>
        <w:rPr/>
        <w:t>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月起纳入合并范围，</w:t>
      </w:r>
      <w:r>
        <w:rPr>
          <w:rFonts w:ascii="Times New Roman" w:hAnsi="Times New Roman" w:cs="Times New Roman" w:eastAsia="Times New Roman" w:hint="default"/>
        </w:rPr>
        <w:t>Haxis Labs</w:t>
      </w:r>
      <w:r>
        <w:rPr>
          <w:rFonts w:ascii="Times New Roman" w:hAnsi="Times New Roman" w:cs="Times New Roman" w:eastAsia="Times New Roman" w:hint="default"/>
          <w:spacing w:val="-14"/>
        </w:rPr>
        <w:t> </w:t>
      </w:r>
      <w:r>
        <w:rPr>
          <w:rFonts w:ascii="Times New Roman" w:hAnsi="Times New Roman" w:cs="Times New Roman" w:eastAsia="Times New Roman" w:hint="default"/>
        </w:rPr>
        <w:t>Incorporated</w:t>
      </w:r>
      <w:r>
        <w:rPr/>
        <w:t>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月起纳入合并范围。</w:t>
      </w:r>
    </w:p>
    <w:p>
      <w:pPr>
        <w:pStyle w:val="BodyText"/>
        <w:spacing w:line="240" w:lineRule="auto" w:before="13"/>
        <w:ind w:left="513" w:right="93"/>
        <w:jc w:val="left"/>
      </w:pPr>
      <w:r>
        <w:rPr>
          <w:rFonts w:ascii="Times New Roman" w:hAnsi="Times New Roman" w:cs="Times New Roman" w:eastAsia="Times New Roman" w:hint="default"/>
        </w:rPr>
        <w:t>3</w:t>
      </w:r>
      <w:r>
        <w:rPr/>
        <w:t>、鉴于公司上海分公司无实际运营，本期根据公司决定将其注销，工商注销登记手续于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日办妥。</w:t>
      </w:r>
    </w:p>
    <w:p>
      <w:pPr>
        <w:spacing w:line="240" w:lineRule="auto" w:before="2"/>
        <w:rPr>
          <w:rFonts w:ascii="宋体" w:hAnsi="宋体" w:cs="宋体" w:eastAsia="宋体" w:hint="default"/>
          <w:sz w:val="26"/>
          <w:szCs w:val="26"/>
        </w:rPr>
      </w:pPr>
    </w:p>
    <w:p>
      <w:pPr>
        <w:pStyle w:val="Heading3"/>
        <w:spacing w:line="240" w:lineRule="auto"/>
        <w:ind w:right="9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2,348,461,015.46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62.13%</w:t>
            </w:r>
          </w:p>
        </w:tc>
      </w:tr>
    </w:tbl>
    <w:p>
      <w:pPr>
        <w:pStyle w:val="BodyText"/>
        <w:spacing w:line="240" w:lineRule="auto" w:before="49"/>
        <w:ind w:right="15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1,183,889,727.74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31.32%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421,858,588.01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352,537,360.28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9.33%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232,462,975.32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157,712,364.11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4.17%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2,348,461,015.46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62.13%</w:t>
            </w:r>
          </w:p>
        </w:tc>
      </w:tr>
    </w:tbl>
    <w:p>
      <w:pPr>
        <w:pStyle w:val="BodyText"/>
        <w:spacing w:line="240" w:lineRule="auto" w:before="49"/>
        <w:ind w:right="153"/>
        <w:jc w:val="left"/>
      </w:pPr>
      <w:r>
        <w:rPr/>
        <w:t>主要客户其他情况说明</w:t>
      </w:r>
    </w:p>
    <w:p>
      <w:pPr>
        <w:pStyle w:val="BodyText"/>
        <w:spacing w:line="340" w:lineRule="auto" w:before="115"/>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1,835,572,684.60</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52.80%</w:t>
            </w:r>
          </w:p>
        </w:tc>
      </w:tr>
    </w:tbl>
    <w:p>
      <w:pPr>
        <w:pStyle w:val="BodyText"/>
        <w:spacing w:line="240" w:lineRule="auto" w:before="49"/>
        <w:ind w:right="15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1,373,217,093.11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39.50%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194,321,781.84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108,603,744.38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80,869,914.22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78,560,151.05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1,835,572,684.60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52.80%</w:t>
            </w:r>
          </w:p>
        </w:tc>
      </w:tr>
    </w:tbl>
    <w:p>
      <w:pPr>
        <w:pStyle w:val="BodyText"/>
        <w:spacing w:line="240" w:lineRule="auto" w:before="49"/>
        <w:ind w:right="153"/>
        <w:jc w:val="left"/>
      </w:pPr>
      <w:r>
        <w:rPr/>
        <w:t>主要供应商其他情况说明</w:t>
      </w:r>
    </w:p>
    <w:p>
      <w:pPr>
        <w:pStyle w:val="BodyText"/>
        <w:spacing w:line="240" w:lineRule="auto" w:before="117"/>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59,509,125.09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56,696,543.95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158,617,396.91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115,517,668.83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37.31%</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both"/>
              <w:rPr>
                <w:rFonts w:ascii="宋体" w:hAnsi="宋体" w:cs="宋体" w:eastAsia="宋体" w:hint="default"/>
                <w:sz w:val="18"/>
                <w:szCs w:val="18"/>
              </w:rPr>
            </w:pPr>
            <w:r>
              <w:rPr>
                <w:rFonts w:ascii="宋体" w:hAnsi="宋体" w:cs="宋体" w:eastAsia="宋体" w:hint="default"/>
                <w:sz w:val="18"/>
                <w:szCs w:val="18"/>
              </w:rPr>
              <w:t>主要是本年度研发力度加大导致研 发费用增加及员工增加导致职工薪 酬增加所致。</w:t>
            </w:r>
          </w:p>
        </w:tc>
      </w:tr>
      <w:tr>
        <w:trPr>
          <w:trHeight w:val="394"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36,685,403.77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18,679,162.50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96.40%</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主要是本报告期内受美元升值影响 汇兑损益增加所致。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8,179,616.95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13,759,885.08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主要是按缴纳增值税免抵额计算缴</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362" w:hRule="exact"/>
        </w:trPr>
        <w:tc>
          <w:tcPr>
            <w:tcW w:w="1916"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纳的地方附加税金减少所致。</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25,652,502.32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17,655,930.79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主要是本报告期内计提</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Double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Power</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的商誉减值准备所致。</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-5,874,061.39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14,741,497.17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主要是本报告期利润总额亏损所致。</w:t>
            </w:r>
          </w:p>
        </w:tc>
      </w:tr>
    </w:tbl>
    <w:p>
      <w:pPr>
        <w:spacing w:line="240" w:lineRule="auto" w:before="3"/>
        <w:rPr>
          <w:rFonts w:ascii="宋体" w:hAnsi="宋体" w:cs="宋体" w:eastAsia="宋体" w:hint="default"/>
          <w:sz w:val="19"/>
          <w:szCs w:val="19"/>
        </w:rPr>
      </w:pPr>
    </w:p>
    <w:p>
      <w:pPr>
        <w:pStyle w:val="Heading3"/>
        <w:spacing w:line="240" w:lineRule="auto" w:before="36"/>
        <w:ind w:right="9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1"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IP41</w:t>
      </w:r>
      <w:r>
        <w:rPr/>
        <w:t>三防高性能教育移动终端的开发目标：开发一款具有防尘防水等级为</w:t>
      </w:r>
      <w:r>
        <w:rPr>
          <w:rFonts w:ascii="Times New Roman" w:hAnsi="Times New Roman" w:cs="Times New Roman" w:eastAsia="Times New Roman" w:hint="default"/>
        </w:rPr>
        <w:t>IP41</w:t>
      </w:r>
      <w:r>
        <w:rPr/>
        <w:t>的</w:t>
      </w:r>
      <w:r>
        <w:rPr>
          <w:rFonts w:ascii="Times New Roman" w:hAnsi="Times New Roman" w:cs="Times New Roman" w:eastAsia="Times New Roman" w:hint="default"/>
        </w:rPr>
        <w:t>ARM</w:t>
      </w:r>
      <w:r>
        <w:rPr/>
        <w:t>平台</w:t>
      </w:r>
      <w:r>
        <w:rPr>
          <w:rFonts w:ascii="Times New Roman" w:hAnsi="Times New Roman" w:cs="Times New Roman" w:eastAsia="Times New Roman" w:hint="default"/>
        </w:rPr>
        <w:t>+Android</w:t>
      </w:r>
      <w:r>
        <w:rPr>
          <w:rFonts w:ascii="Times New Roman" w:hAnsi="Times New Roman" w:cs="Times New Roman" w:eastAsia="Times New Roman" w:hint="default"/>
          <w:spacing w:val="44"/>
        </w:rPr>
        <w:t> </w:t>
      </w:r>
      <w:r>
        <w:rPr>
          <w:rFonts w:ascii="Times New Roman" w:hAnsi="Times New Roman" w:cs="Times New Roman" w:eastAsia="Times New Roman" w:hint="default"/>
        </w:rPr>
        <w:t>Lollipop</w:t>
      </w:r>
      <w:r>
        <w:rPr/>
        <w:t>操作系 统的教育移动产品，为教育市场提供更为可靠和高性能的教育工具，更能拓展公司新型业务、为公司增加更大的利润空间；</w:t>
      </w:r>
    </w:p>
    <w:p>
      <w:pPr>
        <w:pStyle w:val="BodyText"/>
        <w:spacing w:line="300" w:lineRule="auto" w:before="31"/>
        <w:ind w:right="191"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Intel 14nm 4C4T 360°</w:t>
      </w:r>
      <w:r>
        <w:rPr/>
        <w:t>全方位旋转计算终端的开发目标：开发一款基于</w:t>
      </w:r>
      <w:r>
        <w:rPr>
          <w:rFonts w:ascii="Times New Roman" w:hAnsi="Times New Roman" w:cs="Times New Roman" w:eastAsia="Times New Roman" w:hint="default"/>
        </w:rPr>
        <w:t>Intel Braswell</w:t>
      </w:r>
      <w:r>
        <w:rPr>
          <w:rFonts w:ascii="Times New Roman" w:hAnsi="Times New Roman" w:cs="Times New Roman" w:eastAsia="Times New Roman" w:hint="default"/>
          <w:spacing w:val="43"/>
        </w:rPr>
        <w:t> </w:t>
      </w:r>
      <w:r>
        <w:rPr/>
        <w:t>硬件平台及</w:t>
      </w:r>
      <w:r>
        <w:rPr>
          <w:rFonts w:ascii="Times New Roman" w:hAnsi="Times New Roman" w:cs="Times New Roman" w:eastAsia="Times New Roman" w:hint="default"/>
        </w:rPr>
        <w:t>Windows10</w:t>
      </w:r>
      <w:r>
        <w:rPr/>
        <w:t>操作系统 的，转轴具有</w:t>
      </w:r>
      <w:r>
        <w:rPr>
          <w:rFonts w:ascii="Times New Roman" w:hAnsi="Times New Roman" w:cs="Times New Roman" w:eastAsia="Times New Roman" w:hint="default"/>
        </w:rPr>
        <w:t>360</w:t>
      </w:r>
      <w:r>
        <w:rPr/>
        <w:t>度旋转功能，且具有触摸功能的</w:t>
      </w:r>
      <w:r>
        <w:rPr>
          <w:rFonts w:ascii="Times New Roman" w:hAnsi="Times New Roman" w:cs="Times New Roman" w:eastAsia="Times New Roman" w:hint="default"/>
        </w:rPr>
        <w:t>11.6</w:t>
      </w:r>
      <w:r>
        <w:rPr/>
        <w:t>超薄超轻便的笔记本电脑，满足商务人士移动办公及商务应用的高端</w:t>
      </w:r>
      <w:r>
        <w:rPr>
          <w:spacing w:val="-44"/>
        </w:rPr>
        <w:t> </w:t>
      </w:r>
      <w:r>
        <w:rPr>
          <w:spacing w:val="-44"/>
        </w:rPr>
      </w:r>
      <w:r>
        <w:rPr/>
        <w:t>需求；</w:t>
      </w:r>
    </w:p>
    <w:p>
      <w:pPr>
        <w:pStyle w:val="BodyText"/>
        <w:spacing w:line="240" w:lineRule="auto" w:before="32"/>
        <w:ind w:left="513" w:right="93"/>
        <w:jc w:val="left"/>
      </w:pPr>
      <w:r>
        <w:rPr>
          <w:rFonts w:ascii="Times New Roman" w:hAnsi="Times New Roman" w:cs="Times New Roman" w:eastAsia="Times New Roman" w:hint="default"/>
        </w:rPr>
        <w:t>3</w:t>
      </w:r>
      <w:r>
        <w:rPr/>
        <w:t>、智能物联照明开发目标：实现一种简单安装方便、低成本、低碳节能和易于扩展的智能家居照明控制系统；</w:t>
      </w:r>
    </w:p>
    <w:p>
      <w:pPr>
        <w:pStyle w:val="BodyText"/>
        <w:spacing w:line="300" w:lineRule="auto" w:before="63"/>
        <w:ind w:right="193" w:firstLine="360"/>
        <w:jc w:val="both"/>
      </w:pPr>
      <w:r>
        <w:rPr>
          <w:rFonts w:ascii="Times New Roman" w:hAnsi="Times New Roman" w:cs="Times New Roman" w:eastAsia="Times New Roman" w:hint="default"/>
        </w:rPr>
        <w:t>4</w:t>
      </w:r>
      <w:r>
        <w:rPr/>
        <w:t>、智能私有云终端开发目标：作为越来越成为刚需的家居控制中心，有着强大的运算能力，高速的数据传输，并带本 地</w:t>
      </w:r>
      <w:r>
        <w:rPr>
          <w:rFonts w:ascii="Times New Roman" w:hAnsi="Times New Roman" w:cs="Times New Roman" w:eastAsia="Times New Roman" w:hint="default"/>
        </w:rPr>
        <w:t>RAID</w:t>
      </w:r>
      <w:r>
        <w:rPr/>
        <w:t>的私有云系统，对内实际将成为家庭数据中心，影音中心，家居控制中心。对外起到智能路由，零设置自适应连接</w:t>
      </w:r>
      <w:r>
        <w:rPr>
          <w:spacing w:val="-77"/>
        </w:rPr>
        <w:t> </w:t>
      </w:r>
      <w:r>
        <w:rPr>
          <w:spacing w:val="-77"/>
        </w:rPr>
      </w:r>
      <w:r>
        <w:rPr/>
        <w:t>代理服务器的作用，满足家庭多终端上网冲浪的需求；</w:t>
      </w:r>
    </w:p>
    <w:p>
      <w:pPr>
        <w:pStyle w:val="BodyText"/>
        <w:spacing w:line="240" w:lineRule="auto" w:before="31"/>
        <w:ind w:left="513" w:right="93"/>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LED</w:t>
      </w:r>
      <w:r>
        <w:rPr/>
        <w:t>灯条开发目标：使</w:t>
      </w:r>
      <w:r>
        <w:rPr>
          <w:rFonts w:ascii="Times New Roman" w:hAnsi="Times New Roman" w:cs="Times New Roman" w:eastAsia="Times New Roman" w:hint="default"/>
        </w:rPr>
        <w:t>LED</w:t>
      </w:r>
      <w:r>
        <w:rPr/>
        <w:t>灯条测试工序无人化，高效，可靠，为公司创造了十分可观的经济效益和品牌效益；</w:t>
      </w:r>
    </w:p>
    <w:p>
      <w:pPr>
        <w:pStyle w:val="BodyText"/>
        <w:spacing w:line="300" w:lineRule="auto" w:before="63"/>
        <w:ind w:right="193" w:firstLine="360"/>
        <w:jc w:val="both"/>
      </w:pPr>
      <w:r>
        <w:rPr>
          <w:rFonts w:ascii="Times New Roman" w:hAnsi="Times New Roman" w:cs="Times New Roman" w:eastAsia="Times New Roman" w:hint="default"/>
        </w:rPr>
        <w:t>6</w:t>
      </w:r>
      <w:r>
        <w:rPr/>
        <w:t>、三星模块自动测试包装线开发目标：完成三星模块自动测试包装线的开发，使三星模块生产工艺高效率，高良率， 智能化，并拓展到的其他测试项目中，逐步提高产品测试自动化水平；</w:t>
      </w:r>
    </w:p>
    <w:p>
      <w:pPr>
        <w:pStyle w:val="BodyText"/>
        <w:spacing w:line="300" w:lineRule="auto" w:before="31"/>
        <w:ind w:right="193" w:firstLine="360"/>
        <w:jc w:val="both"/>
      </w:pPr>
      <w:r>
        <w:rPr>
          <w:rFonts w:ascii="Times New Roman" w:hAnsi="Times New Roman" w:cs="Times New Roman" w:eastAsia="Times New Roman" w:hint="default"/>
        </w:rPr>
        <w:t>7</w:t>
      </w:r>
      <w:r>
        <w:rPr/>
        <w:t>、自动测试屏蔽箱：完成自动测试屏蔽箱的开发，实现智能化、高速化测试，并拓展到的其他测试项目中，逐步提高 产品测试自动化水平，增强公司制造力水平，降低人力成本，提高公司竞争力。</w:t>
      </w:r>
    </w:p>
    <w:p>
      <w:pPr>
        <w:pStyle w:val="BodyText"/>
        <w:spacing w:line="240" w:lineRule="auto" w:before="72"/>
        <w:ind w:right="93"/>
        <w:jc w:val="left"/>
      </w:pPr>
      <w:r>
        <w:rPr/>
        <w:t>公司研发投入情况</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77,583,115.14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58,564,165.75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32.48%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3"/>
        <w:jc w:val="left"/>
      </w:pPr>
      <w:r>
        <w:rPr/>
        <w:t>研发投入总额占营业收入的比重较上年发生显著变化的原因</w:t>
      </w:r>
    </w:p>
    <w:p>
      <w:pPr>
        <w:pStyle w:val="BodyText"/>
        <w:spacing w:line="338" w:lineRule="auto" w:before="117"/>
        <w:ind w:right="5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4"/>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3,227,485,857.28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2,528,622,351.23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27.64%</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2,894,051,273.12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2,523,985,034.23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14.66%</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333,434,584.16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4,637,317.00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7,090.25%</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3,205,430.22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38,856,132.03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-91.75%</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347,932,807.23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220,528,448.11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57.77%</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-344,727,377.01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-181,672,316.08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-89.75%</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1,704,395,997.52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1,885,516,490.30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1,743,467,255.96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1,632,331,027.30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6.81%</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-39,071,258.44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253,185,463.00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-115.43%</w:t>
            </w:r>
            <w:r>
              <w:rPr>
                <w:rFonts w:ascii="Times New Roman"/>
                <w:spacing w:val="-1"/>
                <w:sz w:val="18"/>
              </w:rPr>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-43,134,704.22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72,052,059.55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-159.87%</w:t>
            </w:r>
          </w:p>
        </w:tc>
      </w:tr>
    </w:tbl>
    <w:p>
      <w:pPr>
        <w:pStyle w:val="BodyText"/>
        <w:spacing w:line="240" w:lineRule="auto" w:before="49"/>
        <w:ind w:right="153"/>
        <w:jc w:val="left"/>
      </w:pPr>
      <w:r>
        <w:rPr/>
        <w:t>相关数据同比发生重大变动的主要影响因素说明</w:t>
      </w:r>
    </w:p>
    <w:p>
      <w:pPr>
        <w:pStyle w:val="BodyText"/>
        <w:spacing w:line="319" w:lineRule="auto" w:before="115"/>
        <w:ind w:right="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1</w:t>
      </w:r>
      <w:r>
        <w:rPr/>
        <w:t>、经营活动产生的现金流量净额比上年同期增加</w:t>
      </w:r>
      <w:r>
        <w:rPr>
          <w:rFonts w:ascii="Times New Roman" w:hAnsi="Times New Roman" w:cs="Times New Roman" w:eastAsia="Times New Roman" w:hint="default"/>
        </w:rPr>
        <w:t>7090.25%</w:t>
      </w:r>
      <w:r>
        <w:rPr/>
        <w:t>，主要原因是：出口税费返还增加、收到的存款利息增加，以及 销售款回收较多所致； </w:t>
      </w:r>
      <w:r>
        <w:rPr>
          <w:rFonts w:ascii="Times New Roman" w:hAnsi="Times New Roman" w:cs="Times New Roman" w:eastAsia="Times New Roman" w:hint="default"/>
        </w:rPr>
        <w:t>2</w:t>
      </w:r>
      <w:r>
        <w:rPr/>
        <w:t>、投资活动产生的现金流量净额比上年同期下降</w:t>
      </w:r>
      <w:r>
        <w:rPr>
          <w:rFonts w:ascii="Times New Roman" w:hAnsi="Times New Roman" w:cs="Times New Roman" w:eastAsia="Times New Roman" w:hint="default"/>
        </w:rPr>
        <w:t>89.75%</w:t>
      </w:r>
      <w:r>
        <w:rPr/>
        <w:t>，主要原因是：主要是支付其他与投资活动有关的现金增加所致；</w:t>
      </w:r>
    </w:p>
    <w:p>
      <w:pPr>
        <w:pStyle w:val="BodyText"/>
        <w:spacing w:line="246" w:lineRule="exact"/>
        <w:ind w:right="153"/>
        <w:jc w:val="left"/>
      </w:pPr>
      <w:r>
        <w:rPr>
          <w:rFonts w:ascii="Times New Roman" w:hAnsi="Times New Roman" w:cs="Times New Roman" w:eastAsia="Times New Roman" w:hint="default"/>
        </w:rPr>
        <w:t>3</w:t>
      </w:r>
      <w:r>
        <w:rPr/>
        <w:t>、筹资活动产生的现金流量净额比上年同期下降</w:t>
      </w:r>
      <w:r>
        <w:rPr>
          <w:rFonts w:ascii="Times New Roman" w:hAnsi="Times New Roman" w:cs="Times New Roman" w:eastAsia="Times New Roman" w:hint="default"/>
        </w:rPr>
        <w:t>115.43%</w:t>
      </w:r>
      <w:r>
        <w:rPr/>
        <w:t>，主要原因是：主要是归还银行借款及利息增加所致；</w:t>
      </w:r>
    </w:p>
    <w:p>
      <w:pPr>
        <w:pStyle w:val="BodyText"/>
        <w:spacing w:line="340" w:lineRule="auto" w:before="63"/>
        <w:ind w:right="219"/>
        <w:jc w:val="left"/>
      </w:pPr>
      <w:r>
        <w:rPr>
          <w:rFonts w:ascii="Times New Roman" w:hAnsi="Times New Roman" w:cs="Times New Roman" w:eastAsia="Times New Roman" w:hint="default"/>
        </w:rPr>
        <w:t>4</w:t>
      </w:r>
      <w:r>
        <w:rPr/>
        <w:t>、现金及现金流等价物净增加额比上年同期下降</w:t>
      </w:r>
      <w:r>
        <w:rPr>
          <w:rFonts w:ascii="Times New Roman" w:hAnsi="Times New Roman" w:cs="Times New Roman" w:eastAsia="Times New Roman" w:hint="default"/>
        </w:rPr>
        <w:t>159.87%</w:t>
      </w:r>
      <w:r>
        <w:rPr/>
        <w:t>，主要原因是：主要是筹资活动产生的现金流量净额减少所致。 报告期内公司经营活动产生的现金净流量与本年度净利润存在重大差异的原因说明</w:t>
      </w:r>
    </w:p>
    <w:p>
      <w:pPr>
        <w:pStyle w:val="BodyText"/>
        <w:spacing w:line="240" w:lineRule="auto" w:before="39"/>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2"/>
        <w:gridCol w:w="2254"/>
        <w:gridCol w:w="2254"/>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9,192,807.45</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43" w:right="0"/>
              <w:jc w:val="left"/>
              <w:rPr>
                <w:rFonts w:ascii="Times New Roman" w:hAnsi="Times New Roman" w:cs="Times New Roman" w:eastAsia="Times New Roman" w:hint="default"/>
                <w:sz w:val="18"/>
                <w:szCs w:val="18"/>
              </w:rPr>
            </w:pPr>
            <w:r>
              <w:rPr>
                <w:rFonts w:ascii="Times New Roman"/>
                <w:sz w:val="18"/>
              </w:rPr>
              <w:t>15.11%</w:t>
            </w:r>
          </w:p>
        </w:tc>
        <w:tc>
          <w:tcPr>
            <w:tcW w:w="2254" w:type="dxa"/>
            <w:vMerge w:val="restart"/>
            <w:tcBorders>
              <w:top w:val="single" w:sz="4" w:space="0" w:color="000000"/>
              <w:left w:val="single" w:sz="4" w:space="0" w:color="000000"/>
              <w:right w:val="single" w:sz="4" w:space="0" w:color="000000"/>
            </w:tcBorders>
          </w:tcPr>
          <w:p>
            <w:pPr>
              <w:pStyle w:val="TableParagraph"/>
              <w:spacing w:line="30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主要包含持有的北京朝歌数 码科技股份有限公司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宋体" w:hAnsi="宋体" w:cs="宋体" w:eastAsia="宋体" w:hint="default"/>
                <w:sz w:val="18"/>
                <w:szCs w:val="18"/>
              </w:rPr>
              <w:t>股 权</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6" w:right="0"/>
              <w:jc w:val="left"/>
              <w:rPr>
                <w:rFonts w:ascii="Times New Roman" w:hAnsi="Times New Roman" w:cs="Times New Roman" w:eastAsia="Times New Roman" w:hint="default"/>
                <w:sz w:val="18"/>
                <w:szCs w:val="18"/>
              </w:rPr>
            </w:pPr>
            <w:r>
              <w:rPr>
                <w:rFonts w:ascii="Times New Roman"/>
                <w:sz w:val="18"/>
              </w:rPr>
              <w:t>46,583.63</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c>
          <w:tcPr>
            <w:tcW w:w="2254" w:type="dxa"/>
            <w:vMerge w:val="restart"/>
            <w:tcBorders>
              <w:top w:val="single" w:sz="4" w:space="0" w:color="000000"/>
              <w:left w:val="single" w:sz="4" w:space="0" w:color="000000"/>
              <w:right w:val="single" w:sz="4" w:space="0" w:color="000000"/>
            </w:tcBorders>
          </w:tcPr>
          <w:p>
            <w:pPr>
              <w:pStyle w:val="TableParagraph"/>
              <w:spacing w:line="314"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主要包含花旗、建行、浦发 银行贷款远期结售汇金额</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7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25,652,502.32</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42.16%</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主要包含应收账款坏账准 备、其他应收款坏账准备、 存货跌价准备、商誉减值损 失</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473"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42"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3" w:space="0" w:color="D2D2D2"/>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37" w:right="0"/>
              <w:jc w:val="left"/>
              <w:rPr>
                <w:rFonts w:ascii="Times New Roman" w:hAnsi="Times New Roman" w:cs="Times New Roman" w:eastAsia="Times New Roman" w:hint="default"/>
                <w:sz w:val="18"/>
                <w:szCs w:val="18"/>
              </w:rPr>
            </w:pPr>
            <w:r>
              <w:rPr>
                <w:rFonts w:ascii="Times New Roman"/>
                <w:sz w:val="18"/>
              </w:rPr>
              <w:t>14,392,304.33</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23.66%</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主要包含政府补助收入、罚 款索赔款、废品收入、非流</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13"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42"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3"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2"/>
        <w:gridCol w:w="2254"/>
        <w:gridCol w:w="2254"/>
      </w:tblGrid>
      <w:tr>
        <w:trPr>
          <w:trHeight w:val="36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动资产处置利得</w:t>
            </w: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8" w:right="0"/>
              <w:jc w:val="left"/>
              <w:rPr>
                <w:rFonts w:ascii="Times New Roman" w:hAnsi="Times New Roman" w:cs="Times New Roman" w:eastAsia="Times New Roman" w:hint="default"/>
                <w:sz w:val="18"/>
                <w:szCs w:val="18"/>
              </w:rPr>
            </w:pPr>
            <w:r>
              <w:rPr>
                <w:rFonts w:ascii="Times New Roman"/>
                <w:sz w:val="18"/>
              </w:rPr>
              <w:t>4,919,844.55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8.09%</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8"/>
              <w:jc w:val="both"/>
              <w:rPr>
                <w:rFonts w:ascii="宋体" w:hAnsi="宋体" w:cs="宋体" w:eastAsia="宋体" w:hint="default"/>
                <w:sz w:val="18"/>
                <w:szCs w:val="18"/>
              </w:rPr>
            </w:pPr>
            <w:r>
              <w:rPr>
                <w:rFonts w:ascii="宋体" w:hAnsi="宋体" w:cs="宋体" w:eastAsia="宋体" w:hint="default"/>
                <w:sz w:val="18"/>
                <w:szCs w:val="18"/>
              </w:rPr>
              <w:t>主要包含罚款支出、处置非 流动资产净损失、公益性捐 赠支出</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58"/>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356,904,645.6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11.12%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773,615,497.87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23.71%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-12.59%</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610,635,617.8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19.03%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497,603,563.06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15.25%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3.78%</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403,599,889.4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12.58%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375,656,320.87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11.51%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1.07%</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86,775,400.54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1,026,690,197.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32.00%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902,360,532.39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27.66%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4.34%</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114,643,191.4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3.57%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227,516,176.48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6.97%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-3.40%</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781,314,465.9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24.35%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1,106,340,992.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33.91%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-9.56%</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131,064,750.6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116,046,986.48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20,124,058.44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18,089,146.89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9,392,063.41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15,760,778.43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45,181,187.35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46,440,987.91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235,740,906.4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122,586,816.84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44,472,579.62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44,274,017.28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13,889,955.18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34,812,967.09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30,201,106.14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17,403,755.96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11,651,945.77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66,079,146.16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67,044,608.13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293,100,757.5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159,264,166.96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613,985,905.8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427,781,672.63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34,071,628.76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19,806,012.16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36,376,855.37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27,201,622.35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13,845,571.80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19,485,939.43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6,527,933.63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16,582,730.21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62,544,977.29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55,879,985.36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1,220,480.13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1,342,731.33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25,912,965.34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25,445,947.83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0" w:right="0"/>
              <w:jc w:val="left"/>
              <w:rPr>
                <w:rFonts w:ascii="Times New Roman" w:hAnsi="Times New Roman" w:cs="Times New Roman" w:eastAsia="Times New Roman" w:hint="default"/>
                <w:sz w:val="18"/>
                <w:szCs w:val="18"/>
              </w:rPr>
            </w:pPr>
            <w:r>
              <w:rPr>
                <w:rFonts w:ascii="Times New Roman"/>
                <w:sz w:val="18"/>
              </w:rPr>
              <w:t>105,010,000.00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2,183,775.04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47.09%</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650"/>
        <w:gridCol w:w="622"/>
        <w:gridCol w:w="624"/>
        <w:gridCol w:w="622"/>
        <w:gridCol w:w="622"/>
        <w:gridCol w:w="617"/>
        <w:gridCol w:w="617"/>
        <w:gridCol w:w="620"/>
        <w:gridCol w:w="590"/>
        <w:gridCol w:w="593"/>
        <w:gridCol w:w="694"/>
        <w:gridCol w:w="689"/>
        <w:gridCol w:w="691"/>
        <w:gridCol w:w="667"/>
      </w:tblGrid>
      <w:tr>
        <w:trPr>
          <w:trHeight w:val="1923"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314" w:lineRule="auto"/>
              <w:ind w:left="230" w:right="48"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314" w:lineRule="auto"/>
              <w:ind w:left="215"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314" w:lineRule="auto"/>
              <w:ind w:left="215" w:right="36"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314" w:lineRule="auto"/>
              <w:ind w:left="216" w:right="34"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314" w:lineRule="auto"/>
              <w:ind w:left="215" w:right="3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08"/>
              <w:jc w:val="both"/>
              <w:rPr>
                <w:rFonts w:ascii="宋体" w:hAnsi="宋体" w:cs="宋体" w:eastAsia="宋体" w:hint="default"/>
                <w:sz w:val="18"/>
                <w:szCs w:val="18"/>
              </w:rPr>
            </w:pPr>
            <w:r>
              <w:rPr>
                <w:rFonts w:ascii="宋体" w:hAnsi="宋体" w:cs="宋体" w:eastAsia="宋体" w:hint="default"/>
                <w:sz w:val="18"/>
                <w:szCs w:val="18"/>
              </w:rPr>
              <w:t>截至 资产 负债 表日 的进 展情</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314" w:lineRule="auto"/>
              <w:ind w:left="110" w:right="110"/>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314" w:lineRule="auto"/>
              <w:ind w:left="71" w:right="7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314"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60" w:right="55"/>
              <w:jc w:val="both"/>
              <w:rPr>
                <w:rFonts w:ascii="宋体" w:hAnsi="宋体" w:cs="宋体" w:eastAsia="宋体" w:hint="default"/>
                <w:sz w:val="18"/>
                <w:szCs w:val="18"/>
              </w:rPr>
            </w:pPr>
            <w:r>
              <w:rPr>
                <w:rFonts w:ascii="宋体" w:hAnsi="宋体" w:cs="宋体" w:eastAsia="宋体" w:hint="default"/>
                <w:sz w:val="18"/>
                <w:szCs w:val="18"/>
              </w:rPr>
              <w:t>披露索 引（如 有）</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1"/>
        <w:gridCol w:w="667"/>
      </w:tblGrid>
      <w:tr>
        <w:trPr>
          <w:trHeight w:val="362"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1" w:right="0"/>
              <w:jc w:val="left"/>
              <w:rPr>
                <w:rFonts w:ascii="宋体" w:hAnsi="宋体" w:cs="宋体" w:eastAsia="宋体" w:hint="default"/>
                <w:sz w:val="18"/>
                <w:szCs w:val="18"/>
              </w:rPr>
            </w:pPr>
            <w:r>
              <w:rPr>
                <w:rFonts w:ascii="宋体" w:hAnsi="宋体" w:cs="宋体" w:eastAsia="宋体" w:hint="default"/>
                <w:sz w:val="18"/>
                <w:szCs w:val="18"/>
              </w:rPr>
              <w:t>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698"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316" w:lineRule="auto"/>
              <w:ind w:left="24" w:right="80"/>
              <w:jc w:val="both"/>
              <w:rPr>
                <w:rFonts w:ascii="宋体" w:hAnsi="宋体" w:cs="宋体" w:eastAsia="宋体" w:hint="default"/>
                <w:sz w:val="18"/>
                <w:szCs w:val="18"/>
              </w:rPr>
            </w:pPr>
            <w:r>
              <w:rPr>
                <w:rFonts w:ascii="宋体" w:hAnsi="宋体" w:cs="宋体" w:eastAsia="宋体" w:hint="default"/>
                <w:sz w:val="18"/>
                <w:szCs w:val="18"/>
              </w:rPr>
              <w:t>北京朝 歌数码 科技股 份有限 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计算 机、通 信、广 播电 视、电 子产品 的技术 开发； 网络传 媒的技 术服 务、技 术咨 询、技 术转 让；计 算机系 统集成 与工程 服务； 销售计 算机、 通信设 备、广 播电视 设备、 电子产 品；货 物进出 口、技 术进出 口、代 理进出 口。</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50" w:right="0"/>
              <w:jc w:val="left"/>
              <w:rPr>
                <w:rFonts w:ascii="Times New Roman" w:hAnsi="Times New Roman" w:cs="Times New Roman" w:eastAsia="Times New Roman" w:hint="default"/>
                <w:sz w:val="18"/>
                <w:szCs w:val="18"/>
              </w:rPr>
            </w:pPr>
            <w:r>
              <w:rPr>
                <w:rFonts w:ascii="Times New Roman"/>
                <w:sz w:val="18"/>
              </w:rPr>
              <w:t>84,000,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21.00%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北京文 和共创 投资管 理中心</w:t>
            </w:r>
          </w:p>
          <w:p>
            <w:pPr>
              <w:pStyle w:val="TableParagraph"/>
              <w:spacing w:line="316" w:lineRule="auto" w:before="19"/>
              <w:ind w:left="24" w:right="41"/>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316" w:lineRule="auto"/>
              <w:ind w:left="23" w:right="45"/>
              <w:jc w:val="both"/>
              <w:rPr>
                <w:rFonts w:ascii="宋体" w:hAnsi="宋体" w:cs="宋体" w:eastAsia="宋体" w:hint="default"/>
                <w:sz w:val="18"/>
                <w:szCs w:val="18"/>
              </w:rPr>
            </w:pPr>
            <w:r>
              <w:rPr>
                <w:rFonts w:ascii="宋体" w:hAnsi="宋体" w:cs="宋体" w:eastAsia="宋体" w:hint="default"/>
                <w:sz w:val="18"/>
                <w:szCs w:val="18"/>
              </w:rPr>
              <w:t>互动电 视智能 终端的 委托加 工</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3" w:right="194"/>
              <w:jc w:val="both"/>
              <w:rPr>
                <w:rFonts w:ascii="宋体" w:hAnsi="宋体" w:cs="宋体" w:eastAsia="宋体" w:hint="default"/>
                <w:sz w:val="18"/>
                <w:szCs w:val="18"/>
              </w:rPr>
            </w:pPr>
            <w:r>
              <w:rPr>
                <w:rFonts w:ascii="宋体" w:hAnsi="宋体" w:cs="宋体" w:eastAsia="宋体" w:hint="default"/>
                <w:sz w:val="18"/>
                <w:szCs w:val="18"/>
              </w:rPr>
              <w:t>已完 成过 户及 工商 变更 登记</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07" w:right="0"/>
              <w:jc w:val="left"/>
              <w:rPr>
                <w:rFonts w:ascii="Times New Roman" w:hAnsi="Times New Roman" w:cs="Times New Roman" w:eastAsia="Times New Roman" w:hint="default"/>
                <w:sz w:val="18"/>
                <w:szCs w:val="18"/>
              </w:rPr>
            </w:pPr>
            <w:r>
              <w:rPr>
                <w:rFonts w:ascii="Times New Roman"/>
                <w:sz w:val="18"/>
              </w:rPr>
              <w:t>6,728,</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603.55</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8" w:right="0"/>
              <w:jc w:val="left"/>
              <w:rPr>
                <w:rFonts w:ascii="Times New Roman" w:hAnsi="Times New Roman" w:cs="Times New Roman" w:eastAsia="Times New Roman" w:hint="default"/>
                <w:sz w:val="18"/>
                <w:szCs w:val="18"/>
              </w:rPr>
            </w:pPr>
            <w:r>
              <w:rPr>
                <w:rFonts w:ascii="Times New Roman"/>
                <w:sz w:val="18"/>
              </w:rPr>
              <w:t>6,728,60</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3.55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详见</w:t>
            </w:r>
          </w:p>
          <w:p>
            <w:pPr>
              <w:pStyle w:val="TableParagraph"/>
              <w:spacing w:line="316" w:lineRule="auto" w:before="77"/>
              <w:ind w:left="24" w:right="2"/>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6" w:lineRule="auto" w:before="19"/>
              <w:ind w:left="24" w:right="91"/>
              <w:jc w:val="left"/>
              <w:rPr>
                <w:rFonts w:ascii="宋体" w:hAnsi="宋体" w:cs="宋体" w:eastAsia="宋体" w:hint="default"/>
                <w:sz w:val="18"/>
                <w:szCs w:val="18"/>
              </w:rPr>
            </w:pPr>
            <w:r>
              <w:rPr>
                <w:rFonts w:ascii="宋体" w:hAnsi="宋体" w:cs="宋体" w:eastAsia="宋体" w:hint="default"/>
                <w:sz w:val="18"/>
                <w:szCs w:val="18"/>
              </w:rPr>
              <w:t>《中国 证券 报》及 巨潮资 讯网</w:t>
            </w:r>
          </w:p>
          <w:p>
            <w:pPr>
              <w:pStyle w:val="TableParagraph"/>
              <w:spacing w:line="338" w:lineRule="auto" w:before="19"/>
              <w:ind w:left="24"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2015-06</w:t>
            </w:r>
          </w:p>
          <w:p>
            <w:pPr>
              <w:pStyle w:val="TableParagraph"/>
              <w:spacing w:line="230"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r>
      <w:tr>
        <w:trPr>
          <w:trHeight w:val="716"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84,000,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6,728,</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603.55</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6,728,60</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3.55</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2"/>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9"/>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1"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7"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7"/>
              <w:jc w:val="both"/>
              <w:rPr>
                <w:rFonts w:ascii="宋体" w:hAnsi="宋体" w:cs="宋体" w:eastAsia="宋体" w:hint="default"/>
                <w:sz w:val="18"/>
                <w:szCs w:val="18"/>
              </w:rPr>
            </w:pPr>
            <w:r>
              <w:rPr>
                <w:rFonts w:ascii="宋体" w:hAnsi="宋体" w:cs="宋体" w:eastAsia="宋体" w:hint="default"/>
                <w:sz w:val="18"/>
                <w:szCs w:val="18"/>
              </w:rPr>
              <w:t>首次公开 发行人民 币普通股</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53,820.05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53,820.05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非公开发 行人民币 普通股</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49,891.4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49,891.4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103,711.45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103,711.45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603"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[2010]118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号文核准，并经深圳证券交易所同意，本公司于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月向社会公</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众公开发行普通股（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股）股票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 </w:t>
            </w:r>
            <w:r>
              <w:rPr>
                <w:rFonts w:ascii="宋体" w:hAnsi="宋体" w:cs="宋体" w:eastAsia="宋体" w:hint="default"/>
                <w:sz w:val="18"/>
                <w:szCs w:val="18"/>
              </w:rPr>
              <w:t>万股，每股发行价格人民币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22.58 </w:t>
            </w:r>
            <w:r>
              <w:rPr>
                <w:rFonts w:ascii="宋体" w:hAnsi="宋体" w:cs="宋体" w:eastAsia="宋体" w:hint="default"/>
                <w:sz w:val="18"/>
                <w:szCs w:val="18"/>
              </w:rPr>
              <w:t>元，共募集资金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564,500,000.00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元，扣除发行费</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26,299,514.00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元后，募集资金净额为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538,200,486.00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元。立信大华会计师事务所有限公司为之出具了</w:t>
            </w:r>
            <w:r>
              <w:rPr>
                <w:rFonts w:ascii="Times New Roman" w:hAnsi="Times New Roman" w:cs="Times New Roman" w:eastAsia="Times New Roman" w:hint="default"/>
                <w:sz w:val="18"/>
                <w:szCs w:val="18"/>
              </w:rPr>
              <w:t>"</w:t>
            </w:r>
            <w:r>
              <w:rPr>
                <w:rFonts w:ascii="宋体" w:hAnsi="宋体" w:cs="宋体" w:eastAsia="宋体" w:hint="default"/>
                <w:sz w:val="18"/>
                <w:szCs w:val="18"/>
              </w:rPr>
              <w:t>立信大华验字</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验资报告。</w:t>
            </w:r>
          </w:p>
          <w:p>
            <w:pPr>
              <w:pStyle w:val="TableParagraph"/>
              <w:spacing w:line="240" w:lineRule="auto" w:before="103"/>
              <w:ind w:left="384"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[2012]1019 </w:t>
            </w:r>
            <w:r>
              <w:rPr>
                <w:rFonts w:ascii="宋体" w:hAnsi="宋体" w:cs="宋体" w:eastAsia="宋体" w:hint="default"/>
                <w:sz w:val="18"/>
                <w:szCs w:val="18"/>
              </w:rPr>
              <w:t>号文核准，并经深圳证券交易所同意，本公司于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月向特定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对象非公开发行普通股（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股）股票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万股，每股发行价格人民币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元，共募集资金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518,000,000.00 </w:t>
            </w:r>
            <w:r>
              <w:rPr>
                <w:rFonts w:ascii="宋体" w:hAnsi="宋体" w:cs="宋体" w:eastAsia="宋体" w:hint="default"/>
                <w:sz w:val="18"/>
                <w:szCs w:val="18"/>
              </w:rPr>
              <w:t>元，扣除发</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行费用</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19,086,000.00</w:t>
            </w:r>
            <w:r>
              <w:rPr>
                <w:rFonts w:ascii="Times New Roman" w:hAnsi="Times New Roman" w:cs="Times New Roman" w:eastAsia="Times New Roman" w:hint="default"/>
                <w:spacing w:val="12"/>
                <w:sz w:val="18"/>
                <w:szCs w:val="18"/>
              </w:rPr>
              <w:t> </w:t>
            </w:r>
            <w:r>
              <w:rPr>
                <w:rFonts w:ascii="宋体" w:hAnsi="宋体" w:cs="宋体" w:eastAsia="宋体" w:hint="default"/>
                <w:spacing w:val="-8"/>
                <w:sz w:val="18"/>
                <w:szCs w:val="18"/>
              </w:rPr>
              <w:t>元后，募集资金净额为</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498,914,000.00</w:t>
            </w:r>
            <w:r>
              <w:rPr>
                <w:rFonts w:ascii="Times New Roman" w:hAnsi="Times New Roman" w:cs="Times New Roman" w:eastAsia="Times New Roman" w:hint="default"/>
                <w:spacing w:val="10"/>
                <w:sz w:val="18"/>
                <w:szCs w:val="18"/>
              </w:rPr>
              <w:t> </w:t>
            </w:r>
            <w:r>
              <w:rPr>
                <w:rFonts w:ascii="宋体" w:hAnsi="宋体" w:cs="宋体" w:eastAsia="宋体" w:hint="default"/>
                <w:spacing w:val="-3"/>
                <w:w w:val="100"/>
                <w:sz w:val="18"/>
                <w:szCs w:val="18"/>
              </w:rPr>
              <w:t>元。大华会计师事务所有限公司为之出具了</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大华验字</w:t>
            </w:r>
            <w:r>
              <w:rPr>
                <w:rFonts w:ascii="Times New Roman" w:hAnsi="Times New Roman" w:cs="Times New Roman" w:eastAsia="Times New Roman" w:hint="default"/>
                <w:spacing w:val="-3"/>
                <w:w w:val="100"/>
                <w:sz w:val="18"/>
                <w:szCs w:val="18"/>
              </w:rPr>
              <w:t>[2012]265</w:t>
            </w:r>
            <w:r>
              <w:rPr>
                <w:rFonts w:ascii="Times New Roman" w:hAnsi="Times New Roman" w:cs="Times New Roman" w:eastAsia="Times New Roman" w:hint="default"/>
                <w:spacing w:val="-39"/>
                <w:w w:val="100"/>
                <w:sz w:val="18"/>
                <w:szCs w:val="18"/>
              </w:rPr>
              <w:t> </w:t>
            </w:r>
            <w:r>
              <w:rPr>
                <w:rFonts w:ascii="Times New Roman" w:hAnsi="Times New Roman" w:cs="Times New Roman" w:eastAsia="Times New Roman" w:hint="default"/>
                <w:spacing w:val="-39"/>
                <w:w w:val="100"/>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验资报告。</w:t>
            </w:r>
          </w:p>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截止至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日公告日，公司首次公开发行股票及非公开发行股票的所有募集资金专项账户均已销户，募集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资金余额为人民币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元。具</w:t>
            </w:r>
            <w:r>
              <w:rPr>
                <w:rFonts w:ascii="宋体" w:hAnsi="宋体" w:cs="宋体" w:eastAsia="宋体" w:hint="default"/>
                <w:spacing w:val="-3"/>
                <w:sz w:val="18"/>
                <w:szCs w:val="18"/>
              </w:rPr>
              <w:t>体</w:t>
            </w:r>
            <w:r>
              <w:rPr>
                <w:rFonts w:ascii="宋体" w:hAnsi="宋体" w:cs="宋体" w:eastAsia="宋体" w:hint="default"/>
                <w:sz w:val="18"/>
                <w:szCs w:val="18"/>
              </w:rPr>
              <w:t>内容详见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的</w:t>
            </w: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《中国证券报</w:t>
            </w:r>
            <w:r>
              <w:rPr>
                <w:rFonts w:ascii="宋体" w:hAnsi="宋体" w:cs="宋体" w:eastAsia="宋体" w:hint="default"/>
                <w:spacing w:val="2"/>
                <w:sz w:val="18"/>
                <w:szCs w:val="18"/>
              </w:rPr>
              <w:t>》</w:t>
            </w:r>
            <w:r>
              <w:rPr>
                <w:rFonts w:ascii="宋体" w:hAnsi="宋体" w:cs="宋体" w:eastAsia="宋体" w:hint="default"/>
                <w:sz w:val="18"/>
                <w:szCs w:val="18"/>
              </w:rPr>
              <w:t>以及巨潮资讯网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sz w:val="18"/>
                  <w:szCs w:val="18"/>
                </w:rPr>
                <w:t>tt</w:t>
              </w:r>
              <w:r>
                <w:rPr>
                  <w:rFonts w:ascii="Times New Roman" w:hAnsi="Times New Roman" w:cs="Times New Roman" w:eastAsia="Times New Roman" w:hint="default"/>
                  <w:spacing w:val="1"/>
                  <w:sz w:val="18"/>
                  <w:szCs w:val="18"/>
                </w:rPr>
                <w:t>p</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2"/>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60"/>
        <w:gridCol w:w="779"/>
        <w:gridCol w:w="781"/>
        <w:gridCol w:w="780"/>
        <w:gridCol w:w="779"/>
        <w:gridCol w:w="780"/>
        <w:gridCol w:w="780"/>
        <w:gridCol w:w="780"/>
        <w:gridCol w:w="780"/>
        <w:gridCol w:w="780"/>
        <w:gridCol w:w="768"/>
      </w:tblGrid>
      <w:tr>
        <w:trPr>
          <w:trHeight w:val="715"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9"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115" w:right="23" w:hanging="92"/>
              <w:jc w:val="left"/>
              <w:rPr>
                <w:rFonts w:ascii="宋体" w:hAnsi="宋体" w:cs="宋体" w:eastAsia="宋体" w:hint="default"/>
                <w:sz w:val="18"/>
                <w:szCs w:val="18"/>
              </w:rPr>
            </w:pPr>
            <w:r>
              <w:rPr>
                <w:rFonts w:ascii="宋体" w:hAnsi="宋体" w:cs="宋体" w:eastAsia="宋体" w:hint="default"/>
                <w:sz w:val="18"/>
                <w:szCs w:val="18"/>
              </w:rPr>
              <w:t>是否已变 更项目</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5" w:right="23"/>
              <w:jc w:val="left"/>
              <w:rPr>
                <w:rFonts w:ascii="宋体" w:hAnsi="宋体" w:cs="宋体" w:eastAsia="宋体" w:hint="default"/>
                <w:sz w:val="18"/>
                <w:szCs w:val="18"/>
              </w:rPr>
            </w:pPr>
            <w:r>
              <w:rPr>
                <w:rFonts w:ascii="宋体" w:hAnsi="宋体" w:cs="宋体" w:eastAsia="宋体" w:hint="default"/>
                <w:sz w:val="18"/>
                <w:szCs w:val="18"/>
              </w:rPr>
              <w:t>募集资金 承诺投资</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114" w:right="23" w:hanging="89"/>
              <w:jc w:val="left"/>
              <w:rPr>
                <w:rFonts w:ascii="宋体" w:hAnsi="宋体" w:cs="宋体" w:eastAsia="宋体" w:hint="default"/>
                <w:sz w:val="18"/>
                <w:szCs w:val="18"/>
              </w:rPr>
            </w:pPr>
            <w:r>
              <w:rPr>
                <w:rFonts w:ascii="宋体" w:hAnsi="宋体" w:cs="宋体" w:eastAsia="宋体" w:hint="default"/>
                <w:sz w:val="18"/>
                <w:szCs w:val="18"/>
              </w:rPr>
              <w:t>调整后投 资总额</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6" w:right="22"/>
              <w:jc w:val="left"/>
              <w:rPr>
                <w:rFonts w:ascii="宋体" w:hAnsi="宋体" w:cs="宋体" w:eastAsia="宋体" w:hint="default"/>
                <w:sz w:val="18"/>
                <w:szCs w:val="18"/>
              </w:rPr>
            </w:pPr>
            <w:r>
              <w:rPr>
                <w:rFonts w:ascii="宋体" w:hAnsi="宋体" w:cs="宋体" w:eastAsia="宋体" w:hint="default"/>
                <w:sz w:val="18"/>
                <w:szCs w:val="18"/>
              </w:rPr>
              <w:t>截至期末 累计投入</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6" w:right="22"/>
              <w:jc w:val="left"/>
              <w:rPr>
                <w:rFonts w:ascii="宋体" w:hAnsi="宋体" w:cs="宋体" w:eastAsia="宋体" w:hint="default"/>
                <w:sz w:val="18"/>
                <w:szCs w:val="18"/>
              </w:rPr>
            </w:pPr>
            <w:r>
              <w:rPr>
                <w:rFonts w:ascii="宋体" w:hAnsi="宋体" w:cs="宋体" w:eastAsia="宋体" w:hint="default"/>
                <w:sz w:val="18"/>
                <w:szCs w:val="18"/>
              </w:rPr>
              <w:t>截至期末 投资进度</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6" w:right="22"/>
              <w:jc w:val="left"/>
              <w:rPr>
                <w:rFonts w:ascii="宋体" w:hAnsi="宋体" w:cs="宋体" w:eastAsia="宋体" w:hint="default"/>
                <w:sz w:val="18"/>
                <w:szCs w:val="18"/>
              </w:rPr>
            </w:pPr>
            <w:r>
              <w:rPr>
                <w:rFonts w:ascii="宋体" w:hAnsi="宋体" w:cs="宋体" w:eastAsia="宋体" w:hint="default"/>
                <w:sz w:val="18"/>
                <w:szCs w:val="18"/>
              </w:rPr>
              <w:t>项目达到 预定可使</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6" w:right="22"/>
              <w:jc w:val="left"/>
              <w:rPr>
                <w:rFonts w:ascii="宋体" w:hAnsi="宋体" w:cs="宋体" w:eastAsia="宋体" w:hint="default"/>
                <w:sz w:val="18"/>
                <w:szCs w:val="18"/>
              </w:rPr>
            </w:pPr>
            <w:r>
              <w:rPr>
                <w:rFonts w:ascii="宋体" w:hAnsi="宋体" w:cs="宋体" w:eastAsia="宋体" w:hint="default"/>
                <w:sz w:val="18"/>
                <w:szCs w:val="18"/>
              </w:rPr>
              <w:t>本报告期 实现的效</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6" w:right="11"/>
              <w:jc w:val="left"/>
              <w:rPr>
                <w:rFonts w:ascii="宋体" w:hAnsi="宋体" w:cs="宋体" w:eastAsia="宋体" w:hint="default"/>
                <w:sz w:val="18"/>
                <w:szCs w:val="18"/>
              </w:rPr>
            </w:pPr>
            <w:r>
              <w:rPr>
                <w:rFonts w:ascii="宋体" w:hAnsi="宋体" w:cs="宋体" w:eastAsia="宋体" w:hint="default"/>
                <w:sz w:val="18"/>
                <w:szCs w:val="18"/>
              </w:rPr>
              <w:t>项目可行 性是否发</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45.460007pt;margin-top:346.48999pt;width:37.35pt;height:20.9pt;mso-position-horizontal-relative:page;mso-position-vertical-relative:page;z-index:-1099888" coordorigin="2909,6930" coordsize="747,418">
            <v:group style="position:absolute;left:2921;top:6942;width:2;height:394" coordorigin="2921,6942" coordsize="2,394">
              <v:shape style="position:absolute;left:2921;top:6942;width:2;height:394" coordorigin="2921,6942" coordsize="0,394" path="m2921,6942l2921,7335e" filled="false" stroked="true" strokeweight="1.2pt" strokecolor="#ffffff">
                <v:path arrowok="t"/>
              </v:shape>
            </v:group>
            <v:group style="position:absolute;left:2933;top:6942;width:723;height:394" coordorigin="2933,6942" coordsize="723,394">
              <v:shape style="position:absolute;left:2933;top:6942;width:723;height:394" coordorigin="2933,6942" coordsize="723,394" path="m2933,7335l3656,7335,3656,6942,2933,6942,2933,733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67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75" w:right="83" w:hanging="9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含部分</w:t>
            </w:r>
            <w:r>
              <w:rPr>
                <w:rFonts w:ascii="宋体" w:hAnsi="宋体" w:cs="宋体" w:eastAsia="宋体" w:hint="default"/>
                <w:w w:val="99"/>
                <w:sz w:val="18"/>
                <w:szCs w:val="18"/>
              </w:rPr>
              <w:t> </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6"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0" w:lineRule="auto" w:before="8"/>
              <w:ind w:left="151" w:right="144" w:firstLine="4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95" w:right="23" w:hanging="269"/>
              <w:jc w:val="left"/>
              <w:rPr>
                <w:rFonts w:ascii="宋体" w:hAnsi="宋体" w:cs="宋体" w:eastAsia="宋体" w:hint="default"/>
                <w:sz w:val="18"/>
                <w:szCs w:val="18"/>
              </w:rPr>
            </w:pPr>
            <w:r>
              <w:rPr>
                <w:rFonts w:ascii="宋体" w:hAnsi="宋体" w:cs="宋体" w:eastAsia="宋体" w:hint="default"/>
                <w:sz w:val="18"/>
                <w:szCs w:val="18"/>
              </w:rPr>
              <w:t>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95" w:right="23" w:hanging="269"/>
              <w:jc w:val="left"/>
              <w:rPr>
                <w:rFonts w:ascii="宋体" w:hAnsi="宋体" w:cs="宋体" w:eastAsia="宋体" w:hint="default"/>
                <w:sz w:val="18"/>
                <w:szCs w:val="18"/>
              </w:rPr>
            </w:pPr>
            <w:r>
              <w:rPr>
                <w:rFonts w:ascii="宋体" w:hAnsi="宋体" w:cs="宋体" w:eastAsia="宋体" w:hint="default"/>
                <w:sz w:val="18"/>
                <w:szCs w:val="18"/>
              </w:rPr>
              <w:t>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、深圳生产基地技术 </w:t>
            </w:r>
            <w:r>
              <w:rPr>
                <w:rFonts w:ascii="宋体" w:hAnsi="宋体" w:cs="宋体" w:eastAsia="宋体" w:hint="default"/>
                <w:spacing w:val="-11"/>
                <w:sz w:val="18"/>
                <w:szCs w:val="18"/>
              </w:rPr>
              <w:t>改造（</w:t>
            </w:r>
            <w:r>
              <w:rPr>
                <w:rFonts w:ascii="Times New Roman" w:hAnsi="Times New Roman" w:cs="Times New Roman" w:eastAsia="Times New Roman" w:hint="default"/>
                <w:spacing w:val="-11"/>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首次公开发 行项目）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4,603.45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、网络通讯产品生产 </w:t>
            </w:r>
            <w:r>
              <w:rPr>
                <w:rFonts w:ascii="宋体" w:hAnsi="宋体" w:cs="宋体" w:eastAsia="宋体" w:hint="default"/>
                <w:spacing w:val="-11"/>
                <w:sz w:val="18"/>
                <w:szCs w:val="18"/>
              </w:rPr>
              <w:t>基地（</w:t>
            </w:r>
            <w:r>
              <w:rPr>
                <w:rFonts w:ascii="Times New Roman" w:hAnsi="Times New Roman" w:cs="Times New Roman" w:eastAsia="Times New Roman" w:hint="default"/>
                <w:spacing w:val="-11"/>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首次公开发 行项目）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7,867.98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941.73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、消费电子产品生产 </w:t>
            </w:r>
            <w:r>
              <w:rPr>
                <w:rFonts w:ascii="宋体" w:hAnsi="宋体" w:cs="宋体" w:eastAsia="宋体" w:hint="default"/>
                <w:spacing w:val="-11"/>
                <w:sz w:val="18"/>
                <w:szCs w:val="18"/>
              </w:rPr>
              <w:t>基地（</w:t>
            </w:r>
            <w:r>
              <w:rPr>
                <w:rFonts w:ascii="Times New Roman" w:hAnsi="Times New Roman" w:cs="Times New Roman" w:eastAsia="Times New Roman" w:hint="default"/>
                <w:spacing w:val="-11"/>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首次公开发 行项目）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6,874.93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、深圳松岗网络通信 </w:t>
            </w:r>
            <w:r>
              <w:rPr>
                <w:rFonts w:ascii="宋体" w:hAnsi="宋体" w:cs="宋体" w:eastAsia="宋体" w:hint="default"/>
                <w:spacing w:val="-9"/>
                <w:sz w:val="18"/>
                <w:szCs w:val="18"/>
              </w:rPr>
              <w:t>产品扩产项目（非公开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13,511.57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、天津网络通信产品 </w:t>
            </w:r>
            <w:r>
              <w:rPr>
                <w:rFonts w:ascii="宋体" w:hAnsi="宋体" w:cs="宋体" w:eastAsia="宋体" w:hint="default"/>
                <w:spacing w:val="-3"/>
                <w:sz w:val="18"/>
                <w:szCs w:val="18"/>
              </w:rPr>
              <w:t>生产建设项目（二期）</w:t>
            </w:r>
            <w:r>
              <w:rPr>
                <w:rFonts w:ascii="宋体" w:hAnsi="宋体" w:cs="宋体" w:eastAsia="宋体" w:hint="default"/>
                <w:sz w:val="18"/>
                <w:szCs w:val="18"/>
              </w:rPr>
            </w:r>
          </w:p>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（非公开发行项目）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27,391.4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27,391.4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27,484.46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2,037.41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、补充公司流动资金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（非公开发行项目）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月临时 补充流动资金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68,895.4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68,895.4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69,342.39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w w:val="95"/>
                <w:sz w:val="18"/>
              </w:rPr>
              <w:t>4,276.34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4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、深圳生产基地</w:t>
            </w:r>
            <w:r>
              <w:rPr>
                <w:rFonts w:ascii="Times New Roman" w:hAnsi="Times New Roman" w:cs="Times New Roman" w:eastAsia="Times New Roman" w:hint="default"/>
                <w:sz w:val="18"/>
                <w:szCs w:val="18"/>
              </w:rPr>
              <w:t>(</w:t>
            </w:r>
            <w:r>
              <w:rPr>
                <w:rFonts w:ascii="宋体" w:hAnsi="宋体" w:cs="宋体" w:eastAsia="宋体" w:hint="default"/>
                <w:sz w:val="18"/>
                <w:szCs w:val="18"/>
              </w:rPr>
              <w:t>松 岗</w:t>
            </w:r>
            <w:r>
              <w:rPr>
                <w:rFonts w:ascii="Times New Roman" w:hAnsi="Times New Roman" w:cs="Times New Roman" w:eastAsia="Times New Roman" w:hint="default"/>
                <w:sz w:val="18"/>
                <w:szCs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15,712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16,498.34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、松岗基地基础建设</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3,539.44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3,539.44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3,713.81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、精密模具生产厂</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4,988.15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4,988.15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5,012.87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-3,089.62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、手持终端产品车间</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3,743.87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49"/>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49"/>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748"/>
        <w:gridCol w:w="779"/>
        <w:gridCol w:w="791"/>
        <w:gridCol w:w="780"/>
        <w:gridCol w:w="780"/>
        <w:gridCol w:w="780"/>
        <w:gridCol w:w="780"/>
        <w:gridCol w:w="780"/>
        <w:gridCol w:w="781"/>
        <w:gridCol w:w="780"/>
        <w:gridCol w:w="780"/>
      </w:tblGrid>
      <w:tr>
        <w:trPr>
          <w:trHeight w:val="402"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28,330.59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28,330.59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35,453.89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-2,192.32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1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 w:type="dxa"/>
            <w:vMerge w:val="restart"/>
            <w:tcBorders>
              <w:top w:val="single" w:sz="4" w:space="0" w:color="000000"/>
              <w:left w:val="single" w:sz="9" w:space="0" w:color="D2D2D2"/>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97,225.99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97,225.99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104,796.2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2,084.02</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1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w:t>
            </w:r>
          </w:p>
        </w:tc>
        <w:tc>
          <w:tcPr>
            <w:tcW w:w="79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488" w:hRule="exact"/>
        </w:trPr>
        <w:tc>
          <w:tcPr>
            <w:tcW w:w="1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1" w:type="dxa"/>
            <w:gridSpan w:val="10"/>
            <w:vMerge w:val="restart"/>
            <w:tcBorders>
              <w:top w:val="single" w:sz="4" w:space="0" w:color="000000"/>
              <w:left w:val="single" w:sz="10" w:space="0" w:color="D2D2D2"/>
              <w:right w:val="single" w:sz="4" w:space="0" w:color="000000"/>
            </w:tcBorders>
          </w:tcPr>
          <w:p>
            <w:pPr>
              <w:pStyle w:val="TableParagraph"/>
              <w:spacing w:line="321" w:lineRule="auto" w:before="49"/>
              <w:ind w:left="28"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月首次公开发行募集资金： 深圳生产基地技术改造、深圳松岗网络通信产品扩产项目：受电子产品市场竞争激烈及客户产品降 价的压力，公司盈利空间收窄；另外，公司加强研发，新产品研发投入成本增加，产品生产人工成 本逐年增加，进一步压缩了产品利润空间，以及募投项目投产后，固定资产折旧大幅增加等，导致 项目未达预期。</w:t>
            </w:r>
          </w:p>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精密模具生产厂：报告期内该行业竞争激烈，订单不足，导致未达到预计效益。</w:t>
            </w:r>
          </w:p>
          <w:p>
            <w:pPr>
              <w:pStyle w:val="TableParagraph"/>
              <w:spacing w:line="321" w:lineRule="auto" w:before="117"/>
              <w:ind w:left="28"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月非公开发行募集资金： </w:t>
            </w:r>
            <w:r>
              <w:rPr>
                <w:rFonts w:ascii="宋体" w:hAnsi="宋体" w:cs="宋体" w:eastAsia="宋体" w:hint="default"/>
                <w:spacing w:val="-5"/>
                <w:sz w:val="18"/>
                <w:szCs w:val="18"/>
              </w:rPr>
              <w:t>网络通讯产品生产基地和消费电子产品生产基地、天津网络通信产品生产建设项目（二期）：项目的</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实施主体为公司全资子公司天津卓达，前期因为基地土建、厂房建设前期准备时间较长，并伴有地 冻、建设方案微调、再认证、进口设备订货及安装调试周期长于预期等因素，对项目进展造成一定 的影响，投资进度晚于计划进度。目前已正式全面运营，正处于密集项目导入及产能爬坡阶段，产 能完全利用尚需一定时间。</w:t>
            </w:r>
          </w:p>
        </w:tc>
      </w:tr>
      <w:tr>
        <w:trPr>
          <w:trHeight w:val="1018" w:hRule="exact"/>
        </w:trPr>
        <w:tc>
          <w:tcPr>
            <w:tcW w:w="1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0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1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11" w:type="dxa"/>
            <w:gridSpan w:val="10"/>
            <w:vMerge/>
            <w:tcBorders>
              <w:left w:val="single" w:sz="10" w:space="0" w:color="D2D2D2"/>
              <w:right w:val="single" w:sz="4" w:space="0" w:color="000000"/>
            </w:tcBorders>
          </w:tcPr>
          <w:p>
            <w:pPr/>
          </w:p>
        </w:tc>
      </w:tr>
      <w:tr>
        <w:trPr>
          <w:trHeight w:val="1489"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1" w:type="dxa"/>
            <w:gridSpan w:val="10"/>
            <w:vMerge/>
            <w:tcBorders>
              <w:left w:val="single" w:sz="10" w:space="0" w:color="D2D2D2"/>
              <w:bottom w:val="single" w:sz="4" w:space="0" w:color="000000"/>
              <w:right w:val="single" w:sz="4" w:space="0" w:color="000000"/>
            </w:tcBorders>
          </w:tcPr>
          <w:p>
            <w:pPr/>
          </w:p>
        </w:tc>
      </w:tr>
      <w:tr>
        <w:trPr>
          <w:trHeight w:val="715"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748" w:type="dxa"/>
            <w:vMerge w:val="restart"/>
            <w:tcBorders>
              <w:top w:val="single" w:sz="4" w:space="0" w:color="000000"/>
              <w:left w:val="single" w:sz="4" w:space="0" w:color="000000"/>
              <w:right w:val="single" w:sz="4" w:space="0" w:color="000000"/>
            </w:tcBorders>
            <w:shd w:val="clear" w:color="auto" w:fill="D2D2D2"/>
          </w:tcPr>
          <w:p>
            <w:pPr/>
          </w:p>
        </w:tc>
        <w:tc>
          <w:tcPr>
            <w:tcW w:w="78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464" w:hRule="exact"/>
        </w:trPr>
        <w:tc>
          <w:tcPr>
            <w:tcW w:w="1748" w:type="dxa"/>
            <w:vMerge/>
            <w:tcBorders>
              <w:left w:val="single" w:sz="4" w:space="0" w:color="000000"/>
              <w:bottom w:val="nil" w:sz="6" w:space="0" w:color="auto"/>
              <w:right w:val="single" w:sz="4" w:space="0" w:color="000000"/>
            </w:tcBorders>
            <w:shd w:val="clear" w:color="auto" w:fill="D2D2D2"/>
          </w:tcPr>
          <w:p>
            <w:pPr/>
          </w:p>
        </w:tc>
        <w:tc>
          <w:tcPr>
            <w:tcW w:w="7811"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月首次公开发行募集资金：</w:t>
            </w:r>
          </w:p>
          <w:p>
            <w:pPr>
              <w:pStyle w:val="TableParagraph"/>
              <w:spacing w:line="240" w:lineRule="auto" w:before="103"/>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）经本公司第一届董事会第二十次会议审议并经本公司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年度股东大会审议通过，使用超募</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集金永久性补充流动资金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89"/>
                <w:sz w:val="18"/>
                <w:szCs w:val="18"/>
              </w:rPr>
              <w:t>、</w:t>
            </w:r>
            <w:r>
              <w:rPr>
                <w:rFonts w:ascii="宋体" w:hAnsi="宋体" w:cs="宋体" w:eastAsia="宋体" w:hint="default"/>
                <w:sz w:val="18"/>
                <w:szCs w:val="18"/>
              </w:rPr>
              <w:t>提前归还银行贷款</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元及投资深圳</w:t>
            </w:r>
            <w:r>
              <w:rPr>
                <w:rFonts w:ascii="宋体" w:hAnsi="宋体" w:cs="宋体" w:eastAsia="宋体" w:hint="default"/>
                <w:spacing w:val="-3"/>
                <w:sz w:val="18"/>
                <w:szCs w:val="18"/>
              </w:rPr>
              <w:t>生</w:t>
            </w:r>
            <w:r>
              <w:rPr>
                <w:rFonts w:ascii="宋体" w:hAnsi="宋体" w:cs="宋体" w:eastAsia="宋体" w:hint="default"/>
                <w:sz w:val="18"/>
                <w:szCs w:val="18"/>
              </w:rPr>
              <w:t>产基地</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（松岗）</w:t>
            </w:r>
            <w:r>
              <w:rPr>
                <w:rFonts w:ascii="Times New Roman" w:hAnsi="Times New Roman" w:cs="Times New Roman" w:eastAsia="Times New Roman" w:hint="default"/>
                <w:sz w:val="18"/>
                <w:szCs w:val="18"/>
              </w:rPr>
              <w:t>157,120,000.00 </w:t>
            </w:r>
            <w:r>
              <w:rPr>
                <w:rFonts w:ascii="宋体" w:hAnsi="宋体" w:cs="宋体" w:eastAsia="宋体" w:hint="default"/>
                <w:sz w:val="18"/>
                <w:szCs w:val="18"/>
              </w:rPr>
              <w:t>元；</w:t>
            </w:r>
          </w:p>
          <w:p>
            <w:pPr>
              <w:pStyle w:val="TableParagraph"/>
              <w:spacing w:line="240" w:lineRule="auto" w:before="101"/>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）经本公司第二届董事会第二次会议审议，使用超募集金投资松岗基地基础建设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35,394,400.00</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元；</w:t>
            </w:r>
          </w:p>
          <w:p>
            <w:pPr>
              <w:pStyle w:val="TableParagraph"/>
              <w:spacing w:line="240" w:lineRule="auto" w:before="117"/>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）经本公司第二届董事会第三次会议审议通过，使用超募集金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49,881,500.00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元投资本公司之全</w:t>
            </w:r>
          </w:p>
          <w:p>
            <w:pPr>
              <w:pStyle w:val="TableParagraph"/>
              <w:spacing w:line="300" w:lineRule="auto" w:before="63"/>
              <w:ind w:left="28" w:right="31"/>
              <w:jc w:val="left"/>
              <w:rPr>
                <w:rFonts w:ascii="宋体" w:hAnsi="宋体" w:cs="宋体" w:eastAsia="宋体" w:hint="default"/>
                <w:sz w:val="18"/>
                <w:szCs w:val="18"/>
              </w:rPr>
            </w:pPr>
            <w:r>
              <w:rPr>
                <w:rFonts w:ascii="宋体" w:hAnsi="宋体" w:cs="宋体" w:eastAsia="宋体" w:hint="default"/>
                <w:sz w:val="18"/>
                <w:szCs w:val="18"/>
              </w:rPr>
              <w:t>资子公司深圳市卓大精密模具有限公司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原名为</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深圳市卓翼视听科技有限公司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月变更 为该名称</w:t>
            </w:r>
            <w:r>
              <w:rPr>
                <w:rFonts w:ascii="Times New Roman" w:hAnsi="Times New Roman" w:cs="Times New Roman" w:eastAsia="Times New Roman" w:hint="default"/>
                <w:sz w:val="18"/>
                <w:szCs w:val="18"/>
              </w:rPr>
              <w:t>)</w:t>
            </w:r>
            <w:r>
              <w:rPr>
                <w:rFonts w:ascii="宋体" w:hAnsi="宋体" w:cs="宋体" w:eastAsia="宋体" w:hint="default"/>
                <w:sz w:val="18"/>
                <w:szCs w:val="18"/>
              </w:rPr>
              <w:t>建设模具厂；</w:t>
            </w:r>
          </w:p>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）经本公司第二届董事会第四次会议审议通过，使用超募集金永久性补充流动资金</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15,000,000.00</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元、使用超募集金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40,910,000.00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元投资手持终端产品车间。</w:t>
            </w:r>
          </w:p>
          <w:p>
            <w:pPr>
              <w:pStyle w:val="TableParagraph"/>
              <w:spacing w:line="240" w:lineRule="auto" w:before="10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月非公开发行募集资金：无</w:t>
            </w:r>
          </w:p>
        </w:tc>
      </w:tr>
      <w:tr>
        <w:trPr>
          <w:trHeight w:val="706" w:hRule="exact"/>
        </w:trPr>
        <w:tc>
          <w:tcPr>
            <w:tcW w:w="1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10"/>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11" w:type="dxa"/>
            <w:gridSpan w:val="10"/>
            <w:vMerge/>
            <w:tcBorders>
              <w:left w:val="single" w:sz="10" w:space="0" w:color="D2D2D2"/>
              <w:right w:val="single" w:sz="4" w:space="0" w:color="000000"/>
            </w:tcBorders>
          </w:tcPr>
          <w:p>
            <w:pPr/>
          </w:p>
        </w:tc>
      </w:tr>
      <w:tr>
        <w:trPr>
          <w:trHeight w:val="1865"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1"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48" w:type="dxa"/>
            <w:vMerge w:val="restart"/>
            <w:tcBorders>
              <w:top w:val="single" w:sz="4" w:space="0" w:color="000000"/>
              <w:left w:val="single" w:sz="4" w:space="0" w:color="000000"/>
              <w:right w:val="single" w:sz="4" w:space="0" w:color="000000"/>
            </w:tcBorders>
            <w:shd w:val="clear" w:color="auto" w:fill="D2D2D2"/>
          </w:tcPr>
          <w:p>
            <w:pPr/>
          </w:p>
        </w:tc>
        <w:tc>
          <w:tcPr>
            <w:tcW w:w="78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39" w:hRule="exact"/>
        </w:trPr>
        <w:tc>
          <w:tcPr>
            <w:tcW w:w="1748" w:type="dxa"/>
            <w:vMerge/>
            <w:tcBorders>
              <w:left w:val="single" w:sz="4" w:space="0" w:color="000000"/>
              <w:bottom w:val="nil" w:sz="6" w:space="0" w:color="auto"/>
              <w:right w:val="single" w:sz="4" w:space="0" w:color="000000"/>
            </w:tcBorders>
            <w:shd w:val="clear" w:color="auto" w:fill="D2D2D2"/>
          </w:tcPr>
          <w:p>
            <w:pPr/>
          </w:p>
        </w:tc>
        <w:tc>
          <w:tcPr>
            <w:tcW w:w="78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740" w:hRule="exact"/>
        </w:trPr>
        <w:tc>
          <w:tcPr>
            <w:tcW w:w="1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85"/>
              <w:ind w:left="12" w:right="10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11" w:type="dxa"/>
            <w:gridSpan w:val="10"/>
            <w:vMerge w:val="restart"/>
            <w:tcBorders>
              <w:top w:val="single" w:sz="4" w:space="0" w:color="000000"/>
              <w:left w:val="single" w:sz="10" w:space="0" w:color="D2D2D2"/>
              <w:right w:val="single" w:sz="4" w:space="0" w:color="000000"/>
            </w:tcBorders>
          </w:tcPr>
          <w:p>
            <w:pPr>
              <w:pStyle w:val="TableParagraph"/>
              <w:spacing w:line="240" w:lineRule="auto" w:before="13"/>
              <w:ind w:left="28"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月首次公开发行募集资金：深圳生产基地技术改造项目原实施地为深圳市南山区西丽平山</w:t>
            </w:r>
          </w:p>
          <w:p>
            <w:pPr>
              <w:pStyle w:val="TableParagraph"/>
              <w:spacing w:line="312" w:lineRule="auto" w:before="63"/>
              <w:ind w:left="28" w:right="22"/>
              <w:jc w:val="both"/>
              <w:rPr>
                <w:rFonts w:ascii="宋体" w:hAnsi="宋体" w:cs="宋体" w:eastAsia="宋体" w:hint="default"/>
                <w:sz w:val="18"/>
                <w:szCs w:val="18"/>
              </w:rPr>
            </w:pPr>
            <w:r>
              <w:rPr>
                <w:rFonts w:ascii="宋体" w:hAnsi="宋体" w:cs="宋体" w:eastAsia="宋体" w:hint="default"/>
                <w:sz w:val="18"/>
                <w:szCs w:val="18"/>
              </w:rPr>
              <w:t>民企科技工业园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栋，但鉴于产能及厂房远远不能满足公司订单需求，同时结合公司长远发展的需 求，以及为进一步增加企业竞争力，公司利用超募资金在深圳市松岗镇同富裕工业区建立松岗生产 基地，将深圳生产基地技术改造项目实施地改迁至松岗镇同富裕工业区。该项目实施地的变更已经 第一届董事会第二十次会议审议通过。</w:t>
            </w:r>
          </w:p>
        </w:tc>
      </w:tr>
      <w:tr>
        <w:trPr>
          <w:trHeight w:val="874"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1" w:type="dxa"/>
            <w:gridSpan w:val="10"/>
            <w:vMerge/>
            <w:tcBorders>
              <w:left w:val="single" w:sz="10" w:space="0" w:color="D2D2D2"/>
              <w:bottom w:val="single" w:sz="4" w:space="0" w:color="000000"/>
              <w:right w:val="single" w:sz="4" w:space="0" w:color="000000"/>
            </w:tcBorders>
          </w:tcPr>
          <w:p>
            <w:pPr/>
          </w:p>
        </w:tc>
      </w:tr>
      <w:tr>
        <w:trPr>
          <w:trHeight w:val="233" w:hRule="exact"/>
        </w:trPr>
        <w:tc>
          <w:tcPr>
            <w:tcW w:w="1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1"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70" w:hRule="exact"/>
        </w:trPr>
        <w:tc>
          <w:tcPr>
            <w:tcW w:w="174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2" w:right="10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11"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48" w:type="dxa"/>
            <w:vMerge/>
            <w:tcBorders>
              <w:left w:val="single" w:sz="4" w:space="0" w:color="000000"/>
              <w:right w:val="single" w:sz="4" w:space="0" w:color="000000"/>
            </w:tcBorders>
            <w:shd w:val="clear" w:color="auto" w:fill="D2D2D2"/>
          </w:tcPr>
          <w:p>
            <w:pPr/>
          </w:p>
        </w:tc>
        <w:tc>
          <w:tcPr>
            <w:tcW w:w="78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32" w:hRule="exact"/>
        </w:trPr>
        <w:tc>
          <w:tcPr>
            <w:tcW w:w="1748" w:type="dxa"/>
            <w:vMerge/>
            <w:tcBorders>
              <w:left w:val="single" w:sz="4" w:space="0" w:color="000000"/>
              <w:bottom w:val="nil" w:sz="6" w:space="0" w:color="auto"/>
              <w:right w:val="single" w:sz="4" w:space="0" w:color="000000"/>
            </w:tcBorders>
            <w:shd w:val="clear" w:color="auto" w:fill="D2D2D2"/>
          </w:tcPr>
          <w:p>
            <w:pPr/>
          </w:p>
        </w:tc>
        <w:tc>
          <w:tcPr>
            <w:tcW w:w="7811"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、鉴于国内外宏观经济形势不容乐观，公司在现有模具和注塑垂直整合效果尚未显现的情况下，为</w:t>
            </w:r>
          </w:p>
        </w:tc>
      </w:tr>
      <w:tr>
        <w:trPr>
          <w:trHeight w:val="230"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1" w:type="dxa"/>
            <w:gridSpan w:val="10"/>
            <w:vMerge/>
            <w:tcBorders>
              <w:left w:val="single" w:sz="10" w:space="0" w:color="D2D2D2"/>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pStyle w:val="BodyText"/>
        <w:spacing w:line="240" w:lineRule="auto" w:before="44"/>
        <w:ind w:left="0" w:right="159"/>
        <w:jc w:val="right"/>
      </w:pPr>
      <w:r>
        <w:rPr/>
        <w:pict>
          <v:shape style="position:absolute;margin-left:56.459999pt;margin-top:-203.578278pt;width:479.2pt;height:544.3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445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24" w:right="17"/>
                          <w:jc w:val="left"/>
                          <w:rPr>
                            <w:rFonts w:ascii="宋体" w:hAnsi="宋体" w:cs="宋体" w:eastAsia="宋体" w:hint="default"/>
                            <w:sz w:val="18"/>
                            <w:szCs w:val="18"/>
                          </w:rPr>
                        </w:pPr>
                        <w:r>
                          <w:rPr>
                            <w:rFonts w:ascii="宋体" w:hAnsi="宋体" w:cs="宋体" w:eastAsia="宋体" w:hint="default"/>
                            <w:sz w:val="18"/>
                            <w:szCs w:val="18"/>
                          </w:rPr>
                          <w:t>保持较为充裕的流动资金、应对不断增长的业务需要和新的业务机会、提高公司资金的使用效率、 尽快实现公司核心产品产能提升、获取市场先机、防范投资风险，对天津网络通信产品生产建设项 </w:t>
                        </w:r>
                        <w:r>
                          <w:rPr>
                            <w:rFonts w:ascii="宋体" w:hAnsi="宋体" w:cs="宋体" w:eastAsia="宋体" w:hint="default"/>
                            <w:spacing w:val="-5"/>
                            <w:sz w:val="18"/>
                            <w:szCs w:val="18"/>
                          </w:rPr>
                          <w:t>目（二期）中的建设内容进行部分变更，主要内容为：（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）取消</w:t>
                        </w:r>
                        <w:r>
                          <w:rPr>
                            <w:rFonts w:ascii="宋体" w:hAnsi="宋体" w:cs="宋体" w:eastAsia="宋体" w:hint="default"/>
                            <w:spacing w:val="-28"/>
                            <w:sz w:val="18"/>
                            <w:szCs w:val="18"/>
                          </w:rPr>
                          <w:t>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模具和注塑厂房的建设以及注塑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与模具生产设备与测试仪器的购置；（</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）取消</w:t>
                        </w:r>
                        <w:r>
                          <w:rPr>
                            <w:rFonts w:ascii="宋体" w:hAnsi="宋体" w:cs="宋体" w:eastAsia="宋体" w:hint="default"/>
                            <w:spacing w:val="-32"/>
                            <w:sz w:val="18"/>
                            <w:szCs w:val="18"/>
                          </w:rPr>
                          <w:t>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电子装配厂房的建设；原计划安装在新建</w:t>
                        </w:r>
                        <w:r>
                          <w:rPr>
                            <w:rFonts w:ascii="宋体" w:hAnsi="宋体" w:cs="宋体" w:eastAsia="宋体" w:hint="default"/>
                            <w:spacing w:val="-32"/>
                            <w:sz w:val="18"/>
                            <w:szCs w:val="18"/>
                          </w:rPr>
                          <w:t> </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电子装</w:t>
                        </w:r>
                        <w:r>
                          <w:rPr>
                            <w:rFonts w:ascii="宋体" w:hAnsi="宋体" w:cs="宋体" w:eastAsia="宋体" w:hint="default"/>
                            <w:spacing w:val="-85"/>
                            <w:sz w:val="18"/>
                            <w:szCs w:val="18"/>
                          </w:rPr>
                          <w:t> </w:t>
                        </w:r>
                        <w:r>
                          <w:rPr>
                            <w:rFonts w:ascii="宋体" w:hAnsi="宋体" w:cs="宋体" w:eastAsia="宋体" w:hint="default"/>
                            <w:spacing w:val="-3"/>
                            <w:sz w:val="18"/>
                            <w:szCs w:val="18"/>
                          </w:rPr>
                          <w:t>配厂房的设备，包括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SMT</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生产线以及配套的插件生产线、测试设备仪器等变更至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电子装配 </w:t>
                        </w:r>
                        <w:r>
                          <w:rPr>
                            <w:rFonts w:ascii="宋体" w:hAnsi="宋体" w:cs="宋体" w:eastAsia="宋体" w:hint="default"/>
                            <w:spacing w:val="-7"/>
                            <w:sz w:val="18"/>
                            <w:szCs w:val="18"/>
                          </w:rPr>
                          <w:t>厂房进行安装、调试及生产；（</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）取消</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研究开发与机械加工生产楼的建设。同时，为满足公司的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生产急需，天津暂时将购置的两条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SMT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生产线以成本加成的价格租赁给公司使用，租期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年。该 项目实施方式的变更已经公司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年第二次临时股东大会审议通过。</w:t>
                        </w:r>
                      </w:p>
                      <w:p>
                        <w:pPr>
                          <w:pStyle w:val="TableParagraph"/>
                          <w:spacing w:line="312" w:lineRule="auto" w:before="50"/>
                          <w:ind w:left="24" w:right="17"/>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日，公司第三届董事会第十次会议审议通过了《关于部分变更非公开发行募投项 </w:t>
                        </w:r>
                        <w:r>
                          <w:rPr>
                            <w:rFonts w:ascii="宋体" w:hAnsi="宋体" w:cs="宋体" w:eastAsia="宋体" w:hint="default"/>
                            <w:spacing w:val="-5"/>
                            <w:sz w:val="18"/>
                            <w:szCs w:val="18"/>
                          </w:rPr>
                          <w:t>目实施方式的议案》，为缓解深圳产能压力，提高公司现有设备的整体利用率，从而提高募集资金使</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用效率，增强公司持续盈利能力，公司向全资子公司天津卓达科技发展有限公司租用非公开发行股 票募投项目的七条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SMT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生产线。该议案于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年第二次临时股东大会审议通</w:t>
                        </w:r>
                      </w:p>
                      <w:p>
                        <w:pPr>
                          <w:pStyle w:val="TableParagraph"/>
                          <w:spacing w:line="300" w:lineRule="auto" w:before="3"/>
                          <w:ind w:left="24" w:right="65"/>
                          <w:jc w:val="left"/>
                          <w:rPr>
                            <w:rFonts w:ascii="宋体" w:hAnsi="宋体" w:cs="宋体" w:eastAsia="宋体" w:hint="default"/>
                            <w:sz w:val="18"/>
                            <w:szCs w:val="18"/>
                          </w:rPr>
                        </w:pPr>
                        <w:r>
                          <w:rPr>
                            <w:rFonts w:ascii="宋体" w:hAnsi="宋体" w:cs="宋体" w:eastAsia="宋体" w:hint="default"/>
                            <w:sz w:val="18"/>
                            <w:szCs w:val="18"/>
                          </w:rPr>
                          <w:t>过。</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年，根据公司及其全资子公司的实际生产需求，公司同意从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日起终止向天 津卓达租赁四条</w:t>
                        </w:r>
                        <w:r>
                          <w:rPr>
                            <w:rFonts w:ascii="宋体" w:hAnsi="宋体" w:cs="宋体" w:eastAsia="宋体" w:hint="default"/>
                            <w:spacing w:val="-43"/>
                            <w:sz w:val="18"/>
                            <w:szCs w:val="18"/>
                          </w:rPr>
                          <w:t> </w:t>
                        </w:r>
                        <w:r>
                          <w:rPr>
                            <w:rFonts w:ascii="Times New Roman" w:hAnsi="Times New Roman" w:cs="Times New Roman" w:eastAsia="Times New Roman" w:hint="default"/>
                            <w:w w:val="99"/>
                            <w:sz w:val="18"/>
                            <w:szCs w:val="18"/>
                          </w:rPr>
                          <w:t>SMT</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7"/>
                            <w:sz w:val="18"/>
                            <w:szCs w:val="18"/>
                          </w:rPr>
                          <w:t>生产线（其中，两条为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年续租的，两条为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年新租的五条中的两条）</w:t>
                        </w:r>
                        <w:r>
                          <w:rPr>
                            <w:rFonts w:ascii="宋体" w:hAnsi="宋体" w:cs="宋体" w:eastAsia="宋体" w:hint="default"/>
                            <w:sz w:val="18"/>
                            <w:szCs w:val="18"/>
                          </w:rPr>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6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月首次公开发行募集资金：无</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月非公开发行募集资金：经公司第二届董事会第二十次会议审议通过，以本次非公开发行</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8,692.89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万元置换公司预先投入募集资金投资项目的自有资金。</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90"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月首次公开发行募集资金：无</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月非公开发行募集资金：经公司第二届董事会第二十次会议审议并经公司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年第三次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临时股东大会审议通过，使用闲置募集资金 </w:t>
                        </w:r>
                        <w:r>
                          <w:rPr>
                            <w:rFonts w:ascii="Times New Roman" w:hAnsi="Times New Roman" w:cs="Times New Roman" w:eastAsia="Times New Roman" w:hint="default"/>
                            <w:sz w:val="18"/>
                            <w:szCs w:val="18"/>
                          </w:rPr>
                          <w:t>17,000.00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万元暂时补充流动资金，使用期限不超过六个</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日开始陆续使用该笔募集资金用于临时补充流动资金，已于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日之前陆续归还了上述暂时补充流动资金。</w:t>
                        </w: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日公告日，公司所有募集资金账户全部办理了注销手续，详见公司于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4"/>
                            <w:sz w:val="18"/>
                            <w:szCs w:val="18"/>
                          </w:rPr>
                          <w:t>在</w:t>
                        </w: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13"/>
                            <w:sz w:val="18"/>
                            <w:szCs w:val="18"/>
                          </w:rPr>
                          <w:t>、</w:t>
                        </w:r>
                        <w:r>
                          <w:rPr>
                            <w:rFonts w:ascii="宋体" w:hAnsi="宋体" w:cs="宋体" w:eastAsia="宋体" w:hint="default"/>
                            <w:sz w:val="18"/>
                            <w:szCs w:val="18"/>
                          </w:rPr>
                          <w:t>《中国证券报</w:t>
                        </w:r>
                        <w:r>
                          <w:rPr>
                            <w:rFonts w:ascii="宋体" w:hAnsi="宋体" w:cs="宋体" w:eastAsia="宋体" w:hint="default"/>
                            <w:spacing w:val="-22"/>
                            <w:sz w:val="18"/>
                            <w:szCs w:val="18"/>
                          </w:rPr>
                          <w:t>》</w:t>
                        </w:r>
                        <w:r>
                          <w:rPr>
                            <w:rFonts w:ascii="宋体" w:hAnsi="宋体" w:cs="宋体" w:eastAsia="宋体" w:hint="default"/>
                            <w:sz w:val="18"/>
                            <w:szCs w:val="18"/>
                          </w:rPr>
                          <w:t>及巨潮资讯网上披露</w:t>
                        </w:r>
                        <w:r>
                          <w:rPr>
                            <w:rFonts w:ascii="宋体" w:hAnsi="宋体" w:cs="宋体" w:eastAsia="宋体" w:hint="default"/>
                            <w:spacing w:val="-22"/>
                            <w:sz w:val="18"/>
                            <w:szCs w:val="18"/>
                          </w:rPr>
                          <w:t>的</w:t>
                        </w:r>
                        <w:r>
                          <w:rPr>
                            <w:rFonts w:ascii="宋体" w:hAnsi="宋体" w:cs="宋体" w:eastAsia="宋体" w:hint="default"/>
                            <w:sz w:val="18"/>
                            <w:szCs w:val="18"/>
                          </w:rPr>
                          <w:t>《关于注销募集资金专</w:t>
                        </w:r>
                        <w:r>
                          <w:rPr>
                            <w:rFonts w:ascii="宋体" w:hAnsi="宋体" w:cs="宋体" w:eastAsia="宋体" w:hint="default"/>
                            <w:spacing w:val="1"/>
                            <w:sz w:val="18"/>
                            <w:szCs w:val="18"/>
                          </w:rPr>
                          <w:t>项</w:t>
                        </w:r>
                        <w:r>
                          <w:rPr>
                            <w:rFonts w:ascii="宋体" w:hAnsi="宋体" w:cs="宋体" w:eastAsia="宋体" w:hint="default"/>
                            <w:sz w:val="18"/>
                            <w:szCs w:val="18"/>
                          </w:rPr>
                          <w:t>账户的</w:t>
                        </w:r>
                        <w:r>
                          <w:rPr>
                            <w:rFonts w:ascii="宋体" w:hAnsi="宋体" w:cs="宋体" w:eastAsia="宋体" w:hint="default"/>
                            <w:sz w:val="18"/>
                            <w:szCs w:val="18"/>
                          </w:rPr>
                          <w:t> 公告</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pacing w:val="1"/>
                            <w:sz w:val="18"/>
                            <w:szCs w:val="18"/>
                          </w:rPr>
                          <w:t>2014</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公司募集资金的使用合理、规范，募集资金的使用披露及时、真实、准确、完整。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6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after="0" w:line="338"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98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9"/>
        <w:jc w:val="left"/>
      </w:pPr>
      <w:r>
        <w:rPr/>
        <w:t>主要子公司及对公司净利润影响达</w:t>
      </w:r>
      <w:r>
        <w:rPr>
          <w:spacing w:val="-43"/>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4851" w:space="4069"/>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7"/>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7"/>
              <w:jc w:val="left"/>
              <w:rPr>
                <w:rFonts w:ascii="宋体" w:hAnsi="宋体" w:cs="宋体" w:eastAsia="宋体" w:hint="default"/>
                <w:sz w:val="18"/>
                <w:szCs w:val="18"/>
              </w:rPr>
            </w:pPr>
            <w:r>
              <w:rPr>
                <w:rFonts w:ascii="宋体" w:hAnsi="宋体" w:cs="宋体" w:eastAsia="宋体" w:hint="default"/>
                <w:sz w:val="18"/>
                <w:szCs w:val="18"/>
              </w:rPr>
              <w:t>卓翼科技</w:t>
            </w:r>
            <w:r>
              <w:rPr>
                <w:rFonts w:ascii="Times New Roman" w:hAnsi="Times New Roman" w:cs="Times New Roman" w:eastAsia="Times New Roman" w:hint="default"/>
                <w:sz w:val="18"/>
                <w:szCs w:val="18"/>
              </w:rPr>
              <w:t>(</w:t>
            </w:r>
            <w:r>
              <w:rPr>
                <w:rFonts w:ascii="宋体" w:hAnsi="宋体" w:cs="宋体" w:eastAsia="宋体" w:hint="default"/>
                <w:sz w:val="18"/>
                <w:szCs w:val="18"/>
              </w:rPr>
              <w:t>香 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一般商品贸 易</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312,202,143.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-4,993,226.0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1,329,172,16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7.17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12,027,958.1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10,135,124.8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深圳市卓大 精密模具有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生产、销售 塑胶五金制 品、模具</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105,536,627.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-8,143,136.2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46,687,231.1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-31,073,057.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-30,896,228.</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81</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天津卓达科 技发展有限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生产、销售 网通、移动 终端产品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924,030,095.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439,942,488.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485,894,812.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15,626,652.5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14,012,375.8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70"/>
              <w:jc w:val="left"/>
              <w:rPr>
                <w:rFonts w:ascii="Times New Roman" w:hAnsi="Times New Roman" w:cs="Times New Roman" w:eastAsia="Times New Roman" w:hint="default"/>
                <w:sz w:val="18"/>
                <w:szCs w:val="18"/>
              </w:rPr>
            </w:pPr>
            <w:r>
              <w:rPr>
                <w:rFonts w:ascii="Times New Roman"/>
                <w:sz w:val="18"/>
              </w:rPr>
              <w:t>Double Power </w:t>
            </w:r>
            <w:r>
              <w:rPr>
                <w:rFonts w:ascii="Times New Roman"/>
                <w:spacing w:val="-2"/>
                <w:sz w:val="18"/>
              </w:rPr>
              <w:t>Technology</w:t>
            </w:r>
            <w:r>
              <w:rPr>
                <w:rFonts w:ascii="Times New Roman"/>
                <w:spacing w:val="-39"/>
                <w:sz w:val="18"/>
              </w:rPr>
              <w:t> </w:t>
            </w:r>
            <w:r>
              <w:rPr>
                <w:rFonts w:ascii="Times New Roman"/>
                <w:spacing w:val="-39"/>
                <w:sz w:val="18"/>
              </w:rPr>
            </w:r>
            <w:r>
              <w:rPr>
                <w:rFonts w:ascii="Times New Roman"/>
                <w:sz w:val="18"/>
              </w:rPr>
              <w:t>Inc.</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0"/>
              <w:jc w:val="both"/>
              <w:rPr>
                <w:rFonts w:ascii="宋体" w:hAnsi="宋体" w:cs="宋体" w:eastAsia="宋体" w:hint="default"/>
                <w:sz w:val="18"/>
                <w:szCs w:val="18"/>
              </w:rPr>
            </w:pPr>
            <w:r>
              <w:rPr>
                <w:rFonts w:ascii="宋体" w:hAnsi="宋体" w:cs="宋体" w:eastAsia="宋体" w:hint="default"/>
                <w:sz w:val="18"/>
                <w:szCs w:val="18"/>
              </w:rPr>
              <w:t>消费电子产 品的批发销 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522,000.00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8,978,337.98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-46,625,276.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18,491,241.0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-27,751,371.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-27,751,371.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09</w:t>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深圳市卓翼 智造有限公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生产、销售 网通、移动 终端、消费 电子产品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824,890,551.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73,720,682.8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3,063,119,47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9.69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-35,086,880.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-26,279,317.</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17</w:t>
            </w:r>
          </w:p>
        </w:tc>
      </w:tr>
    </w:tbl>
    <w:p>
      <w:pPr>
        <w:pStyle w:val="BodyText"/>
        <w:spacing w:line="240" w:lineRule="auto" w:before="49"/>
        <w:ind w:right="153"/>
        <w:jc w:val="left"/>
      </w:pPr>
      <w:r>
        <w:rPr/>
        <w:t>报告期内取得和处置子公司的情况</w:t>
      </w:r>
    </w:p>
    <w:p>
      <w:pPr>
        <w:pStyle w:val="BodyText"/>
        <w:spacing w:line="240" w:lineRule="auto" w:before="11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27"/>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6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172"/>
              <w:jc w:val="right"/>
              <w:rPr>
                <w:rFonts w:ascii="宋体" w:hAnsi="宋体" w:cs="宋体" w:eastAsia="宋体" w:hint="default"/>
                <w:sz w:val="18"/>
                <w:szCs w:val="18"/>
              </w:rPr>
            </w:pPr>
            <w:r>
              <w:rPr>
                <w:rFonts w:ascii="宋体" w:hAnsi="宋体" w:cs="宋体" w:eastAsia="宋体" w:hint="default"/>
                <w:sz w:val="18"/>
                <w:szCs w:val="18"/>
              </w:rPr>
              <w:t>深圳市翼飞投资有限公司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both"/>
              <w:rPr>
                <w:rFonts w:ascii="宋体" w:hAnsi="宋体" w:cs="宋体" w:eastAsia="宋体" w:hint="default"/>
                <w:sz w:val="18"/>
                <w:szCs w:val="18"/>
              </w:rPr>
            </w:pPr>
            <w:r>
              <w:rPr>
                <w:rFonts w:ascii="宋体" w:hAnsi="宋体" w:cs="宋体" w:eastAsia="宋体" w:hint="default"/>
                <w:sz w:val="18"/>
                <w:szCs w:val="18"/>
              </w:rPr>
              <w:t>设立翼飞投资是公司实施发展战略的重 要举措，对公司未来发展具有深远的意 义。翼飞投资将通过股权投资、并购、 财务投资等灵活的投资方式，延伸公司 产业链，提升公司的综合竞争力。报告</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before="44"/>
        <w:ind w:left="0" w:right="153"/>
        <w:jc w:val="right"/>
      </w:pPr>
      <w:r>
        <w:rPr/>
        <w:pict>
          <v:shape style="position:absolute;margin-left:56.400002pt;margin-top:-101.308258pt;width:479.3pt;height:564.950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192"/>
                    <w:gridCol w:w="3190"/>
                  </w:tblGrid>
                  <w:tr>
                    <w:trPr>
                      <w:trHeight w:val="675"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93"/>
                          <w:jc w:val="left"/>
                          <w:rPr>
                            <w:rFonts w:ascii="宋体" w:hAnsi="宋体" w:cs="宋体" w:eastAsia="宋体" w:hint="default"/>
                            <w:sz w:val="18"/>
                            <w:szCs w:val="18"/>
                          </w:rPr>
                        </w:pPr>
                        <w:r>
                          <w:rPr>
                            <w:rFonts w:ascii="宋体" w:hAnsi="宋体" w:cs="宋体" w:eastAsia="宋体" w:hint="default"/>
                            <w:sz w:val="18"/>
                            <w:szCs w:val="18"/>
                          </w:rPr>
                          <w:t>期内，翼飞投资投入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万元收购格兰 莫尔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股权。</w:t>
                        </w:r>
                      </w:p>
                    </w:tc>
                  </w:tr>
                  <w:tr>
                    <w:trPr>
                      <w:trHeight w:val="10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Itasca Holding</w:t>
                        </w:r>
                        <w:r>
                          <w:rPr>
                            <w:rFonts w:ascii="Times New Roman"/>
                            <w:spacing w:val="-5"/>
                            <w:sz w:val="18"/>
                          </w:rPr>
                          <w:t> </w:t>
                        </w:r>
                        <w:r>
                          <w:rPr>
                            <w:rFonts w:ascii="Times New Roman"/>
                            <w:sz w:val="18"/>
                          </w:rPr>
                          <w:t>Ltd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1"/>
                          <w:jc w:val="left"/>
                          <w:rPr>
                            <w:rFonts w:ascii="宋体" w:hAnsi="宋体" w:cs="宋体" w:eastAsia="宋体" w:hint="default"/>
                            <w:sz w:val="18"/>
                            <w:szCs w:val="18"/>
                          </w:rPr>
                        </w:pPr>
                        <w:r>
                          <w:rPr>
                            <w:rFonts w:ascii="宋体" w:hAnsi="宋体" w:cs="宋体" w:eastAsia="宋体" w:hint="default"/>
                            <w:spacing w:val="-8"/>
                            <w:sz w:val="18"/>
                            <w:szCs w:val="18"/>
                          </w:rPr>
                          <w:t>作为技术服务平台，支持</w:t>
                        </w:r>
                        <w:r>
                          <w:rPr>
                            <w:rFonts w:ascii="宋体" w:hAnsi="宋体" w:cs="宋体" w:eastAsia="宋体" w:hint="default"/>
                            <w:spacing w:val="-43"/>
                            <w:sz w:val="18"/>
                            <w:szCs w:val="18"/>
                          </w:rPr>
                          <w:t> </w:t>
                        </w:r>
                        <w:r>
                          <w:rPr>
                            <w:rFonts w:ascii="Times New Roman" w:hAnsi="Times New Roman" w:cs="Times New Roman" w:eastAsia="Times New Roman" w:hint="default"/>
                            <w:spacing w:val="-1"/>
                            <w:w w:val="99"/>
                            <w:sz w:val="18"/>
                            <w:szCs w:val="18"/>
                          </w:rPr>
                          <w:t>Haxis</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1"/>
                            <w:w w:val="99"/>
                            <w:sz w:val="18"/>
                            <w:szCs w:val="18"/>
                          </w:rPr>
                          <w:t>Fund</w:t>
                        </w:r>
                        <w:r>
                          <w:rPr>
                            <w:rFonts w:ascii="Times New Roman" w:hAnsi="Times New Roman" w:cs="Times New Roman" w:eastAsia="Times New Roman" w:hint="default"/>
                            <w:spacing w:val="2"/>
                            <w:w w:val="99"/>
                            <w:sz w:val="18"/>
                            <w:szCs w:val="18"/>
                          </w:rPr>
                          <w:t> </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3"/>
                            <w:w w:val="99"/>
                            <w:sz w:val="18"/>
                            <w:szCs w:val="18"/>
                          </w:rPr>
                          <w:t>LP</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的发展，报告期内，其未实现净利润， 未影响公司的投资收益。</w:t>
                        </w:r>
                      </w:p>
                    </w:tc>
                  </w:tr>
                  <w:tr>
                    <w:trPr>
                      <w:trHeight w:val="133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Haxis Labs</w:t>
                        </w:r>
                        <w:r>
                          <w:rPr>
                            <w:rFonts w:ascii="Times New Roman"/>
                            <w:spacing w:val="-6"/>
                            <w:sz w:val="18"/>
                          </w:rPr>
                          <w:t> </w:t>
                        </w:r>
                        <w:r>
                          <w:rPr>
                            <w:rFonts w:ascii="Times New Roman"/>
                            <w:sz w:val="18"/>
                          </w:rPr>
                          <w:t>Incorporated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93"/>
                          <w:jc w:val="both"/>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Itasca</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Holding</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的全资子公司，目 的是更好地支持</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Haxis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Fund I</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LP</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的发展 报告期内，其未实现净利润，未影响公 司的投资收益。</w:t>
                        </w:r>
                      </w:p>
                    </w:tc>
                  </w:tr>
                  <w:tr>
                    <w:trPr>
                      <w:trHeight w:val="133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Haxis Fund I</w:t>
                        </w:r>
                        <w:r>
                          <w:rPr>
                            <w:rFonts w:ascii="Times New Roman"/>
                            <w:spacing w:val="-6"/>
                            <w:sz w:val="18"/>
                          </w:rPr>
                          <w:t> </w:t>
                        </w:r>
                        <w:r>
                          <w:rPr>
                            <w:rFonts w:ascii="Times New Roman"/>
                            <w:sz w:val="18"/>
                          </w:rPr>
                          <w:t>LP</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设立目的为优化公司的产业布局，创新 业务模式，拓展业务领域，提升公司盈 利能力。报告期内，其未实现净利润， 未影响公司的投资收益。</w:t>
                        </w:r>
                      </w:p>
                    </w:tc>
                  </w:tr>
                  <w:tr>
                    <w:trPr>
                      <w:trHeight w:val="133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Haxis GP</w:t>
                        </w:r>
                        <w:r>
                          <w:rPr>
                            <w:rFonts w:ascii="Times New Roman"/>
                            <w:spacing w:val="-12"/>
                            <w:sz w:val="18"/>
                          </w:rPr>
                          <w:t> </w:t>
                        </w:r>
                        <w:r>
                          <w:rPr>
                            <w:rFonts w:ascii="Times New Roman"/>
                            <w:sz w:val="18"/>
                          </w:rPr>
                          <w:t>Ltd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作为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Haxis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Fund</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3"/>
                            <w:sz w:val="18"/>
                            <w:szCs w:val="18"/>
                          </w:rPr>
                          <w:t>LP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的普通合伙人，寻 找、优选投资项目并对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Haxis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Fund</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LP</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进行管理。报告期内，其未未实现净利 润，未影响公司的投资收益。</w:t>
                        </w:r>
                      </w:p>
                    </w:tc>
                  </w:tr>
                  <w:tr>
                    <w:trPr>
                      <w:trHeight w:val="414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北京朝歌数码科技股份有限公司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公司收购朝歌科技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宋体" w:hAnsi="宋体" w:cs="宋体" w:eastAsia="宋体" w:hint="default"/>
                            <w:sz w:val="18"/>
                            <w:szCs w:val="18"/>
                          </w:rPr>
                          <w:t>的股权，一方面 将在生产方面的优势与朝歌科技在网络 终端设备及信息家电产品的研发优势有 效结合，形成面向客户提供网络融合、 生产与增值业务的整体应用解决方案， 提升公司网络通讯类产品的竞争力，有 利于实现公司长远发展战略；另一方面 公司可以利用自身智能制造的优势，加 大与朝歌科技的合作，通过朝歌科技开 发潜在的客户，以此形成公司新的利润 增长点。 报告期内，朝歌科技业绩良好，公司按 权益法核算投资收益。</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深圳市格兰莫尔寝室用品有限公司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公司占其股权比例为</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，报告期内其实</w:t>
                        </w:r>
                        <w:r>
                          <w:rPr>
                            <w:rFonts w:ascii="宋体" w:hAnsi="宋体" w:cs="宋体" w:eastAsia="宋体" w:hint="default"/>
                            <w:sz w:val="18"/>
                            <w:szCs w:val="18"/>
                          </w:rPr>
                          <w:t> 现的净利润未影响公司的投资收益。</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深圳市卓翼科技股份有限公司上海分公 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报告期内无经营性交易，未影响公司的 投资收益。</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before="44"/>
        <w:ind w:left="0" w:right="15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60" w:lineRule="auto" w:before="44"/>
        <w:ind w:right="7614"/>
        <w:jc w:val="left"/>
      </w:pPr>
      <w:r>
        <w:rPr/>
        <w:t>主要控股参股公司情况说明 无</w:t>
      </w:r>
    </w:p>
    <w:p>
      <w:pPr>
        <w:spacing w:line="240" w:lineRule="auto" w:before="5"/>
        <w:rPr>
          <w:rFonts w:ascii="宋体" w:hAnsi="宋体" w:cs="宋体" w:eastAsia="宋体" w:hint="default"/>
          <w:sz w:val="18"/>
          <w:szCs w:val="18"/>
        </w:rPr>
      </w:pPr>
    </w:p>
    <w:p>
      <w:pPr>
        <w:pStyle w:val="Heading2"/>
        <w:spacing w:line="240" w:lineRule="auto"/>
        <w:ind w:right="153"/>
        <w:jc w:val="left"/>
        <w:rPr>
          <w:b w:val="0"/>
          <w:bCs w:val="0"/>
        </w:rPr>
      </w:pPr>
      <w:r>
        <w:rPr/>
        <w:t>八、公司控制的结构化主体情况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98" w:right="153"/>
        <w:jc w:val="left"/>
      </w:pPr>
      <w:r>
        <w:rPr/>
        <w:t>（一）行业发展趋势</w:t>
      </w:r>
    </w:p>
    <w:p>
      <w:pPr>
        <w:pStyle w:val="BodyText"/>
        <w:spacing w:line="300" w:lineRule="auto" w:before="76"/>
        <w:ind w:left="498" w:right="153"/>
        <w:jc w:val="left"/>
      </w:pPr>
      <w:r>
        <w:rPr>
          <w:rFonts w:ascii="Times New Roman" w:hAnsi="Times New Roman" w:cs="Times New Roman" w:eastAsia="Times New Roman" w:hint="default"/>
        </w:rPr>
        <w:t>1</w:t>
      </w:r>
      <w:r>
        <w:rPr/>
        <w:t>、网络通信市场 网络通讯终端制造业是电子信息产业中外包制造发展较为深入的行业，在经历了早期的</w:t>
      </w:r>
      <w:r>
        <w:rPr>
          <w:rFonts w:ascii="Times New Roman" w:hAnsi="Times New Roman" w:cs="Times New Roman" w:eastAsia="Times New Roman" w:hint="default"/>
        </w:rPr>
        <w:t>OEM</w:t>
      </w:r>
      <w:r>
        <w:rPr/>
        <w:t>阶段之后，由于网络通讯</w:t>
      </w:r>
    </w:p>
    <w:p>
      <w:pPr>
        <w:pStyle w:val="BodyText"/>
        <w:spacing w:line="316" w:lineRule="auto" w:before="13"/>
        <w:ind w:right="152"/>
        <w:jc w:val="both"/>
      </w:pPr>
      <w:r>
        <w:rPr>
          <w:spacing w:val="-2"/>
        </w:rPr>
        <w:t>行业技术发展的多样性、各电信运营商对接入技术的不同要求以及不同地区和阶层用户需求的差异，网络通讯产品不断朝着</w:t>
      </w:r>
      <w:r>
        <w:rPr>
          <w:spacing w:val="-64"/>
        </w:rPr>
        <w:t> </w:t>
      </w:r>
      <w:r>
        <w:rPr>
          <w:spacing w:val="-64"/>
        </w:rPr>
      </w:r>
      <w:r>
        <w:rPr>
          <w:spacing w:val="-2"/>
        </w:rPr>
        <w:t>多样性和复杂性的方向发展，对外包服务厂商的专业性提出了更高的要求，使得专业网络通讯产品制造企业相对于综合类电</w:t>
      </w:r>
      <w:r>
        <w:rPr>
          <w:spacing w:val="-64"/>
        </w:rPr>
        <w:t> </w:t>
      </w:r>
      <w:r>
        <w:rPr>
          <w:spacing w:val="-64"/>
        </w:rPr>
      </w:r>
      <w:r>
        <w:rPr/>
        <w:t>子制造外包服务厂商在该领域具有更多的优势。</w:t>
      </w:r>
    </w:p>
    <w:p>
      <w:pPr>
        <w:pStyle w:val="BodyText"/>
        <w:spacing w:line="304" w:lineRule="auto" w:before="19"/>
        <w:ind w:right="150" w:firstLine="346"/>
        <w:jc w:val="both"/>
      </w:pPr>
      <w:r>
        <w:rPr>
          <w:spacing w:val="-2"/>
        </w:rPr>
        <w:t>随着信息科学技术的迅猛发展，互联网在加速信息交流、促进知识创新、推动经济发展、丰富人们生活和扩展视野方面</w:t>
      </w:r>
      <w:r>
        <w:rPr/>
        <w:t> </w:t>
      </w:r>
      <w:r>
        <w:rPr>
          <w:spacing w:val="-1"/>
        </w:rPr>
        <w:t>起着广泛的作用，网络成为人们工作和生活中不可或缺的工具。市场调研机构</w:t>
      </w:r>
      <w:r>
        <w:rPr>
          <w:rFonts w:ascii="Times New Roman" w:hAnsi="Times New Roman" w:cs="Times New Roman" w:eastAsia="Times New Roman" w:hint="default"/>
          <w:spacing w:val="-1"/>
        </w:rPr>
        <w:t>iSuplli</w:t>
      </w:r>
      <w:r>
        <w:rPr>
          <w:spacing w:val="-1"/>
        </w:rPr>
        <w:t>预测，</w:t>
      </w:r>
      <w:r>
        <w:rPr>
          <w:rFonts w:ascii="Times New Roman" w:hAnsi="Times New Roman" w:cs="Times New Roman" w:eastAsia="Times New Roman" w:hint="default"/>
          <w:spacing w:val="-1"/>
        </w:rPr>
        <w:t>2017</w:t>
      </w:r>
      <w:r>
        <w:rPr>
          <w:spacing w:val="-1"/>
        </w:rPr>
        <w:t>年全球宽带接入用户数量可</w:t>
      </w:r>
      <w:r>
        <w:rPr>
          <w:spacing w:val="-58"/>
        </w:rPr>
        <w:t> </w:t>
      </w:r>
      <w:r>
        <w:rPr>
          <w:spacing w:val="-58"/>
        </w:rPr>
      </w:r>
      <w:r>
        <w:rPr/>
        <w:t>达</w:t>
      </w:r>
      <w:r>
        <w:rPr>
          <w:rFonts w:ascii="Times New Roman" w:hAnsi="Times New Roman" w:cs="Times New Roman" w:eastAsia="Times New Roman" w:hint="default"/>
        </w:rPr>
        <w:t>9.76</w:t>
      </w:r>
      <w:r>
        <w:rPr/>
        <w:t>亿户，较</w:t>
      </w:r>
      <w:r>
        <w:rPr>
          <w:rFonts w:ascii="Times New Roman" w:hAnsi="Times New Roman" w:cs="Times New Roman" w:eastAsia="Times New Roman" w:hint="default"/>
        </w:rPr>
        <w:t>2012</w:t>
      </w:r>
      <w:r>
        <w:rPr/>
        <w:t>年末增长</w:t>
      </w:r>
      <w:r>
        <w:rPr>
          <w:rFonts w:ascii="Times New Roman" w:hAnsi="Times New Roman" w:cs="Times New Roman" w:eastAsia="Times New Roman" w:hint="default"/>
        </w:rPr>
        <w:t>50.13%</w:t>
      </w:r>
      <w:r>
        <w:rPr/>
        <w:t>；中国家庭宽带渗透率从</w:t>
      </w:r>
      <w:r>
        <w:rPr>
          <w:rFonts w:ascii="Times New Roman" w:hAnsi="Times New Roman" w:cs="Times New Roman" w:eastAsia="Times New Roman" w:hint="default"/>
        </w:rPr>
        <w:t>2009</w:t>
      </w:r>
      <w:r>
        <w:rPr/>
        <w:t>年末的</w:t>
      </w:r>
      <w:r>
        <w:rPr>
          <w:rFonts w:ascii="Times New Roman" w:hAnsi="Times New Roman" w:cs="Times New Roman" w:eastAsia="Times New Roman" w:hint="default"/>
        </w:rPr>
        <w:t>20%</w:t>
      </w:r>
      <w:r>
        <w:rPr/>
        <w:t>上涨至</w:t>
      </w:r>
      <w:r>
        <w:rPr>
          <w:rFonts w:ascii="Times New Roman" w:hAnsi="Times New Roman" w:cs="Times New Roman" w:eastAsia="Times New Roman" w:hint="default"/>
        </w:rPr>
        <w:t>2012</w:t>
      </w:r>
      <w:r>
        <w:rPr/>
        <w:t>年末的</w:t>
      </w:r>
      <w:r>
        <w:rPr>
          <w:rFonts w:ascii="Times New Roman" w:hAnsi="Times New Roman" w:cs="Times New Roman" w:eastAsia="Times New Roman" w:hint="default"/>
        </w:rPr>
        <w:t>32%</w:t>
      </w:r>
      <w:r>
        <w:rPr/>
        <w:t>，预计到</w:t>
      </w:r>
      <w:r>
        <w:rPr>
          <w:rFonts w:ascii="Times New Roman" w:hAnsi="Times New Roman" w:cs="Times New Roman" w:eastAsia="Times New Roman" w:hint="default"/>
        </w:rPr>
        <w:t>2017</w:t>
      </w:r>
      <w:r>
        <w:rPr/>
        <w:t>年末可达 </w:t>
      </w:r>
      <w:r>
        <w:rPr>
          <w:rFonts w:ascii="Times New Roman" w:hAnsi="Times New Roman" w:cs="Times New Roman" w:eastAsia="Times New Roman" w:hint="default"/>
          <w:spacing w:val="-1"/>
        </w:rPr>
        <w:t>44%</w:t>
      </w:r>
      <w:r>
        <w:rPr>
          <w:spacing w:val="-1"/>
        </w:rPr>
        <w:t>。近年来，我国网络建设快速发展，城乡接入网络的覆盖率进一步提高，促进了网民数量的快速增长。中国互联网络信</w:t>
      </w:r>
      <w:r>
        <w:rPr>
          <w:spacing w:val="-88"/>
        </w:rPr>
        <w:t> </w:t>
      </w:r>
      <w:r>
        <w:rPr>
          <w:spacing w:val="-88"/>
        </w:rPr>
      </w:r>
      <w:r>
        <w:rPr/>
        <w:t>息中心（</w:t>
      </w:r>
      <w:r>
        <w:rPr>
          <w:rFonts w:ascii="Times New Roman" w:hAnsi="Times New Roman" w:cs="Times New Roman" w:eastAsia="Times New Roman" w:hint="default"/>
        </w:rPr>
        <w:t>CNNIC</w:t>
      </w:r>
      <w:r>
        <w:rPr/>
        <w:t>）统计显示，我国网民规模从</w:t>
      </w:r>
      <w:r>
        <w:rPr>
          <w:rFonts w:ascii="Times New Roman" w:hAnsi="Times New Roman" w:cs="Times New Roman" w:eastAsia="Times New Roman" w:hint="default"/>
        </w:rPr>
        <w:t>2008</w:t>
      </w:r>
      <w:r>
        <w:rPr/>
        <w:t>年的</w:t>
      </w:r>
      <w:r>
        <w:rPr>
          <w:rFonts w:ascii="Times New Roman" w:hAnsi="Times New Roman" w:cs="Times New Roman" w:eastAsia="Times New Roman" w:hint="default"/>
        </w:rPr>
        <w:t>2.98</w:t>
      </w:r>
      <w:r>
        <w:rPr/>
        <w:t>亿增至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月的</w:t>
      </w:r>
      <w:r>
        <w:rPr>
          <w:rFonts w:ascii="Times New Roman" w:hAnsi="Times New Roman" w:cs="Times New Roman" w:eastAsia="Times New Roman" w:hint="default"/>
        </w:rPr>
        <w:t>6.88</w:t>
      </w:r>
      <w:r>
        <w:rPr/>
        <w:t>亿，互联网普及率达到</w:t>
      </w:r>
      <w:r>
        <w:rPr>
          <w:rFonts w:ascii="Times New Roman" w:hAnsi="Times New Roman" w:cs="Times New Roman" w:eastAsia="Times New Roman" w:hint="default"/>
        </w:rPr>
        <w:t>50.3%</w:t>
      </w:r>
      <w:r>
        <w:rPr/>
        <w:t>。</w:t>
      </w:r>
    </w:p>
    <w:p>
      <w:pPr>
        <w:spacing w:line="240" w:lineRule="auto" w:before="3"/>
        <w:rPr>
          <w:rFonts w:ascii="宋体" w:hAnsi="宋体" w:cs="宋体" w:eastAsia="宋体" w:hint="default"/>
          <w:sz w:val="5"/>
          <w:szCs w:val="5"/>
        </w:rPr>
      </w:pPr>
    </w:p>
    <w:p>
      <w:pPr>
        <w:spacing w:line="4545" w:lineRule="exact"/>
        <w:ind w:left="498"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5020310" cy="28860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5020310" cy="2886075"/>
                    </a:xfrm>
                    <a:prstGeom prst="rect">
                      <a:avLst/>
                    </a:prstGeom>
                  </pic:spPr>
                </pic:pic>
              </a:graphicData>
            </a:graphic>
          </wp:inline>
        </w:drawing>
      </w:r>
      <w:r>
        <w:rPr>
          <w:rFonts w:ascii="宋体" w:hAnsi="宋体" w:cs="宋体" w:eastAsia="宋体" w:hint="default"/>
          <w:position w:val="-90"/>
          <w:sz w:val="20"/>
          <w:szCs w:val="20"/>
        </w:rPr>
      </w:r>
    </w:p>
    <w:p>
      <w:pPr>
        <w:pStyle w:val="BodyText"/>
        <w:spacing w:line="300" w:lineRule="auto" w:before="77"/>
        <w:ind w:left="498" w:right="153" w:firstLine="14"/>
        <w:jc w:val="left"/>
      </w:pPr>
      <w:r>
        <w:rPr>
          <w:rFonts w:ascii="Times New Roman" w:hAnsi="Times New Roman" w:cs="Times New Roman" w:eastAsia="Times New Roman" w:hint="default"/>
        </w:rPr>
        <w:t>2</w:t>
      </w:r>
      <w:r>
        <w:rPr/>
        <w:t>、消费电子市场 </w:t>
      </w:r>
      <w:r>
        <w:rPr>
          <w:spacing w:val="-2"/>
        </w:rPr>
        <w:t>近年来，视频、移动和无线等新技术促使智能手机、平板电脑等产品不断涌现，消费电子产业新兴领域快速成长，产业</w:t>
      </w:r>
    </w:p>
    <w:p>
      <w:pPr>
        <w:pStyle w:val="BodyText"/>
        <w:spacing w:line="300" w:lineRule="auto" w:before="31"/>
        <w:ind w:right="146"/>
        <w:jc w:val="both"/>
      </w:pPr>
      <w:r>
        <w:rPr>
          <w:spacing w:val="-1"/>
        </w:rPr>
        <w:t>始终保持活跃。以手机为例，根据工信部《</w:t>
      </w:r>
      <w:r>
        <w:rPr>
          <w:rFonts w:ascii="Times New Roman" w:hAnsi="Times New Roman" w:cs="Times New Roman" w:eastAsia="Times New Roman" w:hint="default"/>
          <w:spacing w:val="-1"/>
        </w:rPr>
        <w:t>2014</w:t>
      </w:r>
      <w:r>
        <w:rPr>
          <w:spacing w:val="-1"/>
        </w:rPr>
        <w:t>年手机行业发展回顾及展望》，</w:t>
      </w:r>
      <w:r>
        <w:rPr>
          <w:rFonts w:ascii="Times New Roman" w:hAnsi="Times New Roman" w:cs="Times New Roman" w:eastAsia="Times New Roman" w:hint="default"/>
          <w:spacing w:val="-1"/>
        </w:rPr>
        <w:t>2014</w:t>
      </w:r>
      <w:r>
        <w:rPr>
          <w:spacing w:val="-1"/>
        </w:rPr>
        <w:t>年我国手机整体产量达到</w:t>
      </w:r>
      <w:r>
        <w:rPr>
          <w:rFonts w:ascii="Times New Roman" w:hAnsi="Times New Roman" w:cs="Times New Roman" w:eastAsia="Times New Roman" w:hint="default"/>
          <w:spacing w:val="-1"/>
        </w:rPr>
        <w:t>16.3</w:t>
      </w:r>
      <w:r>
        <w:rPr>
          <w:spacing w:val="-1"/>
        </w:rPr>
        <w:t>亿部，同</w:t>
      </w:r>
      <w:r>
        <w:rPr>
          <w:spacing w:val="-74"/>
        </w:rPr>
        <w:t> </w:t>
      </w:r>
      <w:r>
        <w:rPr>
          <w:spacing w:val="-74"/>
        </w:rPr>
      </w:r>
      <w:r>
        <w:rPr/>
        <w:t>比增长</w:t>
      </w:r>
      <w:r>
        <w:rPr>
          <w:rFonts w:ascii="Times New Roman" w:hAnsi="Times New Roman" w:cs="Times New Roman" w:eastAsia="Times New Roman" w:hint="default"/>
        </w:rPr>
        <w:t>6.8%</w:t>
      </w:r>
      <w:r>
        <w:rPr/>
        <w:t>；</w:t>
      </w:r>
      <w:r>
        <w:rPr>
          <w:rFonts w:ascii="Times New Roman" w:hAnsi="Times New Roman" w:cs="Times New Roman" w:eastAsia="Times New Roman" w:hint="default"/>
        </w:rPr>
        <w:t>2014</w:t>
      </w:r>
      <w:r>
        <w:rPr/>
        <w:t>年，我国手机出口量和出口额呈同步增长态势，我国手机出口</w:t>
      </w:r>
      <w:r>
        <w:rPr>
          <w:rFonts w:ascii="Times New Roman" w:hAnsi="Times New Roman" w:cs="Times New Roman" w:eastAsia="Times New Roman" w:hint="default"/>
        </w:rPr>
        <w:t>13.1</w:t>
      </w:r>
      <w:r>
        <w:rPr/>
        <w:t>亿部，同比增长</w:t>
      </w:r>
      <w:r>
        <w:rPr>
          <w:rFonts w:ascii="Times New Roman" w:hAnsi="Times New Roman" w:cs="Times New Roman" w:eastAsia="Times New Roman" w:hint="default"/>
        </w:rPr>
        <w:t>10.5%</w:t>
      </w:r>
      <w:r>
        <w:rPr/>
        <w:t>；出口额</w:t>
      </w:r>
      <w:r>
        <w:rPr>
          <w:rFonts w:ascii="Times New Roman" w:hAnsi="Times New Roman" w:cs="Times New Roman" w:eastAsia="Times New Roman" w:hint="default"/>
        </w:rPr>
        <w:t>1,153.6</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亿美元，同比增长</w:t>
      </w:r>
      <w:r>
        <w:rPr>
          <w:rFonts w:ascii="Times New Roman" w:hAnsi="Times New Roman" w:cs="Times New Roman" w:eastAsia="Times New Roman" w:hint="default"/>
        </w:rPr>
        <w:t>21.3%</w:t>
      </w:r>
      <w:r>
        <w:rPr/>
        <w:t>，高于电子信息产品整体出口增速</w:t>
      </w:r>
      <w:r>
        <w:rPr>
          <w:rFonts w:ascii="Times New Roman" w:hAnsi="Times New Roman" w:cs="Times New Roman" w:eastAsia="Times New Roman" w:hint="default"/>
        </w:rPr>
        <w:t>20</w:t>
      </w:r>
      <w:r>
        <w:rPr/>
        <w:t>个百分点。同时，我国已成为全球消费电子产品的制造大国， 包括智能手机、平板电脑在内的消费电子产品出货量增长可为国内电子制造外包服务行业提供持续的订单。</w:t>
      </w:r>
    </w:p>
    <w:p>
      <w:pPr>
        <w:pStyle w:val="Heading4"/>
        <w:spacing w:line="240" w:lineRule="auto" w:before="31"/>
        <w:ind w:left="494" w:right="496"/>
        <w:jc w:val="center"/>
        <w:rPr>
          <w:b w:val="0"/>
          <w:bCs w:val="0"/>
        </w:rPr>
      </w:pPr>
      <w:r>
        <w:rPr/>
        <w:t>全球智能手机、平板电脑出货量情况</w:t>
      </w:r>
      <w:r>
        <w:rPr>
          <w:b w:val="0"/>
          <w:bCs w:val="0"/>
        </w:rPr>
      </w:r>
    </w:p>
    <w:p>
      <w:pPr>
        <w:pStyle w:val="BodyText"/>
        <w:spacing w:line="240" w:lineRule="auto" w:before="74"/>
        <w:ind w:left="0" w:right="151"/>
        <w:jc w:val="right"/>
      </w:pPr>
      <w:r>
        <w:rPr/>
        <w:t>单位：百万部</w:t>
      </w:r>
    </w:p>
    <w:p>
      <w:pPr>
        <w:spacing w:after="0" w:line="240" w:lineRule="auto"/>
        <w:jc w:val="righ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2"/>
          <w:szCs w:val="12"/>
        </w:rPr>
      </w:pPr>
    </w:p>
    <w:p>
      <w:pPr>
        <w:spacing w:line="4252" w:lineRule="exact"/>
        <w:ind w:left="498"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4546873" cy="2700337"/>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3" cstate="print"/>
                    <a:stretch>
                      <a:fillRect/>
                    </a:stretch>
                  </pic:blipFill>
                  <pic:spPr>
                    <a:xfrm>
                      <a:off x="0" y="0"/>
                      <a:ext cx="4546873" cy="2700337"/>
                    </a:xfrm>
                    <a:prstGeom prst="rect">
                      <a:avLst/>
                    </a:prstGeom>
                  </pic:spPr>
                </pic:pic>
              </a:graphicData>
            </a:graphic>
          </wp:inline>
        </w:drawing>
      </w:r>
      <w:r>
        <w:rPr>
          <w:rFonts w:ascii="宋体" w:hAnsi="宋体" w:cs="宋体" w:eastAsia="宋体" w:hint="default"/>
          <w:position w:val="-84"/>
          <w:sz w:val="20"/>
          <w:szCs w:val="20"/>
        </w:rPr>
      </w:r>
    </w:p>
    <w:p>
      <w:pPr>
        <w:pStyle w:val="BodyText"/>
        <w:spacing w:line="240" w:lineRule="auto" w:before="79"/>
        <w:ind w:left="0" w:right="1602"/>
        <w:jc w:val="right"/>
        <w:rPr>
          <w:rFonts w:ascii="Times New Roman" w:hAnsi="Times New Roman" w:cs="Times New Roman" w:eastAsia="Times New Roman" w:hint="default"/>
        </w:rPr>
      </w:pPr>
      <w:r>
        <w:rPr>
          <w:spacing w:val="-1"/>
        </w:rPr>
        <w:t>资料来源：</w:t>
      </w:r>
      <w:r>
        <w:rPr>
          <w:rFonts w:ascii="Times New Roman" w:hAnsi="Times New Roman" w:cs="Times New Roman" w:eastAsia="Times New Roman" w:hint="default"/>
          <w:spacing w:val="-1"/>
        </w:rPr>
        <w:t>WIND</w:t>
      </w:r>
    </w:p>
    <w:p>
      <w:pPr>
        <w:pStyle w:val="BodyText"/>
        <w:spacing w:line="240" w:lineRule="auto" w:before="63"/>
        <w:ind w:left="498" w:right="93"/>
        <w:jc w:val="left"/>
      </w:pPr>
      <w:r>
        <w:rPr>
          <w:rFonts w:ascii="Times New Roman" w:hAnsi="Times New Roman" w:cs="Times New Roman" w:eastAsia="Times New Roman" w:hint="default"/>
        </w:rPr>
        <w:t>3</w:t>
      </w:r>
      <w:r>
        <w:rPr/>
        <w:t>、智能硬件产品市场</w:t>
      </w:r>
    </w:p>
    <w:p>
      <w:pPr>
        <w:pStyle w:val="BodyText"/>
        <w:spacing w:line="316" w:lineRule="auto" w:before="63"/>
        <w:ind w:right="192" w:firstLine="346"/>
        <w:jc w:val="both"/>
      </w:pPr>
      <w:r>
        <w:rPr>
          <w:spacing w:val="-2"/>
        </w:rPr>
        <w:t>新一代信息技术与制造业深度融合，正在引发影响深远的产业变革，形成新的生产方式、产业形态、商业模式和经济增</w:t>
      </w:r>
      <w:r>
        <w:rPr/>
        <w:t> </w:t>
      </w:r>
      <w:r>
        <w:rPr>
          <w:spacing w:val="-2"/>
        </w:rPr>
        <w:t>长点，特别是创新的可穿戴智能产品、智能家居等智能产品不断涌现，成为电子制造行业必须高度关注的新领域。同时，智</w:t>
      </w:r>
      <w:r>
        <w:rPr>
          <w:spacing w:val="-67"/>
        </w:rPr>
        <w:t> </w:t>
      </w:r>
      <w:r>
        <w:rPr>
          <w:spacing w:val="-67"/>
        </w:rPr>
      </w:r>
      <w:r>
        <w:rPr/>
        <w:t>能可穿戴、智能家居等智能硬件的应用正在悄然改变人类生活，智能产品的快速发展已成为了不可逆的时代趋势。</w:t>
      </w:r>
    </w:p>
    <w:p>
      <w:pPr>
        <w:pStyle w:val="BodyText"/>
        <w:spacing w:line="300" w:lineRule="auto" w:before="19"/>
        <w:ind w:right="100" w:firstLine="346"/>
        <w:jc w:val="left"/>
      </w:pPr>
      <w:r>
        <w:rPr/>
        <w:t>根据艾媒咨询预计，</w:t>
      </w:r>
      <w:r>
        <w:rPr>
          <w:rFonts w:ascii="Times New Roman" w:hAnsi="Times New Roman" w:cs="Times New Roman" w:eastAsia="Times New Roman" w:hint="default"/>
        </w:rPr>
        <w:t>2015</w:t>
      </w:r>
      <w:r>
        <w:rPr/>
        <w:t>年中国市场可穿戴设备出货量将超过</w:t>
      </w:r>
      <w:r>
        <w:rPr>
          <w:rFonts w:ascii="Times New Roman" w:hAnsi="Times New Roman" w:cs="Times New Roman" w:eastAsia="Times New Roman" w:hint="default"/>
        </w:rPr>
        <w:t>4,000</w:t>
      </w:r>
      <w:r>
        <w:rPr/>
        <w:t>万部，市场规模达到</w:t>
      </w:r>
      <w:r>
        <w:rPr>
          <w:rFonts w:ascii="Times New Roman" w:hAnsi="Times New Roman" w:cs="Times New Roman" w:eastAsia="Times New Roman" w:hint="default"/>
        </w:rPr>
        <w:t>114.9</w:t>
      </w:r>
      <w:r>
        <w:rPr/>
        <w:t>亿元；</w:t>
      </w:r>
      <w:r>
        <w:rPr>
          <w:rFonts w:ascii="Times New Roman" w:hAnsi="Times New Roman" w:cs="Times New Roman" w:eastAsia="Times New Roman" w:hint="default"/>
        </w:rPr>
        <w:t>2018</w:t>
      </w:r>
      <w:r>
        <w:rPr/>
        <w:t>年全球可穿戴 设备出货量将达到</w:t>
      </w:r>
      <w:r>
        <w:rPr>
          <w:rFonts w:ascii="Times New Roman" w:hAnsi="Times New Roman" w:cs="Times New Roman" w:eastAsia="Times New Roman" w:hint="default"/>
        </w:rPr>
        <w:t>4.85</w:t>
      </w:r>
      <w:r>
        <w:rPr/>
        <w:t>亿台，</w:t>
      </w:r>
      <w:r>
        <w:rPr>
          <w:rFonts w:ascii="Times New Roman" w:hAnsi="Times New Roman" w:cs="Times New Roman" w:eastAsia="Times New Roman" w:hint="default"/>
        </w:rPr>
        <w:t>2012-2018</w:t>
      </w:r>
      <w:r>
        <w:rPr/>
        <w:t>年间复合增长率达</w:t>
      </w:r>
      <w:r>
        <w:rPr>
          <w:rFonts w:ascii="Times New Roman" w:hAnsi="Times New Roman" w:cs="Times New Roman" w:eastAsia="Times New Roman" w:hint="default"/>
        </w:rPr>
        <w:t>59%</w:t>
      </w:r>
      <w:r>
        <w:rPr/>
        <w:t>。根据中国信息通信研究院发布的《可穿戴设备研究报告》， </w:t>
      </w:r>
      <w:r>
        <w:rPr>
          <w:rFonts w:ascii="Times New Roman" w:hAnsi="Times New Roman" w:cs="Times New Roman" w:eastAsia="Times New Roman" w:hint="default"/>
          <w:spacing w:val="-1"/>
        </w:rPr>
        <w:t>2015</w:t>
      </w:r>
      <w:r>
        <w:rPr>
          <w:spacing w:val="-1"/>
        </w:rPr>
        <w:t>年中国智能可穿戴设备市场规模为</w:t>
      </w:r>
      <w:r>
        <w:rPr>
          <w:rFonts w:ascii="Times New Roman" w:hAnsi="Times New Roman" w:cs="Times New Roman" w:eastAsia="Times New Roman" w:hint="default"/>
          <w:spacing w:val="-1"/>
        </w:rPr>
        <w:t>125.8</w:t>
      </w:r>
      <w:r>
        <w:rPr>
          <w:spacing w:val="-1"/>
        </w:rPr>
        <w:t>亿元，增速高达</w:t>
      </w:r>
      <w:r>
        <w:rPr>
          <w:rFonts w:ascii="Times New Roman" w:hAnsi="Times New Roman" w:cs="Times New Roman" w:eastAsia="Times New Roman" w:hint="default"/>
          <w:spacing w:val="-1"/>
        </w:rPr>
        <w:t>471.8%</w:t>
      </w:r>
      <w:r>
        <w:rPr>
          <w:spacing w:val="-1"/>
        </w:rPr>
        <w:t>，从</w:t>
      </w:r>
      <w:r>
        <w:rPr>
          <w:rFonts w:ascii="Times New Roman" w:hAnsi="Times New Roman" w:cs="Times New Roman" w:eastAsia="Times New Roman" w:hint="default"/>
          <w:spacing w:val="-1"/>
        </w:rPr>
        <w:t>2016</w:t>
      </w:r>
      <w:r>
        <w:rPr>
          <w:spacing w:val="-1"/>
        </w:rPr>
        <w:t>年开始，部分垂直领域的巨大潜力将开始释放，</w:t>
      </w:r>
      <w:r>
        <w:rPr>
          <w:spacing w:val="-86"/>
        </w:rPr>
        <w:t> </w:t>
      </w:r>
      <w:r>
        <w:rPr>
          <w:spacing w:val="-86"/>
        </w:rPr>
      </w:r>
      <w:r>
        <w:rPr/>
        <w:t>可穿戴市场将正式进入启动期，预计</w:t>
      </w:r>
      <w:r>
        <w:rPr>
          <w:rFonts w:ascii="Times New Roman" w:hAnsi="Times New Roman" w:cs="Times New Roman" w:eastAsia="Times New Roman" w:hint="default"/>
        </w:rPr>
        <w:t>2016</w:t>
      </w:r>
      <w:r>
        <w:rPr/>
        <w:t>年可穿戴市场规模将达到</w:t>
      </w:r>
      <w:r>
        <w:rPr>
          <w:rFonts w:ascii="Times New Roman" w:hAnsi="Times New Roman" w:cs="Times New Roman" w:eastAsia="Times New Roman" w:hint="default"/>
        </w:rPr>
        <w:t>200</w:t>
      </w:r>
      <w:r>
        <w:rPr/>
        <w:t>亿元。此外，</w:t>
      </w:r>
      <w:r>
        <w:rPr>
          <w:rFonts w:ascii="Times New Roman" w:hAnsi="Times New Roman" w:cs="Times New Roman" w:eastAsia="Times New Roman" w:hint="default"/>
        </w:rPr>
        <w:t>IMS Research</w:t>
      </w:r>
      <w:r>
        <w:rPr/>
        <w:t>预测中国智能家居将持续</w:t>
      </w:r>
      <w:r>
        <w:rPr>
          <w:spacing w:val="-81"/>
        </w:rPr>
        <w:t> </w:t>
      </w:r>
      <w:r>
        <w:rPr>
          <w:spacing w:val="-81"/>
        </w:rPr>
      </w:r>
      <w:r>
        <w:rPr/>
        <w:t>保持高增长态势，</w:t>
      </w:r>
      <w:r>
        <w:rPr>
          <w:rFonts w:ascii="Times New Roman" w:hAnsi="Times New Roman" w:cs="Times New Roman" w:eastAsia="Times New Roman" w:hint="default"/>
        </w:rPr>
        <w:t>2015</w:t>
      </w:r>
      <w:r>
        <w:rPr/>
        <w:t>年产业规模就将达到</w:t>
      </w:r>
      <w:r>
        <w:rPr>
          <w:rFonts w:ascii="Times New Roman" w:hAnsi="Times New Roman" w:cs="Times New Roman" w:eastAsia="Times New Roman" w:hint="default"/>
        </w:rPr>
        <w:t>1,240</w:t>
      </w:r>
      <w:r>
        <w:rPr/>
        <w:t>亿元左右，到</w:t>
      </w:r>
      <w:r>
        <w:rPr>
          <w:rFonts w:ascii="Times New Roman" w:hAnsi="Times New Roman" w:cs="Times New Roman" w:eastAsia="Times New Roman" w:hint="default"/>
        </w:rPr>
        <w:t>2018</w:t>
      </w:r>
      <w:r>
        <w:rPr/>
        <w:t>年市场规模或将达到</w:t>
      </w:r>
      <w:r>
        <w:rPr>
          <w:rFonts w:ascii="Times New Roman" w:hAnsi="Times New Roman" w:cs="Times New Roman" w:eastAsia="Times New Roman" w:hint="default"/>
        </w:rPr>
        <w:t>1,396</w:t>
      </w:r>
      <w:r>
        <w:rPr/>
        <w:t>亿元，占全球智能家居市场规</w:t>
      </w:r>
      <w:r>
        <w:rPr>
          <w:spacing w:val="-87"/>
        </w:rPr>
        <w:t> </w:t>
      </w:r>
      <w:r>
        <w:rPr/>
        <w:t>模的</w:t>
      </w:r>
      <w:r>
        <w:rPr>
          <w:rFonts w:ascii="Times New Roman" w:hAnsi="Times New Roman" w:cs="Times New Roman" w:eastAsia="Times New Roman" w:hint="default"/>
        </w:rPr>
        <w:t>32%</w:t>
      </w:r>
      <w:r>
        <w:rPr/>
        <w:t>左右，中国将成为全球最重要的智能家居市场之一。</w:t>
      </w:r>
    </w:p>
    <w:p>
      <w:pPr>
        <w:pStyle w:val="BodyText"/>
        <w:spacing w:line="240" w:lineRule="auto" w:before="13"/>
        <w:ind w:left="498" w:right="93"/>
        <w:jc w:val="left"/>
      </w:pPr>
      <w:r>
        <w:rPr>
          <w:rFonts w:ascii="Times New Roman" w:hAnsi="Times New Roman" w:cs="Times New Roman" w:eastAsia="Times New Roman" w:hint="default"/>
        </w:rPr>
        <w:t>4</w:t>
      </w:r>
      <w:r>
        <w:rPr/>
        <w:t>、智能制造加速发展</w:t>
      </w:r>
    </w:p>
    <w:p>
      <w:pPr>
        <w:pStyle w:val="BodyText"/>
        <w:spacing w:line="309" w:lineRule="auto" w:before="63"/>
        <w:ind w:right="189" w:firstLine="346"/>
        <w:jc w:val="both"/>
      </w:pPr>
      <w:r>
        <w:rPr>
          <w:rFonts w:ascii="Times New Roman" w:hAnsi="Times New Roman" w:cs="Times New Roman" w:eastAsia="Times New Roman" w:hint="default"/>
          <w:spacing w:val="-1"/>
        </w:rPr>
        <w:t>2015</w:t>
      </w:r>
      <w:r>
        <w:rPr>
          <w:spacing w:val="-1"/>
        </w:rPr>
        <w:t>年以来，智能制造受到前所未有的政策重视。《中国制造</w:t>
      </w:r>
      <w:r>
        <w:rPr>
          <w:rFonts w:ascii="Times New Roman" w:hAnsi="Times New Roman" w:cs="Times New Roman" w:eastAsia="Times New Roman" w:hint="default"/>
          <w:spacing w:val="-1"/>
        </w:rPr>
        <w:t>2025</w:t>
      </w:r>
      <w:r>
        <w:rPr>
          <w:spacing w:val="-1"/>
        </w:rPr>
        <w:t>》、</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行动重点部署智能制造，提出大力发展</w:t>
      </w:r>
      <w:r>
        <w:rPr/>
        <w:t> 智能制造，开展智能制造试点示范，实施智能制造重大工程等，重点推进制造过程智能化。中德智能制造和工业</w:t>
      </w:r>
      <w:r>
        <w:rPr>
          <w:rFonts w:ascii="Times New Roman" w:hAnsi="Times New Roman" w:cs="Times New Roman" w:eastAsia="Times New Roman" w:hint="default"/>
        </w:rPr>
        <w:t>4.0</w:t>
      </w:r>
      <w:r>
        <w:rPr/>
        <w:t>合作迈</w:t>
      </w:r>
      <w:r>
        <w:rPr>
          <w:spacing w:val="-38"/>
        </w:rPr>
        <w:t> </w:t>
      </w:r>
      <w:r>
        <w:rPr>
          <w:spacing w:val="-38"/>
        </w:rPr>
      </w:r>
      <w:r>
        <w:rPr>
          <w:spacing w:val="-2"/>
        </w:rPr>
        <w:t>入实际性阶段，经常性工作机制正式建立。以智能工厂、数字化车间、智能制造技术应用及大规模个性化定制、网络协同开</w:t>
      </w:r>
      <w:r>
        <w:rPr>
          <w:spacing w:val="-67"/>
        </w:rPr>
        <w:t> </w:t>
      </w:r>
      <w:r>
        <w:rPr>
          <w:spacing w:val="-67"/>
        </w:rPr>
      </w:r>
      <w:r>
        <w:rPr>
          <w:spacing w:val="-2"/>
        </w:rPr>
        <w:t>发、在线监测、远程诊断与云服务等为代表的新业态新模式快速发展，工业机器人、服务机器人、新型传感器、智能仪器仪</w:t>
      </w:r>
      <w:r>
        <w:rPr>
          <w:spacing w:val="-67"/>
        </w:rPr>
        <w:t> </w:t>
      </w:r>
      <w:r>
        <w:rPr>
          <w:spacing w:val="-67"/>
        </w:rPr>
      </w:r>
      <w:r>
        <w:rPr/>
        <w:t>表与控制系统、可穿戴设备、智能家电、智能电网等智能装备和产品的应用不断拓展，需求规模呈快速扩大的态势。</w:t>
      </w:r>
    </w:p>
    <w:p>
      <w:pPr>
        <w:pStyle w:val="BodyText"/>
        <w:spacing w:line="312" w:lineRule="auto" w:before="24"/>
        <w:ind w:right="190" w:firstLine="346"/>
        <w:jc w:val="both"/>
      </w:pPr>
      <w:r>
        <w:rPr>
          <w:spacing w:val="-1"/>
        </w:rPr>
        <w:t>预计</w:t>
      </w:r>
      <w:r>
        <w:rPr>
          <w:rFonts w:ascii="Times New Roman" w:hAnsi="Times New Roman" w:cs="Times New Roman" w:eastAsia="Times New Roman" w:hint="default"/>
          <w:spacing w:val="-1"/>
        </w:rPr>
        <w:t>2016</w:t>
      </w:r>
      <w:r>
        <w:rPr>
          <w:spacing w:val="-1"/>
        </w:rPr>
        <w:t>年，随着</w:t>
      </w:r>
      <w:r>
        <w:rPr>
          <w:rFonts w:ascii="Times New Roman" w:hAnsi="Times New Roman" w:cs="Times New Roman" w:eastAsia="Times New Roman" w:hint="default"/>
          <w:spacing w:val="-1"/>
        </w:rPr>
        <w:t>“</w:t>
      </w:r>
      <w:r>
        <w:rPr>
          <w:spacing w:val="-1"/>
        </w:rPr>
        <w:t>十三五</w:t>
      </w:r>
      <w:r>
        <w:rPr>
          <w:rFonts w:ascii="Times New Roman" w:hAnsi="Times New Roman" w:cs="Times New Roman" w:eastAsia="Times New Roman" w:hint="default"/>
          <w:spacing w:val="-1"/>
        </w:rPr>
        <w:t>”</w:t>
      </w:r>
      <w:r>
        <w:rPr>
          <w:spacing w:val="-1"/>
        </w:rPr>
        <w:t>将智能制造提升到新的高度，各领域智能制造推进路线进一步明确，以及中德合作的进一步</w:t>
      </w:r>
      <w:r>
        <w:rPr/>
        <w:t> </w:t>
      </w:r>
      <w:r>
        <w:rPr>
          <w:spacing w:val="-2"/>
        </w:rPr>
        <w:t>加深，国家将构建开放、共享、协作的智能制造产业生态，推动生产装备智能化升级、工艺流程优化改造、基础数据全方位</w:t>
      </w:r>
      <w:r>
        <w:rPr>
          <w:spacing w:val="-68"/>
        </w:rPr>
        <w:t> </w:t>
      </w:r>
      <w:r>
        <w:rPr>
          <w:spacing w:val="-68"/>
        </w:rPr>
      </w:r>
      <w:r>
        <w:rPr>
          <w:spacing w:val="-2"/>
        </w:rPr>
        <w:t>共享及关键智能装备和产品、核心部件不断突破，促进新一代信息通信技术、高端装备、节能与新能源汽车、电力装备、农</w:t>
      </w:r>
      <w:r>
        <w:rPr>
          <w:spacing w:val="-69"/>
        </w:rPr>
        <w:t> </w:t>
      </w:r>
      <w:r>
        <w:rPr>
          <w:spacing w:val="-69"/>
        </w:rPr>
      </w:r>
      <w:r>
        <w:rPr/>
        <w:t>机装备、新材料、生物医药及高性能医疗器械等产业不断发展壮大，逐步形成新型制造体系。</w:t>
      </w:r>
    </w:p>
    <w:p>
      <w:pPr>
        <w:pStyle w:val="BodyText"/>
        <w:spacing w:line="316" w:lineRule="auto" w:before="22"/>
        <w:ind w:left="498" w:right="87"/>
        <w:jc w:val="left"/>
      </w:pPr>
      <w:r>
        <w:rPr/>
        <w:t>（二）公司的发展战略 </w:t>
      </w:r>
      <w:r>
        <w:rPr>
          <w:spacing w:val="-3"/>
        </w:rPr>
        <w:t>公司将把握中国电子制造外包服务行业快速发展的难得机遇，立足主业，巩固网络通讯及消费电子两大产品领域的成果，</w:t>
      </w:r>
    </w:p>
    <w:p>
      <w:pPr>
        <w:pStyle w:val="BodyText"/>
        <w:spacing w:line="240" w:lineRule="auto" w:before="19"/>
        <w:ind w:right="93"/>
        <w:jc w:val="left"/>
      </w:pPr>
      <w:r>
        <w:rPr/>
        <w:t>积极布局新兴智能硬件产品，深化智能制造，坚持</w:t>
      </w:r>
      <w:r>
        <w:rPr>
          <w:rFonts w:ascii="Times New Roman" w:hAnsi="Times New Roman" w:cs="Times New Roman" w:eastAsia="Times New Roman" w:hint="default"/>
        </w:rPr>
        <w:t>“ODM+EMS”</w:t>
      </w:r>
      <w:r>
        <w:rPr/>
        <w:t>为主的业务模式，不断提升研发、精密制造与管理能力。</w:t>
      </w:r>
    </w:p>
    <w:p>
      <w:pPr>
        <w:pStyle w:val="BodyText"/>
        <w:spacing w:line="300" w:lineRule="auto" w:before="63"/>
        <w:ind w:right="194" w:firstLine="346"/>
        <w:jc w:val="both"/>
      </w:pPr>
      <w:r>
        <w:rPr>
          <w:rFonts w:ascii="Times New Roman" w:hAnsi="Times New Roman" w:cs="Times New Roman" w:eastAsia="Times New Roman" w:hint="default"/>
        </w:rPr>
        <w:t>1</w:t>
      </w:r>
      <w:r>
        <w:rPr/>
        <w:t>、继续推进技术研发，发挥资本优势，规模化投入、多品种并行，持续优化产品结构，长短兼顾、稳中求进。在网络 通讯、消费电子产品持续巩固和优化的基础上，大力发展移动互联、车联网、智能硬件等新兴产业市场。</w:t>
      </w:r>
    </w:p>
    <w:p>
      <w:pPr>
        <w:pStyle w:val="BodyText"/>
        <w:spacing w:line="300" w:lineRule="auto" w:before="31"/>
        <w:ind w:right="194" w:firstLine="346"/>
        <w:jc w:val="both"/>
      </w:pPr>
      <w:r>
        <w:rPr>
          <w:rFonts w:ascii="Times New Roman" w:hAnsi="Times New Roman" w:cs="Times New Roman" w:eastAsia="Times New Roman" w:hint="default"/>
        </w:rPr>
        <w:t>2</w:t>
      </w:r>
      <w:r>
        <w:rPr/>
        <w:t>、充分发挥多领域的技术积累和研发实力，抓住电子产品一体化、技术融合化的发展方向，增强对市场的快速响应能 力，强化技术创新能力，不断加快新兴技术应用。</w:t>
      </w:r>
    </w:p>
    <w:p>
      <w:pPr>
        <w:pStyle w:val="BodyText"/>
        <w:spacing w:line="240" w:lineRule="auto" w:before="31"/>
        <w:ind w:left="498" w:right="93"/>
        <w:jc w:val="left"/>
      </w:pPr>
      <w:r>
        <w:rPr>
          <w:rFonts w:ascii="Times New Roman" w:hAnsi="Times New Roman" w:cs="Times New Roman" w:eastAsia="Times New Roman" w:hint="default"/>
        </w:rPr>
        <w:t>3</w:t>
      </w:r>
      <w:r>
        <w:rPr/>
        <w:t>、加大自动化技术的应用推广，实现智能制造，进一步控制生产成本，提高产品毛利率。</w:t>
      </w:r>
    </w:p>
    <w:p>
      <w:pPr>
        <w:pStyle w:val="BodyText"/>
        <w:spacing w:line="240" w:lineRule="auto" w:before="62"/>
        <w:ind w:left="498" w:right="93"/>
        <w:jc w:val="left"/>
      </w:pPr>
      <w:r>
        <w:rPr>
          <w:rFonts w:ascii="Times New Roman" w:hAnsi="Times New Roman" w:cs="Times New Roman" w:eastAsia="Times New Roman" w:hint="default"/>
        </w:rPr>
        <w:t>4</w:t>
      </w:r>
      <w:r>
        <w:rPr/>
        <w:t>、提高资本运作能力，积极进行产业布局，提高公司综合竞争实力。</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498" w:right="161"/>
        <w:jc w:val="left"/>
      </w:pPr>
      <w:r>
        <w:rPr/>
        <w:t>（三）</w:t>
      </w:r>
      <w:r>
        <w:rPr>
          <w:rFonts w:ascii="Times New Roman" w:hAnsi="Times New Roman" w:cs="Times New Roman" w:eastAsia="Times New Roman" w:hint="default"/>
        </w:rPr>
        <w:t>2016</w:t>
      </w:r>
      <w:r>
        <w:rPr/>
        <w:t>年工作计划</w:t>
      </w:r>
    </w:p>
    <w:p>
      <w:pPr>
        <w:pStyle w:val="BodyText"/>
        <w:spacing w:line="300" w:lineRule="auto" w:before="63"/>
        <w:ind w:left="498" w:right="161"/>
        <w:jc w:val="left"/>
      </w:pPr>
      <w:r>
        <w:rPr>
          <w:rFonts w:ascii="Times New Roman" w:hAnsi="Times New Roman" w:cs="Times New Roman" w:eastAsia="Times New Roman" w:hint="default"/>
        </w:rPr>
        <w:t>1</w:t>
      </w:r>
      <w:r>
        <w:rPr/>
        <w:t>、公司总体目标 </w:t>
      </w:r>
      <w:r>
        <w:rPr>
          <w:spacing w:val="-1"/>
        </w:rPr>
        <w:t>公司的总体目标是将公司建设成</w:t>
      </w:r>
      <w:r>
        <w:rPr>
          <w:rFonts w:ascii="Times New Roman" w:hAnsi="Times New Roman" w:cs="Times New Roman" w:eastAsia="Times New Roman" w:hint="default"/>
          <w:spacing w:val="-1"/>
        </w:rPr>
        <w:t>“</w:t>
      </w:r>
      <w:r>
        <w:rPr>
          <w:spacing w:val="-1"/>
        </w:rPr>
        <w:t>专业化服务、全球化布局、国内行业的领导者</w:t>
      </w:r>
      <w:r>
        <w:rPr>
          <w:rFonts w:ascii="Times New Roman" w:hAnsi="Times New Roman" w:cs="Times New Roman" w:eastAsia="Times New Roman" w:hint="default"/>
          <w:spacing w:val="-1"/>
        </w:rPr>
        <w:t>”</w:t>
      </w:r>
      <w:r>
        <w:rPr>
          <w:spacing w:val="-1"/>
        </w:rPr>
        <w:t>，成为国内外一流品牌和运营商的重要</w:t>
      </w:r>
    </w:p>
    <w:p>
      <w:pPr>
        <w:pStyle w:val="BodyText"/>
        <w:spacing w:line="240" w:lineRule="auto" w:before="13"/>
        <w:ind w:right="0"/>
        <w:jc w:val="both"/>
      </w:pPr>
      <w:r>
        <w:rPr/>
        <w:t>合作伙伴，立足于社会、股东、企业和全体员工利益，充分运用技术和市场优势，成为优秀的公众公司。</w:t>
      </w:r>
    </w:p>
    <w:p>
      <w:pPr>
        <w:pStyle w:val="BodyText"/>
        <w:spacing w:line="240" w:lineRule="auto" w:before="117"/>
        <w:ind w:left="498" w:right="161"/>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年具体发展计划</w:t>
      </w:r>
    </w:p>
    <w:p>
      <w:pPr>
        <w:pStyle w:val="BodyText"/>
        <w:spacing w:line="240" w:lineRule="auto" w:before="101"/>
        <w:ind w:left="498" w:right="161"/>
        <w:jc w:val="left"/>
      </w:pPr>
      <w:r>
        <w:rPr/>
        <w:t>（</w:t>
      </w:r>
      <w:r>
        <w:rPr>
          <w:rFonts w:ascii="Times New Roman" w:hAnsi="Times New Roman" w:cs="Times New Roman" w:eastAsia="Times New Roman" w:hint="default"/>
        </w:rPr>
        <w:t>1</w:t>
      </w:r>
      <w:r>
        <w:rPr/>
        <w:t>）产品开发计划</w:t>
      </w:r>
    </w:p>
    <w:p>
      <w:pPr>
        <w:pStyle w:val="BodyText"/>
        <w:spacing w:line="316" w:lineRule="auto" w:before="103"/>
        <w:ind w:right="161" w:firstLine="346"/>
        <w:jc w:val="left"/>
      </w:pPr>
      <w:r>
        <w:rPr>
          <w:spacing w:val="-2"/>
        </w:rPr>
        <w:t>①巩固网络通讯类、消费电子类产品的研发成果，进一步完善和升级产品系列，寻求跨行业的应用组合，提高产品附加</w:t>
      </w:r>
      <w:r>
        <w:rPr/>
        <w:t> 值。</w:t>
      </w:r>
    </w:p>
    <w:p>
      <w:pPr>
        <w:pStyle w:val="BodyText"/>
        <w:spacing w:line="240" w:lineRule="auto" w:before="59"/>
        <w:ind w:left="498" w:right="161"/>
        <w:jc w:val="left"/>
      </w:pPr>
      <w:r>
        <w:rPr/>
        <w:t>②捕捉</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的产业变革机会，着力发展智能家居、移动互联、车联网、智能硬件等新兴产品。</w:t>
      </w:r>
    </w:p>
    <w:p>
      <w:pPr>
        <w:pStyle w:val="BodyText"/>
        <w:spacing w:line="240" w:lineRule="auto" w:before="101"/>
        <w:ind w:left="498" w:right="161"/>
        <w:jc w:val="left"/>
      </w:pPr>
      <w:r>
        <w:rPr/>
        <w:t>③加快自动化技术的应用和推广，为输出软硬一体的智能制造整体解决方案奠定基础。</w:t>
      </w:r>
    </w:p>
    <w:p>
      <w:pPr>
        <w:pStyle w:val="BodyText"/>
        <w:spacing w:line="340" w:lineRule="auto" w:before="117"/>
        <w:ind w:left="498" w:right="161"/>
        <w:jc w:val="left"/>
      </w:pPr>
      <w:r>
        <w:rPr/>
        <w:t>（</w:t>
      </w:r>
      <w:r>
        <w:rPr>
          <w:rFonts w:ascii="Times New Roman" w:hAnsi="Times New Roman" w:cs="Times New Roman" w:eastAsia="Times New Roman" w:hint="default"/>
        </w:rPr>
        <w:t>2</w:t>
      </w:r>
      <w:r>
        <w:rPr/>
        <w:t>）技术创新计划 </w:t>
      </w:r>
      <w:r>
        <w:rPr>
          <w:spacing w:val="-2"/>
        </w:rPr>
        <w:t>积极规划新产品，强化项目管理，力争早日全面实现智能制造，提升柔性制造能力，有效降低生产成本，为客户提供更</w:t>
      </w:r>
    </w:p>
    <w:p>
      <w:pPr>
        <w:pStyle w:val="BodyText"/>
        <w:spacing w:line="240" w:lineRule="auto" w:before="1"/>
        <w:ind w:right="0"/>
        <w:jc w:val="both"/>
      </w:pPr>
      <w:r>
        <w:rPr/>
        <w:t>为优质的综合制造服务。</w:t>
      </w:r>
    </w:p>
    <w:p>
      <w:pPr>
        <w:pStyle w:val="BodyText"/>
        <w:spacing w:line="240" w:lineRule="auto" w:before="115"/>
        <w:ind w:left="498" w:right="161"/>
        <w:jc w:val="left"/>
      </w:pPr>
      <w:r>
        <w:rPr/>
        <w:t>（</w:t>
      </w:r>
      <w:r>
        <w:rPr>
          <w:rFonts w:ascii="Times New Roman" w:hAnsi="Times New Roman" w:cs="Times New Roman" w:eastAsia="Times New Roman" w:hint="default"/>
        </w:rPr>
        <w:t>3</w:t>
      </w:r>
      <w:r>
        <w:rPr/>
        <w:t>）市场开发计划</w:t>
      </w:r>
    </w:p>
    <w:p>
      <w:pPr>
        <w:pStyle w:val="BodyText"/>
        <w:spacing w:line="300" w:lineRule="auto" w:before="103"/>
        <w:ind w:right="161" w:firstLine="346"/>
        <w:jc w:val="left"/>
      </w:pPr>
      <w:r>
        <w:rPr>
          <w:rFonts w:ascii="Times New Roman" w:hAnsi="Times New Roman" w:cs="Times New Roman" w:eastAsia="Times New Roman" w:hint="default"/>
          <w:spacing w:val="-1"/>
        </w:rPr>
        <w:t>“ODM+EMS”</w:t>
      </w:r>
      <w:r>
        <w:rPr>
          <w:spacing w:val="-1"/>
        </w:rPr>
        <w:t>的业务模式决定了公司将行业龙头企业作为目标客户，为其量身定制产品方案。根据不同的产品类别，公</w:t>
      </w:r>
      <w:r>
        <w:rPr/>
        <w:t> 司制定差异化的市场拓展措施：</w:t>
      </w:r>
    </w:p>
    <w:p>
      <w:pPr>
        <w:pStyle w:val="BodyText"/>
        <w:spacing w:line="357" w:lineRule="auto" w:before="72"/>
        <w:ind w:left="498" w:right="2428"/>
        <w:jc w:val="left"/>
      </w:pPr>
      <w:r>
        <w:rPr/>
        <w:t>①网络通讯类产品 围绕现有客户，深耕细作，利用成熟的市场经验，完成产业布局，进一步扩大销售区域。</w:t>
      </w:r>
    </w:p>
    <w:p>
      <w:pPr>
        <w:pStyle w:val="BodyText"/>
        <w:spacing w:line="360" w:lineRule="auto" w:before="29"/>
        <w:ind w:left="498" w:right="2788"/>
        <w:jc w:val="left"/>
      </w:pPr>
      <w:r>
        <w:rPr/>
        <w:t>②消费电子类产品 加大核心优质客户的导入力度，与国内外知名品牌商深度合作，积极完善产品系列。</w:t>
      </w:r>
    </w:p>
    <w:p>
      <w:pPr>
        <w:pStyle w:val="BodyText"/>
        <w:spacing w:line="360" w:lineRule="auto" w:before="25"/>
        <w:ind w:left="498" w:right="88"/>
        <w:jc w:val="left"/>
      </w:pPr>
      <w:r>
        <w:rPr/>
        <w:t>③智能产品 结合新兴业务的特点，积极拓展移动互联、车联网、可穿戴设备、智能家居等领域的业务，为公司未来发展奠定基础。</w:t>
      </w:r>
    </w:p>
    <w:p>
      <w:pPr>
        <w:pStyle w:val="BodyText"/>
        <w:spacing w:line="309" w:lineRule="auto" w:before="27"/>
        <w:ind w:left="498" w:right="161"/>
        <w:jc w:val="left"/>
      </w:pPr>
      <w:r>
        <w:rPr/>
        <w:t>（</w:t>
      </w:r>
      <w:r>
        <w:rPr>
          <w:rFonts w:ascii="Times New Roman" w:hAnsi="Times New Roman" w:cs="Times New Roman" w:eastAsia="Times New Roman" w:hint="default"/>
        </w:rPr>
        <w:t>4</w:t>
      </w:r>
      <w:r>
        <w:rPr/>
        <w:t>）资金筹措及运用计划 公司将继续拓展融资渠道，利用银行信贷、资本市场直接融资等多种形式筹资，实现资金渠道的多元化。 经公司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日召开的第三届董事会第十八次会议、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日召开的</w:t>
      </w:r>
      <w:r>
        <w:rPr>
          <w:rFonts w:ascii="Times New Roman" w:hAnsi="Times New Roman" w:cs="Times New Roman" w:eastAsia="Times New Roman" w:hint="default"/>
        </w:rPr>
        <w:t>2015</w:t>
      </w:r>
      <w:r>
        <w:rPr/>
        <w:t>年第二次临时股东大会审议，通</w:t>
      </w:r>
    </w:p>
    <w:p>
      <w:pPr>
        <w:pStyle w:val="BodyText"/>
        <w:spacing w:line="300" w:lineRule="auto" w:before="5"/>
        <w:ind w:right="171"/>
        <w:jc w:val="both"/>
      </w:pPr>
      <w:r>
        <w:rPr/>
        <w:t>过了《</w:t>
      </w:r>
      <w:r>
        <w:rPr>
          <w:rFonts w:ascii="Times New Roman" w:hAnsi="Times New Roman" w:cs="Times New Roman" w:eastAsia="Times New Roman" w:hint="default"/>
        </w:rPr>
        <w:t>2015</w:t>
      </w:r>
      <w:r>
        <w:rPr/>
        <w:t>年度非公开发行股票预案》，以及经公司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日召开的第三届董事会第二十次会议审议，通过了《</w:t>
      </w:r>
      <w:r>
        <w:rPr>
          <w:rFonts w:ascii="Times New Roman" w:hAnsi="Times New Roman" w:cs="Times New Roman" w:eastAsia="Times New Roman" w:hint="default"/>
        </w:rPr>
        <w:t>2015</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年度非公开发行</w:t>
      </w:r>
      <w:r>
        <w:rPr>
          <w:rFonts w:ascii="Times New Roman" w:hAnsi="Times New Roman" w:cs="Times New Roman" w:eastAsia="Times New Roman" w:hint="default"/>
        </w:rPr>
        <w:t>A</w:t>
      </w:r>
      <w:r>
        <w:rPr/>
        <w:t>股股票预案（修订稿）》，对</w:t>
      </w:r>
      <w:r>
        <w:rPr>
          <w:rFonts w:ascii="Times New Roman" w:hAnsi="Times New Roman" w:cs="Times New Roman" w:eastAsia="Times New Roman" w:hint="default"/>
        </w:rPr>
        <w:t>2015</w:t>
      </w:r>
      <w:r>
        <w:rPr/>
        <w:t>年度非公开发行股票预案等内容进行了调整，公司拟募集资金</w:t>
      </w:r>
      <w:r>
        <w:rPr>
          <w:rFonts w:ascii="Times New Roman" w:hAnsi="Times New Roman" w:cs="Times New Roman" w:eastAsia="Times New Roman" w:hint="default"/>
        </w:rPr>
        <w:t>8</w:t>
      </w:r>
      <w:r>
        <w:rPr/>
        <w:t>亿元投</w:t>
      </w:r>
      <w:r>
        <w:rPr>
          <w:spacing w:val="-37"/>
        </w:rPr>
        <w:t> </w:t>
      </w:r>
      <w:r>
        <w:rPr>
          <w:spacing w:val="-37"/>
        </w:rPr>
      </w:r>
      <w:r>
        <w:rPr/>
        <w:t>资智能制造项目、创新支持平台项目以及补充流动资金项目，助力公司持续健康有序发展。</w:t>
      </w:r>
    </w:p>
    <w:p>
      <w:pPr>
        <w:pStyle w:val="BodyText"/>
        <w:spacing w:line="300" w:lineRule="auto" w:before="31"/>
        <w:ind w:right="161" w:firstLine="346"/>
        <w:jc w:val="left"/>
      </w:pPr>
      <w:r>
        <w:rPr>
          <w:spacing w:val="-2"/>
        </w:rPr>
        <w:t>上述</w:t>
      </w:r>
      <w:r>
        <w:rPr>
          <w:rFonts w:ascii="Times New Roman" w:hAnsi="Times New Roman" w:cs="Times New Roman" w:eastAsia="Times New Roman" w:hint="default"/>
          <w:spacing w:val="-2"/>
        </w:rPr>
        <w:t>2015</w:t>
      </w:r>
      <w:r>
        <w:rPr>
          <w:spacing w:val="-2"/>
        </w:rPr>
        <w:t>年度非公开发行的相关议案尚需提交公司股东大会以及中国证监会审批后方可实施，更多详细内容，可参阅公</w:t>
      </w:r>
      <w:r>
        <w:rPr/>
        <w:t> 司刊登在巨潮资讯网上的《</w:t>
      </w:r>
      <w:r>
        <w:rPr>
          <w:rFonts w:ascii="Times New Roman" w:hAnsi="Times New Roman" w:cs="Times New Roman" w:eastAsia="Times New Roman" w:hint="default"/>
        </w:rPr>
        <w:t>2015</w:t>
      </w:r>
      <w:r>
        <w:rPr/>
        <w:t>年度非公开发行</w:t>
      </w:r>
      <w:r>
        <w:rPr>
          <w:rFonts w:ascii="Times New Roman" w:hAnsi="Times New Roman" w:cs="Times New Roman" w:eastAsia="Times New Roman" w:hint="default"/>
        </w:rPr>
        <w:t>A</w:t>
      </w:r>
      <w:r>
        <w:rPr/>
        <w:t>股股票预案（修订稿）》。</w:t>
      </w:r>
    </w:p>
    <w:p>
      <w:pPr>
        <w:pStyle w:val="BodyText"/>
        <w:spacing w:line="300" w:lineRule="auto" w:before="13"/>
        <w:ind w:left="498" w:right="161"/>
        <w:jc w:val="left"/>
      </w:pPr>
      <w:r>
        <w:rPr/>
        <w:t>（</w:t>
      </w:r>
      <w:r>
        <w:rPr>
          <w:rFonts w:ascii="Times New Roman" w:hAnsi="Times New Roman" w:cs="Times New Roman" w:eastAsia="Times New Roman" w:hint="default"/>
        </w:rPr>
        <w:t>5</w:t>
      </w:r>
      <w:r>
        <w:rPr/>
        <w:t>）收购兼并计划 </w:t>
      </w:r>
      <w:r>
        <w:rPr>
          <w:spacing w:val="-2"/>
        </w:rPr>
        <w:t>公司重视同核心客户、新兴客户策略性合作，谋求共同发展，并将以开放的心态，积极通过外延式发展模式将公司做大</w:t>
      </w:r>
    </w:p>
    <w:p>
      <w:pPr>
        <w:pStyle w:val="BodyText"/>
        <w:spacing w:line="240" w:lineRule="auto" w:before="31"/>
        <w:ind w:right="0"/>
        <w:jc w:val="both"/>
      </w:pPr>
      <w:r>
        <w:rPr/>
        <w:t>做强。</w:t>
      </w:r>
    </w:p>
    <w:p>
      <w:pPr>
        <w:pStyle w:val="BodyText"/>
        <w:spacing w:line="300" w:lineRule="auto" w:before="76"/>
        <w:ind w:left="513" w:right="161" w:hanging="15"/>
        <w:jc w:val="left"/>
      </w:pPr>
      <w:r>
        <w:rPr/>
        <w:t>（</w:t>
      </w:r>
      <w:r>
        <w:rPr>
          <w:rFonts w:ascii="Times New Roman" w:hAnsi="Times New Roman" w:cs="Times New Roman" w:eastAsia="Times New Roman" w:hint="default"/>
        </w:rPr>
        <w:t>6</w:t>
      </w:r>
      <w:r>
        <w:rPr/>
        <w:t>）不断优化组织结构 </w:t>
      </w:r>
      <w:r>
        <w:rPr>
          <w:spacing w:val="-2"/>
        </w:rPr>
        <w:t>公司将加快员工素质教育和职业化队伍建设，建立完善人才培训体系和绩效考核体系，保持公司的核心竞争力；推进企</w:t>
      </w:r>
    </w:p>
    <w:p>
      <w:pPr>
        <w:pStyle w:val="BodyText"/>
        <w:spacing w:line="240" w:lineRule="auto" w:before="32"/>
        <w:ind w:right="0"/>
        <w:jc w:val="both"/>
      </w:pPr>
      <w:r>
        <w:rPr/>
        <w:t>业文化建设，提升员工对公司的认同感，营造积极进取的工作氛围，增加公司的凝聚力和向心力。</w:t>
      </w:r>
    </w:p>
    <w:p>
      <w:pPr>
        <w:pStyle w:val="BodyText"/>
        <w:spacing w:line="240" w:lineRule="auto" w:before="76"/>
        <w:ind w:left="513" w:right="161"/>
        <w:jc w:val="left"/>
      </w:pPr>
      <w:r>
        <w:rPr/>
        <w:t>（四）可能面临的风险</w:t>
      </w:r>
    </w:p>
    <w:p>
      <w:pPr>
        <w:pStyle w:val="BodyText"/>
        <w:spacing w:line="300" w:lineRule="auto" w:before="76"/>
        <w:ind w:left="513" w:right="161"/>
        <w:jc w:val="left"/>
      </w:pPr>
      <w:r>
        <w:rPr>
          <w:rFonts w:ascii="Times New Roman" w:hAnsi="Times New Roman" w:cs="Times New Roman" w:eastAsia="Times New Roman" w:hint="default"/>
        </w:rPr>
        <w:t>1</w:t>
      </w:r>
      <w:r>
        <w:rPr/>
        <w:t>、宏观环境及市场竞争风险 </w:t>
      </w:r>
      <w:r>
        <w:rPr>
          <w:spacing w:val="-2"/>
        </w:rPr>
        <w:t>近年来全球经济发展节奏放缓，全球宏观经济环境仍将面临着一定的不确定性，国际、国内市场环境不容乐观，原材料</w:t>
      </w:r>
    </w:p>
    <w:p>
      <w:pPr>
        <w:pStyle w:val="BodyText"/>
        <w:spacing w:line="240" w:lineRule="auto" w:before="31"/>
        <w:ind w:right="0"/>
        <w:jc w:val="both"/>
      </w:pPr>
      <w:r>
        <w:rPr/>
        <w:t>价格波动、人民币汇率波动、竞争日益加剧等都将对公司业绩造成影响。</w:t>
      </w:r>
    </w:p>
    <w:p>
      <w:pPr>
        <w:pStyle w:val="BodyText"/>
        <w:spacing w:line="300" w:lineRule="auto" w:before="76"/>
        <w:ind w:left="513" w:right="201"/>
        <w:jc w:val="left"/>
      </w:pPr>
      <w:r>
        <w:rPr>
          <w:rFonts w:ascii="Times New Roman" w:hAnsi="Times New Roman" w:cs="Times New Roman" w:eastAsia="Times New Roman" w:hint="default"/>
        </w:rPr>
        <w:t>2</w:t>
      </w:r>
      <w:r>
        <w:rPr/>
        <w:t>、人力成本持续上升与人才缺乏的风险 随着国家</w:t>
      </w:r>
      <w:r>
        <w:rPr>
          <w:rFonts w:ascii="Times New Roman" w:hAnsi="Times New Roman" w:cs="Times New Roman" w:eastAsia="Times New Roman" w:hint="default"/>
        </w:rPr>
        <w:t>“</w:t>
      </w:r>
      <w:r>
        <w:rPr/>
        <w:t>国民收入倍增计划</w:t>
      </w:r>
      <w:r>
        <w:rPr>
          <w:rFonts w:ascii="Times New Roman" w:hAnsi="Times New Roman" w:cs="Times New Roman" w:eastAsia="Times New Roman" w:hint="default"/>
        </w:rPr>
        <w:t>”</w:t>
      </w:r>
      <w:r>
        <w:rPr/>
        <w:t>的提出和外部人才需求的竞争，人力成本呈逐年上升趋势。</w:t>
      </w:r>
      <w:r>
        <w:rPr>
          <w:spacing w:val="-18"/>
        </w:rPr>
        <w:t> </w:t>
      </w:r>
      <w:r>
        <w:rPr/>
        <w:t>随着规模的扩张和子公司的</w:t>
      </w:r>
    </w:p>
    <w:p>
      <w:pPr>
        <w:spacing w:after="0" w:line="300" w:lineRule="auto"/>
        <w:jc w:val="left"/>
        <w:sectPr>
          <w:pgSz w:w="11910" w:h="16840"/>
          <w:pgMar w:header="745" w:footer="980" w:top="1060" w:bottom="1160" w:left="980" w:right="960"/>
        </w:sectPr>
      </w:pPr>
    </w:p>
    <w:p>
      <w:pPr>
        <w:spacing w:line="240" w:lineRule="auto" w:before="9"/>
        <w:rPr>
          <w:rFonts w:ascii="宋体" w:hAnsi="宋体" w:cs="宋体" w:eastAsia="宋体" w:hint="default"/>
          <w:sz w:val="25"/>
          <w:szCs w:val="25"/>
        </w:rPr>
      </w:pPr>
    </w:p>
    <w:p>
      <w:pPr>
        <w:pStyle w:val="BodyText"/>
        <w:spacing w:line="319" w:lineRule="auto" w:before="44"/>
        <w:ind w:right="93"/>
        <w:jc w:val="left"/>
      </w:pPr>
      <w:r>
        <w:rPr>
          <w:spacing w:val="-2"/>
        </w:rPr>
        <w:t>增加，对企业市场开拓、系统运作、生产管理以及人员管理方面都提出了更高要求。如果企业管理水平不能适应公司规模的</w:t>
      </w:r>
      <w:r>
        <w:rPr>
          <w:spacing w:val="-62"/>
        </w:rPr>
        <w:t> </w:t>
      </w:r>
      <w:r>
        <w:rPr>
          <w:spacing w:val="-62"/>
        </w:rPr>
      </w:r>
      <w:r>
        <w:rPr/>
        <w:t>迅速扩张，组织结构和管理模式不能随着企业规模的扩大及时进行调整和完善，企业的综合竞争力可能会受到影响。</w:t>
      </w:r>
    </w:p>
    <w:p>
      <w:pPr>
        <w:pStyle w:val="BodyText"/>
        <w:spacing w:line="300" w:lineRule="auto" w:before="17"/>
        <w:ind w:left="513" w:right="93"/>
        <w:jc w:val="left"/>
      </w:pPr>
      <w:r>
        <w:rPr>
          <w:rFonts w:ascii="Times New Roman" w:hAnsi="Times New Roman" w:cs="Times New Roman" w:eastAsia="Times New Roman" w:hint="default"/>
        </w:rPr>
        <w:t>3</w:t>
      </w:r>
      <w:r>
        <w:rPr/>
        <w:t>、管理风险 随着资产规模不断扩大，公司内部资源分配、运营管理、文化整合、员工激励、内部控制等方面的管理难度越来越大，</w:t>
      </w:r>
    </w:p>
    <w:p>
      <w:pPr>
        <w:pStyle w:val="BodyText"/>
        <w:spacing w:line="240" w:lineRule="auto" w:before="31"/>
        <w:ind w:right="93"/>
        <w:jc w:val="left"/>
      </w:pPr>
      <w:r>
        <w:rPr/>
        <w:t>公司的管理能力和管理水平面临新的挑战，存在一定的管理风险。</w:t>
      </w:r>
    </w:p>
    <w:p>
      <w:pPr>
        <w:pStyle w:val="BodyText"/>
        <w:spacing w:line="300" w:lineRule="auto" w:before="76"/>
        <w:ind w:left="513" w:right="93"/>
        <w:jc w:val="left"/>
      </w:pPr>
      <w:r>
        <w:rPr>
          <w:rFonts w:ascii="Times New Roman" w:hAnsi="Times New Roman" w:cs="Times New Roman" w:eastAsia="Times New Roman" w:hint="default"/>
        </w:rPr>
        <w:t>4</w:t>
      </w:r>
      <w:r>
        <w:rPr/>
        <w:t>、投资风险 投资是企业发展的必由之路，对外投资、收购兼并等外延式增长是公司实施发展战略的主要途径，但面临投资周期长、</w:t>
      </w:r>
    </w:p>
    <w:p>
      <w:pPr>
        <w:pStyle w:val="BodyText"/>
        <w:spacing w:line="360" w:lineRule="auto" w:before="31"/>
        <w:ind w:left="441" w:right="93" w:hanging="289"/>
        <w:jc w:val="left"/>
      </w:pPr>
      <w:r>
        <w:rPr/>
        <w:t>回报率不达预期等风险。 </w:t>
      </w:r>
      <w:r>
        <w:rPr>
          <w:spacing w:val="-1"/>
        </w:rPr>
        <w:t>公司</w:t>
      </w:r>
      <w:r>
        <w:rPr>
          <w:rFonts w:ascii="Times New Roman" w:hAnsi="Times New Roman" w:cs="Times New Roman" w:eastAsia="Times New Roman" w:hint="default"/>
          <w:spacing w:val="-1"/>
        </w:rPr>
        <w:t>2015</w:t>
      </w:r>
      <w:r>
        <w:rPr>
          <w:spacing w:val="-1"/>
        </w:rPr>
        <w:t>年度非公开发行工作正在积极推进中，能否获得股东大会及中国证监会核准，以及最终取得上述核准的时间都</w:t>
      </w:r>
    </w:p>
    <w:p>
      <w:pPr>
        <w:pStyle w:val="BodyText"/>
        <w:spacing w:line="199" w:lineRule="exact"/>
        <w:ind w:right="93"/>
        <w:jc w:val="left"/>
      </w:pPr>
      <w:r>
        <w:rPr/>
        <w:t>存在不确定性，存在一定的审批风险。</w:t>
      </w:r>
    </w:p>
    <w:p>
      <w:pPr>
        <w:spacing w:line="240" w:lineRule="auto" w:before="1"/>
        <w:rPr>
          <w:rFonts w:ascii="宋体" w:hAnsi="宋体" w:cs="宋体" w:eastAsia="宋体" w:hint="default"/>
          <w:sz w:val="25"/>
          <w:szCs w:val="25"/>
        </w:rPr>
      </w:pPr>
    </w:p>
    <w:p>
      <w:pPr>
        <w:pStyle w:val="Heading2"/>
        <w:spacing w:line="240" w:lineRule="auto"/>
        <w:ind w:right="93"/>
        <w:jc w:val="left"/>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2"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详见深交所互动易平台</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http://irm.cninfo.com.cn</w:t>
              </w:r>
            </w:hyperlink>
            <w:r>
              <w:rPr>
                <w:rFonts w:ascii="宋体" w:hAnsi="宋体" w:cs="宋体" w:eastAsia="宋体" w:hint="default"/>
                <w:sz w:val="18"/>
                <w:szCs w:val="18"/>
              </w:rPr>
              <w:t>）披露的</w:t>
            </w:r>
          </w:p>
          <w:p>
            <w:pPr>
              <w:pStyle w:val="TableParagraph"/>
              <w:spacing w:line="300"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 </w:t>
            </w:r>
            <w:r>
              <w:rPr>
                <w:rFonts w:ascii="宋体" w:hAnsi="宋体" w:cs="宋体" w:eastAsia="宋体" w:hint="default"/>
                <w:spacing w:val="-17"/>
                <w:sz w:val="18"/>
                <w:szCs w:val="18"/>
              </w:rPr>
              <w:t>录表》（编号：</w:t>
            </w:r>
            <w:r>
              <w:rPr>
                <w:rFonts w:ascii="Times New Roman" w:hAnsi="Times New Roman" w:cs="Times New Roman" w:eastAsia="Times New Roman" w:hint="default"/>
                <w:spacing w:val="-17"/>
                <w:sz w:val="18"/>
                <w:szCs w:val="18"/>
              </w:rPr>
              <w:t>2015-001</w:t>
            </w:r>
            <w:r>
              <w:rPr>
                <w:rFonts w:ascii="宋体" w:hAnsi="宋体" w:cs="宋体" w:eastAsia="宋体" w:hint="default"/>
                <w:spacing w:val="-17"/>
                <w:sz w:val="18"/>
                <w:szCs w:val="18"/>
              </w:rPr>
              <w:t>）。</w:t>
            </w:r>
            <w:r>
              <w:rPr>
                <w:rFonts w:ascii="宋体" w:hAnsi="宋体" w:cs="宋体" w:eastAsia="宋体" w:hint="default"/>
                <w:sz w:val="18"/>
                <w:szCs w:val="18"/>
              </w:rPr>
            </w:r>
          </w:p>
        </w:tc>
      </w:tr>
      <w:tr>
        <w:trPr>
          <w:trHeight w:val="134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详见深交所互动易平台</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http://irm.cninfo.com.cn</w:t>
              </w:r>
            </w:hyperlink>
            <w:r>
              <w:rPr>
                <w:rFonts w:ascii="宋体" w:hAnsi="宋体" w:cs="宋体" w:eastAsia="宋体" w:hint="default"/>
                <w:sz w:val="18"/>
                <w:szCs w:val="18"/>
              </w:rPr>
              <w:t>）披露的</w:t>
            </w:r>
          </w:p>
          <w:p>
            <w:pPr>
              <w:pStyle w:val="TableParagraph"/>
              <w:spacing w:line="300"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 </w:t>
            </w:r>
            <w:r>
              <w:rPr>
                <w:rFonts w:ascii="宋体" w:hAnsi="宋体" w:cs="宋体" w:eastAsia="宋体" w:hint="default"/>
                <w:spacing w:val="-17"/>
                <w:sz w:val="18"/>
                <w:szCs w:val="18"/>
              </w:rPr>
              <w:t>录表》（编号：</w:t>
            </w:r>
            <w:r>
              <w:rPr>
                <w:rFonts w:ascii="Times New Roman" w:hAnsi="Times New Roman" w:cs="Times New Roman" w:eastAsia="Times New Roman" w:hint="default"/>
                <w:spacing w:val="-17"/>
                <w:sz w:val="18"/>
                <w:szCs w:val="18"/>
              </w:rPr>
              <w:t>2015-002</w:t>
            </w:r>
            <w:r>
              <w:rPr>
                <w:rFonts w:ascii="宋体" w:hAnsi="宋体" w:cs="宋体" w:eastAsia="宋体" w:hint="default"/>
                <w:spacing w:val="-17"/>
                <w:sz w:val="18"/>
                <w:szCs w:val="18"/>
              </w:rPr>
              <w:t>）。</w:t>
            </w:r>
            <w:r>
              <w:rPr>
                <w:rFonts w:ascii="宋体" w:hAnsi="宋体" w:cs="宋体" w:eastAsia="宋体" w:hint="default"/>
                <w:sz w:val="18"/>
                <w:szCs w:val="18"/>
              </w:rPr>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详见深交所互动易平台</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http://irm.cninfo.com.cn</w:t>
              </w:r>
            </w:hyperlink>
            <w:r>
              <w:rPr>
                <w:rFonts w:ascii="宋体" w:hAnsi="宋体" w:cs="宋体" w:eastAsia="宋体" w:hint="default"/>
                <w:sz w:val="18"/>
                <w:szCs w:val="18"/>
              </w:rPr>
              <w:t>）披露的</w:t>
            </w:r>
          </w:p>
          <w:p>
            <w:pPr>
              <w:pStyle w:val="TableParagraph"/>
              <w:spacing w:line="300" w:lineRule="auto" w:before="63"/>
              <w:ind w:left="23" w:right="8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w:t>
            </w:r>
            <w:r>
              <w:rPr>
                <w:rFonts w:ascii="宋体" w:hAnsi="宋体" w:cs="宋体" w:eastAsia="宋体" w:hint="default"/>
                <w:spacing w:val="-16"/>
                <w:sz w:val="18"/>
                <w:szCs w:val="18"/>
              </w:rPr>
              <w:t>记录表》（编号：</w:t>
            </w:r>
            <w:r>
              <w:rPr>
                <w:rFonts w:ascii="Times New Roman" w:hAnsi="Times New Roman" w:cs="Times New Roman" w:eastAsia="Times New Roman" w:hint="default"/>
                <w:spacing w:val="-16"/>
                <w:sz w:val="18"/>
                <w:szCs w:val="18"/>
              </w:rPr>
              <w:t>2015-003</w:t>
            </w:r>
            <w:r>
              <w:rPr>
                <w:rFonts w:ascii="宋体" w:hAnsi="宋体" w:cs="宋体" w:eastAsia="宋体" w:hint="default"/>
                <w:spacing w:val="-16"/>
                <w:sz w:val="18"/>
                <w:szCs w:val="18"/>
              </w:rPr>
              <w:t>）。</w:t>
            </w:r>
            <w:r>
              <w:rPr>
                <w:rFonts w:ascii="宋体" w:hAnsi="宋体" w:cs="宋体" w:eastAsia="宋体" w:hint="default"/>
                <w:sz w:val="18"/>
                <w:szCs w:val="18"/>
              </w:rPr>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详见深交所互动易平台</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http://irm.cninfo.com.cn</w:t>
              </w:r>
            </w:hyperlink>
            <w:r>
              <w:rPr>
                <w:rFonts w:ascii="宋体" w:hAnsi="宋体" w:cs="宋体" w:eastAsia="宋体" w:hint="default"/>
                <w:sz w:val="18"/>
                <w:szCs w:val="18"/>
              </w:rPr>
              <w:t>）披露的</w:t>
            </w:r>
          </w:p>
          <w:p>
            <w:pPr>
              <w:pStyle w:val="TableParagraph"/>
              <w:spacing w:line="300" w:lineRule="auto" w:before="63"/>
              <w:ind w:left="23" w:right="8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w:t>
            </w:r>
            <w:r>
              <w:rPr>
                <w:rFonts w:ascii="宋体" w:hAnsi="宋体" w:cs="宋体" w:eastAsia="宋体" w:hint="default"/>
                <w:spacing w:val="-16"/>
                <w:sz w:val="18"/>
                <w:szCs w:val="18"/>
              </w:rPr>
              <w:t>记录表》（编号：</w:t>
            </w:r>
            <w:r>
              <w:rPr>
                <w:rFonts w:ascii="Times New Roman" w:hAnsi="Times New Roman" w:cs="Times New Roman" w:eastAsia="Times New Roman" w:hint="default"/>
                <w:spacing w:val="-16"/>
                <w:sz w:val="18"/>
                <w:szCs w:val="18"/>
              </w:rPr>
              <w:t>2015-004</w:t>
            </w:r>
            <w:r>
              <w:rPr>
                <w:rFonts w:ascii="宋体" w:hAnsi="宋体" w:cs="宋体" w:eastAsia="宋体" w:hint="default"/>
                <w:spacing w:val="-16"/>
                <w:sz w:val="18"/>
                <w:szCs w:val="18"/>
              </w:rPr>
              <w:t>）。</w:t>
            </w:r>
            <w:r>
              <w:rPr>
                <w:rFonts w:ascii="宋体" w:hAnsi="宋体" w:cs="宋体" w:eastAsia="宋体" w:hint="default"/>
                <w:sz w:val="18"/>
                <w:szCs w:val="18"/>
              </w:rPr>
            </w:r>
          </w:p>
        </w:tc>
      </w:tr>
      <w:tr>
        <w:trPr>
          <w:trHeight w:val="134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详见深交所互动易平台</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http://irm.cninfo.com.cn</w:t>
              </w:r>
            </w:hyperlink>
            <w:r>
              <w:rPr>
                <w:rFonts w:ascii="宋体" w:hAnsi="宋体" w:cs="宋体" w:eastAsia="宋体" w:hint="default"/>
                <w:sz w:val="18"/>
                <w:szCs w:val="18"/>
              </w:rPr>
              <w:t>）披露的</w:t>
            </w:r>
          </w:p>
          <w:p>
            <w:pPr>
              <w:pStyle w:val="TableParagraph"/>
              <w:spacing w:line="300" w:lineRule="auto" w:before="63"/>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日投资者关系活动 </w:t>
            </w:r>
            <w:r>
              <w:rPr>
                <w:rFonts w:ascii="宋体" w:hAnsi="宋体" w:cs="宋体" w:eastAsia="宋体" w:hint="default"/>
                <w:spacing w:val="-16"/>
                <w:sz w:val="18"/>
                <w:szCs w:val="18"/>
              </w:rPr>
              <w:t>记录表》（编号：</w:t>
            </w:r>
            <w:r>
              <w:rPr>
                <w:rFonts w:ascii="Times New Roman" w:hAnsi="Times New Roman" w:cs="Times New Roman" w:eastAsia="Times New Roman" w:hint="default"/>
                <w:spacing w:val="-16"/>
                <w:sz w:val="18"/>
                <w:szCs w:val="18"/>
              </w:rPr>
              <w:t>2015-005</w:t>
            </w:r>
            <w:r>
              <w:rPr>
                <w:rFonts w:ascii="宋体" w:hAnsi="宋体" w:cs="宋体" w:eastAsia="宋体" w:hint="default"/>
                <w:spacing w:val="-16"/>
                <w:sz w:val="18"/>
                <w:szCs w:val="18"/>
              </w:rPr>
              <w:t>）。</w:t>
            </w:r>
            <w:r>
              <w:rPr>
                <w:rFonts w:ascii="宋体" w:hAnsi="宋体" w:cs="宋体" w:eastAsia="宋体" w:hint="default"/>
                <w:sz w:val="18"/>
                <w:szCs w:val="18"/>
              </w:rPr>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65"/>
        <w:jc w:val="center"/>
        <w:rPr>
          <w:b w:val="0"/>
          <w:bCs w:val="0"/>
        </w:rPr>
      </w:pPr>
      <w:bookmarkStart w:name="_bookmark3" w:id="4"/>
      <w:bookmarkEnd w:id="4"/>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t>报告期内普通股利润分配政策，特别是现金分红政策的制定、执行或调整情况</w:t>
      </w:r>
    </w:p>
    <w:p>
      <w:pPr>
        <w:pStyle w:val="BodyText"/>
        <w:spacing w:line="240" w:lineRule="auto" w:before="117"/>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4" w:lineRule="auto" w:before="101"/>
        <w:ind w:right="100" w:firstLine="362"/>
        <w:jc w:val="left"/>
      </w:pPr>
      <w:r>
        <w:rPr>
          <w:spacing w:val="-7"/>
        </w:rPr>
        <w:t>公司严格按照《关于进一步落实上市公司现金分红有关事项的通知》、《上市公司监管指引第</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6"/>
        </w:rPr>
        <w:t>号</w:t>
      </w:r>
      <w:r>
        <w:rPr>
          <w:rFonts w:ascii="Times New Roman" w:hAnsi="Times New Roman" w:cs="Times New Roman" w:eastAsia="Times New Roman" w:hint="default"/>
          <w:spacing w:val="-6"/>
        </w:rPr>
        <w:t>—</w:t>
      </w:r>
      <w:r>
        <w:rPr>
          <w:spacing w:val="-6"/>
        </w:rPr>
        <w:t>上市公司现金分红》、</w:t>
      </w:r>
      <w:r>
        <w:rPr/>
        <w:t> </w:t>
      </w:r>
      <w:r>
        <w:rPr>
          <w:spacing w:val="-2"/>
        </w:rPr>
        <w:t>公司《章程》等相关文件的要求，并结合公司盈利情况及公司未来发展需要制定公司年度利润分配方案，分红标准和比例明</w:t>
      </w:r>
      <w:r>
        <w:rPr>
          <w:spacing w:val="-64"/>
        </w:rPr>
        <w:t> </w:t>
      </w:r>
      <w:r>
        <w:rPr>
          <w:spacing w:val="-64"/>
        </w:rPr>
      </w:r>
      <w:r>
        <w:rPr/>
        <w:t>确、清晰，相关的决策程序和机制完备。报告期内，公司制定了《未来三年（</w:t>
      </w:r>
      <w:r>
        <w:rPr>
          <w:rFonts w:ascii="Times New Roman" w:hAnsi="Times New Roman" w:cs="Times New Roman" w:eastAsia="Times New Roman" w:hint="default"/>
        </w:rPr>
        <w:t>2015-2017</w:t>
      </w:r>
      <w:r>
        <w:rPr>
          <w:rFonts w:ascii="Times New Roman" w:hAnsi="Times New Roman" w:cs="Times New Roman" w:eastAsia="Times New Roman" w:hint="default"/>
          <w:spacing w:val="-10"/>
        </w:rPr>
        <w:t> </w:t>
      </w:r>
      <w:r>
        <w:rPr/>
        <w:t>年）股东回报规划》，并经公司第 三届董事会第十八次会议及</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5"/>
        </w:rPr>
        <w:t> </w:t>
      </w:r>
      <w:r>
        <w:rPr/>
        <w:t>年第二次临时股东大会审议通过，明确了公司</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5"/>
        </w:rPr>
        <w:t> </w:t>
      </w:r>
      <w:r>
        <w:rPr/>
        <w:t>年</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spacing w:val="-3"/>
        </w:rPr>
        <w:t>年利润分配的具体条件、比例、</w:t>
      </w:r>
      <w:r>
        <w:rPr/>
        <w:t> 分配形式等，健全了有效的股东回报机制。</w:t>
      </w:r>
    </w:p>
    <w:p>
      <w:pPr>
        <w:spacing w:line="240" w:lineRule="auto" w:before="9"/>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8"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6"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9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300" w:lineRule="auto" w:before="101"/>
        <w:ind w:right="194" w:firstLine="360"/>
        <w:jc w:val="both"/>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2013</w:t>
      </w:r>
      <w:r>
        <w:rPr/>
        <w:t>年度利润分配方案：以公司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240,000,000</w:t>
      </w:r>
      <w:r>
        <w:rPr/>
        <w:t>股为基数，向全体股东按每</w:t>
      </w:r>
      <w:r>
        <w:rPr>
          <w:rFonts w:ascii="Times New Roman" w:hAnsi="Times New Roman" w:cs="Times New Roman" w:eastAsia="Times New Roman" w:hint="default"/>
        </w:rPr>
        <w:t>10</w:t>
      </w:r>
      <w:r>
        <w:rPr/>
        <w:t>股派发现金 </w:t>
      </w:r>
      <w:r>
        <w:rPr>
          <w:spacing w:val="-2"/>
        </w:rPr>
        <w:t>红利</w:t>
      </w:r>
      <w:r>
        <w:rPr>
          <w:rFonts w:ascii="Times New Roman" w:hAnsi="Times New Roman" w:cs="Times New Roman" w:eastAsia="Times New Roman" w:hint="default"/>
          <w:spacing w:val="-2"/>
        </w:rPr>
        <w:t>1.10</w:t>
      </w:r>
      <w:r>
        <w:rPr>
          <w:spacing w:val="-2"/>
        </w:rPr>
        <w:t>元（含税），共计派发现金人民币</w:t>
      </w:r>
      <w:r>
        <w:rPr>
          <w:rFonts w:ascii="Times New Roman" w:hAnsi="Times New Roman" w:cs="Times New Roman" w:eastAsia="Times New Roman" w:hint="default"/>
          <w:spacing w:val="-2"/>
        </w:rPr>
        <w:t>2,640</w:t>
      </w:r>
      <w:r>
        <w:rPr>
          <w:spacing w:val="-2"/>
        </w:rPr>
        <w:t>万元，剩余未分配利润结转以后年度；同时以资本公积金转增股本，向全体</w:t>
      </w:r>
      <w:r>
        <w:rPr>
          <w:spacing w:val="-64"/>
        </w:rPr>
        <w:t> </w:t>
      </w:r>
      <w:r>
        <w:rPr>
          <w:spacing w:val="-64"/>
        </w:rPr>
      </w:r>
      <w:r>
        <w:rPr/>
        <w:t>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股，合计转增股本</w:t>
      </w:r>
      <w:r>
        <w:rPr>
          <w:rFonts w:ascii="Times New Roman" w:hAnsi="Times New Roman" w:cs="Times New Roman" w:eastAsia="Times New Roman" w:hint="default"/>
        </w:rPr>
        <w:t>240,000,000</w:t>
      </w:r>
      <w:r>
        <w:rPr/>
        <w:t>股，转增股本后公司总股本增加至</w:t>
      </w:r>
      <w:r>
        <w:rPr>
          <w:rFonts w:ascii="Times New Roman" w:hAnsi="Times New Roman" w:cs="Times New Roman" w:eastAsia="Times New Roman" w:hint="default"/>
        </w:rPr>
        <w:t>480,000,000</w:t>
      </w:r>
      <w:r>
        <w:rPr/>
        <w:t>股。</w:t>
      </w:r>
    </w:p>
    <w:p>
      <w:pPr>
        <w:pStyle w:val="BodyText"/>
        <w:spacing w:line="300" w:lineRule="auto" w:before="53"/>
        <w:ind w:right="194" w:firstLine="360"/>
        <w:jc w:val="both"/>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2014</w:t>
      </w:r>
      <w:r>
        <w:rPr/>
        <w:t>年度利润分配方案：经大华会计师事务所（特殊普通合伙）审计，公司</w:t>
      </w:r>
      <w:r>
        <w:rPr>
          <w:rFonts w:ascii="Times New Roman" w:hAnsi="Times New Roman" w:cs="Times New Roman" w:eastAsia="Times New Roman" w:hint="default"/>
        </w:rPr>
        <w:t>2014</w:t>
      </w:r>
      <w:r>
        <w:rPr/>
        <w:t>年每股收益为</w:t>
      </w:r>
      <w:r>
        <w:rPr>
          <w:rFonts w:ascii="Times New Roman" w:hAnsi="Times New Roman" w:cs="Times New Roman" w:eastAsia="Times New Roman" w:hint="default"/>
        </w:rPr>
        <w:t>0.09</w:t>
      </w:r>
      <w:r>
        <w:rPr/>
        <w:t>元，不满足 </w:t>
      </w:r>
      <w:r>
        <w:rPr>
          <w:spacing w:val="-2"/>
        </w:rPr>
        <w:t>公司《章程》第一百五十六条规定的现金分红条件。因此，公司董事会拟定</w:t>
      </w:r>
      <w:r>
        <w:rPr>
          <w:rFonts w:ascii="Times New Roman" w:hAnsi="Times New Roman" w:cs="Times New Roman" w:eastAsia="Times New Roman" w:hint="default"/>
          <w:spacing w:val="-2"/>
        </w:rPr>
        <w:t>2014</w:t>
      </w:r>
      <w:r>
        <w:rPr>
          <w:spacing w:val="-2"/>
        </w:rPr>
        <w:t>年度不进行利润分配，也不进行资本公积金</w:t>
      </w:r>
      <w:r>
        <w:rPr>
          <w:spacing w:val="-64"/>
        </w:rPr>
        <w:t> </w:t>
      </w:r>
      <w:r>
        <w:rPr>
          <w:spacing w:val="-64"/>
        </w:rPr>
      </w:r>
      <w:r>
        <w:rPr/>
        <w:t>转增股本。</w:t>
      </w:r>
    </w:p>
    <w:p>
      <w:pPr>
        <w:pStyle w:val="BodyText"/>
        <w:spacing w:line="240" w:lineRule="auto" w:before="70"/>
        <w:ind w:left="513" w:right="93"/>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2015</w:t>
      </w:r>
      <w:r>
        <w:rPr/>
        <w:t>年度利润分配方案：经大华会计师事务所（特殊普通合伙）审计，公司</w:t>
      </w:r>
      <w:r>
        <w:rPr>
          <w:rFonts w:ascii="Times New Roman" w:hAnsi="Times New Roman" w:cs="Times New Roman" w:eastAsia="Times New Roman" w:hint="default"/>
        </w:rPr>
        <w:t>2015</w:t>
      </w:r>
      <w:r>
        <w:rPr/>
        <w:t>年度实现的可分配利润为</w:t>
      </w:r>
    </w:p>
    <w:p>
      <w:pPr>
        <w:pStyle w:val="BodyText"/>
        <w:spacing w:line="300" w:lineRule="auto" w:before="63"/>
        <w:ind w:right="244"/>
        <w:jc w:val="left"/>
      </w:pPr>
      <w:r>
        <w:rPr>
          <w:rFonts w:ascii="Times New Roman" w:hAnsi="Times New Roman" w:cs="Times New Roman" w:eastAsia="Times New Roman" w:hint="default"/>
        </w:rPr>
        <w:t>-54,229,745.00</w:t>
      </w:r>
      <w:r>
        <w:rPr/>
        <w:t>元，每股收益为</w:t>
      </w:r>
      <w:r>
        <w:rPr>
          <w:rFonts w:ascii="Times New Roman" w:hAnsi="Times New Roman" w:cs="Times New Roman" w:eastAsia="Times New Roman" w:hint="default"/>
        </w:rPr>
        <w:t>-0.11</w:t>
      </w:r>
      <w:r>
        <w:rPr/>
        <w:t>元，不满足公司《章程》规定的现金分红条件，因此，公司董事会拟定</w:t>
      </w:r>
      <w:r>
        <w:rPr>
          <w:rFonts w:ascii="Times New Roman" w:hAnsi="Times New Roman" w:cs="Times New Roman" w:eastAsia="Times New Roman" w:hint="default"/>
        </w:rPr>
        <w:t>2015</w:t>
      </w:r>
      <w:r>
        <w:rPr/>
        <w:t>年度不进行</w:t>
      </w:r>
      <w:r>
        <w:rPr>
          <w:w w:val="99"/>
        </w:rPr>
        <w:t> </w:t>
      </w:r>
      <w:r>
        <w:rPr/>
        <w:t>利润分配，也不进行资本公积金转增股本。</w:t>
      </w:r>
    </w:p>
    <w:p>
      <w:pPr>
        <w:spacing w:line="240" w:lineRule="auto" w:before="1"/>
        <w:rPr>
          <w:rFonts w:ascii="宋体" w:hAnsi="宋体" w:cs="宋体" w:eastAsia="宋体" w:hint="default"/>
          <w:sz w:val="29"/>
          <w:szCs w:val="29"/>
        </w:rPr>
      </w:pPr>
    </w:p>
    <w:p>
      <w:pPr>
        <w:pStyle w:val="BodyText"/>
        <w:spacing w:line="240" w:lineRule="auto" w:before="44"/>
        <w:ind w:right="93"/>
        <w:jc w:val="left"/>
      </w:pPr>
      <w:r>
        <w:rPr/>
        <w:t>公司近三年（包括本报告期）普通股现金分红情况表</w:t>
      </w:r>
    </w:p>
    <w:p>
      <w:pPr>
        <w:pStyle w:val="BodyText"/>
        <w:spacing w:line="240" w:lineRule="auto" w:before="115"/>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4"/>
        <w:gridCol w:w="1595"/>
        <w:gridCol w:w="1594"/>
        <w:gridCol w:w="1595"/>
        <w:gridCol w:w="1594"/>
        <w:gridCol w:w="1594"/>
      </w:tblGrid>
      <w:tr>
        <w:trPr>
          <w:trHeight w:val="317" w:hRule="exact"/>
        </w:trPr>
        <w:tc>
          <w:tcPr>
            <w:tcW w:w="1584" w:type="dxa"/>
            <w:vMerge w:val="restart"/>
            <w:tcBorders>
              <w:top w:val="single" w:sz="4" w:space="0" w:color="000000"/>
              <w:left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0"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0"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84" w:type="dxa"/>
            <w:vMerge/>
            <w:tcBorders>
              <w:left w:val="single" w:sz="4" w:space="0" w:color="000000"/>
              <w:bottom w:val="nil" w:sz="6" w:space="0" w:color="auto"/>
              <w:right w:val="single" w:sz="4" w:space="0" w:color="000000"/>
            </w:tcBorders>
            <w:shd w:val="clear" w:color="auto" w:fill="D2D2D2"/>
          </w:tcPr>
          <w:p>
            <w:pP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4"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84" w:type="dxa"/>
            <w:vMerge w:val="restart"/>
            <w:tcBorders>
              <w:top w:val="nil" w:sz="6" w:space="0" w:color="auto"/>
              <w:left w:val="single" w:sz="4" w:space="0" w:color="000000"/>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7" w:hRule="exact"/>
        </w:trPr>
        <w:tc>
          <w:tcPr>
            <w:tcW w:w="1584"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6" w:right="0"/>
              <w:jc w:val="left"/>
              <w:rPr>
                <w:rFonts w:ascii="Times New Roman" w:hAnsi="Times New Roman" w:cs="Times New Roman" w:eastAsia="Times New Roman" w:hint="default"/>
                <w:sz w:val="18"/>
                <w:szCs w:val="18"/>
              </w:rPr>
            </w:pPr>
            <w:r>
              <w:rPr>
                <w:rFonts w:ascii="Times New Roman"/>
                <w:sz w:val="18"/>
              </w:rPr>
              <w:t>-54,229,745.00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44,323,268.61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26,400,000.00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89,575,017.21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53"/>
        <w:jc w:val="left"/>
      </w:pPr>
      <w:r>
        <w:rPr/>
        <w:t>公司报告期内盈利且母公司可供普通股股东分配利润为正但未提出普通股现金红利分配预案</w:t>
      </w:r>
    </w:p>
    <w:p>
      <w:pPr>
        <w:pStyle w:val="BodyText"/>
        <w:spacing w:line="240" w:lineRule="auto" w:before="11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二、本报告期利润分配及资本公积金转增股本预案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公司计划年度不派发现金红利，不送红股，不以公积金转增股本。</w:t>
      </w:r>
    </w:p>
    <w:p>
      <w:pPr>
        <w:spacing w:line="240" w:lineRule="auto" w:before="4"/>
        <w:rPr>
          <w:rFonts w:ascii="宋体" w:hAnsi="宋体" w:cs="宋体" w:eastAsia="宋体" w:hint="default"/>
          <w:sz w:val="19"/>
          <w:szCs w:val="19"/>
        </w:rPr>
      </w:pPr>
    </w:p>
    <w:p>
      <w:pPr>
        <w:pStyle w:val="Heading2"/>
        <w:spacing w:line="240" w:lineRule="auto"/>
        <w:ind w:right="153"/>
        <w:jc w:val="left"/>
        <w:rPr>
          <w:b w:val="0"/>
          <w:bCs w:val="0"/>
        </w:rPr>
      </w:pP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9" w:lineRule="auto"/>
        <w:ind w:right="153"/>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65"/>
        </w:rPr>
        <w:t> </w:t>
      </w:r>
      <w:r>
        <w:rPr>
          <w:spacing w:val="-65"/>
        </w:rPr>
      </w:r>
      <w:r>
        <w:rPr/>
        <w:t>截至报告期末尚未履行完毕的承诺事项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44"/>
        <w:ind w:left="0" w:right="158"/>
        <w:jc w:val="right"/>
      </w:pPr>
      <w:r>
        <w:rPr/>
        <w:pict>
          <v:shape style="position:absolute;margin-left:56.400002pt;margin-top:-174.748306pt;width:479.15pt;height:426.6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106"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6" w:lineRule="auto"/>
                          <w:ind w:left="16" w:right="17"/>
                          <w:jc w:val="left"/>
                          <w:rPr>
                            <w:rFonts w:ascii="宋体" w:hAnsi="宋体" w:cs="宋体" w:eastAsia="宋体" w:hint="default"/>
                            <w:sz w:val="18"/>
                            <w:szCs w:val="18"/>
                          </w:rPr>
                        </w:pPr>
                        <w:r>
                          <w:rPr>
                            <w:rFonts w:ascii="宋体" w:hAnsi="宋体" w:cs="宋体" w:eastAsia="宋体" w:hint="default"/>
                            <w:sz w:val="18"/>
                            <w:szCs w:val="18"/>
                          </w:rPr>
                          <w:t>田昱、夏传 武、程利、董 </w:t>
                        </w:r>
                        <w:r>
                          <w:rPr>
                            <w:rFonts w:ascii="宋体" w:hAnsi="宋体" w:cs="宋体" w:eastAsia="宋体" w:hint="default"/>
                            <w:spacing w:val="-3"/>
                            <w:sz w:val="18"/>
                            <w:szCs w:val="18"/>
                          </w:rPr>
                          <w:t>海军、魏代英</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自股票上市 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月内，不转让 或者委托他 人管理其直 接和间接持 有的公司股 份，也不由公 司收购该部 分股份。前述 限售期满后， 其所持发行 人股份在其 任职期间每 年转让的比 例不超过所 持股份总数</w:t>
                        </w:r>
                      </w:p>
                      <w:p>
                        <w:pPr>
                          <w:pStyle w:val="TableParagraph"/>
                          <w:spacing w:line="312"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；其所</w:t>
                        </w:r>
                        <w:r>
                          <w:rPr>
                            <w:rFonts w:ascii="宋体" w:hAnsi="宋体" w:cs="宋体" w:eastAsia="宋体" w:hint="default"/>
                            <w:sz w:val="18"/>
                            <w:szCs w:val="18"/>
                          </w:rPr>
                          <w:t> 持发行人股 份在其离职 后法规规定</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在其任职期 间及离职后 法规规定的 </w:t>
                        </w:r>
                        <w:r>
                          <w:rPr>
                            <w:rFonts w:ascii="宋体" w:hAnsi="宋体" w:cs="宋体" w:eastAsia="宋体" w:hint="default"/>
                            <w:spacing w:val="-3"/>
                            <w:sz w:val="18"/>
                            <w:szCs w:val="18"/>
                          </w:rPr>
                          <w:t>限售期内，该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承诺持续有 效。</w:t>
                        </w:r>
                      </w:p>
                    </w:tc>
                    <w:tc>
                      <w:tcPr>
                        <w:tcW w:w="1106"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9"/>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项正在履行 </w:t>
                        </w:r>
                        <w:r>
                          <w:rPr>
                            <w:rFonts w:ascii="宋体" w:hAnsi="宋体" w:cs="宋体" w:eastAsia="宋体" w:hint="default"/>
                            <w:spacing w:val="-5"/>
                            <w:sz w:val="18"/>
                            <w:szCs w:val="18"/>
                          </w:rPr>
                          <w:t>中。其中：</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z w:val="18"/>
                            <w:szCs w:val="18"/>
                          </w:rPr>
                          <w:t> </w:t>
                        </w:r>
                        <w:r>
                          <w:rPr>
                            <w:rFonts w:ascii="宋体" w:hAnsi="宋体" w:cs="宋体" w:eastAsia="宋体" w:hint="default"/>
                            <w:sz w:val="18"/>
                            <w:szCs w:val="18"/>
                          </w:rPr>
                          <w:t>田昱于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p>
                      <w:p>
                        <w:pPr>
                          <w:pStyle w:val="TableParagraph"/>
                          <w:spacing w:line="314" w:lineRule="auto" w:before="1"/>
                          <w:ind w:left="23"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因公司董事 </w:t>
                        </w:r>
                        <w:r>
                          <w:rPr>
                            <w:rFonts w:ascii="宋体" w:hAnsi="宋体" w:cs="宋体" w:eastAsia="宋体" w:hint="default"/>
                            <w:spacing w:val="-5"/>
                            <w:sz w:val="18"/>
                            <w:szCs w:val="18"/>
                          </w:rPr>
                          <w:t>会换届，任期</w:t>
                        </w:r>
                        <w:r>
                          <w:rPr>
                            <w:rFonts w:ascii="宋体" w:hAnsi="宋体" w:cs="宋体" w:eastAsia="宋体" w:hint="default"/>
                            <w:sz w:val="18"/>
                            <w:szCs w:val="18"/>
                          </w:rPr>
                          <w:t> </w:t>
                        </w:r>
                        <w:r>
                          <w:rPr>
                            <w:rFonts w:ascii="宋体" w:hAnsi="宋体" w:cs="宋体" w:eastAsia="宋体" w:hint="default"/>
                            <w:spacing w:val="-5"/>
                            <w:sz w:val="18"/>
                            <w:szCs w:val="18"/>
                          </w:rPr>
                          <w:t>届满离任，离</w:t>
                        </w:r>
                        <w:r>
                          <w:rPr>
                            <w:rFonts w:ascii="宋体" w:hAnsi="宋体" w:cs="宋体" w:eastAsia="宋体" w:hint="default"/>
                            <w:sz w:val="18"/>
                            <w:szCs w:val="18"/>
                          </w:rPr>
                          <w:t> 职时间已于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1"/>
                          <w:ind w:left="23" w:right="-8"/>
                          <w:jc w:val="both"/>
                          <w:rPr>
                            <w:rFonts w:ascii="宋体" w:hAnsi="宋体" w:cs="宋体" w:eastAsia="宋体"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个 </w:t>
                        </w:r>
                        <w:r>
                          <w:rPr>
                            <w:rFonts w:ascii="宋体" w:hAnsi="宋体" w:cs="宋体" w:eastAsia="宋体" w:hint="default"/>
                            <w:spacing w:val="-5"/>
                            <w:sz w:val="18"/>
                            <w:szCs w:val="18"/>
                          </w:rPr>
                          <w:t>月，不再受该</w:t>
                        </w:r>
                        <w:r>
                          <w:rPr>
                            <w:rFonts w:ascii="宋体" w:hAnsi="宋体" w:cs="宋体" w:eastAsia="宋体" w:hint="default"/>
                            <w:sz w:val="18"/>
                            <w:szCs w:val="18"/>
                          </w:rPr>
                          <w:t> </w:t>
                        </w:r>
                        <w:r>
                          <w:rPr>
                            <w:rFonts w:ascii="宋体" w:hAnsi="宋体" w:cs="宋体" w:eastAsia="宋体" w:hint="default"/>
                            <w:spacing w:val="-5"/>
                            <w:sz w:val="18"/>
                            <w:szCs w:val="18"/>
                          </w:rPr>
                          <w:t>承诺限制，承</w:t>
                        </w:r>
                        <w:r>
                          <w:rPr>
                            <w:rFonts w:ascii="宋体" w:hAnsi="宋体" w:cs="宋体" w:eastAsia="宋体" w:hint="default"/>
                            <w:sz w:val="18"/>
                            <w:szCs w:val="18"/>
                          </w:rPr>
                          <w:t> 诺履行完毕。 </w:t>
                        </w:r>
                        <w:r>
                          <w:rPr>
                            <w:rFonts w:ascii="Times New Roman" w:hAnsi="Times New Roman" w:cs="Times New Roman" w:eastAsia="Times New Roman" w:hint="default"/>
                            <w:sz w:val="18"/>
                            <w:szCs w:val="18"/>
                          </w:rPr>
                          <w:t>2</w:t>
                        </w:r>
                        <w:r>
                          <w:rPr>
                            <w:rFonts w:ascii="宋体" w:hAnsi="宋体" w:cs="宋体" w:eastAsia="宋体" w:hint="default"/>
                            <w:sz w:val="18"/>
                            <w:szCs w:val="18"/>
                          </w:rPr>
                          <w:t>、程利于</w:t>
                        </w:r>
                      </w:p>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316" w:lineRule="auto" w:before="62"/>
                          <w:ind w:left="23" w:right="19"/>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离职，离职时</w:t>
                        </w:r>
                        <w:r>
                          <w:rPr>
                            <w:rFonts w:ascii="宋体" w:hAnsi="宋体" w:cs="宋体" w:eastAsia="宋体" w:hint="default"/>
                            <w:sz w:val="18"/>
                            <w:szCs w:val="18"/>
                          </w:rPr>
                          <w:t> 间已于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p>
                    </w:tc>
                  </w:tr>
                  <w:tr>
                    <w:trPr>
                      <w:trHeight w:val="391"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06"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379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0"/>
              <w:jc w:val="left"/>
              <w:rPr>
                <w:rFonts w:ascii="宋体" w:hAnsi="宋体" w:cs="宋体" w:eastAsia="宋体" w:hint="default"/>
                <w:sz w:val="18"/>
                <w:szCs w:val="18"/>
              </w:rPr>
            </w:pPr>
            <w:r>
              <w:rPr>
                <w:rFonts w:ascii="宋体" w:hAnsi="宋体" w:cs="宋体" w:eastAsia="宋体" w:hint="default"/>
                <w:sz w:val="18"/>
                <w:szCs w:val="18"/>
              </w:rPr>
              <w:t>的限售期内 不转让。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个月，不再受</w:t>
            </w:r>
            <w:r>
              <w:rPr>
                <w:rFonts w:ascii="宋体" w:hAnsi="宋体" w:cs="宋体" w:eastAsia="宋体" w:hint="default"/>
                <w:sz w:val="18"/>
                <w:szCs w:val="18"/>
              </w:rPr>
              <w:t> 该承诺限制， 承诺履行完 毕。</w:t>
            </w:r>
            <w:r>
              <w:rPr>
                <w:rFonts w:ascii="Times New Roman" w:hAnsi="Times New Roman" w:cs="Times New Roman" w:eastAsia="Times New Roman" w:hint="default"/>
                <w:sz w:val="18"/>
                <w:szCs w:val="18"/>
              </w:rPr>
              <w:t>3</w:t>
            </w:r>
            <w:r>
              <w:rPr>
                <w:rFonts w:ascii="宋体" w:hAnsi="宋体" w:cs="宋体" w:eastAsia="宋体" w:hint="default"/>
                <w:sz w:val="18"/>
                <w:szCs w:val="18"/>
              </w:rPr>
              <w:t>、董海 军于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before="3"/>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日辞 去董事一职， 其所持公司 股份受离职 后法规规定 的限售限制。</w:t>
            </w:r>
          </w:p>
        </w:tc>
      </w:tr>
      <w:tr>
        <w:trPr>
          <w:trHeight w:val="3833"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7"/>
              <w:jc w:val="both"/>
              <w:rPr>
                <w:rFonts w:ascii="宋体" w:hAnsi="宋体" w:cs="宋体" w:eastAsia="宋体" w:hint="default"/>
                <w:sz w:val="18"/>
                <w:szCs w:val="18"/>
              </w:rPr>
            </w:pPr>
            <w:r>
              <w:rPr>
                <w:rFonts w:ascii="宋体" w:hAnsi="宋体" w:cs="宋体" w:eastAsia="宋体" w:hint="default"/>
                <w:spacing w:val="-3"/>
                <w:sz w:val="18"/>
                <w:szCs w:val="18"/>
              </w:rPr>
              <w:t>夏传武、董海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军、魏代英、 胡爱武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关于同业竞 争方面的承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本人及本人 近亲属在本 人任职期间 及离职后半 </w:t>
            </w:r>
            <w:r>
              <w:rPr>
                <w:rFonts w:ascii="宋体" w:hAnsi="宋体" w:cs="宋体" w:eastAsia="宋体" w:hint="default"/>
                <w:spacing w:val="-2"/>
                <w:sz w:val="18"/>
                <w:szCs w:val="18"/>
              </w:rPr>
              <w:t>年内，不从事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自营或为他 人经营与公 司同类的业 </w:t>
            </w:r>
            <w:r>
              <w:rPr>
                <w:rFonts w:ascii="宋体" w:hAnsi="宋体" w:cs="宋体" w:eastAsia="宋体" w:hint="default"/>
                <w:spacing w:val="-2"/>
                <w:sz w:val="18"/>
                <w:szCs w:val="18"/>
              </w:rPr>
              <w:t>务，也不从事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与公司利益 发生冲突的 对外投资。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在其任职期 间及离职后 半年内有效。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22"/>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项正在履行 中。</w:t>
            </w:r>
          </w:p>
        </w:tc>
      </w:tr>
      <w:tr>
        <w:trPr>
          <w:trHeight w:val="3836"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刘宇宽</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关于同业竞 争方面的承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本人及本人 近亲属在本 人任职期间 及离职后半 </w:t>
            </w:r>
            <w:r>
              <w:rPr>
                <w:rFonts w:ascii="宋体" w:hAnsi="宋体" w:cs="宋体" w:eastAsia="宋体" w:hint="default"/>
                <w:spacing w:val="-2"/>
                <w:sz w:val="18"/>
                <w:szCs w:val="18"/>
              </w:rPr>
              <w:t>年内，不从事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自营或为他 人经营与公 司同类的业 </w:t>
            </w:r>
            <w:r>
              <w:rPr>
                <w:rFonts w:ascii="宋体" w:hAnsi="宋体" w:cs="宋体" w:eastAsia="宋体" w:hint="default"/>
                <w:spacing w:val="-2"/>
                <w:sz w:val="18"/>
                <w:szCs w:val="18"/>
              </w:rPr>
              <w:t>务，也不从事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与公司利益 发生冲突的 对外投资。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在其任职期 间及离职后 半年内有效。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22"/>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项正在履行 中。</w:t>
            </w:r>
          </w:p>
        </w:tc>
      </w:tr>
      <w:tr>
        <w:trPr>
          <w:trHeight w:val="223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、本人将不 在中国境内 外以任何方 式直接或间 接从事或参 与任何与公 </w:t>
            </w:r>
            <w:r>
              <w:rPr>
                <w:rFonts w:ascii="宋体" w:hAnsi="宋体" w:cs="宋体" w:eastAsia="宋体" w:hint="default"/>
                <w:spacing w:val="-2"/>
                <w:sz w:val="18"/>
                <w:szCs w:val="18"/>
              </w:rPr>
              <w:t>司相同、相似</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在作为公司 实际控制人 </w:t>
            </w:r>
            <w:r>
              <w:rPr>
                <w:rFonts w:ascii="宋体" w:hAnsi="宋体" w:cs="宋体" w:eastAsia="宋体" w:hint="default"/>
                <w:spacing w:val="-3"/>
                <w:sz w:val="18"/>
                <w:szCs w:val="18"/>
              </w:rPr>
              <w:t>期间，该承诺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持续有效。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项正在履行 中。</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485.75pt;mso-position-horizontal-relative:page;mso-position-vertical-relative:page;z-index:-10997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1"/>
                      <w:szCs w:val="21"/>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或在商业上</w:t>
            </w:r>
          </w:p>
        </w:tc>
        <w:tc>
          <w:tcPr>
            <w:tcW w:w="1126" w:type="dxa"/>
            <w:vMerge w:val="restart"/>
            <w:tcBorders>
              <w:top w:val="single" w:sz="4" w:space="0" w:color="000000"/>
              <w:left w:val="single" w:sz="4" w:space="0" w:color="000000"/>
              <w:right w:val="single" w:sz="4" w:space="0" w:color="000000"/>
            </w:tcBorders>
          </w:tcPr>
          <w:p>
            <w:pPr>
              <w:pStyle w:val="TableParagraph"/>
              <w:spacing w:line="971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3"/>
                <w:sz w:val="20"/>
                <w:szCs w:val="20"/>
              </w:rPr>
              <w:pict>
                <v:group style="width:55.8pt;height:485.75pt;mso-position-horizontal-relative:char;mso-position-vertical-relative:line" coordorigin="0,0" coordsize="1116,9715">
                  <v:group style="position:absolute;left:0;top:0;width:1116;height:9715" coordorigin="0,0" coordsize="1116,9715">
                    <v:shape style="position:absolute;left:0;top:0;width:1116;height:9715" coordorigin="0,0" coordsize="1116,9715" path="m0,9714l1116,9714,1116,0,0,0,0,9714xe" filled="true" fillcolor="#ffffff" stroked="false">
                      <v:path arrowok="t"/>
                      <v:fill type="solid"/>
                    </v:shape>
                  </v:group>
                </v:group>
              </w:pict>
            </w:r>
            <w:r>
              <w:rPr>
                <w:rFonts w:ascii="Times New Roman" w:hAnsi="Times New Roman" w:cs="Times New Roman" w:eastAsia="Times New Roman" w:hint="default"/>
                <w:position w:val="-193"/>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构成任何竞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争的业务及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活动，或拥有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与公司存在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竞争关系的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任何经济实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体、机构、经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济组织的权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益，或以其他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任何形式取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得该经济实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体、机构、经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济组织的控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制权，或在该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经济实体、机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构、经济组织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中担任高级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管理人员或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核心技术人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w:t>
            </w:r>
            <w:r>
              <w:rPr>
                <w:rFonts w:ascii="Times New Roman" w:hAnsi="Times New Roman" w:cs="Times New Roman" w:eastAsia="Times New Roman" w:hint="default"/>
                <w:sz w:val="18"/>
                <w:szCs w:val="18"/>
              </w:rPr>
              <w:t>2</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在作为公司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期间，本承诺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持续有效。</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本人愿意承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担因违反上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述承诺而给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公司造成的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全部经济损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60"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失。</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355"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若税收主管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6" w:type="dxa"/>
            <w:tcBorders>
              <w:top w:val="single" w:sz="4" w:space="0" w:color="000000"/>
              <w:left w:val="single" w:sz="4" w:space="0" w:color="000000"/>
              <w:bottom w:val="nil" w:sz="6" w:space="0" w:color="auto"/>
              <w:right w:val="single" w:sz="4" w:space="0" w:color="000000"/>
            </w:tcBorders>
          </w:tcPr>
          <w:p>
            <w:pPr/>
          </w:p>
        </w:tc>
      </w:tr>
      <w:tr>
        <w:trPr>
          <w:trHeight w:val="691"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2"/>
              <w:ind w:left="23" w:right="7"/>
              <w:jc w:val="left"/>
              <w:rPr>
                <w:rFonts w:ascii="宋体" w:hAnsi="宋体" w:cs="宋体" w:eastAsia="宋体" w:hint="default"/>
                <w:sz w:val="18"/>
                <w:szCs w:val="18"/>
              </w:rPr>
            </w:pPr>
            <w:r>
              <w:rPr>
                <w:rFonts w:ascii="宋体" w:hAnsi="宋体" w:cs="宋体" w:eastAsia="宋体" w:hint="default"/>
                <w:sz w:val="18"/>
                <w:szCs w:val="18"/>
              </w:rPr>
              <w:t>田昱、夏传 武、王杏才、</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部门对股份 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10" w:lineRule="atLeast" w:before="3"/>
              <w:ind w:left="23" w:right="17"/>
              <w:jc w:val="left"/>
              <w:rPr>
                <w:rFonts w:ascii="宋体" w:hAnsi="宋体" w:cs="宋体" w:eastAsia="宋体" w:hint="default"/>
                <w:sz w:val="18"/>
                <w:szCs w:val="18"/>
              </w:rPr>
            </w:pPr>
            <w:r>
              <w:rPr>
                <w:rFonts w:ascii="宋体" w:hAnsi="宋体" w:cs="宋体" w:eastAsia="宋体" w:hint="default"/>
                <w:sz w:val="18"/>
                <w:szCs w:val="18"/>
              </w:rPr>
              <w:t>程文、李彤 </w:t>
            </w:r>
            <w:r>
              <w:rPr>
                <w:rFonts w:ascii="宋体" w:hAnsi="宋体" w:cs="宋体" w:eastAsia="宋体" w:hint="default"/>
                <w:spacing w:val="-2"/>
                <w:sz w:val="18"/>
                <w:szCs w:val="18"/>
              </w:rPr>
              <w:t>彤、程利、李</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日至</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年公开发行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310" w:lineRule="atLeast" w:before="5"/>
              <w:ind w:left="23" w:right="19"/>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w:t>
            </w:r>
          </w:p>
        </w:tc>
      </w:tr>
      <w:tr>
        <w:trPr>
          <w:trHeight w:val="937"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超、董海军、</w:t>
            </w:r>
          </w:p>
          <w:p>
            <w:pPr>
              <w:pStyle w:val="TableParagraph"/>
              <w:spacing w:line="310" w:lineRule="atLeast" w:before="2"/>
              <w:ind w:left="23" w:right="17"/>
              <w:jc w:val="left"/>
              <w:rPr>
                <w:rFonts w:ascii="宋体" w:hAnsi="宋体" w:cs="宋体" w:eastAsia="宋体" w:hint="default"/>
                <w:sz w:val="18"/>
                <w:szCs w:val="18"/>
              </w:rPr>
            </w:pPr>
            <w:r>
              <w:rPr>
                <w:rFonts w:ascii="宋体" w:hAnsi="宋体" w:cs="宋体" w:eastAsia="宋体" w:hint="default"/>
                <w:sz w:val="18"/>
                <w:szCs w:val="18"/>
              </w:rPr>
              <w:t>魏代英、冯 </w:t>
            </w:r>
            <w:r>
              <w:rPr>
                <w:rFonts w:ascii="宋体" w:hAnsi="宋体" w:cs="宋体" w:eastAsia="宋体" w:hint="default"/>
                <w:spacing w:val="-2"/>
                <w:sz w:val="18"/>
                <w:szCs w:val="18"/>
              </w:rPr>
              <w:t>健、袁军、魏</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完成之日期</w:t>
            </w:r>
          </w:p>
          <w:p>
            <w:pPr>
              <w:pStyle w:val="TableParagraph"/>
              <w:spacing w:line="316" w:lineRule="auto" w:before="77"/>
              <w:ind w:left="23" w:right="190"/>
              <w:jc w:val="left"/>
              <w:rPr>
                <w:rFonts w:ascii="宋体" w:hAnsi="宋体" w:cs="宋体" w:eastAsia="宋体" w:hint="default"/>
                <w:sz w:val="18"/>
                <w:szCs w:val="18"/>
              </w:rPr>
            </w:pPr>
            <w:r>
              <w:rPr>
                <w:rFonts w:ascii="宋体" w:hAnsi="宋体" w:cs="宋体" w:eastAsia="宋体" w:hint="default"/>
                <w:sz w:val="18"/>
                <w:szCs w:val="18"/>
              </w:rPr>
              <w:t>间已经享受 的企业所得</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反承诺的情</w:t>
            </w:r>
          </w:p>
          <w:p>
            <w:pPr>
              <w:pStyle w:val="TableParagraph"/>
              <w:spacing w:line="310" w:lineRule="atLeast" w:before="2"/>
              <w:ind w:left="23" w:right="19"/>
              <w:jc w:val="left"/>
              <w:rPr>
                <w:rFonts w:ascii="宋体" w:hAnsi="宋体" w:cs="宋体" w:eastAsia="宋体" w:hint="default"/>
                <w:sz w:val="18"/>
                <w:szCs w:val="18"/>
              </w:rPr>
            </w:pPr>
            <w:r>
              <w:rPr>
                <w:rFonts w:ascii="宋体" w:hAnsi="宋体" w:cs="宋体" w:eastAsia="宋体" w:hint="default"/>
                <w:spacing w:val="-5"/>
                <w:sz w:val="18"/>
                <w:szCs w:val="18"/>
              </w:rPr>
              <w:t>况，该承诺事</w:t>
            </w:r>
            <w:r>
              <w:rPr>
                <w:rFonts w:ascii="宋体" w:hAnsi="宋体" w:cs="宋体" w:eastAsia="宋体" w:hint="default"/>
                <w:sz w:val="18"/>
                <w:szCs w:val="18"/>
              </w:rPr>
              <w:t> 项正在履行</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敢、陈新民、</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税减免款进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中。</w:t>
            </w: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3"/>
                <w:sz w:val="18"/>
                <w:szCs w:val="18"/>
              </w:rPr>
              <w:t>周诗红、周鲁</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行追缴，将以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平</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现金方式，按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245" w:hRule="exact"/>
        </w:trPr>
        <w:tc>
          <w:tcPr>
            <w:tcW w:w="2837"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股份公司本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次公开发行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2547"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股前的持股 </w:t>
            </w:r>
            <w:r>
              <w:rPr>
                <w:rFonts w:ascii="宋体" w:hAnsi="宋体" w:cs="宋体" w:eastAsia="宋体" w:hint="default"/>
                <w:spacing w:val="-2"/>
                <w:sz w:val="18"/>
                <w:szCs w:val="18"/>
              </w:rPr>
              <w:t>比例，全额承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担股份公司 上述期间应 补交的税款 及因此所产 生的所有相 关费用。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212"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87"/>
              <w:jc w:val="both"/>
              <w:rPr>
                <w:rFonts w:ascii="宋体" w:hAnsi="宋体" w:cs="宋体" w:eastAsia="宋体" w:hint="default"/>
                <w:sz w:val="18"/>
                <w:szCs w:val="18"/>
              </w:rPr>
            </w:pPr>
            <w:r>
              <w:rPr>
                <w:rFonts w:ascii="宋体" w:hAnsi="宋体" w:cs="宋体" w:eastAsia="宋体" w:hint="default"/>
                <w:sz w:val="18"/>
                <w:szCs w:val="18"/>
              </w:rPr>
              <w:t>深圳市卓翼 科技股份有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6" w:right="191"/>
              <w:jc w:val="both"/>
              <w:rPr>
                <w:rFonts w:ascii="宋体" w:hAnsi="宋体" w:cs="宋体" w:eastAsia="宋体" w:hint="default"/>
                <w:sz w:val="18"/>
                <w:szCs w:val="18"/>
              </w:rPr>
            </w:pPr>
            <w:r>
              <w:rPr>
                <w:rFonts w:ascii="宋体" w:hAnsi="宋体" w:cs="宋体" w:eastAsia="宋体" w:hint="default"/>
                <w:sz w:val="18"/>
                <w:szCs w:val="18"/>
              </w:rPr>
              <w:t>不进行重大 资产重组承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根据中国证 监会和深圳 证券交易所 的有关规定， 公司承诺自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312" w:lineRule="auto"/>
              <w:ind w:left="23" w:right="142"/>
              <w:jc w:val="both"/>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日起六个 月内不再筹 划重大资产 重组事项。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项正在履行 中。</w:t>
            </w: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2"/>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15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7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公司报告期无会计政策、会计估计和核算方法发生变化的情况。</w:t>
      </w:r>
    </w:p>
    <w:p>
      <w:pPr>
        <w:spacing w:after="0" w:line="3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left="498" w:right="1716"/>
        <w:jc w:val="left"/>
      </w:pPr>
      <w:r>
        <w:rPr/>
        <w:t>新增</w:t>
      </w:r>
      <w:r>
        <w:rPr>
          <w:rFonts w:ascii="Times New Roman" w:hAnsi="Times New Roman" w:cs="Times New Roman" w:eastAsia="Times New Roman" w:hint="default"/>
        </w:rPr>
        <w:t>3</w:t>
      </w:r>
      <w:r>
        <w:rPr/>
        <w:t>家子（孙）公司为：深圳市翼飞投资有限公司、</w:t>
      </w:r>
      <w:r>
        <w:rPr>
          <w:rFonts w:ascii="Times New Roman" w:hAnsi="Times New Roman" w:cs="Times New Roman" w:eastAsia="Times New Roman" w:hint="default"/>
        </w:rPr>
        <w:t>Itasca Holding Ltd</w:t>
      </w:r>
      <w:r>
        <w:rPr/>
        <w:t>、</w:t>
      </w:r>
      <w:r>
        <w:rPr>
          <w:rFonts w:ascii="Times New Roman" w:hAnsi="Times New Roman" w:cs="Times New Roman" w:eastAsia="Times New Roman" w:hint="default"/>
        </w:rPr>
        <w:t>Haxis Labs</w:t>
      </w:r>
      <w:r>
        <w:rPr>
          <w:rFonts w:ascii="Times New Roman" w:hAnsi="Times New Roman" w:cs="Times New Roman" w:eastAsia="Times New Roman" w:hint="default"/>
          <w:spacing w:val="-7"/>
        </w:rPr>
        <w:t> </w:t>
      </w:r>
      <w:r>
        <w:rPr>
          <w:rFonts w:ascii="Times New Roman" w:hAnsi="Times New Roman" w:cs="Times New Roman" w:eastAsia="Times New Roman" w:hint="default"/>
        </w:rPr>
        <w:t>Incorporated</w:t>
      </w:r>
      <w:r>
        <w:rPr/>
        <w:t>。 减少</w:t>
      </w:r>
      <w:r>
        <w:rPr>
          <w:rFonts w:ascii="Times New Roman" w:hAnsi="Times New Roman" w:cs="Times New Roman" w:eastAsia="Times New Roman" w:hint="default"/>
        </w:rPr>
        <w:t>1</w:t>
      </w:r>
      <w:r>
        <w:rPr/>
        <w:t>家分公司为：深圳市卓翼科技股份有限公司上海分公司。</w:t>
      </w:r>
    </w:p>
    <w:p>
      <w:pPr>
        <w:spacing w:line="240" w:lineRule="auto" w:before="11"/>
        <w:rPr>
          <w:rFonts w:ascii="宋体" w:hAnsi="宋体" w:cs="宋体" w:eastAsia="宋体" w:hint="default"/>
          <w:sz w:val="24"/>
          <w:szCs w:val="24"/>
        </w:rPr>
      </w:pPr>
    </w:p>
    <w:p>
      <w:pPr>
        <w:pStyle w:val="BodyText"/>
        <w:spacing w:line="240" w:lineRule="auto"/>
        <w:ind w:left="498" w:right="153"/>
        <w:jc w:val="left"/>
      </w:pPr>
      <w:r>
        <w:rPr/>
        <w:t>合并报表范围变化的原因具体见 第十节</w:t>
      </w:r>
      <w:r>
        <w:rPr>
          <w:spacing w:val="-38"/>
        </w:rPr>
        <w:t> </w:t>
      </w:r>
      <w:r>
        <w:rPr/>
        <w:t>财务报告</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张晓义、龚晨艳</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4"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53"/>
        <w:jc w:val="left"/>
      </w:pPr>
      <w:r>
        <w:rPr/>
        <w:t>当期是否改聘会计师事务所</w:t>
      </w:r>
    </w:p>
    <w:p>
      <w:pPr>
        <w:pStyle w:val="BodyText"/>
        <w:spacing w:line="340" w:lineRule="auto" w:before="115"/>
        <w:ind w:right="5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39"/>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十一、破产重整相关事项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group style="position:absolute;margin-left:135.020004pt;margin-top:108.259979pt;width:53.05pt;height:124.8pt;mso-position-horizontal-relative:page;mso-position-vertical-relative:page;z-index:-1099744" coordorigin="2700,2165" coordsize="1061,2496">
            <v:shape style="position:absolute;left:2700;top:2165;width:1061;height:2496" coordorigin="2700,2165" coordsize="1061,2496" path="m2700,4661l3761,4661,3761,2165,2700,2165,2700,4661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560"/>
        <w:gridCol w:w="1070"/>
        <w:gridCol w:w="1249"/>
        <w:gridCol w:w="941"/>
        <w:gridCol w:w="1373"/>
        <w:gridCol w:w="1248"/>
        <w:gridCol w:w="1064"/>
        <w:gridCol w:w="1066"/>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86" w:right="83"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50" w:right="19" w:hanging="327"/>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9" w:right="77" w:hanging="361"/>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85" w:right="43"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2" w:right="79"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70" w:right="107"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39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 荷兰皇家飞利浦公 司美国分公司</w:t>
            </w:r>
          </w:p>
          <w:p>
            <w:pPr>
              <w:pStyle w:val="TableParagraph"/>
              <w:spacing w:line="350" w:lineRule="auto" w:before="26"/>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Koninklijke Philips N.V</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U.S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Philips</w:t>
            </w:r>
          </w:p>
          <w:p>
            <w:pPr>
              <w:pStyle w:val="TableParagraph"/>
              <w:spacing w:line="220"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Cor</w:t>
            </w:r>
            <w:r>
              <w:rPr>
                <w:rFonts w:ascii="Times New Roman" w:hAnsi="Times New Roman" w:cs="Times New Roman" w:eastAsia="Times New Roman" w:hint="default"/>
                <w:spacing w:val="1"/>
                <w:sz w:val="18"/>
                <w:szCs w:val="18"/>
              </w:rPr>
              <w:t>p</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z w:val="18"/>
                <w:szCs w:val="18"/>
              </w:rPr>
              <w:t>r</w:t>
            </w:r>
            <w:r>
              <w:rPr>
                <w:rFonts w:ascii="Times New Roman" w:hAnsi="Times New Roman" w:cs="Times New Roman" w:eastAsia="Times New Roman" w:hint="default"/>
                <w:spacing w:val="-1"/>
                <w:sz w:val="18"/>
                <w:szCs w:val="18"/>
              </w:rPr>
              <w:t>a</w:t>
            </w:r>
            <w:r>
              <w:rPr>
                <w:rFonts w:ascii="Times New Roman" w:hAnsi="Times New Roman" w:cs="Times New Roman" w:eastAsia="Times New Roman" w:hint="default"/>
                <w:sz w:val="18"/>
                <w:szCs w:val="18"/>
              </w:rPr>
              <w:t>ti</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pacing w:val="2"/>
                <w:sz w:val="18"/>
                <w:szCs w:val="18"/>
              </w:rPr>
              <w:t>n</w:t>
            </w:r>
            <w:r>
              <w:rPr>
                <w:rFonts w:ascii="宋体" w:hAnsi="宋体" w:cs="宋体" w:eastAsia="宋体" w:hint="default"/>
                <w:spacing w:val="-87"/>
                <w:sz w:val="18"/>
                <w:szCs w:val="18"/>
              </w:rPr>
              <w:t>）</w:t>
            </w:r>
            <w:r>
              <w:rPr>
                <w:rFonts w:ascii="宋体" w:hAnsi="宋体" w:cs="宋体" w:eastAsia="宋体" w:hint="default"/>
                <w:sz w:val="18"/>
                <w:szCs w:val="18"/>
              </w:rPr>
              <w:t>向美国</w:t>
            </w:r>
          </w:p>
          <w:p>
            <w:pPr>
              <w:pStyle w:val="TableParagraph"/>
              <w:spacing w:line="314" w:lineRule="auto" w:before="63"/>
              <w:ind w:left="24" w:right="84"/>
              <w:jc w:val="left"/>
              <w:rPr>
                <w:rFonts w:ascii="宋体" w:hAnsi="宋体" w:cs="宋体" w:eastAsia="宋体" w:hint="default"/>
                <w:sz w:val="18"/>
                <w:szCs w:val="18"/>
              </w:rPr>
            </w:pPr>
            <w:r>
              <w:rPr>
                <w:rFonts w:ascii="宋体" w:hAnsi="宋体" w:cs="宋体" w:eastAsia="宋体" w:hint="default"/>
                <w:sz w:val="18"/>
                <w:szCs w:val="18"/>
              </w:rPr>
              <w:t>地方法院起诉本公 司及其他七家公 司，控告本公司生 产的部分平板电脑 产品（系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Android </w:t>
            </w:r>
            <w:r>
              <w:rPr>
                <w:rFonts w:ascii="宋体" w:hAnsi="宋体" w:cs="宋体" w:eastAsia="宋体" w:hint="default"/>
                <w:sz w:val="18"/>
                <w:szCs w:val="18"/>
              </w:rPr>
              <w:t>系统内嵌软件）涉 嫌侵犯其拥有的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项专利权，要求停 止侵犯并赔偿损失 及相关费用。</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2" w:lineRule="auto"/>
              <w:ind w:left="23" w:right="21"/>
              <w:jc w:val="left"/>
              <w:rPr>
                <w:rFonts w:ascii="宋体" w:hAnsi="宋体" w:cs="宋体" w:eastAsia="宋体" w:hint="default"/>
                <w:sz w:val="18"/>
                <w:szCs w:val="18"/>
              </w:rPr>
            </w:pPr>
            <w:r>
              <w:rPr>
                <w:rFonts w:ascii="宋体" w:hAnsi="宋体" w:cs="宋体" w:eastAsia="宋体" w:hint="default"/>
                <w:sz w:val="18"/>
                <w:szCs w:val="18"/>
              </w:rPr>
              <w:t>被控产品 使用的是 </w:t>
            </w:r>
            <w:r>
              <w:rPr>
                <w:rFonts w:ascii="Times New Roman" w:hAnsi="Times New Roman" w:cs="Times New Roman" w:eastAsia="Times New Roman" w:hint="default"/>
                <w:sz w:val="18"/>
                <w:szCs w:val="18"/>
              </w:rPr>
              <w:t>Android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 </w:t>
            </w:r>
            <w:r>
              <w:rPr>
                <w:rFonts w:ascii="宋体" w:hAnsi="宋体" w:cs="宋体" w:eastAsia="宋体" w:hint="default"/>
                <w:spacing w:val="-4"/>
                <w:sz w:val="18"/>
                <w:szCs w:val="18"/>
              </w:rPr>
              <w:t>统，已通过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Google </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GMS </w:t>
            </w:r>
            <w:r>
              <w:rPr>
                <w:rFonts w:ascii="宋体" w:hAnsi="宋体" w:cs="宋体" w:eastAsia="宋体" w:hint="default"/>
                <w:sz w:val="18"/>
                <w:szCs w:val="18"/>
              </w:rPr>
              <w:t>认 证。</w:t>
            </w:r>
            <w:r>
              <w:rPr>
                <w:rFonts w:ascii="Times New Roman" w:hAnsi="Times New Roman" w:cs="Times New Roman" w:eastAsia="Times New Roman" w:hint="default"/>
                <w:sz w:val="18"/>
                <w:szCs w:val="18"/>
              </w:rPr>
              <w:t>Google </w:t>
            </w:r>
            <w:r>
              <w:rPr>
                <w:rFonts w:ascii="宋体" w:hAnsi="宋体" w:cs="宋体" w:eastAsia="宋体" w:hint="default"/>
                <w:sz w:val="18"/>
                <w:szCs w:val="18"/>
              </w:rPr>
              <w:t>已召集所 有被告形 成联合抗 </w:t>
            </w:r>
            <w:r>
              <w:rPr>
                <w:rFonts w:ascii="宋体" w:hAnsi="宋体" w:cs="宋体" w:eastAsia="宋体" w:hint="default"/>
                <w:spacing w:val="-4"/>
                <w:sz w:val="18"/>
                <w:szCs w:val="18"/>
              </w:rPr>
              <w:t>辩小组，共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同积极应 诉。</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暂未开庭审理。</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 w:right="-52"/>
              <w:jc w:val="left"/>
              <w:rPr>
                <w:rFonts w:ascii="宋体" w:hAnsi="宋体" w:cs="宋体" w:eastAsia="宋体" w:hint="default"/>
                <w:sz w:val="18"/>
                <w:szCs w:val="18"/>
              </w:rPr>
            </w:pPr>
            <w:r>
              <w:rPr>
                <w:rFonts w:ascii="宋体" w:hAnsi="宋体" w:cs="宋体" w:eastAsia="宋体" w:hint="default"/>
                <w:sz w:val="18"/>
                <w:szCs w:val="18"/>
              </w:rPr>
              <w:t>暂未开庭审理。</w:t>
            </w:r>
          </w:p>
        </w:tc>
        <w:tc>
          <w:tcPr>
            <w:tcW w:w="1064" w:type="dxa"/>
            <w:tcBorders>
              <w:top w:val="single" w:sz="4" w:space="0" w:color="000000"/>
              <w:left w:val="single" w:sz="9" w:space="0" w:color="FFFFFF"/>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十五、公司股权激励计划、员工持股计划或其他员工激励措施的实施情况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60" w:lineRule="auto" w:before="103"/>
        <w:ind w:left="513" w:right="143"/>
        <w:jc w:val="left"/>
      </w:pPr>
      <w:r>
        <w:rPr/>
        <w:t>（一）限制性股票激励计划的实施 经公司</w:t>
      </w:r>
      <w:r>
        <w:rPr>
          <w:rFonts w:ascii="Times New Roman" w:hAnsi="Times New Roman" w:cs="Times New Roman" w:eastAsia="Times New Roman" w:hint="default"/>
        </w:rPr>
        <w:t>2014</w:t>
      </w:r>
      <w:r>
        <w:rPr/>
        <w:t>年第一次临时股东大会审议批准，公司实施了限制性股票激励计划，并于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日完成了限制性股票</w:t>
      </w:r>
    </w:p>
    <w:p>
      <w:pPr>
        <w:pStyle w:val="BodyText"/>
        <w:spacing w:line="199" w:lineRule="exact"/>
        <w:ind w:right="153"/>
        <w:jc w:val="left"/>
      </w:pPr>
      <w:r>
        <w:rPr/>
        <w:t>的首次授予登记，具体情况如下：</w:t>
      </w:r>
    </w:p>
    <w:p>
      <w:pPr>
        <w:pStyle w:val="BodyText"/>
        <w:spacing w:line="240" w:lineRule="auto" w:before="115"/>
        <w:ind w:left="513" w:right="153"/>
        <w:jc w:val="left"/>
      </w:pPr>
      <w:r>
        <w:rPr>
          <w:rFonts w:ascii="Times New Roman" w:hAnsi="Times New Roman" w:cs="Times New Roman" w:eastAsia="Times New Roman" w:hint="default"/>
        </w:rPr>
        <w:t>1</w:t>
      </w:r>
      <w:r>
        <w:rPr/>
        <w:t>、首次授予日：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w:t>
      </w:r>
    </w:p>
    <w:p>
      <w:pPr>
        <w:pStyle w:val="BodyText"/>
        <w:spacing w:line="240" w:lineRule="auto" w:before="104"/>
        <w:ind w:left="513" w:right="153"/>
        <w:jc w:val="left"/>
      </w:pPr>
      <w:r>
        <w:rPr>
          <w:rFonts w:ascii="Times New Roman" w:hAnsi="Times New Roman" w:cs="Times New Roman" w:eastAsia="Times New Roman" w:hint="default"/>
          <w:spacing w:val="2"/>
        </w:rPr>
        <w:t>2</w:t>
      </w:r>
      <w:r>
        <w:rPr>
          <w:spacing w:val="2"/>
        </w:rPr>
        <w:t>、首次授予人数及数量：首次授予的激励对象为</w:t>
      </w:r>
      <w:r>
        <w:rPr>
          <w:rFonts w:ascii="Times New Roman" w:hAnsi="Times New Roman" w:cs="Times New Roman" w:eastAsia="Times New Roman" w:hint="default"/>
          <w:spacing w:val="2"/>
        </w:rPr>
        <w:t>104</w:t>
      </w:r>
      <w:r>
        <w:rPr>
          <w:spacing w:val="2"/>
        </w:rPr>
        <w:t>人，首次授予数量为</w:t>
      </w:r>
      <w:r>
        <w:rPr>
          <w:rFonts w:ascii="Times New Roman" w:hAnsi="Times New Roman" w:cs="Times New Roman" w:eastAsia="Times New Roman" w:hint="default"/>
          <w:spacing w:val="2"/>
        </w:rPr>
        <w:t>1198.1</w:t>
      </w:r>
      <w:r>
        <w:rPr>
          <w:spacing w:val="2"/>
        </w:rPr>
        <w:t>万股，占授予时总股本</w:t>
      </w:r>
      <w:r>
        <w:rPr>
          <w:rFonts w:ascii="Times New Roman" w:hAnsi="Times New Roman" w:cs="Times New Roman" w:eastAsia="Times New Roman" w:hint="default"/>
          <w:spacing w:val="2"/>
        </w:rPr>
        <w:t>48,000</w:t>
      </w:r>
      <w:r>
        <w:rPr>
          <w:spacing w:val="2"/>
        </w:rPr>
        <w:t>万股的</w:t>
      </w:r>
    </w:p>
    <w:p>
      <w:pPr>
        <w:pStyle w:val="BodyText"/>
        <w:spacing w:line="240" w:lineRule="auto" w:before="63"/>
        <w:ind w:right="153"/>
        <w:jc w:val="left"/>
      </w:pPr>
      <w:r>
        <w:rPr>
          <w:rFonts w:ascii="Times New Roman" w:hAnsi="Times New Roman" w:cs="Times New Roman" w:eastAsia="Times New Roman" w:hint="default"/>
        </w:rPr>
        <w:t>2.50%</w:t>
      </w:r>
      <w:r>
        <w:rPr/>
        <w:t>。</w:t>
      </w:r>
    </w:p>
    <w:p>
      <w:pPr>
        <w:pStyle w:val="BodyText"/>
        <w:spacing w:line="240" w:lineRule="auto" w:before="103"/>
        <w:ind w:left="513" w:right="153"/>
        <w:jc w:val="left"/>
      </w:pPr>
      <w:r>
        <w:rPr>
          <w:rFonts w:ascii="Times New Roman" w:hAnsi="Times New Roman" w:cs="Times New Roman" w:eastAsia="Times New Roman" w:hint="default"/>
        </w:rPr>
        <w:t>3</w:t>
      </w:r>
      <w:r>
        <w:rPr/>
        <w:t>、首次授予价格：</w:t>
      </w:r>
      <w:r>
        <w:rPr>
          <w:rFonts w:ascii="Times New Roman" w:hAnsi="Times New Roman" w:cs="Times New Roman" w:eastAsia="Times New Roman" w:hint="default"/>
        </w:rPr>
        <w:t>3.85</w:t>
      </w:r>
      <w:r>
        <w:rPr/>
        <w:t>元</w:t>
      </w:r>
      <w:r>
        <w:rPr>
          <w:rFonts w:ascii="Times New Roman" w:hAnsi="Times New Roman" w:cs="Times New Roman" w:eastAsia="Times New Roman" w:hint="default"/>
        </w:rPr>
        <w:t>/</w:t>
      </w:r>
      <w:r>
        <w:rPr/>
        <w:t>股。</w:t>
      </w:r>
    </w:p>
    <w:p>
      <w:pPr>
        <w:pStyle w:val="BodyText"/>
        <w:spacing w:line="240" w:lineRule="auto" w:before="101"/>
        <w:ind w:left="513" w:right="153"/>
        <w:jc w:val="left"/>
      </w:pPr>
      <w:r>
        <w:rPr>
          <w:rFonts w:ascii="Times New Roman" w:hAnsi="Times New Roman" w:cs="Times New Roman" w:eastAsia="Times New Roman" w:hint="default"/>
        </w:rPr>
        <w:t>4</w:t>
      </w:r>
      <w:r>
        <w:rPr/>
        <w:t>、股票来源：向激励对象定向发行人民币普通股股票。</w:t>
      </w:r>
    </w:p>
    <w:p>
      <w:pPr>
        <w:pStyle w:val="BodyText"/>
        <w:spacing w:line="300" w:lineRule="auto" w:before="103"/>
        <w:ind w:right="0" w:firstLine="360"/>
        <w:jc w:val="left"/>
      </w:pPr>
      <w:r>
        <w:rPr>
          <w:rFonts w:ascii="Times New Roman" w:hAnsi="Times New Roman" w:cs="Times New Roman" w:eastAsia="Times New Roman" w:hint="default"/>
          <w:spacing w:val="-2"/>
        </w:rPr>
        <w:t>5</w:t>
      </w:r>
      <w:r>
        <w:rPr>
          <w:spacing w:val="-2"/>
        </w:rPr>
        <w:t>、激励计划的有效期：本激励计划的有效期为不超过</w:t>
      </w:r>
      <w:r>
        <w:rPr>
          <w:rFonts w:ascii="Times New Roman" w:hAnsi="Times New Roman" w:cs="Times New Roman" w:eastAsia="Times New Roman" w:hint="default"/>
          <w:spacing w:val="-2"/>
        </w:rPr>
        <w:t>5</w:t>
      </w:r>
      <w:r>
        <w:rPr>
          <w:spacing w:val="-2"/>
        </w:rPr>
        <w:t>年，自首次授予之日起，至所有限制性股票解锁或回购注销完毕</w:t>
      </w:r>
      <w:r>
        <w:rPr/>
        <w:t> 之日止。其中禁售期为</w:t>
      </w:r>
      <w:r>
        <w:rPr>
          <w:rFonts w:ascii="Times New Roman" w:hAnsi="Times New Roman" w:cs="Times New Roman" w:eastAsia="Times New Roman" w:hint="default"/>
        </w:rPr>
        <w:t>12</w:t>
      </w:r>
      <w:r>
        <w:rPr/>
        <w:t>个月，解锁期为</w:t>
      </w:r>
      <w:r>
        <w:rPr>
          <w:rFonts w:ascii="Times New Roman" w:hAnsi="Times New Roman" w:cs="Times New Roman" w:eastAsia="Times New Roman" w:hint="default"/>
        </w:rPr>
        <w:t>36</w:t>
      </w:r>
      <w:r>
        <w:rPr/>
        <w:t>个月。</w:t>
      </w:r>
    </w:p>
    <w:p>
      <w:pPr>
        <w:pStyle w:val="BodyText"/>
        <w:spacing w:line="240" w:lineRule="auto" w:before="53"/>
        <w:ind w:left="513" w:right="0"/>
        <w:jc w:val="left"/>
      </w:pPr>
      <w:r>
        <w:rPr>
          <w:rFonts w:ascii="Times New Roman" w:hAnsi="Times New Roman" w:cs="Times New Roman" w:eastAsia="Times New Roman" w:hint="default"/>
        </w:rPr>
        <w:t>6</w:t>
      </w:r>
      <w:r>
        <w:rPr/>
        <w:t>、解锁期：在解锁期内，若达到本激励计划规定的解锁条件，激励对象可分三次申请解锁，实际可解锁数量应与激励</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对象上一年度绩效评价结果挂钩。</w:t>
      </w:r>
    </w:p>
    <w:p>
      <w:pPr>
        <w:pStyle w:val="BodyText"/>
        <w:spacing w:line="338" w:lineRule="auto" w:before="117"/>
        <w:ind w:left="513" w:right="0"/>
        <w:jc w:val="left"/>
      </w:pPr>
      <w:r>
        <w:rPr>
          <w:rFonts w:ascii="Times New Roman" w:hAnsi="Times New Roman" w:cs="Times New Roman" w:eastAsia="Times New Roman" w:hint="default"/>
        </w:rPr>
        <w:t>7</w:t>
      </w:r>
      <w:r>
        <w:rPr/>
        <w:t>、预留股份：</w:t>
      </w:r>
      <w:r>
        <w:rPr>
          <w:rFonts w:ascii="Times New Roman" w:hAnsi="Times New Roman" w:cs="Times New Roman" w:eastAsia="Times New Roman" w:hint="default"/>
        </w:rPr>
        <w:t>146</w:t>
      </w:r>
      <w:r>
        <w:rPr/>
        <w:t>万股。 </w:t>
      </w:r>
      <w:r>
        <w:rPr>
          <w:spacing w:val="-2"/>
        </w:rPr>
        <w:t>具体内容详见《限制性股票激励计划（草案）》、《限制性股票激励计划（草案修订稿）》、《关于对限制性股票激励</w:t>
      </w:r>
    </w:p>
    <w:p>
      <w:pPr>
        <w:pStyle w:val="BodyText"/>
        <w:spacing w:line="316" w:lineRule="auto" w:before="2"/>
        <w:ind w:right="0"/>
        <w:jc w:val="left"/>
      </w:pPr>
      <w:r>
        <w:rPr>
          <w:spacing w:val="-2"/>
        </w:rPr>
        <w:t>计划进行调整的公告》、《关于向激励对象授予限制性股票的公告》、《关于限制性股票首次授予完成的公告》，分别刊登</w:t>
      </w:r>
      <w:r>
        <w:rPr>
          <w:spacing w:val="-68"/>
        </w:rPr>
        <w:t> </w:t>
      </w:r>
      <w:r>
        <w:rPr>
          <w:spacing w:val="-68"/>
        </w:rPr>
      </w:r>
      <w:r>
        <w:rPr>
          <w:spacing w:val="5"/>
        </w:rPr>
        <w:t>于</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12</w:t>
      </w:r>
      <w:r>
        <w:rPr>
          <w:spacing w:val="5"/>
        </w:rPr>
        <w:t>日、</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28</w:t>
      </w:r>
      <w:r>
        <w:rPr>
          <w:spacing w:val="5"/>
        </w:rPr>
        <w:t>日、</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30</w:t>
      </w:r>
      <w:r>
        <w:rPr>
          <w:spacing w:val="5"/>
        </w:rPr>
        <w:t>日、</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16</w:t>
      </w:r>
      <w:r>
        <w:rPr>
          <w:spacing w:val="5"/>
        </w:rPr>
        <w:t>日的《证券时报》、《中国证券报》及巨潮资讯网</w:t>
      </w:r>
      <w:r>
        <w:rPr/>
      </w:r>
    </w:p>
    <w:p>
      <w:pPr>
        <w:pStyle w:val="BodyText"/>
        <w:spacing w:line="248" w:lineRule="exact"/>
        <w:ind w:right="0"/>
        <w:jc w:val="left"/>
      </w:pPr>
      <w:r>
        <w:rPr/>
        <w:t>（</w:t>
      </w:r>
      <w:r>
        <w:rPr>
          <w:rFonts w:ascii="Times New Roman" w:hAnsi="Times New Roman" w:cs="Times New Roman" w:eastAsia="Times New Roman" w:hint="default"/>
        </w:rPr>
        <w:t>htpp:/</w:t>
      </w:r>
      <w:hyperlink r:id="rId11">
        <w:r>
          <w:rPr>
            <w:rFonts w:ascii="Times New Roman" w:hAnsi="Times New Roman" w:cs="Times New Roman" w:eastAsia="Times New Roman" w:hint="default"/>
          </w:rPr>
          <w:t>/www</w:t>
        </w:r>
      </w:hyperlink>
      <w:r>
        <w:rPr>
          <w:rFonts w:ascii="Times New Roman" w:hAnsi="Times New Roman" w:cs="Times New Roman" w:eastAsia="Times New Roman" w:hint="default"/>
        </w:rPr>
        <w:t>.</w:t>
      </w:r>
      <w:hyperlink r:id="rId11">
        <w:r>
          <w:rPr>
            <w:rFonts w:ascii="Times New Roman" w:hAnsi="Times New Roman" w:cs="Times New Roman" w:eastAsia="Times New Roman" w:hint="default"/>
          </w:rPr>
          <w:t>cninfo.com.cn</w:t>
        </w:r>
      </w:hyperlink>
      <w:r>
        <w:rPr/>
        <w:t>）。</w:t>
      </w:r>
    </w:p>
    <w:p>
      <w:pPr>
        <w:pStyle w:val="BodyText"/>
        <w:spacing w:line="316" w:lineRule="auto" w:before="103"/>
        <w:ind w:right="231" w:firstLine="360"/>
        <w:jc w:val="both"/>
      </w:pPr>
      <w:r>
        <w:rPr>
          <w:spacing w:val="-2"/>
        </w:rPr>
        <w:t>（二）第一个解锁期未达到解锁条件的限制性股票及部分已不符合激励条件的激励对象已获授但尚未解锁的限制性股票</w:t>
      </w:r>
      <w:r>
        <w:rPr/>
        <w:t> 回购注销的情况</w:t>
      </w:r>
    </w:p>
    <w:p>
      <w:pPr>
        <w:pStyle w:val="BodyText"/>
        <w:spacing w:line="309" w:lineRule="auto" w:before="59"/>
        <w:ind w:right="231" w:firstLine="360"/>
        <w:jc w:val="both"/>
      </w:pPr>
      <w:r>
        <w:rPr>
          <w:spacing w:val="-2"/>
        </w:rPr>
        <w:t>经公司第三届董事会第十二次会议、第三届监事会第十一次会议审议批准，同意根据公司《限制性股票激励计划（草案</w:t>
      </w:r>
      <w:r>
        <w:rPr/>
        <w:t> 修订稿）》的相关规定，回购注销未达到第一期解锁条件的激励对象持有获授的限制性股票总数的</w:t>
      </w:r>
      <w:r>
        <w:rPr>
          <w:rFonts w:ascii="Times New Roman" w:hAnsi="Times New Roman" w:cs="Times New Roman" w:eastAsia="Times New Roman" w:hint="default"/>
        </w:rPr>
        <w:t>25%</w:t>
      </w:r>
      <w:r>
        <w:rPr/>
        <w:t>及</w:t>
      </w:r>
      <w:r>
        <w:rPr>
          <w:rFonts w:ascii="Times New Roman" w:hAnsi="Times New Roman" w:cs="Times New Roman" w:eastAsia="Times New Roman" w:hint="default"/>
        </w:rPr>
        <w:t>2</w:t>
      </w:r>
      <w:r>
        <w:rPr/>
        <w:t>名离职人员持有</w:t>
      </w:r>
      <w:r>
        <w:rPr>
          <w:spacing w:val="-55"/>
        </w:rPr>
        <w:t> </w:t>
      </w:r>
      <w:r>
        <w:rPr>
          <w:spacing w:val="-55"/>
        </w:rPr>
      </w:r>
      <w:r>
        <w:rPr/>
        <w:t>的已获授但尚未解锁的全部限制性股票，共计</w:t>
      </w:r>
      <w:r>
        <w:rPr>
          <w:rFonts w:ascii="Times New Roman" w:hAnsi="Times New Roman" w:cs="Times New Roman" w:eastAsia="Times New Roman" w:hint="default"/>
        </w:rPr>
        <w:t>303.275</w:t>
      </w:r>
      <w:r>
        <w:rPr/>
        <w:t>万股，并依法办理注销手续，具体情况如下：</w:t>
      </w:r>
    </w:p>
    <w:p>
      <w:pPr>
        <w:pStyle w:val="BodyText"/>
        <w:spacing w:line="240" w:lineRule="auto" w:before="43"/>
        <w:ind w:left="513" w:right="0"/>
        <w:jc w:val="left"/>
      </w:pPr>
      <w:r>
        <w:rPr>
          <w:rFonts w:ascii="Times New Roman" w:hAnsi="Times New Roman" w:cs="Times New Roman" w:eastAsia="Times New Roman" w:hint="default"/>
        </w:rPr>
        <w:t>1</w:t>
      </w:r>
      <w:r>
        <w:rPr/>
        <w:t>、回购原因：</w:t>
      </w:r>
    </w:p>
    <w:p>
      <w:pPr>
        <w:pStyle w:val="BodyText"/>
        <w:spacing w:line="300" w:lineRule="auto" w:before="103"/>
        <w:ind w:right="226" w:firstLine="360"/>
        <w:jc w:val="both"/>
      </w:pPr>
      <w:r>
        <w:rPr/>
        <w:t>（</w:t>
      </w:r>
      <w:r>
        <w:rPr>
          <w:rFonts w:ascii="Times New Roman" w:hAnsi="Times New Roman" w:cs="Times New Roman" w:eastAsia="Times New Roman" w:hint="default"/>
        </w:rPr>
        <w:t>1</w:t>
      </w:r>
      <w:r>
        <w:rPr/>
        <w:t>）业绩未达到解锁条件：根据公司股权激励计划，激励对象可分三次按照获授限制性股票总量的</w:t>
      </w:r>
      <w:r>
        <w:rPr>
          <w:rFonts w:ascii="Times New Roman" w:hAnsi="Times New Roman" w:cs="Times New Roman" w:eastAsia="Times New Roman" w:hint="default"/>
        </w:rPr>
        <w:t>25%</w:t>
      </w:r>
      <w:r>
        <w:rPr/>
        <w:t>、</w:t>
      </w:r>
      <w:r>
        <w:rPr>
          <w:rFonts w:ascii="Times New Roman" w:hAnsi="Times New Roman" w:cs="Times New Roman" w:eastAsia="Times New Roman" w:hint="default"/>
        </w:rPr>
        <w:t>40%</w:t>
      </w:r>
      <w:r>
        <w:rPr/>
        <w:t>、</w:t>
      </w:r>
      <w:r>
        <w:rPr>
          <w:rFonts w:ascii="Times New Roman" w:hAnsi="Times New Roman" w:cs="Times New Roman" w:eastAsia="Times New Roman" w:hint="default"/>
        </w:rPr>
        <w:t>35%</w:t>
      </w:r>
      <w:r>
        <w:rPr>
          <w:rFonts w:ascii="Times New Roman" w:hAnsi="Times New Roman" w:cs="Times New Roman" w:eastAsia="Times New Roman" w:hint="default"/>
          <w:spacing w:val="1"/>
        </w:rPr>
        <w:t> </w:t>
      </w:r>
      <w:r>
        <w:rPr>
          <w:spacing w:val="-1"/>
        </w:rPr>
        <w:t>的比例申请标的股票解锁，其中第一次解锁条件为以</w:t>
      </w:r>
      <w:r>
        <w:rPr>
          <w:rFonts w:ascii="Times New Roman" w:hAnsi="Times New Roman" w:cs="Times New Roman" w:eastAsia="Times New Roman" w:hint="default"/>
          <w:spacing w:val="-1"/>
        </w:rPr>
        <w:t>2013</w:t>
      </w:r>
      <w:r>
        <w:rPr>
          <w:spacing w:val="-1"/>
        </w:rPr>
        <w:t>年为基数，</w:t>
      </w:r>
      <w:r>
        <w:rPr>
          <w:rFonts w:ascii="Times New Roman" w:hAnsi="Times New Roman" w:cs="Times New Roman" w:eastAsia="Times New Roman" w:hint="default"/>
          <w:spacing w:val="-1"/>
        </w:rPr>
        <w:t>2014</w:t>
      </w:r>
      <w:r>
        <w:rPr>
          <w:spacing w:val="-1"/>
        </w:rPr>
        <w:t>年营业收入增长率不低于</w:t>
      </w:r>
      <w:r>
        <w:rPr>
          <w:rFonts w:ascii="Times New Roman" w:hAnsi="Times New Roman" w:cs="Times New Roman" w:eastAsia="Times New Roman" w:hint="default"/>
          <w:spacing w:val="-1"/>
        </w:rPr>
        <w:t>20%</w:t>
      </w:r>
      <w:r>
        <w:rPr>
          <w:spacing w:val="-1"/>
        </w:rPr>
        <w:t>；且以</w:t>
      </w:r>
      <w:r>
        <w:rPr>
          <w:rFonts w:ascii="Times New Roman" w:hAnsi="Times New Roman" w:cs="Times New Roman" w:eastAsia="Times New Roman" w:hint="default"/>
          <w:spacing w:val="-1"/>
        </w:rPr>
        <w:t>2013</w:t>
      </w:r>
      <w:r>
        <w:rPr>
          <w:spacing w:val="-1"/>
        </w:rPr>
        <w:t>年净利润</w:t>
      </w:r>
      <w:r>
        <w:rPr/>
        <w:t> </w:t>
      </w:r>
      <w:r>
        <w:rPr>
          <w:spacing w:val="-1"/>
        </w:rPr>
        <w:t>为基数，</w:t>
      </w:r>
      <w:r>
        <w:rPr>
          <w:rFonts w:ascii="Times New Roman" w:hAnsi="Times New Roman" w:cs="Times New Roman" w:eastAsia="Times New Roman" w:hint="default"/>
          <w:spacing w:val="-1"/>
        </w:rPr>
        <w:t>2014</w:t>
      </w:r>
      <w:r>
        <w:rPr>
          <w:spacing w:val="-1"/>
        </w:rPr>
        <w:t>年净利润增长率不低于</w:t>
      </w:r>
      <w:r>
        <w:rPr>
          <w:rFonts w:ascii="Times New Roman" w:hAnsi="Times New Roman" w:cs="Times New Roman" w:eastAsia="Times New Roman" w:hint="default"/>
          <w:spacing w:val="-1"/>
        </w:rPr>
        <w:t>10%</w:t>
      </w:r>
      <w:r>
        <w:rPr>
          <w:spacing w:val="-1"/>
        </w:rPr>
        <w:t>。（以上净利润指标均以扣除非经常性损益后的净利润与不扣除非经常性损益的净</w:t>
      </w:r>
      <w:r>
        <w:rPr/>
        <w:t> 利润二者孰低作为计算依据，</w:t>
      </w:r>
      <w:r>
        <w:rPr>
          <w:rFonts w:ascii="Times New Roman" w:hAnsi="Times New Roman" w:cs="Times New Roman" w:eastAsia="Times New Roman" w:hint="default"/>
        </w:rPr>
        <w:t>2014</w:t>
      </w:r>
      <w:r>
        <w:rPr/>
        <w:t>年净利润指归属于母公司所有者的净利润。）</w:t>
      </w:r>
    </w:p>
    <w:p>
      <w:pPr>
        <w:pStyle w:val="BodyText"/>
        <w:spacing w:line="300" w:lineRule="auto" w:before="53"/>
        <w:ind w:right="227" w:firstLine="360"/>
        <w:jc w:val="both"/>
      </w:pPr>
      <w:r>
        <w:rPr>
          <w:spacing w:val="-2"/>
        </w:rPr>
        <w:t>根据公司</w:t>
      </w:r>
      <w:r>
        <w:rPr>
          <w:rFonts w:ascii="Times New Roman" w:hAnsi="Times New Roman" w:cs="Times New Roman" w:eastAsia="Times New Roman" w:hint="default"/>
          <w:spacing w:val="-2"/>
        </w:rPr>
        <w:t>2014</w:t>
      </w:r>
      <w:r>
        <w:rPr>
          <w:spacing w:val="-2"/>
        </w:rPr>
        <w:t>年度经审计的财务报告，</w:t>
      </w:r>
      <w:r>
        <w:rPr>
          <w:rFonts w:ascii="Times New Roman" w:hAnsi="Times New Roman" w:cs="Times New Roman" w:eastAsia="Times New Roman" w:hint="default"/>
          <w:spacing w:val="-2"/>
        </w:rPr>
        <w:t>2014</w:t>
      </w:r>
      <w:r>
        <w:rPr>
          <w:spacing w:val="-2"/>
        </w:rPr>
        <w:t>年公司合并报表扣除非经常性损益后的净利润比</w:t>
      </w:r>
      <w:r>
        <w:rPr>
          <w:rFonts w:ascii="Times New Roman" w:hAnsi="Times New Roman" w:cs="Times New Roman" w:eastAsia="Times New Roman" w:hint="default"/>
          <w:spacing w:val="-2"/>
        </w:rPr>
        <w:t>2013</w:t>
      </w:r>
      <w:r>
        <w:rPr>
          <w:spacing w:val="-2"/>
        </w:rPr>
        <w:t>年扣除非经常性损益后</w:t>
      </w:r>
      <w:r>
        <w:rPr/>
        <w:t> 的净利润下降</w:t>
      </w:r>
      <w:r>
        <w:rPr>
          <w:rFonts w:ascii="Times New Roman" w:hAnsi="Times New Roman" w:cs="Times New Roman" w:eastAsia="Times New Roman" w:hint="default"/>
        </w:rPr>
        <w:t>52.88%</w:t>
      </w:r>
      <w:r>
        <w:rPr/>
        <w:t>；营业收入比</w:t>
      </w:r>
      <w:r>
        <w:rPr>
          <w:rFonts w:ascii="Times New Roman" w:hAnsi="Times New Roman" w:cs="Times New Roman" w:eastAsia="Times New Roman" w:hint="default"/>
        </w:rPr>
        <w:t>2013</w:t>
      </w:r>
      <w:r>
        <w:rPr/>
        <w:t>年增长</w:t>
      </w:r>
      <w:r>
        <w:rPr>
          <w:rFonts w:ascii="Times New Roman" w:hAnsi="Times New Roman" w:cs="Times New Roman" w:eastAsia="Times New Roman" w:hint="default"/>
        </w:rPr>
        <w:t>75.52%</w:t>
      </w:r>
      <w:r>
        <w:rPr/>
        <w:t>，总体上未达到股权激励计划要求的解锁条件，因此根据公司股权激</w:t>
      </w:r>
      <w:r>
        <w:rPr>
          <w:spacing w:val="-38"/>
        </w:rPr>
        <w:t> </w:t>
      </w:r>
      <w:r>
        <w:rPr>
          <w:spacing w:val="-38"/>
        </w:rPr>
      </w:r>
      <w:r>
        <w:rPr/>
        <w:t>励计划，公司应将第一期即获授限制性股票总数的</w:t>
      </w:r>
      <w:r>
        <w:rPr>
          <w:rFonts w:ascii="Times New Roman" w:hAnsi="Times New Roman" w:cs="Times New Roman" w:eastAsia="Times New Roman" w:hint="default"/>
        </w:rPr>
        <w:t>25%</w:t>
      </w:r>
      <w:r>
        <w:rPr/>
        <w:t>进行回购注销。</w:t>
      </w:r>
    </w:p>
    <w:p>
      <w:pPr>
        <w:pStyle w:val="BodyText"/>
        <w:spacing w:line="340" w:lineRule="auto" w:before="51"/>
        <w:ind w:left="513" w:right="233"/>
        <w:jc w:val="left"/>
      </w:pPr>
      <w:r>
        <w:rPr/>
        <w:t>（</w:t>
      </w:r>
      <w:r>
        <w:rPr>
          <w:rFonts w:ascii="Times New Roman" w:hAnsi="Times New Roman" w:cs="Times New Roman" w:eastAsia="Times New Roman" w:hint="default"/>
        </w:rPr>
        <w:t>2</w:t>
      </w:r>
      <w:r>
        <w:rPr/>
        <w:t>）激励对象离职 公司激励对象杨彪、张世伟向公司提出辞职并已获得同意，根据公司股权激励计划第十三章</w:t>
      </w:r>
      <w:r>
        <w:rPr>
          <w:rFonts w:ascii="Times New Roman" w:hAnsi="Times New Roman" w:cs="Times New Roman" w:eastAsia="Times New Roman" w:hint="default"/>
        </w:rPr>
        <w:t>“</w:t>
      </w:r>
      <w:r>
        <w:rPr/>
        <w:t>本激励计划的变更、终止</w:t>
      </w:r>
    </w:p>
    <w:p>
      <w:pPr>
        <w:pStyle w:val="BodyText"/>
        <w:spacing w:line="228" w:lineRule="exact"/>
        <w:ind w:right="0"/>
        <w:jc w:val="left"/>
      </w:pPr>
      <w:r>
        <w:rPr/>
        <w:t>与其他事项</w:t>
      </w:r>
      <w:r>
        <w:rPr>
          <w:rFonts w:ascii="Times New Roman" w:hAnsi="Times New Roman" w:cs="Times New Roman" w:eastAsia="Times New Roman" w:hint="default"/>
        </w:rPr>
        <w:t>”</w:t>
      </w:r>
      <w:r>
        <w:rPr/>
        <w:t>、第（五）点</w:t>
      </w:r>
      <w:r>
        <w:rPr>
          <w:rFonts w:ascii="Times New Roman" w:hAnsi="Times New Roman" w:cs="Times New Roman" w:eastAsia="Times New Roman" w:hint="default"/>
        </w:rPr>
        <w:t>“</w:t>
      </w:r>
      <w:r>
        <w:rPr/>
        <w:t>激励对象个人情况发生变化</w:t>
      </w:r>
      <w:r>
        <w:rPr>
          <w:rFonts w:ascii="Times New Roman" w:hAnsi="Times New Roman" w:cs="Times New Roman" w:eastAsia="Times New Roman" w:hint="default"/>
        </w:rPr>
        <w:t>”</w:t>
      </w:r>
      <w:r>
        <w:rPr/>
        <w:t>、第</w:t>
      </w:r>
      <w:r>
        <w:rPr>
          <w:rFonts w:ascii="Times New Roman" w:hAnsi="Times New Roman" w:cs="Times New Roman" w:eastAsia="Times New Roman" w:hint="default"/>
        </w:rPr>
        <w:t>2</w:t>
      </w:r>
      <w:r>
        <w:rPr/>
        <w:t>条</w:t>
      </w:r>
      <w:r>
        <w:rPr>
          <w:rFonts w:ascii="Times New Roman" w:hAnsi="Times New Roman" w:cs="Times New Roman" w:eastAsia="Times New Roman" w:hint="default"/>
        </w:rPr>
        <w:t>“</w:t>
      </w:r>
      <w:r>
        <w:rPr/>
        <w:t>激励对象因辞职、公司裁员而离职，激励对象根据本激励</w:t>
      </w:r>
    </w:p>
    <w:p>
      <w:pPr>
        <w:pStyle w:val="BodyText"/>
        <w:spacing w:line="300" w:lineRule="auto" w:before="63"/>
        <w:ind w:right="0"/>
        <w:jc w:val="left"/>
      </w:pPr>
      <w:r>
        <w:rPr/>
        <w:t>计划已获授但尚未解锁的限制性股票不得解锁，由卓翼科技回购注销。</w:t>
      </w:r>
      <w:r>
        <w:rPr>
          <w:rFonts w:ascii="Times New Roman" w:hAnsi="Times New Roman" w:cs="Times New Roman" w:eastAsia="Times New Roman" w:hint="default"/>
        </w:rPr>
        <w:t>”</w:t>
      </w:r>
      <w:r>
        <w:rPr/>
        <w:t>的规定，公司对原激励对象杨彪、张世伟已获授但</w:t>
      </w:r>
      <w:r>
        <w:rPr>
          <w:spacing w:val="-74"/>
        </w:rPr>
        <w:t> </w:t>
      </w:r>
      <w:r>
        <w:rPr>
          <w:spacing w:val="-74"/>
        </w:rPr>
      </w:r>
      <w:r>
        <w:rPr/>
        <w:t>尚未解锁的</w:t>
      </w:r>
      <w:r>
        <w:rPr>
          <w:rFonts w:ascii="Times New Roman" w:hAnsi="Times New Roman" w:cs="Times New Roman" w:eastAsia="Times New Roman" w:hint="default"/>
        </w:rPr>
        <w:t>5</w:t>
      </w:r>
      <w:r>
        <w:rPr/>
        <w:t>万股限制性股票进行回购注销。</w:t>
      </w:r>
    </w:p>
    <w:p>
      <w:pPr>
        <w:pStyle w:val="BodyText"/>
        <w:spacing w:line="240" w:lineRule="auto" w:before="54"/>
        <w:ind w:left="513" w:right="0"/>
        <w:jc w:val="left"/>
      </w:pPr>
      <w:r>
        <w:rPr/>
        <w:t>结合以上两项原因，公司本次回购注销的限制性股票数量共计为</w:t>
      </w:r>
      <w:r>
        <w:rPr>
          <w:rFonts w:ascii="Times New Roman" w:hAnsi="Times New Roman" w:cs="Times New Roman" w:eastAsia="Times New Roman" w:hint="default"/>
        </w:rPr>
        <w:t>303.275</w:t>
      </w:r>
      <w:r>
        <w:rPr/>
        <w:t>万股。</w:t>
      </w:r>
    </w:p>
    <w:p>
      <w:pPr>
        <w:pStyle w:val="BodyText"/>
        <w:spacing w:line="300" w:lineRule="auto" w:before="101"/>
        <w:ind w:right="229" w:firstLine="360"/>
        <w:jc w:val="both"/>
      </w:pPr>
      <w:r>
        <w:rPr>
          <w:rFonts w:ascii="Times New Roman" w:hAnsi="Times New Roman" w:cs="Times New Roman" w:eastAsia="Times New Roman" w:hint="default"/>
          <w:spacing w:val="-1"/>
        </w:rPr>
        <w:t>2</w:t>
      </w:r>
      <w:r>
        <w:rPr>
          <w:spacing w:val="-1"/>
        </w:rPr>
        <w:t>、回购注销数量：</w:t>
      </w:r>
      <w:r>
        <w:rPr>
          <w:rFonts w:ascii="Times New Roman" w:hAnsi="Times New Roman" w:cs="Times New Roman" w:eastAsia="Times New Roman" w:hint="default"/>
          <w:spacing w:val="-1"/>
        </w:rPr>
        <w:t>102</w:t>
      </w:r>
      <w:r>
        <w:rPr>
          <w:spacing w:val="-1"/>
        </w:rPr>
        <w:t>名激励对象获授但尚未解锁第一期限制性股票共计</w:t>
      </w:r>
      <w:r>
        <w:rPr>
          <w:rFonts w:ascii="Times New Roman" w:hAnsi="Times New Roman" w:cs="Times New Roman" w:eastAsia="Times New Roman" w:hint="default"/>
          <w:spacing w:val="-1"/>
        </w:rPr>
        <w:t>298.275</w:t>
      </w:r>
      <w:r>
        <w:rPr>
          <w:spacing w:val="-1"/>
        </w:rPr>
        <w:t>万股；杨彪、张世伟</w:t>
      </w:r>
      <w:r>
        <w:rPr>
          <w:rFonts w:ascii="Times New Roman" w:hAnsi="Times New Roman" w:cs="Times New Roman" w:eastAsia="Times New Roman" w:hint="default"/>
          <w:spacing w:val="-1"/>
        </w:rPr>
        <w:t>2</w:t>
      </w:r>
      <w:r>
        <w:rPr>
          <w:spacing w:val="-1"/>
        </w:rPr>
        <w:t>名已离职对象获</w:t>
      </w:r>
      <w:r>
        <w:rPr/>
        <w:t> 授但尚未解锁的限制性股票</w:t>
      </w:r>
      <w:r>
        <w:rPr>
          <w:rFonts w:ascii="Times New Roman" w:hAnsi="Times New Roman" w:cs="Times New Roman" w:eastAsia="Times New Roman" w:hint="default"/>
        </w:rPr>
        <w:t>5</w:t>
      </w:r>
      <w:r>
        <w:rPr/>
        <w:t>万股，共计</w:t>
      </w:r>
      <w:r>
        <w:rPr>
          <w:rFonts w:ascii="Times New Roman" w:hAnsi="Times New Roman" w:cs="Times New Roman" w:eastAsia="Times New Roman" w:hint="default"/>
        </w:rPr>
        <w:t>303.275</w:t>
      </w:r>
      <w:r>
        <w:rPr/>
        <w:t>万股，合计占限制性股票首次授予总数的</w:t>
      </w:r>
      <w:r>
        <w:rPr>
          <w:rFonts w:ascii="Times New Roman" w:hAnsi="Times New Roman" w:cs="Times New Roman" w:eastAsia="Times New Roman" w:hint="default"/>
        </w:rPr>
        <w:t>25.31%</w:t>
      </w:r>
      <w:r>
        <w:rPr/>
        <w:t>，占回购前公司股份总数</w:t>
      </w:r>
    </w:p>
    <w:p>
      <w:pPr>
        <w:pStyle w:val="BodyText"/>
        <w:spacing w:line="240" w:lineRule="auto" w:before="13"/>
        <w:ind w:right="0"/>
        <w:jc w:val="left"/>
      </w:pPr>
      <w:r>
        <w:rPr/>
        <w:t>（</w:t>
      </w:r>
      <w:r>
        <w:rPr>
          <w:rFonts w:ascii="Times New Roman" w:hAnsi="Times New Roman" w:cs="Times New Roman" w:eastAsia="Times New Roman" w:hint="default"/>
        </w:rPr>
        <w:t>49198.1</w:t>
      </w:r>
      <w:r>
        <w:rPr/>
        <w:t>万股）的</w:t>
      </w:r>
      <w:r>
        <w:rPr>
          <w:rFonts w:ascii="Times New Roman" w:hAnsi="Times New Roman" w:cs="Times New Roman" w:eastAsia="Times New Roman" w:hint="default"/>
        </w:rPr>
        <w:t>0.62%</w:t>
      </w:r>
      <w:r>
        <w:rPr/>
        <w:t>。</w:t>
      </w:r>
    </w:p>
    <w:p>
      <w:pPr>
        <w:pStyle w:val="BodyText"/>
        <w:spacing w:line="240" w:lineRule="auto" w:before="103"/>
        <w:ind w:left="513" w:right="0"/>
        <w:jc w:val="left"/>
      </w:pPr>
      <w:r>
        <w:rPr>
          <w:rFonts w:ascii="Times New Roman" w:hAnsi="Times New Roman" w:cs="Times New Roman" w:eastAsia="Times New Roman" w:hint="default"/>
        </w:rPr>
        <w:t>3</w:t>
      </w:r>
      <w:r>
        <w:rPr/>
        <w:t>、回购注销价格：</w:t>
      </w:r>
      <w:r>
        <w:rPr>
          <w:rFonts w:ascii="Times New Roman" w:hAnsi="Times New Roman" w:cs="Times New Roman" w:eastAsia="Times New Roman" w:hint="default"/>
        </w:rPr>
        <w:t>3.85</w:t>
      </w:r>
      <w:r>
        <w:rPr/>
        <w:t>元</w:t>
      </w:r>
      <w:r>
        <w:rPr>
          <w:rFonts w:ascii="Times New Roman" w:hAnsi="Times New Roman" w:cs="Times New Roman" w:eastAsia="Times New Roman" w:hint="default"/>
        </w:rPr>
        <w:t>/</w:t>
      </w:r>
      <w:r>
        <w:rPr/>
        <w:t>股。</w:t>
      </w:r>
    </w:p>
    <w:p>
      <w:pPr>
        <w:pStyle w:val="BodyText"/>
        <w:spacing w:line="338" w:lineRule="auto" w:before="103"/>
        <w:ind w:left="513" w:right="0"/>
        <w:jc w:val="left"/>
      </w:pPr>
      <w:r>
        <w:rPr>
          <w:rFonts w:ascii="Times New Roman" w:hAnsi="Times New Roman" w:cs="Times New Roman" w:eastAsia="Times New Roman" w:hint="default"/>
        </w:rPr>
        <w:t>4</w:t>
      </w:r>
      <w:r>
        <w:rPr/>
        <w:t>、本次回购注销对公司的影响： </w:t>
      </w:r>
      <w:r>
        <w:rPr>
          <w:spacing w:val="-2"/>
        </w:rPr>
        <w:t>本次限制性股票回购注销后，公司股权激励计划授予的限制性股票数量由</w:t>
      </w:r>
      <w:r>
        <w:rPr>
          <w:rFonts w:ascii="Times New Roman" w:hAnsi="Times New Roman" w:cs="Times New Roman" w:eastAsia="Times New Roman" w:hint="default"/>
          <w:spacing w:val="-2"/>
        </w:rPr>
        <w:t>1198.1</w:t>
      </w:r>
      <w:r>
        <w:rPr>
          <w:spacing w:val="-2"/>
        </w:rPr>
        <w:t>万股调整为</w:t>
      </w:r>
      <w:r>
        <w:rPr>
          <w:rFonts w:ascii="Times New Roman" w:hAnsi="Times New Roman" w:cs="Times New Roman" w:eastAsia="Times New Roman" w:hint="default"/>
          <w:spacing w:val="-2"/>
        </w:rPr>
        <w:t>894.825</w:t>
      </w:r>
      <w:r>
        <w:rPr>
          <w:spacing w:val="-2"/>
        </w:rPr>
        <w:t>万股，激励对象总人</w:t>
      </w:r>
    </w:p>
    <w:p>
      <w:pPr>
        <w:pStyle w:val="BodyText"/>
        <w:spacing w:line="230" w:lineRule="exact"/>
        <w:ind w:right="0"/>
        <w:jc w:val="left"/>
      </w:pPr>
      <w:r>
        <w:rPr/>
        <w:t>数由</w:t>
      </w:r>
      <w:r>
        <w:rPr>
          <w:rFonts w:ascii="Times New Roman" w:hAnsi="Times New Roman" w:cs="Times New Roman" w:eastAsia="Times New Roman" w:hint="default"/>
        </w:rPr>
        <w:t>104</w:t>
      </w:r>
      <w:r>
        <w:rPr/>
        <w:t>人调整为</w:t>
      </w:r>
      <w:r>
        <w:rPr>
          <w:rFonts w:ascii="Times New Roman" w:hAnsi="Times New Roman" w:cs="Times New Roman" w:eastAsia="Times New Roman" w:hint="default"/>
        </w:rPr>
        <w:t>102</w:t>
      </w:r>
      <w:r>
        <w:rPr/>
        <w:t>人，股本总额由</w:t>
      </w:r>
      <w:r>
        <w:rPr>
          <w:rFonts w:ascii="Times New Roman" w:hAnsi="Times New Roman" w:cs="Times New Roman" w:eastAsia="Times New Roman" w:hint="default"/>
        </w:rPr>
        <w:t>49,198.1</w:t>
      </w:r>
      <w:r>
        <w:rPr/>
        <w:t>万股调整为</w:t>
      </w:r>
      <w:r>
        <w:rPr>
          <w:rFonts w:ascii="Times New Roman" w:hAnsi="Times New Roman" w:cs="Times New Roman" w:eastAsia="Times New Roman" w:hint="default"/>
        </w:rPr>
        <w:t>48,894.825</w:t>
      </w:r>
      <w:r>
        <w:rPr/>
        <w:t>万股。</w:t>
      </w:r>
    </w:p>
    <w:p>
      <w:pPr>
        <w:pStyle w:val="BodyText"/>
        <w:spacing w:line="316" w:lineRule="auto" w:before="103"/>
        <w:ind w:right="143" w:firstLine="360"/>
        <w:jc w:val="both"/>
      </w:pPr>
      <w:r>
        <w:rPr>
          <w:spacing w:val="-4"/>
        </w:rPr>
        <w:t>对于股权激励费用的说明：因股权激励计划第一期限制性股票未能满足解锁条件而失效的部分，不确认股份支付的费用，</w:t>
      </w:r>
      <w:r>
        <w:rPr/>
        <w:t> 在报告年度仅就其余有效的限制性股票对应的本年费用予以足额确认。</w:t>
      </w:r>
    </w:p>
    <w:p>
      <w:pPr>
        <w:pStyle w:val="BodyText"/>
        <w:spacing w:line="240" w:lineRule="auto" w:before="59"/>
        <w:ind w:left="513" w:right="0"/>
        <w:jc w:val="left"/>
      </w:pPr>
      <w:r>
        <w:rPr/>
        <w:t>股权激励第一期正常实施与失效对各年度产生的费用影响如下：</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952"/>
        <w:gridCol w:w="1561"/>
        <w:gridCol w:w="1274"/>
        <w:gridCol w:w="1277"/>
        <w:gridCol w:w="1277"/>
        <w:gridCol w:w="1275"/>
        <w:gridCol w:w="1133"/>
      </w:tblGrid>
      <w:tr>
        <w:trPr>
          <w:trHeight w:val="781"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宋体" w:hAnsi="宋体" w:cs="宋体" w:eastAsia="宋体" w:hint="default"/>
                <w:sz w:val="18"/>
                <w:szCs w:val="18"/>
              </w:rPr>
              <w:t>度</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限制性股票数量</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（万股）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80" w:right="0"/>
              <w:jc w:val="left"/>
              <w:rPr>
                <w:rFonts w:ascii="宋体" w:hAnsi="宋体" w:cs="宋体" w:eastAsia="宋体" w:hint="default"/>
                <w:sz w:val="18"/>
                <w:szCs w:val="18"/>
              </w:rPr>
            </w:pPr>
            <w:r>
              <w:rPr>
                <w:rFonts w:ascii="宋体" w:hAnsi="宋体" w:cs="宋体" w:eastAsia="宋体" w:hint="default"/>
                <w:sz w:val="18"/>
                <w:szCs w:val="18"/>
              </w:rPr>
              <w:t>摊销总成本</w:t>
            </w:r>
          </w:p>
          <w:p>
            <w:pPr>
              <w:pStyle w:val="TableParagraph"/>
              <w:spacing w:line="240" w:lineRule="auto" w:before="115"/>
              <w:ind w:left="26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p>
            <w:pPr>
              <w:pStyle w:val="TableParagraph"/>
              <w:spacing w:line="240" w:lineRule="auto" w:before="101"/>
              <w:ind w:left="27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p>
            <w:pPr>
              <w:pStyle w:val="TableParagraph"/>
              <w:spacing w:line="240" w:lineRule="auto" w:before="101"/>
              <w:ind w:left="27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p>
            <w:pPr>
              <w:pStyle w:val="TableParagraph"/>
              <w:spacing w:line="240" w:lineRule="auto" w:before="101"/>
              <w:ind w:left="26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p>
            <w:pPr>
              <w:pStyle w:val="TableParagraph"/>
              <w:spacing w:line="240" w:lineRule="auto" w:before="101"/>
              <w:ind w:left="199"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739"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2"/>
              <w:jc w:val="left"/>
              <w:rPr>
                <w:rFonts w:ascii="宋体" w:hAnsi="宋体" w:cs="宋体" w:eastAsia="宋体" w:hint="default"/>
                <w:sz w:val="18"/>
                <w:szCs w:val="18"/>
              </w:rPr>
            </w:pPr>
            <w:r>
              <w:rPr>
                <w:rFonts w:ascii="宋体" w:hAnsi="宋体" w:cs="宋体" w:eastAsia="宋体" w:hint="default"/>
                <w:spacing w:val="14"/>
                <w:sz w:val="18"/>
                <w:szCs w:val="18"/>
              </w:rPr>
              <w:t>正常实施的年度摊销费 </w:t>
            </w:r>
            <w:r>
              <w:rPr>
                <w:rFonts w:ascii="宋体" w:hAnsi="宋体" w:cs="宋体" w:eastAsia="宋体" w:hint="default"/>
                <w:sz w:val="18"/>
                <w:szCs w:val="18"/>
              </w:rPr>
              <w:t>用</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25" w:right="0"/>
              <w:jc w:val="left"/>
              <w:rPr>
                <w:rFonts w:ascii="Times New Roman" w:hAnsi="Times New Roman" w:cs="Times New Roman" w:eastAsia="Times New Roman" w:hint="default"/>
                <w:sz w:val="18"/>
                <w:szCs w:val="18"/>
              </w:rPr>
            </w:pPr>
            <w:r>
              <w:rPr>
                <w:rFonts w:ascii="Times New Roman"/>
                <w:sz w:val="18"/>
              </w:rPr>
              <w:t>1198.1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6385.87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2110.89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2687.39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1277.17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310.42</w:t>
            </w:r>
          </w:p>
        </w:tc>
      </w:tr>
      <w:tr>
        <w:trPr>
          <w:trHeight w:val="739"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2"/>
              <w:jc w:val="left"/>
              <w:rPr>
                <w:rFonts w:ascii="宋体" w:hAnsi="宋体" w:cs="宋体" w:eastAsia="宋体" w:hint="default"/>
                <w:sz w:val="18"/>
                <w:szCs w:val="18"/>
              </w:rPr>
            </w:pPr>
            <w:r>
              <w:rPr>
                <w:rFonts w:ascii="宋体" w:hAnsi="宋体" w:cs="宋体" w:eastAsia="宋体" w:hint="default"/>
                <w:spacing w:val="14"/>
                <w:sz w:val="18"/>
                <w:szCs w:val="18"/>
              </w:rPr>
              <w:t>第一批失效后重新测算 </w:t>
            </w:r>
            <w:r>
              <w:rPr>
                <w:rFonts w:ascii="宋体" w:hAnsi="宋体" w:cs="宋体" w:eastAsia="宋体" w:hint="default"/>
                <w:sz w:val="18"/>
                <w:szCs w:val="18"/>
              </w:rPr>
              <w:t>的年度摊销费用</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79" w:right="0"/>
              <w:jc w:val="left"/>
              <w:rPr>
                <w:rFonts w:ascii="Times New Roman" w:hAnsi="Times New Roman" w:cs="Times New Roman" w:eastAsia="Times New Roman" w:hint="default"/>
                <w:sz w:val="18"/>
                <w:szCs w:val="18"/>
              </w:rPr>
            </w:pPr>
            <w:r>
              <w:rPr>
                <w:rFonts w:ascii="Times New Roman"/>
                <w:sz w:val="18"/>
              </w:rPr>
              <w:t>894.825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4777.86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1179.61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2017.27</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1271.85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309.13</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00"/>
        </w:sectPr>
      </w:pPr>
    </w:p>
    <w:p>
      <w:pPr>
        <w:spacing w:line="240" w:lineRule="auto" w:before="9"/>
        <w:rPr>
          <w:rFonts w:ascii="宋体" w:hAnsi="宋体" w:cs="宋体" w:eastAsia="宋体" w:hint="default"/>
          <w:sz w:val="25"/>
          <w:szCs w:val="25"/>
        </w:rPr>
      </w:pPr>
    </w:p>
    <w:p>
      <w:pPr>
        <w:pStyle w:val="BodyText"/>
        <w:spacing w:line="340" w:lineRule="auto" w:before="44"/>
        <w:ind w:left="513" w:right="114"/>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日，公司已在中国证券登记结算有限责任公司深圳分公司办理完成了回购注销手续。 </w:t>
      </w:r>
      <w:r>
        <w:rPr>
          <w:spacing w:val="-2"/>
        </w:rPr>
        <w:t>具体内容详见《关于回购注销未达到第一期解锁条件及部分已不符合激励条件的激励对象已获授但尚未解锁的限制性股</w:t>
      </w:r>
    </w:p>
    <w:p>
      <w:pPr>
        <w:pStyle w:val="BodyText"/>
        <w:spacing w:line="309" w:lineRule="auto" w:before="1"/>
        <w:ind w:right="211"/>
        <w:jc w:val="both"/>
      </w:pPr>
      <w:r>
        <w:rPr>
          <w:spacing w:val="-2"/>
        </w:rPr>
        <w:t>票的公告》、《关于第一个解锁期未达到解锁条件的限制性股票及部分已不符合激励条件的激励对象已获授但尚未解锁的限</w:t>
      </w:r>
      <w:r>
        <w:rPr>
          <w:spacing w:val="-65"/>
        </w:rPr>
        <w:t> </w:t>
      </w:r>
      <w:r>
        <w:rPr>
          <w:spacing w:val="-65"/>
        </w:rPr>
      </w:r>
      <w:r>
        <w:rPr>
          <w:spacing w:val="-2"/>
        </w:rPr>
        <w:t>制性股票回购注销完成的公告》，分别刊登于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10</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日的《证券时报》、《中国证券报》及巨潮资讯</w:t>
      </w:r>
      <w:r>
        <w:rPr>
          <w:spacing w:val="-60"/>
        </w:rPr>
        <w:t> </w:t>
      </w:r>
      <w:r>
        <w:rPr>
          <w:spacing w:val="-60"/>
        </w:rPr>
      </w:r>
      <w:r>
        <w:rPr/>
        <w:t>网（</w:t>
      </w:r>
      <w:r>
        <w:rPr>
          <w:rFonts w:ascii="Times New Roman" w:hAnsi="Times New Roman" w:cs="Times New Roman" w:eastAsia="Times New Roman" w:hint="default"/>
        </w:rPr>
        <w:t>htpp:/</w:t>
      </w:r>
      <w:hyperlink r:id="rId11">
        <w:r>
          <w:rPr>
            <w:rFonts w:ascii="Times New Roman" w:hAnsi="Times New Roman" w:cs="Times New Roman" w:eastAsia="Times New Roman" w:hint="default"/>
          </w:rPr>
          <w:t>/www</w:t>
        </w:r>
      </w:hyperlink>
      <w:r>
        <w:rPr>
          <w:rFonts w:ascii="Times New Roman" w:hAnsi="Times New Roman" w:cs="Times New Roman" w:eastAsia="Times New Roman" w:hint="default"/>
        </w:rPr>
        <w:t>.</w:t>
      </w:r>
      <w:hyperlink r:id="rId11">
        <w:r>
          <w:rPr>
            <w:rFonts w:ascii="Times New Roman" w:hAnsi="Times New Roman" w:cs="Times New Roman" w:eastAsia="Times New Roman" w:hint="default"/>
          </w:rPr>
          <w:t>cninfo.com.cn</w:t>
        </w:r>
      </w:hyperlink>
      <w:r>
        <w:rPr/>
        <w:t>）。</w:t>
      </w:r>
    </w:p>
    <w:p>
      <w:pPr>
        <w:pStyle w:val="BodyText"/>
        <w:spacing w:line="240" w:lineRule="auto" w:before="43"/>
        <w:ind w:left="513" w:right="114"/>
        <w:jc w:val="left"/>
      </w:pPr>
      <w:r>
        <w:rPr/>
        <w:t>（三）预留限制性股票取消授予</w:t>
      </w:r>
    </w:p>
    <w:p>
      <w:pPr>
        <w:pStyle w:val="BodyText"/>
        <w:spacing w:line="309" w:lineRule="auto" w:before="117"/>
        <w:ind w:right="213"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日，公司召开第三届董事会第十二次会议、第三届监事会第十一次会议，审议通过了《关于取消授予预留限</w:t>
      </w:r>
      <w:r>
        <w:rPr/>
        <w:t> </w:t>
      </w:r>
      <w:r>
        <w:rPr>
          <w:spacing w:val="-2"/>
        </w:rPr>
        <w:t>制性股票的议案》，由于公司在预留限制性股票授予期限内没有满足可授予限制性股票条件的潜在激励对象，因此公司决定</w:t>
      </w:r>
      <w:r>
        <w:rPr>
          <w:spacing w:val="-66"/>
        </w:rPr>
        <w:t> </w:t>
      </w:r>
      <w:r>
        <w:rPr>
          <w:spacing w:val="-66"/>
        </w:rPr>
      </w:r>
      <w:r>
        <w:rPr/>
        <w:t>取消授予预留的</w:t>
      </w:r>
      <w:r>
        <w:rPr>
          <w:rFonts w:ascii="Times New Roman" w:hAnsi="Times New Roman" w:cs="Times New Roman" w:eastAsia="Times New Roman" w:hint="default"/>
        </w:rPr>
        <w:t>146</w:t>
      </w:r>
      <w:r>
        <w:rPr/>
        <w:t>万股限制性股票，公司独立董事对此发表了同意的独立意见。</w:t>
      </w:r>
    </w:p>
    <w:p>
      <w:pPr>
        <w:pStyle w:val="BodyText"/>
        <w:spacing w:line="300" w:lineRule="auto" w:before="46"/>
        <w:ind w:right="214" w:firstLine="360"/>
        <w:jc w:val="both"/>
      </w:pPr>
      <w:r>
        <w:rPr/>
        <w:t>具体内容详见《关于取消授予预留限制性股票的公告》，刊登于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日的《证券时报》、《中国证券报》及巨 潮资讯网（</w:t>
      </w:r>
      <w:r>
        <w:rPr>
          <w:rFonts w:ascii="Times New Roman" w:hAnsi="Times New Roman" w:cs="Times New Roman" w:eastAsia="Times New Roman" w:hint="default"/>
        </w:rPr>
        <w:t>htpp:/</w:t>
      </w:r>
      <w:hyperlink r:id="rId11">
        <w:r>
          <w:rPr>
            <w:rFonts w:ascii="Times New Roman" w:hAnsi="Times New Roman" w:cs="Times New Roman" w:eastAsia="Times New Roman" w:hint="default"/>
          </w:rPr>
          <w:t>/www</w:t>
        </w:r>
      </w:hyperlink>
      <w:r>
        <w:rPr>
          <w:rFonts w:ascii="Times New Roman" w:hAnsi="Times New Roman" w:cs="Times New Roman" w:eastAsia="Times New Roman" w:hint="default"/>
        </w:rPr>
        <w:t>.</w:t>
      </w:r>
      <w:hyperlink r:id="rId11">
        <w:r>
          <w:rPr>
            <w:rFonts w:ascii="Times New Roman" w:hAnsi="Times New Roman" w:cs="Times New Roman" w:eastAsia="Times New Roman" w:hint="default"/>
          </w:rPr>
          <w:t>cninfo.com.cn</w:t>
        </w:r>
      </w:hyperlink>
      <w:r>
        <w:rPr/>
        <w:t>）。</w:t>
      </w:r>
    </w:p>
    <w:p>
      <w:pPr>
        <w:pStyle w:val="BodyText"/>
        <w:spacing w:line="316" w:lineRule="auto" w:before="51"/>
        <w:ind w:left="498" w:right="114"/>
        <w:jc w:val="left"/>
      </w:pPr>
      <w:r>
        <w:rPr/>
        <w:t>（四）部分已不符合激励条件的激励对象已获授但尚未解锁的限制性股票回购注销的情况 </w:t>
      </w:r>
      <w:r>
        <w:rPr>
          <w:spacing w:val="-2"/>
        </w:rPr>
        <w:t>经公司第三届董事会第十六次会议、第三届监事会第十四次会议审议批准，同意根据公司《限制性股票激励计划（草案</w:t>
      </w:r>
    </w:p>
    <w:p>
      <w:pPr>
        <w:pStyle w:val="BodyText"/>
        <w:spacing w:line="316" w:lineRule="auto" w:before="19"/>
        <w:ind w:right="122"/>
        <w:jc w:val="both"/>
      </w:pPr>
      <w:r>
        <w:rPr>
          <w:spacing w:val="-4"/>
        </w:rPr>
        <w:t>修订稿）》的相关规定，回购注销原激励对象吴少林、黄壁墙、李榕华、潘朝金、李建云、彭光一、吕小红、秦标、黄远辉、</w:t>
      </w:r>
      <w:r>
        <w:rPr>
          <w:spacing w:val="-46"/>
        </w:rPr>
        <w:t> </w:t>
      </w:r>
      <w:r>
        <w:rPr>
          <w:spacing w:val="-46"/>
        </w:rPr>
      </w:r>
      <w:r>
        <w:rPr/>
        <w:t>兰亚爽等</w:t>
      </w:r>
      <w:r>
        <w:rPr>
          <w:rFonts w:ascii="Times New Roman" w:hAnsi="Times New Roman" w:cs="Times New Roman" w:eastAsia="Times New Roman" w:hint="default"/>
        </w:rPr>
        <w:t>10</w:t>
      </w:r>
      <w:r>
        <w:rPr/>
        <w:t>人持有的已获授但尚未解锁的全部限制性股票，共计</w:t>
      </w:r>
      <w:r>
        <w:rPr>
          <w:rFonts w:ascii="Times New Roman" w:hAnsi="Times New Roman" w:cs="Times New Roman" w:eastAsia="Times New Roman" w:hint="default"/>
        </w:rPr>
        <w:t>310,500</w:t>
      </w:r>
      <w:r>
        <w:rPr/>
        <w:t>股，并依法办理注销手续，具体情况如下：</w:t>
      </w:r>
    </w:p>
    <w:p>
      <w:pPr>
        <w:pStyle w:val="BodyText"/>
        <w:spacing w:line="300" w:lineRule="auto"/>
        <w:ind w:right="114" w:firstLine="346"/>
        <w:jc w:val="left"/>
      </w:pPr>
      <w:r>
        <w:rPr>
          <w:rFonts w:ascii="Times New Roman" w:hAnsi="Times New Roman" w:cs="Times New Roman" w:eastAsia="Times New Roman" w:hint="default"/>
        </w:rPr>
        <w:t>1</w:t>
      </w:r>
      <w:r>
        <w:rPr/>
        <w:t>、回购原因：鉴于原激励对象吴少林、黄壁墙、李榕华、潘朝金、李建云、彭光一、吕小红、秦标、黄远辉、兰亚爽 </w:t>
      </w:r>
      <w:r>
        <w:rPr>
          <w:spacing w:val="-6"/>
          <w:w w:val="100"/>
        </w:rPr>
        <w:t>等</w:t>
      </w:r>
      <w:r>
        <w:rPr>
          <w:rFonts w:ascii="Times New Roman" w:hAnsi="Times New Roman" w:cs="Times New Roman" w:eastAsia="Times New Roman" w:hint="default"/>
          <w:spacing w:val="-6"/>
          <w:w w:val="100"/>
        </w:rPr>
        <w:t>10</w:t>
      </w:r>
      <w:r>
        <w:rPr>
          <w:spacing w:val="-6"/>
          <w:w w:val="100"/>
        </w:rPr>
        <w:t>人因个人原因离职已不再符合激励条件，根据公司股权激励计划第十三章</w:t>
      </w:r>
      <w:r>
        <w:rPr>
          <w:rFonts w:ascii="Times New Roman" w:hAnsi="Times New Roman" w:cs="Times New Roman" w:eastAsia="Times New Roman" w:hint="default"/>
          <w:spacing w:val="-6"/>
          <w:w w:val="100"/>
        </w:rPr>
        <w:t>“</w:t>
      </w:r>
      <w:r>
        <w:rPr>
          <w:spacing w:val="-6"/>
          <w:w w:val="100"/>
        </w:rPr>
        <w:t>本激励计划的变更、终止与其他事项</w:t>
      </w:r>
      <w:r>
        <w:rPr>
          <w:rFonts w:ascii="Times New Roman" w:hAnsi="Times New Roman" w:cs="Times New Roman" w:eastAsia="Times New Roman" w:hint="default"/>
          <w:spacing w:val="-6"/>
          <w:w w:val="100"/>
        </w:rPr>
        <w:t>”</w:t>
      </w:r>
      <w:r>
        <w:rPr>
          <w:spacing w:val="-6"/>
          <w:w w:val="100"/>
        </w:rPr>
        <w:t>、第（五）</w:t>
      </w:r>
      <w:r>
        <w:rPr>
          <w:spacing w:val="-80"/>
          <w:w w:val="100"/>
        </w:rPr>
        <w:t> </w:t>
      </w:r>
      <w:r>
        <w:rPr>
          <w:spacing w:val="-80"/>
          <w:w w:val="100"/>
        </w:rPr>
      </w:r>
      <w:r>
        <w:rPr/>
        <w:t>点</w:t>
      </w:r>
      <w:r>
        <w:rPr>
          <w:rFonts w:ascii="Times New Roman" w:hAnsi="Times New Roman" w:cs="Times New Roman" w:eastAsia="Times New Roman" w:hint="default"/>
        </w:rPr>
        <w:t>“</w:t>
      </w:r>
      <w:r>
        <w:rPr/>
        <w:t>激励对象个人情况发生变化</w:t>
      </w:r>
      <w:r>
        <w:rPr>
          <w:rFonts w:ascii="Times New Roman" w:hAnsi="Times New Roman" w:cs="Times New Roman" w:eastAsia="Times New Roman" w:hint="default"/>
        </w:rPr>
        <w:t>”</w:t>
      </w:r>
      <w:r>
        <w:rPr/>
        <w:t>、第</w:t>
      </w:r>
      <w:r>
        <w:rPr>
          <w:rFonts w:ascii="Times New Roman" w:hAnsi="Times New Roman" w:cs="Times New Roman" w:eastAsia="Times New Roman" w:hint="default"/>
        </w:rPr>
        <w:t>2</w:t>
      </w:r>
      <w:r>
        <w:rPr/>
        <w:t>条</w:t>
      </w:r>
      <w:r>
        <w:rPr>
          <w:rFonts w:ascii="Times New Roman" w:hAnsi="Times New Roman" w:cs="Times New Roman" w:eastAsia="Times New Roman" w:hint="default"/>
        </w:rPr>
        <w:t>“</w:t>
      </w:r>
      <w:r>
        <w:rPr/>
        <w:t>激励对象因辞职、公司裁员而离职，激励对象根据本激励计划已获授但尚未解锁的 </w:t>
      </w:r>
      <w:r>
        <w:rPr>
          <w:spacing w:val="-4"/>
        </w:rPr>
        <w:t>限制性股票不得解锁，由卓翼科技回购注销。</w:t>
      </w:r>
      <w:r>
        <w:rPr>
          <w:rFonts w:ascii="Times New Roman" w:hAnsi="Times New Roman" w:cs="Times New Roman" w:eastAsia="Times New Roman" w:hint="default"/>
          <w:spacing w:val="-4"/>
        </w:rPr>
        <w:t>”</w:t>
      </w:r>
      <w:r>
        <w:rPr>
          <w:spacing w:val="-4"/>
        </w:rPr>
        <w:t>的规定，公司对以上离职的激励对象所持有的已获授但尚未解锁的共计</w:t>
      </w:r>
      <w:r>
        <w:rPr>
          <w:rFonts w:ascii="Times New Roman" w:hAnsi="Times New Roman" w:cs="Times New Roman" w:eastAsia="Times New Roman" w:hint="default"/>
          <w:spacing w:val="-4"/>
        </w:rPr>
        <w:t>310,500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股限制性股票进行回购注销。</w:t>
      </w:r>
    </w:p>
    <w:p>
      <w:pPr>
        <w:pStyle w:val="BodyText"/>
        <w:spacing w:line="240" w:lineRule="auto" w:before="31"/>
        <w:ind w:left="498" w:right="114"/>
        <w:jc w:val="left"/>
      </w:pPr>
      <w:r>
        <w:rPr>
          <w:rFonts w:ascii="Times New Roman" w:hAnsi="Times New Roman" w:cs="Times New Roman" w:eastAsia="Times New Roman" w:hint="default"/>
          <w:spacing w:val="-4"/>
        </w:rPr>
        <w:t>2</w:t>
      </w:r>
      <w:r>
        <w:rPr>
          <w:spacing w:val="-4"/>
        </w:rPr>
        <w:t>、回购注销数量：</w:t>
      </w:r>
      <w:r>
        <w:rPr>
          <w:rFonts w:ascii="Times New Roman" w:hAnsi="Times New Roman" w:cs="Times New Roman" w:eastAsia="Times New Roman" w:hint="default"/>
          <w:spacing w:val="-4"/>
        </w:rPr>
        <w:t>310,500</w:t>
      </w:r>
      <w:r>
        <w:rPr>
          <w:spacing w:val="-4"/>
        </w:rPr>
        <w:t>股，占限制性股票首次授予总数的</w:t>
      </w:r>
      <w:r>
        <w:rPr>
          <w:rFonts w:ascii="Times New Roman" w:hAnsi="Times New Roman" w:cs="Times New Roman" w:eastAsia="Times New Roman" w:hint="default"/>
          <w:spacing w:val="-4"/>
        </w:rPr>
        <w:t>2.59%</w:t>
      </w:r>
      <w:r>
        <w:rPr>
          <w:spacing w:val="-4"/>
        </w:rPr>
        <w:t>，占公司回购前股本总数（</w:t>
      </w:r>
      <w:r>
        <w:rPr>
          <w:rFonts w:ascii="Times New Roman" w:hAnsi="Times New Roman" w:cs="Times New Roman" w:eastAsia="Times New Roman" w:hint="default"/>
          <w:spacing w:val="-4"/>
        </w:rPr>
        <w:t>488,948,250</w:t>
      </w:r>
      <w:r>
        <w:rPr>
          <w:spacing w:val="-4"/>
        </w:rPr>
        <w:t>股）的</w:t>
      </w:r>
      <w:r>
        <w:rPr>
          <w:rFonts w:ascii="Times New Roman" w:hAnsi="Times New Roman" w:cs="Times New Roman" w:eastAsia="Times New Roman" w:hint="default"/>
          <w:spacing w:val="-4"/>
        </w:rPr>
        <w:t>0.064%</w:t>
      </w:r>
      <w:r>
        <w:rPr>
          <w:spacing w:val="-4"/>
        </w:rPr>
        <w:t>。</w:t>
      </w:r>
    </w:p>
    <w:p>
      <w:pPr>
        <w:pStyle w:val="BodyText"/>
        <w:spacing w:line="240" w:lineRule="auto" w:before="63"/>
        <w:ind w:left="498" w:right="114"/>
        <w:jc w:val="left"/>
      </w:pPr>
      <w:r>
        <w:rPr>
          <w:rFonts w:ascii="Times New Roman" w:hAnsi="Times New Roman" w:cs="Times New Roman" w:eastAsia="Times New Roman" w:hint="default"/>
        </w:rPr>
        <w:t>3</w:t>
      </w:r>
      <w:r>
        <w:rPr/>
        <w:t>、回购注销价格：</w:t>
      </w:r>
      <w:r>
        <w:rPr>
          <w:rFonts w:ascii="Times New Roman" w:hAnsi="Times New Roman" w:cs="Times New Roman" w:eastAsia="Times New Roman" w:hint="default"/>
        </w:rPr>
        <w:t>3.85</w:t>
      </w:r>
      <w:r>
        <w:rPr/>
        <w:t>元</w:t>
      </w:r>
      <w:r>
        <w:rPr>
          <w:rFonts w:ascii="Times New Roman" w:hAnsi="Times New Roman" w:cs="Times New Roman" w:eastAsia="Times New Roman" w:hint="default"/>
        </w:rPr>
        <w:t>/</w:t>
      </w:r>
      <w:r>
        <w:rPr/>
        <w:t>股。</w:t>
      </w:r>
    </w:p>
    <w:p>
      <w:pPr>
        <w:pStyle w:val="BodyText"/>
        <w:spacing w:line="300" w:lineRule="auto" w:before="63"/>
        <w:ind w:left="498" w:right="114"/>
        <w:jc w:val="left"/>
        <w:rPr>
          <w:rFonts w:ascii="Times New Roman" w:hAnsi="Times New Roman" w:cs="Times New Roman" w:eastAsia="Times New Roman" w:hint="default"/>
        </w:rPr>
      </w:pPr>
      <w:r>
        <w:rPr>
          <w:rFonts w:ascii="Times New Roman" w:hAnsi="Times New Roman" w:cs="Times New Roman" w:eastAsia="Times New Roman" w:hint="default"/>
        </w:rPr>
        <w:t>4</w:t>
      </w:r>
      <w:r>
        <w:rPr/>
        <w:t>、本次回购注销对公司的影响： </w:t>
      </w:r>
      <w:r>
        <w:rPr>
          <w:spacing w:val="-3"/>
        </w:rPr>
        <w:t>本次限制性股票回购注销后，公司股权激励计划首次授予的限制性股票由</w:t>
      </w:r>
      <w:r>
        <w:rPr>
          <w:rFonts w:ascii="Times New Roman" w:hAnsi="Times New Roman" w:cs="Times New Roman" w:eastAsia="Times New Roman" w:hint="default"/>
          <w:spacing w:val="-3"/>
        </w:rPr>
        <w:t>8,948,250</w:t>
      </w:r>
      <w:r>
        <w:rPr>
          <w:spacing w:val="-3"/>
        </w:rPr>
        <w:t>股调整为</w:t>
      </w:r>
      <w:r>
        <w:rPr>
          <w:rFonts w:ascii="Times New Roman" w:hAnsi="Times New Roman" w:cs="Times New Roman" w:eastAsia="Times New Roman" w:hint="default"/>
          <w:spacing w:val="-3"/>
        </w:rPr>
        <w:t>8,637,750</w:t>
      </w:r>
      <w:r>
        <w:rPr>
          <w:spacing w:val="-3"/>
        </w:rPr>
        <w:t>股，激励对象由</w:t>
      </w:r>
      <w:r>
        <w:rPr>
          <w:rFonts w:ascii="Times New Roman" w:hAnsi="Times New Roman" w:cs="Times New Roman" w:eastAsia="Times New Roman" w:hint="default"/>
          <w:spacing w:val="-3"/>
        </w:rPr>
        <w:t>102</w:t>
      </w:r>
    </w:p>
    <w:p>
      <w:pPr>
        <w:pStyle w:val="BodyText"/>
        <w:spacing w:line="300" w:lineRule="auto" w:before="13"/>
        <w:ind w:left="498" w:right="114" w:hanging="347"/>
        <w:jc w:val="left"/>
      </w:pPr>
      <w:r>
        <w:rPr/>
        <w:t>名调整为</w:t>
      </w:r>
      <w:r>
        <w:rPr>
          <w:rFonts w:ascii="Times New Roman" w:hAnsi="Times New Roman" w:cs="Times New Roman" w:eastAsia="Times New Roman" w:hint="default"/>
        </w:rPr>
        <w:t>92</w:t>
      </w:r>
      <w:r>
        <w:rPr/>
        <w:t>名，公司股份总数由</w:t>
      </w:r>
      <w:r>
        <w:rPr>
          <w:rFonts w:ascii="Times New Roman" w:hAnsi="Times New Roman" w:cs="Times New Roman" w:eastAsia="Times New Roman" w:hint="default"/>
        </w:rPr>
        <w:t>488,948,250</w:t>
      </w:r>
      <w:r>
        <w:rPr/>
        <w:t>股调整为</w:t>
      </w:r>
      <w:r>
        <w:rPr>
          <w:rFonts w:ascii="Times New Roman" w:hAnsi="Times New Roman" w:cs="Times New Roman" w:eastAsia="Times New Roman" w:hint="default"/>
        </w:rPr>
        <w:t>488,637,750</w:t>
      </w:r>
      <w:r>
        <w:rPr/>
        <w:t>股。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日，公司已在中国证券登记结算有限责任公司深圳分公司办理完成了回购注销手续。 </w:t>
      </w:r>
      <w:r>
        <w:rPr>
          <w:spacing w:val="-2"/>
        </w:rPr>
        <w:t>具体内容详见《关于回购注销已不符合激励条件的激励对象已获授但尚未解锁的限制性股票的公告》、《关于已不符合</w:t>
      </w:r>
    </w:p>
    <w:p>
      <w:pPr>
        <w:pStyle w:val="BodyText"/>
        <w:spacing w:line="300" w:lineRule="auto" w:before="31"/>
        <w:ind w:right="211"/>
        <w:jc w:val="both"/>
      </w:pPr>
      <w:r>
        <w:rPr/>
        <w:t>激励条件的激励对象已获授但尚未解锁的限制性股票回购注销完成的公告》，分别刊登于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 的《证券时报》、《中国证券报》及巨潮资讯网（</w:t>
      </w:r>
      <w:r>
        <w:rPr>
          <w:rFonts w:ascii="Times New Roman" w:hAnsi="Times New Roman" w:cs="Times New Roman" w:eastAsia="Times New Roman" w:hint="default"/>
        </w:rPr>
        <w:t>htpp:/</w:t>
      </w:r>
      <w:hyperlink r:id="rId11">
        <w:r>
          <w:rPr>
            <w:rFonts w:ascii="Times New Roman" w:hAnsi="Times New Roman" w:cs="Times New Roman" w:eastAsia="Times New Roman" w:hint="default"/>
          </w:rPr>
          <w:t>/www</w:t>
        </w:r>
      </w:hyperlink>
      <w:r>
        <w:rPr>
          <w:rFonts w:ascii="Times New Roman" w:hAnsi="Times New Roman" w:cs="Times New Roman" w:eastAsia="Times New Roman" w:hint="default"/>
        </w:rPr>
        <w:t>.</w:t>
      </w:r>
      <w:hyperlink r:id="rId11">
        <w:r>
          <w:rPr>
            <w:rFonts w:ascii="Times New Roman" w:hAnsi="Times New Roman" w:cs="Times New Roman" w:eastAsia="Times New Roman" w:hint="default"/>
          </w:rPr>
          <w:t>cninfo.com.cn</w:t>
        </w:r>
      </w:hyperlink>
      <w:r>
        <w:rPr/>
        <w:t>）。</w:t>
      </w:r>
    </w:p>
    <w:p>
      <w:pPr>
        <w:pStyle w:val="BodyText"/>
        <w:spacing w:line="316" w:lineRule="auto" w:before="53"/>
        <w:ind w:right="212" w:firstLine="360"/>
        <w:jc w:val="both"/>
      </w:pPr>
      <w:r>
        <w:rPr>
          <w:spacing w:val="-2"/>
        </w:rPr>
        <w:t>（五）第二个解锁期未达到解锁条件的限制性股票及部分已不符合激励条件的激励对象已获授但尚未解锁的限制性股票</w:t>
      </w:r>
      <w:r>
        <w:rPr/>
        <w:t> 回购注销的情况</w:t>
      </w:r>
    </w:p>
    <w:p>
      <w:pPr>
        <w:pStyle w:val="BodyText"/>
        <w:spacing w:line="309" w:lineRule="auto" w:before="59"/>
        <w:ind w:right="211" w:firstLine="360"/>
        <w:jc w:val="both"/>
      </w:pPr>
      <w:r>
        <w:rPr>
          <w:spacing w:val="-2"/>
        </w:rPr>
        <w:t>经公司第三届董事会第二十一次会议、第三届监事会第十九次会议审议批准，同意根据公司《限制性股票激励计划（草</w:t>
      </w:r>
      <w:r>
        <w:rPr/>
        <w:t> 案修订稿）》的相关规定，回购注销未达到第二期解锁条件的激励对象持有获授的限制性股票总数的</w:t>
      </w:r>
      <w:r>
        <w:rPr>
          <w:rFonts w:ascii="Times New Roman" w:hAnsi="Times New Roman" w:cs="Times New Roman" w:eastAsia="Times New Roman" w:hint="default"/>
        </w:rPr>
        <w:t>40%</w:t>
      </w:r>
      <w:r>
        <w:rPr/>
        <w:t>及</w:t>
      </w:r>
      <w:r>
        <w:rPr>
          <w:rFonts w:ascii="Times New Roman" w:hAnsi="Times New Roman" w:cs="Times New Roman" w:eastAsia="Times New Roman" w:hint="default"/>
        </w:rPr>
        <w:t>3</w:t>
      </w:r>
      <w:r>
        <w:rPr/>
        <w:t>名离职人员持</w:t>
      </w:r>
      <w:r>
        <w:rPr>
          <w:spacing w:val="-55"/>
        </w:rPr>
        <w:t> </w:t>
      </w:r>
      <w:r>
        <w:rPr>
          <w:spacing w:val="-55"/>
        </w:rPr>
      </w:r>
      <w:r>
        <w:rPr/>
        <w:t>有的已获授但尚未解锁的全部限制性股票，共计</w:t>
      </w:r>
      <w:r>
        <w:rPr>
          <w:rFonts w:ascii="Times New Roman" w:hAnsi="Times New Roman" w:cs="Times New Roman" w:eastAsia="Times New Roman" w:hint="default"/>
        </w:rPr>
        <w:t>463.48</w:t>
      </w:r>
      <w:r>
        <w:rPr/>
        <w:t>万股，并依法办理注销手续，具体情况如下：</w:t>
      </w:r>
    </w:p>
    <w:p>
      <w:pPr>
        <w:pStyle w:val="BodyText"/>
        <w:spacing w:line="240" w:lineRule="auto" w:before="43"/>
        <w:ind w:left="513" w:right="114"/>
        <w:jc w:val="left"/>
      </w:pPr>
      <w:r>
        <w:rPr>
          <w:rFonts w:ascii="Times New Roman" w:hAnsi="Times New Roman" w:cs="Times New Roman" w:eastAsia="Times New Roman" w:hint="default"/>
        </w:rPr>
        <w:t>1</w:t>
      </w:r>
      <w:r>
        <w:rPr/>
        <w:t>、回购原因：</w:t>
      </w:r>
    </w:p>
    <w:p>
      <w:pPr>
        <w:pStyle w:val="BodyText"/>
        <w:spacing w:line="300" w:lineRule="auto" w:before="103"/>
        <w:ind w:right="206" w:firstLine="360"/>
        <w:jc w:val="both"/>
      </w:pPr>
      <w:r>
        <w:rPr/>
        <w:t>（</w:t>
      </w:r>
      <w:r>
        <w:rPr>
          <w:rFonts w:ascii="Times New Roman" w:hAnsi="Times New Roman" w:cs="Times New Roman" w:eastAsia="Times New Roman" w:hint="default"/>
        </w:rPr>
        <w:t>1</w:t>
      </w:r>
      <w:r>
        <w:rPr/>
        <w:t>）业绩未达到解锁条件：根据公司股权激励计划，激励对象可分三次按照获授限制性股票总量的</w:t>
      </w:r>
      <w:r>
        <w:rPr>
          <w:rFonts w:ascii="Times New Roman" w:hAnsi="Times New Roman" w:cs="Times New Roman" w:eastAsia="Times New Roman" w:hint="default"/>
        </w:rPr>
        <w:t>25%</w:t>
      </w:r>
      <w:r>
        <w:rPr/>
        <w:t>、</w:t>
      </w:r>
      <w:r>
        <w:rPr>
          <w:rFonts w:ascii="Times New Roman" w:hAnsi="Times New Roman" w:cs="Times New Roman" w:eastAsia="Times New Roman" w:hint="default"/>
        </w:rPr>
        <w:t>40%</w:t>
      </w:r>
      <w:r>
        <w:rPr/>
        <w:t>、</w:t>
      </w:r>
      <w:r>
        <w:rPr>
          <w:rFonts w:ascii="Times New Roman" w:hAnsi="Times New Roman" w:cs="Times New Roman" w:eastAsia="Times New Roman" w:hint="default"/>
        </w:rPr>
        <w:t>35%</w:t>
      </w:r>
      <w:r>
        <w:rPr>
          <w:rFonts w:ascii="Times New Roman" w:hAnsi="Times New Roman" w:cs="Times New Roman" w:eastAsia="Times New Roman" w:hint="default"/>
          <w:spacing w:val="1"/>
        </w:rPr>
        <w:t> </w:t>
      </w:r>
      <w:r>
        <w:rPr>
          <w:spacing w:val="-1"/>
        </w:rPr>
        <w:t>的比例申请标的股票解锁，其中第二次解锁条件为以</w:t>
      </w:r>
      <w:r>
        <w:rPr>
          <w:rFonts w:ascii="Times New Roman" w:hAnsi="Times New Roman" w:cs="Times New Roman" w:eastAsia="Times New Roman" w:hint="default"/>
          <w:spacing w:val="-1"/>
        </w:rPr>
        <w:t>2013</w:t>
      </w:r>
      <w:r>
        <w:rPr>
          <w:spacing w:val="-1"/>
        </w:rPr>
        <w:t>年为基数，</w:t>
      </w:r>
      <w:r>
        <w:rPr>
          <w:rFonts w:ascii="Times New Roman" w:hAnsi="Times New Roman" w:cs="Times New Roman" w:eastAsia="Times New Roman" w:hint="default"/>
          <w:spacing w:val="-1"/>
        </w:rPr>
        <w:t>2015</w:t>
      </w:r>
      <w:r>
        <w:rPr>
          <w:spacing w:val="-1"/>
        </w:rPr>
        <w:t>年营业收入增长率不低于</w:t>
      </w:r>
      <w:r>
        <w:rPr>
          <w:rFonts w:ascii="Times New Roman" w:hAnsi="Times New Roman" w:cs="Times New Roman" w:eastAsia="Times New Roman" w:hint="default"/>
          <w:spacing w:val="-1"/>
        </w:rPr>
        <w:t>40%</w:t>
      </w:r>
      <w:r>
        <w:rPr>
          <w:spacing w:val="-1"/>
        </w:rPr>
        <w:t>；且以</w:t>
      </w:r>
      <w:r>
        <w:rPr>
          <w:rFonts w:ascii="Times New Roman" w:hAnsi="Times New Roman" w:cs="Times New Roman" w:eastAsia="Times New Roman" w:hint="default"/>
          <w:spacing w:val="-1"/>
        </w:rPr>
        <w:t>2013</w:t>
      </w:r>
      <w:r>
        <w:rPr>
          <w:spacing w:val="-1"/>
        </w:rPr>
        <w:t>年净利润</w:t>
      </w:r>
      <w:r>
        <w:rPr/>
        <w:t> </w:t>
      </w:r>
      <w:r>
        <w:rPr>
          <w:spacing w:val="-1"/>
        </w:rPr>
        <w:t>为基数，</w:t>
      </w:r>
      <w:r>
        <w:rPr>
          <w:rFonts w:ascii="Times New Roman" w:hAnsi="Times New Roman" w:cs="Times New Roman" w:eastAsia="Times New Roman" w:hint="default"/>
          <w:spacing w:val="-1"/>
        </w:rPr>
        <w:t>2015</w:t>
      </w:r>
      <w:r>
        <w:rPr>
          <w:spacing w:val="-1"/>
        </w:rPr>
        <w:t>年净利润增长率不低于</w:t>
      </w:r>
      <w:r>
        <w:rPr>
          <w:rFonts w:ascii="Times New Roman" w:hAnsi="Times New Roman" w:cs="Times New Roman" w:eastAsia="Times New Roman" w:hint="default"/>
          <w:spacing w:val="-1"/>
        </w:rPr>
        <w:t>20%</w:t>
      </w:r>
      <w:r>
        <w:rPr>
          <w:spacing w:val="-1"/>
        </w:rPr>
        <w:t>。（以上净利润指标均以扣除非经常性损益后的净利润与不扣除非经常性损益的净</w:t>
      </w:r>
      <w:r>
        <w:rPr/>
        <w:t> 利润二者孰低作为计算依据，</w:t>
      </w:r>
      <w:r>
        <w:rPr>
          <w:rFonts w:ascii="Times New Roman" w:hAnsi="Times New Roman" w:cs="Times New Roman" w:eastAsia="Times New Roman" w:hint="default"/>
        </w:rPr>
        <w:t>2015</w:t>
      </w:r>
      <w:r>
        <w:rPr/>
        <w:t>年净利润指归属于母公司所有者的净利润。）</w:t>
      </w:r>
    </w:p>
    <w:p>
      <w:pPr>
        <w:pStyle w:val="BodyText"/>
        <w:spacing w:line="300" w:lineRule="auto" w:before="53"/>
        <w:ind w:right="207" w:firstLine="360"/>
        <w:jc w:val="both"/>
      </w:pPr>
      <w:r>
        <w:rPr>
          <w:spacing w:val="-2"/>
        </w:rPr>
        <w:t>根据公司</w:t>
      </w:r>
      <w:r>
        <w:rPr>
          <w:rFonts w:ascii="Times New Roman" w:hAnsi="Times New Roman" w:cs="Times New Roman" w:eastAsia="Times New Roman" w:hint="default"/>
          <w:spacing w:val="-2"/>
        </w:rPr>
        <w:t>2015</w:t>
      </w:r>
      <w:r>
        <w:rPr>
          <w:spacing w:val="-2"/>
        </w:rPr>
        <w:t>年度经审计的财务报告，</w:t>
      </w:r>
      <w:r>
        <w:rPr>
          <w:rFonts w:ascii="Times New Roman" w:hAnsi="Times New Roman" w:cs="Times New Roman" w:eastAsia="Times New Roman" w:hint="default"/>
          <w:spacing w:val="-2"/>
        </w:rPr>
        <w:t>2015</w:t>
      </w:r>
      <w:r>
        <w:rPr>
          <w:spacing w:val="-2"/>
        </w:rPr>
        <w:t>年公司合并报表扣除非经常性损益后的净利润比</w:t>
      </w:r>
      <w:r>
        <w:rPr>
          <w:rFonts w:ascii="Times New Roman" w:hAnsi="Times New Roman" w:cs="Times New Roman" w:eastAsia="Times New Roman" w:hint="default"/>
          <w:spacing w:val="-2"/>
        </w:rPr>
        <w:t>2013</w:t>
      </w:r>
      <w:r>
        <w:rPr>
          <w:spacing w:val="-2"/>
        </w:rPr>
        <w:t>年扣除非经常性损益后</w:t>
      </w:r>
      <w:r>
        <w:rPr/>
        <w:t> </w:t>
      </w:r>
      <w:r>
        <w:rPr>
          <w:spacing w:val="-1"/>
        </w:rPr>
        <w:t>的后的净利润下降</w:t>
      </w:r>
      <w:r>
        <w:rPr>
          <w:rFonts w:ascii="Times New Roman" w:hAnsi="Times New Roman" w:cs="Times New Roman" w:eastAsia="Times New Roman" w:hint="default"/>
          <w:spacing w:val="-1"/>
        </w:rPr>
        <w:t>181.79%</w:t>
      </w:r>
      <w:r>
        <w:rPr>
          <w:spacing w:val="-1"/>
        </w:rPr>
        <w:t>；营业收入比</w:t>
      </w:r>
      <w:r>
        <w:rPr>
          <w:rFonts w:ascii="Times New Roman" w:hAnsi="Times New Roman" w:cs="Times New Roman" w:eastAsia="Times New Roman" w:hint="default"/>
          <w:spacing w:val="-1"/>
        </w:rPr>
        <w:t>2013</w:t>
      </w:r>
      <w:r>
        <w:rPr>
          <w:spacing w:val="-1"/>
        </w:rPr>
        <w:t>年增长</w:t>
      </w:r>
      <w:r>
        <w:rPr>
          <w:rFonts w:ascii="Times New Roman" w:hAnsi="Times New Roman" w:cs="Times New Roman" w:eastAsia="Times New Roman" w:hint="default"/>
          <w:spacing w:val="-1"/>
        </w:rPr>
        <w:t>84.94%</w:t>
      </w:r>
      <w:r>
        <w:rPr>
          <w:spacing w:val="-1"/>
        </w:rPr>
        <w:t>，总体上未达到股权激励计划要求的解锁条件，因此根据公司股</w:t>
      </w:r>
      <w:r>
        <w:rPr>
          <w:spacing w:val="-57"/>
        </w:rPr>
        <w:t> </w:t>
      </w:r>
      <w:r>
        <w:rPr>
          <w:spacing w:val="-57"/>
        </w:rPr>
      </w:r>
      <w:r>
        <w:rPr/>
        <w:t>权激励计划，公司应将第二期即获授限制性股票总数的</w:t>
      </w:r>
      <w:r>
        <w:rPr>
          <w:rFonts w:ascii="Times New Roman" w:hAnsi="Times New Roman" w:cs="Times New Roman" w:eastAsia="Times New Roman" w:hint="default"/>
        </w:rPr>
        <w:t>40%</w:t>
      </w:r>
      <w:r>
        <w:rPr/>
        <w:t>进行回购注销。</w:t>
      </w:r>
    </w:p>
    <w:p>
      <w:pPr>
        <w:pStyle w:val="BodyText"/>
        <w:spacing w:line="240" w:lineRule="auto" w:before="53"/>
        <w:ind w:left="513" w:right="114"/>
        <w:jc w:val="left"/>
      </w:pPr>
      <w:r>
        <w:rPr/>
        <w:t>（</w:t>
      </w:r>
      <w:r>
        <w:rPr>
          <w:rFonts w:ascii="Times New Roman" w:hAnsi="Times New Roman" w:cs="Times New Roman" w:eastAsia="Times New Roman" w:hint="default"/>
        </w:rPr>
        <w:t>2</w:t>
      </w:r>
      <w:r>
        <w:rPr/>
        <w:t>）激励对象离职</w:t>
      </w:r>
    </w:p>
    <w:p>
      <w:pPr>
        <w:spacing w:after="0" w:line="240" w:lineRule="auto"/>
        <w:jc w:val="left"/>
        <w:sectPr>
          <w:pgSz w:w="11910" w:h="16840"/>
          <w:pgMar w:header="745" w:footer="980" w:top="1060" w:bottom="1160" w:left="980" w:right="920"/>
        </w:sectPr>
      </w:pPr>
    </w:p>
    <w:p>
      <w:pPr>
        <w:spacing w:line="240" w:lineRule="auto" w:before="9"/>
        <w:rPr>
          <w:rFonts w:ascii="宋体" w:hAnsi="宋体" w:cs="宋体" w:eastAsia="宋体" w:hint="default"/>
          <w:sz w:val="25"/>
          <w:szCs w:val="25"/>
        </w:rPr>
      </w:pPr>
    </w:p>
    <w:p>
      <w:pPr>
        <w:pStyle w:val="BodyText"/>
        <w:spacing w:line="300" w:lineRule="auto" w:before="44"/>
        <w:ind w:right="192" w:firstLine="360"/>
        <w:jc w:val="both"/>
      </w:pPr>
      <w:r>
        <w:rPr/>
        <w:t>公司激励对象汤志锋、韦竹森、汪再忠向公司提出辞职并已获得同意，根据公司股权激励计划第十三章</w:t>
      </w:r>
      <w:r>
        <w:rPr>
          <w:rFonts w:ascii="Times New Roman" w:hAnsi="Times New Roman" w:cs="Times New Roman" w:eastAsia="Times New Roman" w:hint="default"/>
        </w:rPr>
        <w:t>“</w:t>
      </w:r>
      <w:r>
        <w:rPr/>
        <w:t>本激励计划的 变更、终止与其他事项</w:t>
      </w:r>
      <w:r>
        <w:rPr>
          <w:rFonts w:ascii="Times New Roman" w:hAnsi="Times New Roman" w:cs="Times New Roman" w:eastAsia="Times New Roman" w:hint="default"/>
        </w:rPr>
        <w:t>”</w:t>
      </w:r>
      <w:r>
        <w:rPr/>
        <w:t>、第（五）点</w:t>
      </w:r>
      <w:r>
        <w:rPr>
          <w:rFonts w:ascii="Times New Roman" w:hAnsi="Times New Roman" w:cs="Times New Roman" w:eastAsia="Times New Roman" w:hint="default"/>
        </w:rPr>
        <w:t>“</w:t>
      </w:r>
      <w:r>
        <w:rPr/>
        <w:t>激励对象个人情况发生变化</w:t>
      </w:r>
      <w:r>
        <w:rPr>
          <w:rFonts w:ascii="Times New Roman" w:hAnsi="Times New Roman" w:cs="Times New Roman" w:eastAsia="Times New Roman" w:hint="default"/>
        </w:rPr>
        <w:t>”</w:t>
      </w:r>
      <w:r>
        <w:rPr/>
        <w:t>、第</w:t>
      </w:r>
      <w:r>
        <w:rPr>
          <w:rFonts w:ascii="Times New Roman" w:hAnsi="Times New Roman" w:cs="Times New Roman" w:eastAsia="Times New Roman" w:hint="default"/>
        </w:rPr>
        <w:t>2</w:t>
      </w:r>
      <w:r>
        <w:rPr/>
        <w:t>条</w:t>
      </w:r>
      <w:r>
        <w:rPr>
          <w:rFonts w:ascii="Times New Roman" w:hAnsi="Times New Roman" w:cs="Times New Roman" w:eastAsia="Times New Roman" w:hint="default"/>
        </w:rPr>
        <w:t>“</w:t>
      </w:r>
      <w:r>
        <w:rPr/>
        <w:t>激励对象因辞职、公司裁员而离职，激励对象</w:t>
      </w:r>
      <w:r>
        <w:rPr>
          <w:spacing w:val="-49"/>
        </w:rPr>
        <w:t> </w:t>
      </w:r>
      <w:r>
        <w:rPr>
          <w:spacing w:val="-49"/>
        </w:rPr>
      </w:r>
      <w:r>
        <w:rPr/>
        <w:t>根据本激励计划已获授但尚未解锁的限制性股票不得解锁，由卓翼科技回购注销。</w:t>
      </w:r>
      <w:r>
        <w:rPr>
          <w:rFonts w:ascii="Times New Roman" w:hAnsi="Times New Roman" w:cs="Times New Roman" w:eastAsia="Times New Roman" w:hint="default"/>
        </w:rPr>
        <w:t>”</w:t>
      </w:r>
      <w:r>
        <w:rPr/>
        <w:t>的规定，公司将对原激励对象汤志锋、</w:t>
      </w:r>
      <w:r>
        <w:rPr>
          <w:spacing w:val="-74"/>
        </w:rPr>
        <w:t> </w:t>
      </w:r>
      <w:r>
        <w:rPr>
          <w:spacing w:val="-74"/>
        </w:rPr>
      </w:r>
      <w:r>
        <w:rPr/>
        <w:t>韦竹森、汪再忠已获授但尚未解锁的</w:t>
      </w:r>
      <w:r>
        <w:rPr>
          <w:rFonts w:ascii="Times New Roman" w:hAnsi="Times New Roman" w:cs="Times New Roman" w:eastAsia="Times New Roman" w:hint="default"/>
        </w:rPr>
        <w:t>6</w:t>
      </w:r>
      <w:r>
        <w:rPr/>
        <w:t>万股限制性股票进行回购注销。</w:t>
      </w:r>
    </w:p>
    <w:p>
      <w:pPr>
        <w:pStyle w:val="BodyText"/>
        <w:spacing w:line="240" w:lineRule="auto" w:before="13"/>
        <w:ind w:left="513" w:right="93"/>
        <w:jc w:val="left"/>
      </w:pPr>
      <w:r>
        <w:rPr/>
        <w:t>结合以上两项原因，公司本次回购注销的限制性股票数量为</w:t>
      </w:r>
      <w:r>
        <w:rPr>
          <w:rFonts w:ascii="Times New Roman" w:hAnsi="Times New Roman" w:cs="Times New Roman" w:eastAsia="Times New Roman" w:hint="default"/>
        </w:rPr>
        <w:t>463.48</w:t>
      </w:r>
      <w:r>
        <w:rPr/>
        <w:t>万股。</w:t>
      </w:r>
    </w:p>
    <w:p>
      <w:pPr>
        <w:pStyle w:val="BodyText"/>
        <w:spacing w:line="300" w:lineRule="auto" w:before="103"/>
        <w:ind w:right="191" w:firstLine="360"/>
        <w:jc w:val="both"/>
      </w:pPr>
      <w:r>
        <w:rPr>
          <w:rFonts w:ascii="Times New Roman" w:hAnsi="Times New Roman" w:cs="Times New Roman" w:eastAsia="Times New Roman" w:hint="default"/>
          <w:spacing w:val="-1"/>
        </w:rPr>
        <w:t>2</w:t>
      </w:r>
      <w:r>
        <w:rPr>
          <w:spacing w:val="-1"/>
        </w:rPr>
        <w:t>、回购注销数量：</w:t>
      </w:r>
      <w:r>
        <w:rPr>
          <w:rFonts w:ascii="Times New Roman" w:hAnsi="Times New Roman" w:cs="Times New Roman" w:eastAsia="Times New Roman" w:hint="default"/>
          <w:spacing w:val="-1"/>
        </w:rPr>
        <w:t>89</w:t>
      </w:r>
      <w:r>
        <w:rPr>
          <w:spacing w:val="-1"/>
        </w:rPr>
        <w:t>名激励对象获授但尚未解锁第二期限制性股票共计</w:t>
      </w:r>
      <w:r>
        <w:rPr>
          <w:rFonts w:ascii="Times New Roman" w:hAnsi="Times New Roman" w:cs="Times New Roman" w:eastAsia="Times New Roman" w:hint="default"/>
          <w:spacing w:val="-1"/>
        </w:rPr>
        <w:t>457.48</w:t>
      </w:r>
      <w:r>
        <w:rPr>
          <w:spacing w:val="-1"/>
        </w:rPr>
        <w:t>万股；汤志锋、韦竹森、汪再忠</w:t>
      </w:r>
      <w:r>
        <w:rPr>
          <w:rFonts w:ascii="Times New Roman" w:hAnsi="Times New Roman" w:cs="Times New Roman" w:eastAsia="Times New Roman" w:hint="default"/>
          <w:spacing w:val="-1"/>
        </w:rPr>
        <w:t>3</w:t>
      </w:r>
      <w:r>
        <w:rPr>
          <w:spacing w:val="-1"/>
        </w:rPr>
        <w:t>名已离</w:t>
      </w:r>
      <w:r>
        <w:rPr/>
        <w:t> 职对象获授但尚未解锁的限制性股票</w:t>
      </w:r>
      <w:r>
        <w:rPr>
          <w:rFonts w:ascii="Times New Roman" w:hAnsi="Times New Roman" w:cs="Times New Roman" w:eastAsia="Times New Roman" w:hint="default"/>
        </w:rPr>
        <w:t>6</w:t>
      </w:r>
      <w:r>
        <w:rPr/>
        <w:t>万股，共计</w:t>
      </w:r>
      <w:r>
        <w:rPr>
          <w:rFonts w:ascii="Times New Roman" w:hAnsi="Times New Roman" w:cs="Times New Roman" w:eastAsia="Times New Roman" w:hint="default"/>
        </w:rPr>
        <w:t>463.48</w:t>
      </w:r>
      <w:r>
        <w:rPr/>
        <w:t>万股，占限制性股票首次授予总数的</w:t>
      </w:r>
      <w:r>
        <w:rPr>
          <w:rFonts w:ascii="Times New Roman" w:hAnsi="Times New Roman" w:cs="Times New Roman" w:eastAsia="Times New Roman" w:hint="default"/>
        </w:rPr>
        <w:t>38.68%</w:t>
      </w:r>
      <w:r>
        <w:rPr/>
        <w:t>，占公司目前股本总数</w:t>
      </w:r>
    </w:p>
    <w:p>
      <w:pPr>
        <w:pStyle w:val="BodyText"/>
        <w:spacing w:line="240" w:lineRule="auto" w:before="13"/>
        <w:ind w:right="93"/>
        <w:jc w:val="left"/>
      </w:pPr>
      <w:r>
        <w:rPr/>
        <w:t>（</w:t>
      </w:r>
      <w:r>
        <w:rPr>
          <w:rFonts w:ascii="Times New Roman" w:hAnsi="Times New Roman" w:cs="Times New Roman" w:eastAsia="Times New Roman" w:hint="default"/>
        </w:rPr>
        <w:t>48,863.775</w:t>
      </w:r>
      <w:r>
        <w:rPr/>
        <w:t>万股）的</w:t>
      </w:r>
      <w:r>
        <w:rPr>
          <w:rFonts w:ascii="Times New Roman" w:hAnsi="Times New Roman" w:cs="Times New Roman" w:eastAsia="Times New Roman" w:hint="default"/>
        </w:rPr>
        <w:t>0.95%</w:t>
      </w:r>
      <w:r>
        <w:rPr/>
        <w:t>。</w:t>
      </w:r>
    </w:p>
    <w:p>
      <w:pPr>
        <w:pStyle w:val="BodyText"/>
        <w:spacing w:line="240" w:lineRule="auto" w:before="101"/>
        <w:ind w:left="513" w:right="93"/>
        <w:jc w:val="left"/>
      </w:pPr>
      <w:r>
        <w:rPr>
          <w:rFonts w:ascii="Times New Roman" w:hAnsi="Times New Roman" w:cs="Times New Roman" w:eastAsia="Times New Roman" w:hint="default"/>
        </w:rPr>
        <w:t>3</w:t>
      </w:r>
      <w:r>
        <w:rPr/>
        <w:t>、回购注销价格：</w:t>
      </w:r>
      <w:r>
        <w:rPr>
          <w:rFonts w:ascii="Times New Roman" w:hAnsi="Times New Roman" w:cs="Times New Roman" w:eastAsia="Times New Roman" w:hint="default"/>
        </w:rPr>
        <w:t>3.85</w:t>
      </w:r>
      <w:r>
        <w:rPr/>
        <w:t>元</w:t>
      </w:r>
      <w:r>
        <w:rPr>
          <w:rFonts w:ascii="Times New Roman" w:hAnsi="Times New Roman" w:cs="Times New Roman" w:eastAsia="Times New Roman" w:hint="default"/>
        </w:rPr>
        <w:t>/</w:t>
      </w:r>
      <w:r>
        <w:rPr/>
        <w:t>股。</w:t>
      </w:r>
    </w:p>
    <w:p>
      <w:pPr>
        <w:pStyle w:val="BodyText"/>
        <w:spacing w:line="340" w:lineRule="auto" w:before="103"/>
        <w:ind w:left="513" w:right="93"/>
        <w:jc w:val="left"/>
      </w:pPr>
      <w:r>
        <w:rPr>
          <w:rFonts w:ascii="Times New Roman" w:hAnsi="Times New Roman" w:cs="Times New Roman" w:eastAsia="Times New Roman" w:hint="default"/>
        </w:rPr>
        <w:t>4</w:t>
      </w:r>
      <w:r>
        <w:rPr/>
        <w:t>、本次回购注销对公司的影响： 本次限制性股票回购注销后，公司股权激励计划首次授予的限制性股票数量由</w:t>
      </w:r>
      <w:r>
        <w:rPr>
          <w:rFonts w:ascii="Times New Roman" w:hAnsi="Times New Roman" w:cs="Times New Roman" w:eastAsia="Times New Roman" w:hint="default"/>
        </w:rPr>
        <w:t>1,198.1</w:t>
      </w:r>
      <w:r>
        <w:rPr/>
        <w:t>万股调整为</w:t>
      </w:r>
      <w:r>
        <w:rPr>
          <w:rFonts w:ascii="Times New Roman" w:hAnsi="Times New Roman" w:cs="Times New Roman" w:eastAsia="Times New Roman" w:hint="default"/>
        </w:rPr>
        <w:t>400.295</w:t>
      </w:r>
      <w:r>
        <w:rPr/>
        <w:t>万股，激励对</w:t>
      </w:r>
    </w:p>
    <w:p>
      <w:pPr>
        <w:pStyle w:val="BodyText"/>
        <w:spacing w:line="228" w:lineRule="exact"/>
        <w:ind w:right="93"/>
        <w:jc w:val="left"/>
      </w:pPr>
      <w:r>
        <w:rPr/>
        <w:t>象总人数由</w:t>
      </w:r>
      <w:r>
        <w:rPr>
          <w:rFonts w:ascii="Times New Roman" w:hAnsi="Times New Roman" w:cs="Times New Roman" w:eastAsia="Times New Roman" w:hint="default"/>
        </w:rPr>
        <w:t>104</w:t>
      </w:r>
      <w:r>
        <w:rPr/>
        <w:t>人调整为</w:t>
      </w:r>
      <w:r>
        <w:rPr>
          <w:rFonts w:ascii="Times New Roman" w:hAnsi="Times New Roman" w:cs="Times New Roman" w:eastAsia="Times New Roman" w:hint="default"/>
        </w:rPr>
        <w:t>89</w:t>
      </w:r>
      <w:r>
        <w:rPr/>
        <w:t>人，股本总额由</w:t>
      </w:r>
      <w:r>
        <w:rPr>
          <w:rFonts w:ascii="Times New Roman" w:hAnsi="Times New Roman" w:cs="Times New Roman" w:eastAsia="Times New Roman" w:hint="default"/>
        </w:rPr>
        <w:t>48,863.775</w:t>
      </w:r>
      <w:r>
        <w:rPr/>
        <w:t>万股调整为</w:t>
      </w:r>
      <w:r>
        <w:rPr>
          <w:rFonts w:ascii="Times New Roman" w:hAnsi="Times New Roman" w:cs="Times New Roman" w:eastAsia="Times New Roman" w:hint="default"/>
        </w:rPr>
        <w:t>48,400.295</w:t>
      </w:r>
      <w:r>
        <w:rPr/>
        <w:t>万股。</w:t>
      </w:r>
    </w:p>
    <w:p>
      <w:pPr>
        <w:pStyle w:val="BodyText"/>
        <w:spacing w:line="319" w:lineRule="auto" w:before="63"/>
        <w:ind w:right="111" w:firstLine="360"/>
        <w:jc w:val="both"/>
      </w:pPr>
      <w:r>
        <w:rPr/>
        <w:t>对于股权激励费用的说明：因股权激励计划第二期限制性股票未能满足解锁条件而失效部分，不确认股份支付的费用， 在报告年度仅就其余有效的限制性股票对应的本年费用予以足额确认。</w:t>
      </w:r>
    </w:p>
    <w:p>
      <w:pPr>
        <w:pStyle w:val="BodyText"/>
        <w:spacing w:line="240" w:lineRule="auto" w:before="17"/>
        <w:ind w:left="513" w:right="93"/>
        <w:jc w:val="left"/>
      </w:pPr>
      <w:r>
        <w:rPr/>
        <w:t>股权激励第二期正常实施与失效对各年度产生的费用影响如下：</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952"/>
        <w:gridCol w:w="1277"/>
        <w:gridCol w:w="1274"/>
        <w:gridCol w:w="994"/>
        <w:gridCol w:w="991"/>
        <w:gridCol w:w="991"/>
        <w:gridCol w:w="1045"/>
      </w:tblGrid>
      <w:tr>
        <w:trPr>
          <w:trHeight w:val="65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18"/>
                <w:sz w:val="18"/>
                <w:szCs w:val="18"/>
              </w:rPr>
              <w:t> </w:t>
            </w:r>
            <w:r>
              <w:rPr>
                <w:rFonts w:ascii="宋体" w:hAnsi="宋体" w:cs="宋体" w:eastAsia="宋体" w:hint="default"/>
                <w:sz w:val="18"/>
                <w:szCs w:val="18"/>
              </w:rPr>
              <w:t>度</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z w:val="18"/>
                <w:szCs w:val="18"/>
              </w:rPr>
              <w:t>限</w:t>
            </w:r>
            <w:r>
              <w:rPr>
                <w:rFonts w:ascii="宋体" w:hAnsi="宋体" w:cs="宋体" w:eastAsia="宋体" w:hint="default"/>
                <w:spacing w:val="-55"/>
                <w:sz w:val="18"/>
                <w:szCs w:val="18"/>
              </w:rPr>
              <w:t> </w:t>
            </w:r>
            <w:r>
              <w:rPr>
                <w:rFonts w:ascii="宋体" w:hAnsi="宋体" w:cs="宋体" w:eastAsia="宋体" w:hint="default"/>
                <w:sz w:val="18"/>
                <w:szCs w:val="18"/>
              </w:rPr>
              <w:t>制</w:t>
            </w:r>
            <w:r>
              <w:rPr>
                <w:rFonts w:ascii="宋体" w:hAnsi="宋体" w:cs="宋体" w:eastAsia="宋体" w:hint="default"/>
                <w:spacing w:val="-55"/>
                <w:sz w:val="18"/>
                <w:szCs w:val="18"/>
              </w:rPr>
              <w:t> </w:t>
            </w:r>
            <w:r>
              <w:rPr>
                <w:rFonts w:ascii="宋体" w:hAnsi="宋体" w:cs="宋体" w:eastAsia="宋体" w:hint="default"/>
                <w:sz w:val="18"/>
                <w:szCs w:val="18"/>
              </w:rPr>
              <w:t>性</w:t>
            </w:r>
            <w:r>
              <w:rPr>
                <w:rFonts w:ascii="宋体" w:hAnsi="宋体" w:cs="宋体" w:eastAsia="宋体" w:hint="default"/>
                <w:spacing w:val="-55"/>
                <w:sz w:val="18"/>
                <w:szCs w:val="18"/>
              </w:rPr>
              <w:t> </w:t>
            </w:r>
            <w:r>
              <w:rPr>
                <w:rFonts w:ascii="宋体" w:hAnsi="宋体" w:cs="宋体" w:eastAsia="宋体" w:hint="default"/>
                <w:sz w:val="18"/>
                <w:szCs w:val="18"/>
              </w:rPr>
              <w:t>股</w:t>
            </w:r>
            <w:r>
              <w:rPr>
                <w:rFonts w:ascii="宋体" w:hAnsi="宋体" w:cs="宋体" w:eastAsia="宋体" w:hint="default"/>
                <w:spacing w:val="-57"/>
                <w:sz w:val="18"/>
                <w:szCs w:val="18"/>
              </w:rPr>
              <w:t> </w:t>
            </w:r>
            <w:r>
              <w:rPr>
                <w:rFonts w:ascii="宋体" w:hAnsi="宋体" w:cs="宋体" w:eastAsia="宋体" w:hint="default"/>
                <w:sz w:val="18"/>
                <w:szCs w:val="18"/>
              </w:rPr>
              <w:t>票</w:t>
            </w:r>
            <w:r>
              <w:rPr>
                <w:rFonts w:ascii="宋体" w:hAnsi="宋体" w:cs="宋体" w:eastAsia="宋体" w:hint="default"/>
                <w:spacing w:val="-55"/>
                <w:sz w:val="18"/>
                <w:szCs w:val="18"/>
              </w:rPr>
              <w:t> </w:t>
            </w:r>
            <w:r>
              <w:rPr>
                <w:rFonts w:ascii="宋体" w:hAnsi="宋体" w:cs="宋体" w:eastAsia="宋体" w:hint="default"/>
                <w:sz w:val="18"/>
                <w:szCs w:val="18"/>
              </w:rPr>
              <w:t>数</w:t>
            </w:r>
            <w:r>
              <w:rPr>
                <w:rFonts w:ascii="宋体" w:hAnsi="宋体" w:cs="宋体" w:eastAsia="宋体" w:hint="default"/>
                <w:sz w:val="18"/>
                <w:szCs w:val="18"/>
              </w:rPr>
              <w:t> 量（万股）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摊销总成本（万 元）</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660"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2"/>
              <w:jc w:val="left"/>
              <w:rPr>
                <w:rFonts w:ascii="宋体" w:hAnsi="宋体" w:cs="宋体" w:eastAsia="宋体" w:hint="default"/>
                <w:sz w:val="18"/>
                <w:szCs w:val="18"/>
              </w:rPr>
            </w:pPr>
            <w:r>
              <w:rPr>
                <w:rFonts w:ascii="宋体" w:hAnsi="宋体" w:cs="宋体" w:eastAsia="宋体" w:hint="default"/>
                <w:spacing w:val="14"/>
                <w:sz w:val="18"/>
                <w:szCs w:val="18"/>
              </w:rPr>
              <w:t>正常实施的年度摊销费 </w:t>
            </w:r>
            <w:r>
              <w:rPr>
                <w:rFonts w:ascii="宋体" w:hAnsi="宋体" w:cs="宋体" w:eastAsia="宋体" w:hint="default"/>
                <w:sz w:val="18"/>
                <w:szCs w:val="18"/>
              </w:rPr>
              <w:t>用</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83" w:right="0"/>
              <w:jc w:val="left"/>
              <w:rPr>
                <w:rFonts w:ascii="Times New Roman" w:hAnsi="Times New Roman" w:cs="Times New Roman" w:eastAsia="Times New Roman" w:hint="default"/>
                <w:sz w:val="18"/>
                <w:szCs w:val="18"/>
              </w:rPr>
            </w:pPr>
            <w:r>
              <w:rPr>
                <w:rFonts w:ascii="Times New Roman"/>
                <w:sz w:val="18"/>
              </w:rPr>
              <w:t>1198.1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6385.87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2110.89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2687.39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1277.17</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68" w:right="0"/>
              <w:jc w:val="left"/>
              <w:rPr>
                <w:rFonts w:ascii="Times New Roman" w:hAnsi="Times New Roman" w:cs="Times New Roman" w:eastAsia="Times New Roman" w:hint="default"/>
                <w:sz w:val="18"/>
                <w:szCs w:val="18"/>
              </w:rPr>
            </w:pPr>
            <w:r>
              <w:rPr>
                <w:rFonts w:ascii="Times New Roman"/>
                <w:sz w:val="18"/>
              </w:rPr>
              <w:t>310.42</w:t>
            </w:r>
          </w:p>
        </w:tc>
      </w:tr>
      <w:tr>
        <w:trPr>
          <w:trHeight w:val="660"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3"/>
              <w:jc w:val="left"/>
              <w:rPr>
                <w:rFonts w:ascii="宋体" w:hAnsi="宋体" w:cs="宋体" w:eastAsia="宋体" w:hint="default"/>
                <w:sz w:val="18"/>
                <w:szCs w:val="18"/>
              </w:rPr>
            </w:pPr>
            <w:r>
              <w:rPr>
                <w:rFonts w:ascii="宋体" w:hAnsi="宋体" w:cs="宋体" w:eastAsia="宋体" w:hint="default"/>
                <w:spacing w:val="14"/>
                <w:sz w:val="18"/>
                <w:szCs w:val="18"/>
              </w:rPr>
              <w:t>第二批失效后重新测算 </w:t>
            </w:r>
            <w:r>
              <w:rPr>
                <w:rFonts w:ascii="宋体" w:hAnsi="宋体" w:cs="宋体" w:eastAsia="宋体" w:hint="default"/>
                <w:sz w:val="18"/>
                <w:szCs w:val="18"/>
              </w:rPr>
              <w:t>的费用</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83" w:right="0"/>
              <w:jc w:val="left"/>
              <w:rPr>
                <w:rFonts w:ascii="Times New Roman" w:hAnsi="Times New Roman" w:cs="Times New Roman" w:eastAsia="Times New Roman" w:hint="default"/>
                <w:sz w:val="18"/>
                <w:szCs w:val="18"/>
              </w:rPr>
            </w:pPr>
            <w:r>
              <w:rPr>
                <w:rFonts w:ascii="Times New Roman"/>
                <w:sz w:val="18"/>
              </w:rPr>
              <w:t>560.50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2641.57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1179.61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-53.56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1219.18</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68" w:right="0"/>
              <w:jc w:val="left"/>
              <w:rPr>
                <w:rFonts w:ascii="Times New Roman" w:hAnsi="Times New Roman" w:cs="Times New Roman" w:eastAsia="Times New Roman" w:hint="default"/>
                <w:sz w:val="18"/>
                <w:szCs w:val="18"/>
              </w:rPr>
            </w:pPr>
            <w:r>
              <w:rPr>
                <w:rFonts w:ascii="Times New Roman"/>
                <w:sz w:val="18"/>
              </w:rPr>
              <w:t>296.33</w:t>
            </w:r>
          </w:p>
        </w:tc>
      </w:tr>
    </w:tbl>
    <w:p>
      <w:pPr>
        <w:pStyle w:val="BodyText"/>
        <w:spacing w:line="316" w:lineRule="auto" w:before="8"/>
        <w:ind w:right="93" w:firstLine="360"/>
        <w:jc w:val="left"/>
      </w:pPr>
      <w:r>
        <w:rPr>
          <w:spacing w:val="-2"/>
        </w:rPr>
        <w:t>公司对第二期股权激励计划进行回购注销，未对公司的财务状况和经营成果产生实质性影响，也不会影响公司的正常生</w:t>
      </w:r>
      <w:r>
        <w:rPr/>
        <w:t> 产经营和管理团队的勤勉尽职。公司管理团队将继续认真履行工作职责，努力为股东创造价值。</w:t>
      </w:r>
    </w:p>
    <w:p>
      <w:pPr>
        <w:pStyle w:val="BodyText"/>
        <w:spacing w:line="297" w:lineRule="auto" w:before="59"/>
        <w:ind w:right="93" w:firstLine="360"/>
        <w:jc w:val="left"/>
      </w:pPr>
      <w:r>
        <w:rPr>
          <w:spacing w:val="-3"/>
        </w:rPr>
        <w:t>具体内容详见</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31</w:t>
      </w:r>
      <w:r>
        <w:rPr>
          <w:spacing w:val="-3"/>
        </w:rPr>
        <w:t>日刊登于《证券时报》、《中国证券报》及巨潮资讯网（</w:t>
      </w:r>
      <w:r>
        <w:rPr>
          <w:rFonts w:ascii="Times New Roman" w:hAnsi="Times New Roman" w:cs="Times New Roman" w:eastAsia="Times New Roman" w:hint="default"/>
          <w:spacing w:val="-3"/>
        </w:rPr>
        <w:t>htpp:/</w:t>
      </w:r>
      <w:hyperlink r:id="rId11">
        <w:r>
          <w:rPr>
            <w:rFonts w:ascii="Times New Roman" w:hAnsi="Times New Roman" w:cs="Times New Roman" w:eastAsia="Times New Roman" w:hint="default"/>
            <w:spacing w:val="-3"/>
          </w:rPr>
          <w:t>/www</w:t>
        </w:r>
      </w:hyperlink>
      <w:r>
        <w:rPr>
          <w:rFonts w:ascii="Times New Roman" w:hAnsi="Times New Roman" w:cs="Times New Roman" w:eastAsia="Times New Roman" w:hint="default"/>
          <w:spacing w:val="-3"/>
        </w:rPr>
        <w:t>.</w:t>
      </w:r>
      <w:hyperlink r:id="rId11">
        <w:r>
          <w:rPr>
            <w:rFonts w:ascii="Times New Roman" w:hAnsi="Times New Roman" w:cs="Times New Roman" w:eastAsia="Times New Roman" w:hint="default"/>
            <w:spacing w:val="-3"/>
          </w:rPr>
          <w:t>cninfo.com.cn</w:t>
        </w:r>
      </w:hyperlink>
      <w:r>
        <w:rPr>
          <w:spacing w:val="-3"/>
        </w:rPr>
        <w:t>）上的《关</w:t>
      </w:r>
      <w:r>
        <w:rPr/>
        <w:t> 于回购注销未达到第二期解锁条件及部分已不符合激励条件的激励对象已获授但尚未解锁的限制性股票的公告》。</w:t>
      </w:r>
    </w:p>
    <w:p>
      <w:pPr>
        <w:spacing w:line="240" w:lineRule="auto" w:before="12"/>
        <w:rPr>
          <w:rFonts w:ascii="宋体" w:hAnsi="宋体" w:cs="宋体" w:eastAsia="宋体" w:hint="default"/>
          <w:sz w:val="21"/>
          <w:szCs w:val="21"/>
        </w:rPr>
      </w:pPr>
    </w:p>
    <w:p>
      <w:pPr>
        <w:pStyle w:val="Heading2"/>
        <w:spacing w:line="240" w:lineRule="auto"/>
        <w:ind w:right="93"/>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5"/>
        <w:rPr>
          <w:rFonts w:ascii="宋体" w:hAnsi="宋体" w:cs="宋体" w:eastAsia="宋体" w:hint="default"/>
          <w:sz w:val="21"/>
          <w:szCs w:val="21"/>
        </w:rPr>
      </w:pPr>
    </w:p>
    <w:p>
      <w:pPr>
        <w:pStyle w:val="Heading3"/>
        <w:spacing w:line="240" w:lineRule="auto"/>
        <w:ind w:right="9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5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3"/>
        <w:spacing w:line="240" w:lineRule="auto"/>
        <w:ind w:right="9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after="0" w:line="338"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8"/>
        <w:rPr>
          <w:rFonts w:ascii="宋体" w:hAnsi="宋体" w:cs="宋体" w:eastAsia="宋体" w:hint="default"/>
          <w:sz w:val="19"/>
          <w:szCs w:val="19"/>
        </w:rPr>
      </w:pPr>
    </w:p>
    <w:p>
      <w:pPr>
        <w:pStyle w:val="Heading2"/>
        <w:spacing w:line="240" w:lineRule="auto"/>
        <w:ind w:right="153"/>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3"/>
        <w:rPr>
          <w:rFonts w:ascii="宋体" w:hAnsi="宋体" w:cs="宋体" w:eastAsia="宋体" w:hint="default"/>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300" w:lineRule="auto" w:before="41"/>
        <w:ind w:right="146" w:firstLine="360"/>
        <w:jc w:val="both"/>
      </w:pPr>
      <w:r>
        <w:rPr/>
        <w:t>①本公司与深圳英特利投资有限公司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英特利投资</w:t>
      </w:r>
      <w:r>
        <w:rPr>
          <w:rFonts w:ascii="Times New Roman" w:hAnsi="Times New Roman" w:cs="Times New Roman" w:eastAsia="Times New Roman" w:hint="default"/>
        </w:rPr>
        <w:t>”)</w:t>
      </w:r>
      <w:r>
        <w:rPr/>
        <w:t>签订房屋租赁，合同约定：英特利投资将位于松岗同富裕 </w:t>
      </w:r>
      <w:r>
        <w:rPr>
          <w:spacing w:val="-2"/>
        </w:rPr>
        <w:t>工业区的</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3#</w:t>
      </w:r>
      <w:r>
        <w:rPr>
          <w:spacing w:val="-2"/>
        </w:rPr>
        <w:t>厂房和</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5#</w:t>
      </w:r>
      <w:r>
        <w:rPr>
          <w:spacing w:val="-2"/>
        </w:rPr>
        <w:t>宿舍出租给公司使用，总面积</w:t>
      </w:r>
      <w:r>
        <w:rPr>
          <w:rFonts w:ascii="Times New Roman" w:hAnsi="Times New Roman" w:cs="Times New Roman" w:eastAsia="Times New Roman" w:hint="default"/>
          <w:spacing w:val="-2"/>
        </w:rPr>
        <w:t>101,337.14</w:t>
      </w:r>
      <w:r>
        <w:rPr>
          <w:spacing w:val="-2"/>
        </w:rPr>
        <w:t>平方米。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日每月租金</w:t>
      </w:r>
      <w:r>
        <w:rPr>
          <w:spacing w:val="-44"/>
        </w:rPr>
        <w:t> </w:t>
      </w:r>
      <w:r>
        <w:rPr>
          <w:spacing w:val="-44"/>
        </w:rPr>
      </w:r>
      <w:r>
        <w:rPr/>
        <w:t>为人民币</w:t>
      </w:r>
      <w:r>
        <w:rPr>
          <w:rFonts w:ascii="Times New Roman" w:hAnsi="Times New Roman" w:cs="Times New Roman" w:eastAsia="Times New Roman" w:hint="default"/>
        </w:rPr>
        <w:t>1,013,371.40</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日每月租金为人民币</w:t>
      </w:r>
      <w:r>
        <w:rPr>
          <w:rFonts w:ascii="Times New Roman" w:hAnsi="Times New Roman" w:cs="Times New Roman" w:eastAsia="Times New Roman" w:hint="default"/>
        </w:rPr>
        <w:t>1,064,039.97</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 每月租金为人民币</w:t>
      </w:r>
      <w:r>
        <w:rPr>
          <w:rFonts w:ascii="Times New Roman" w:hAnsi="Times New Roman" w:cs="Times New Roman" w:eastAsia="Times New Roman" w:hint="default"/>
        </w:rPr>
        <w:t>1,117,241.92</w:t>
      </w:r>
      <w:r>
        <w:rPr/>
        <w:t>元。</w:t>
      </w:r>
    </w:p>
    <w:p>
      <w:pPr>
        <w:pStyle w:val="BodyText"/>
        <w:spacing w:line="300" w:lineRule="auto" w:before="13"/>
        <w:ind w:right="150" w:firstLine="360"/>
        <w:jc w:val="both"/>
      </w:pPr>
      <w:r>
        <w:rPr/>
        <w:t>②本公司与深圳市同裕洋实业有限公司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同裕洋实业</w:t>
      </w:r>
      <w:r>
        <w:rPr>
          <w:rFonts w:ascii="Times New Roman" w:hAnsi="Times New Roman" w:cs="Times New Roman" w:eastAsia="Times New Roman" w:hint="default"/>
        </w:rPr>
        <w:t>”)</w:t>
      </w:r>
      <w:r>
        <w:rPr/>
        <w:t>签订宿舍租赁合同，合同约定：同裕洋实业将位于深圳 市宝安区松岗街道同富裕工业园兴隆路</w:t>
      </w:r>
      <w:r>
        <w:rPr>
          <w:rFonts w:ascii="Times New Roman" w:hAnsi="Times New Roman" w:cs="Times New Roman" w:eastAsia="Times New Roman" w:hint="default"/>
        </w:rPr>
        <w:t>3</w:t>
      </w:r>
      <w:r>
        <w:rPr/>
        <w:t>号建筑面积</w:t>
      </w:r>
      <w:r>
        <w:rPr>
          <w:rFonts w:ascii="Times New Roman" w:hAnsi="Times New Roman" w:cs="Times New Roman" w:eastAsia="Times New Roman" w:hint="default"/>
        </w:rPr>
        <w:t>5,920.14</w:t>
      </w:r>
      <w:r>
        <w:rPr/>
        <w:t>平方米的宿舍出租给公司作为宿舍使用，</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日每月租金为人民币</w:t>
      </w:r>
      <w:r>
        <w:rPr>
          <w:rFonts w:ascii="Times New Roman" w:hAnsi="Times New Roman" w:cs="Times New Roman" w:eastAsia="Times New Roman" w:hint="default"/>
        </w:rPr>
        <w:t>82,881.96</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日每月租金为人民币</w:t>
      </w:r>
      <w:r>
        <w:rPr>
          <w:rFonts w:ascii="Times New Roman" w:hAnsi="Times New Roman" w:cs="Times New Roman" w:eastAsia="Times New Roman" w:hint="default"/>
        </w:rPr>
        <w:t>87,026.06</w:t>
      </w:r>
      <w:r>
        <w:rPr/>
        <w:t>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日至</w:t>
      </w:r>
      <w:r>
        <w:rPr>
          <w:spacing w:val="-18"/>
        </w:rPr>
        <w:t> </w:t>
      </w:r>
      <w:r>
        <w:rPr>
          <w:rFonts w:ascii="Times New Roman" w:hAnsi="Times New Roman" w:cs="Times New Roman" w:eastAsia="Times New Roman" w:hint="default"/>
        </w:rPr>
        <w:t>2023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日每月租金人民币</w:t>
      </w:r>
      <w:r>
        <w:rPr>
          <w:rFonts w:ascii="Times New Roman" w:hAnsi="Times New Roman" w:cs="Times New Roman" w:eastAsia="Times New Roman" w:hint="default"/>
        </w:rPr>
        <w:t>91,347.76</w:t>
      </w:r>
      <w:r>
        <w:rPr/>
        <w:t>元。</w:t>
      </w:r>
    </w:p>
    <w:p>
      <w:pPr>
        <w:spacing w:line="240" w:lineRule="auto" w:before="0"/>
        <w:rPr>
          <w:rFonts w:ascii="宋体" w:hAnsi="宋体" w:cs="宋体" w:eastAsia="宋体" w:hint="default"/>
          <w:sz w:val="18"/>
          <w:szCs w:val="18"/>
        </w:rPr>
      </w:pPr>
    </w:p>
    <w:p>
      <w:pPr>
        <w:pStyle w:val="BodyText"/>
        <w:spacing w:line="240" w:lineRule="auto" w:before="131"/>
        <w:ind w:right="153"/>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53"/>
        <w:jc w:val="left"/>
      </w:pPr>
      <w:r>
        <w:rPr/>
        <w:t>公司报告期不存在为公司带来的损益达到公司报告期利润总额</w:t>
      </w:r>
      <w:r>
        <w:rPr>
          <w:spacing w:val="-44"/>
        </w:rPr>
        <w:t> </w:t>
      </w:r>
      <w:r>
        <w:rPr>
          <w:rFonts w:ascii="Times New Roman" w:hAnsi="Times New Roman" w:cs="Times New Roman" w:eastAsia="Times New Roman" w:hint="default"/>
        </w:rPr>
        <w:t>10%</w:t>
      </w:r>
      <w:r>
        <w:rPr/>
        <w:t>以上的租赁项目。</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13"/>
        <w:gridCol w:w="917"/>
        <w:gridCol w:w="928"/>
        <w:gridCol w:w="1301"/>
        <w:gridCol w:w="1054"/>
        <w:gridCol w:w="1038"/>
        <w:gridCol w:w="1051"/>
        <w:gridCol w:w="790"/>
        <w:gridCol w:w="783"/>
      </w:tblGrid>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6"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5"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3"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4"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5"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5"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3"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1"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6"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7"/>
              <w:jc w:val="left"/>
              <w:rPr>
                <w:rFonts w:ascii="宋体" w:hAnsi="宋体" w:cs="宋体" w:eastAsia="宋体" w:hint="default"/>
                <w:sz w:val="18"/>
                <w:szCs w:val="18"/>
              </w:rPr>
            </w:pPr>
            <w:r>
              <w:rPr>
                <w:rFonts w:ascii="宋体" w:hAnsi="宋体" w:cs="宋体" w:eastAsia="宋体" w:hint="default"/>
                <w:sz w:val="18"/>
                <w:szCs w:val="18"/>
              </w:rPr>
              <w:t>天津卓达科技发展有 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9"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12"/>
              <w:jc w:val="left"/>
              <w:rPr>
                <w:rFonts w:ascii="宋体" w:hAnsi="宋体" w:cs="宋体" w:eastAsia="宋体" w:hint="default"/>
                <w:sz w:val="18"/>
                <w:szCs w:val="18"/>
              </w:rPr>
            </w:pPr>
            <w:r>
              <w:rPr>
                <w:rFonts w:ascii="宋体" w:hAnsi="宋体" w:cs="宋体" w:eastAsia="宋体" w:hint="default"/>
                <w:sz w:val="18"/>
                <w:szCs w:val="18"/>
              </w:rPr>
              <w:t>至贷款还清 日为止</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7"/>
              <w:jc w:val="left"/>
              <w:rPr>
                <w:rFonts w:ascii="宋体" w:hAnsi="宋体" w:cs="宋体" w:eastAsia="宋体" w:hint="default"/>
                <w:sz w:val="18"/>
                <w:szCs w:val="18"/>
              </w:rPr>
            </w:pPr>
            <w:r>
              <w:rPr>
                <w:rFonts w:ascii="宋体" w:hAnsi="宋体" w:cs="宋体" w:eastAsia="宋体" w:hint="default"/>
                <w:sz w:val="18"/>
                <w:szCs w:val="18"/>
              </w:rPr>
              <w:t>天津卓达科技发展有 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4,545.04</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7"/>
              <w:jc w:val="left"/>
              <w:rPr>
                <w:rFonts w:ascii="宋体" w:hAnsi="宋体" w:cs="宋体" w:eastAsia="宋体" w:hint="default"/>
                <w:sz w:val="18"/>
                <w:szCs w:val="18"/>
              </w:rPr>
            </w:pPr>
            <w:r>
              <w:rPr>
                <w:rFonts w:ascii="宋体" w:hAnsi="宋体" w:cs="宋体" w:eastAsia="宋体" w:hint="default"/>
                <w:sz w:val="18"/>
                <w:szCs w:val="18"/>
              </w:rPr>
              <w:t>深圳市卓翼智造有限 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7"/>
              <w:jc w:val="left"/>
              <w:rPr>
                <w:rFonts w:ascii="宋体" w:hAnsi="宋体" w:cs="宋体" w:eastAsia="宋体" w:hint="default"/>
                <w:sz w:val="18"/>
                <w:szCs w:val="18"/>
              </w:rPr>
            </w:pPr>
            <w:r>
              <w:rPr>
                <w:rFonts w:ascii="宋体" w:hAnsi="宋体" w:cs="宋体" w:eastAsia="宋体" w:hint="default"/>
                <w:sz w:val="18"/>
                <w:szCs w:val="18"/>
              </w:rPr>
              <w:t>深圳市卓翼智造有限 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8,896</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7"/>
              <w:jc w:val="left"/>
              <w:rPr>
                <w:rFonts w:ascii="宋体" w:hAnsi="宋体" w:cs="宋体" w:eastAsia="宋体" w:hint="default"/>
                <w:sz w:val="18"/>
                <w:szCs w:val="18"/>
              </w:rPr>
            </w:pPr>
            <w:r>
              <w:rPr>
                <w:rFonts w:ascii="宋体" w:hAnsi="宋体" w:cs="宋体" w:eastAsia="宋体" w:hint="default"/>
                <w:sz w:val="18"/>
                <w:szCs w:val="18"/>
              </w:rPr>
              <w:t>深圳市卓翼智造有限 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12"/>
              <w:jc w:val="both"/>
              <w:rPr>
                <w:rFonts w:ascii="宋体" w:hAnsi="宋体" w:cs="宋体" w:eastAsia="宋体" w:hint="default"/>
                <w:sz w:val="18"/>
                <w:szCs w:val="18"/>
              </w:rPr>
            </w:pPr>
            <w:r>
              <w:rPr>
                <w:rFonts w:ascii="宋体" w:hAnsi="宋体" w:cs="宋体" w:eastAsia="宋体" w:hint="default"/>
                <w:sz w:val="18"/>
                <w:szCs w:val="18"/>
              </w:rPr>
              <w:t>债务履行期 届满之日起 五年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7"/>
              <w:jc w:val="left"/>
              <w:rPr>
                <w:rFonts w:ascii="宋体" w:hAnsi="宋体" w:cs="宋体" w:eastAsia="宋体" w:hint="default"/>
                <w:sz w:val="18"/>
                <w:szCs w:val="18"/>
              </w:rPr>
            </w:pPr>
            <w:r>
              <w:rPr>
                <w:rFonts w:ascii="宋体" w:hAnsi="宋体" w:cs="宋体" w:eastAsia="宋体" w:hint="default"/>
                <w:sz w:val="18"/>
                <w:szCs w:val="18"/>
              </w:rPr>
              <w:t>深圳市卓翼智造有限 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167,000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14,060.28</w:t>
            </w:r>
          </w:p>
        </w:tc>
      </w:tr>
      <w:tr>
        <w:trPr>
          <w:trHeight w:val="718"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172,000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13,441.04</w:t>
            </w: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9"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8" w:type="dxa"/>
            <w:vMerge w:val="restart"/>
            <w:tcBorders>
              <w:top w:val="single" w:sz="4" w:space="0" w:color="000000"/>
              <w:left w:val="single" w:sz="4" w:space="0" w:color="000000"/>
              <w:right w:val="single" w:sz="4" w:space="0" w:color="000000"/>
            </w:tcBorders>
            <w:shd w:val="clear" w:color="auto" w:fill="D2D2D2"/>
          </w:tcPr>
          <w:p>
            <w:pPr/>
          </w:p>
        </w:tc>
        <w:tc>
          <w:tcPr>
            <w:tcW w:w="13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7"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8" w:type="dxa"/>
            <w:vMerge/>
            <w:tcBorders>
              <w:left w:val="single" w:sz="4" w:space="0" w:color="000000"/>
              <w:bottom w:val="nil" w:sz="6" w:space="0" w:color="auto"/>
              <w:right w:val="single" w:sz="4" w:space="0" w:color="000000"/>
            </w:tcBorders>
            <w:shd w:val="clear" w:color="auto" w:fill="D2D2D2"/>
          </w:tcPr>
          <w:p>
            <w:pPr/>
          </w:p>
        </w:tc>
        <w:tc>
          <w:tcPr>
            <w:tcW w:w="13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4"/>
              <w:ind w:left="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23" w:right="7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vMerge/>
            <w:tcBorders>
              <w:left w:val="single" w:sz="4" w:space="0" w:color="000000"/>
              <w:right w:val="single" w:sz="4" w:space="0" w:color="000000"/>
            </w:tcBorders>
            <w:shd w:val="clear" w:color="auto" w:fill="D2D2D2"/>
          </w:tcPr>
          <w:p>
            <w:pPr/>
          </w:p>
        </w:tc>
        <w:tc>
          <w:tcPr>
            <w:tcW w:w="9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vMerge/>
            <w:tcBorders>
              <w:left w:val="single" w:sz="4" w:space="0" w:color="000000"/>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8" w:type="dxa"/>
            <w:vMerge w:val="restart"/>
            <w:tcBorders>
              <w:top w:val="nil" w:sz="6" w:space="0" w:color="auto"/>
              <w:left w:val="single" w:sz="4" w:space="0" w:color="000000"/>
              <w:right w:val="single" w:sz="4" w:space="0" w:color="000000"/>
            </w:tcBorders>
            <w:shd w:val="clear" w:color="auto" w:fill="D2D2D2"/>
          </w:tcPr>
          <w:p>
            <w:pPr/>
          </w:p>
        </w:tc>
        <w:tc>
          <w:tcPr>
            <w:tcW w:w="1301"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928" w:type="dxa"/>
            <w:vMerge/>
            <w:tcBorders>
              <w:left w:val="single" w:sz="4" w:space="0" w:color="000000"/>
              <w:bottom w:val="single" w:sz="4" w:space="0" w:color="000000"/>
              <w:right w:val="single" w:sz="4" w:space="0" w:color="000000"/>
            </w:tcBorders>
            <w:shd w:val="clear" w:color="auto" w:fill="D2D2D2"/>
          </w:tcPr>
          <w:p>
            <w:pPr/>
          </w:p>
        </w:tc>
        <w:tc>
          <w:tcPr>
            <w:tcW w:w="13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8"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167,000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0"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14,060.28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609"/>
        <w:gridCol w:w="2236"/>
        <w:gridCol w:w="2087"/>
        <w:gridCol w:w="2632"/>
      </w:tblGrid>
      <w:tr>
        <w:trPr>
          <w:trHeight w:val="71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172,000</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13,441.04</w:t>
            </w:r>
          </w:p>
        </w:tc>
      </w:tr>
      <w:tr>
        <w:trPr>
          <w:trHeight w:val="407"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10.03%</w:t>
            </w:r>
          </w:p>
        </w:tc>
      </w:tr>
      <w:tr>
        <w:trPr>
          <w:trHeight w:val="391" w:hRule="exact"/>
        </w:trPr>
        <w:tc>
          <w:tcPr>
            <w:tcW w:w="95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24"/>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21"/>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4" w:hRule="exact"/>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57" w:lineRule="auto" w:before="49"/>
        <w:ind w:right="7074"/>
        <w:jc w:val="left"/>
      </w:pPr>
      <w:r>
        <w:rPr/>
        <w:t>采用复合方式担保的具体情况说明 无</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7"/>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0"/>
        <w:gridCol w:w="833"/>
        <w:gridCol w:w="838"/>
        <w:gridCol w:w="877"/>
        <w:gridCol w:w="804"/>
        <w:gridCol w:w="804"/>
        <w:gridCol w:w="802"/>
        <w:gridCol w:w="804"/>
        <w:gridCol w:w="804"/>
        <w:gridCol w:w="805"/>
        <w:gridCol w:w="804"/>
        <w:gridCol w:w="598"/>
      </w:tblGrid>
      <w:tr>
        <w:trPr>
          <w:trHeight w:val="133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05" w:right="32"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0" w:right="50"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51" w:right="74"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15" w:right="34"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 w:right="35"/>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8"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 w:right="35"/>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建行银行 深圳中心 区支行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非保本浮 动收益型 理财产品</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12,430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5.5%</w:t>
            </w:r>
            <w:r>
              <w:rPr>
                <w:rFonts w:ascii="宋体" w:hAnsi="宋体" w:cs="宋体" w:eastAsia="宋体" w:hint="default"/>
                <w:sz w:val="18"/>
                <w:szCs w:val="18"/>
              </w:rPr>
              <w:t>（年 收益率）</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12,430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644.7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644.7</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644.70</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华夏银行 股份有限 公司深圳 南园支行</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83"/>
              <w:jc w:val="both"/>
              <w:rPr>
                <w:rFonts w:ascii="宋体" w:hAnsi="宋体" w:cs="宋体" w:eastAsia="宋体" w:hint="default"/>
                <w:sz w:val="18"/>
                <w:szCs w:val="18"/>
              </w:rPr>
            </w:pPr>
            <w:r>
              <w:rPr>
                <w:rFonts w:ascii="宋体" w:hAnsi="宋体" w:cs="宋体" w:eastAsia="宋体" w:hint="default"/>
                <w:sz w:val="18"/>
                <w:szCs w:val="18"/>
              </w:rPr>
              <w:t>低风险短 期理财产 品</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26"/>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宋体" w:hAnsi="宋体" w:cs="宋体" w:eastAsia="宋体" w:hint="default"/>
                <w:sz w:val="18"/>
                <w:szCs w:val="18"/>
              </w:rPr>
              <w:t>（年 收益率）</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2,742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0.96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0.96</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0.96</w:t>
            </w:r>
          </w:p>
        </w:tc>
      </w:tr>
      <w:tr>
        <w:trPr>
          <w:trHeight w:val="403"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15,172</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15,172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645.66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645.66</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101" w:type="dxa"/>
            <w:gridSpan w:val="9"/>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闲置自有资金 注：为降低风险，公司在与建行银行深圳中心区支行购买理财产品的同时签署了《买断型</w:t>
            </w:r>
          </w:p>
        </w:tc>
      </w:tr>
    </w:tbl>
    <w:p>
      <w:pPr>
        <w:spacing w:after="0" w:line="357"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69"/>
        <w:gridCol w:w="7101"/>
      </w:tblGrid>
      <w:tr>
        <w:trPr>
          <w:trHeight w:val="675" w:hRule="exact"/>
        </w:trPr>
        <w:tc>
          <w:tcPr>
            <w:tcW w:w="24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1"/>
              <w:jc w:val="left"/>
              <w:rPr>
                <w:rFonts w:ascii="宋体" w:hAnsi="宋体" w:cs="宋体" w:eastAsia="宋体" w:hint="default"/>
                <w:sz w:val="18"/>
                <w:szCs w:val="18"/>
              </w:rPr>
            </w:pPr>
            <w:r>
              <w:rPr>
                <w:rFonts w:ascii="宋体" w:hAnsi="宋体" w:cs="宋体" w:eastAsia="宋体" w:hint="default"/>
                <w:spacing w:val="-4"/>
                <w:sz w:val="18"/>
                <w:szCs w:val="18"/>
              </w:rPr>
              <w:t>进出口资金产品业务合同》，将该理财产品项下的全部风险及未来的产品收益转卖给建行银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行深圳中心区支行，建行银行深圳中心区支行放弃对公司贷款的全部追索权。</w:t>
            </w:r>
          </w:p>
        </w:tc>
      </w:tr>
      <w:tr>
        <w:trPr>
          <w:trHeight w:val="713" w:hRule="exact"/>
        </w:trPr>
        <w:tc>
          <w:tcPr>
            <w:tcW w:w="2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4"/>
              <w:jc w:val="left"/>
              <w:rPr>
                <w:rFonts w:ascii="宋体" w:hAnsi="宋体" w:cs="宋体" w:eastAsia="宋体" w:hint="default"/>
                <w:sz w:val="18"/>
                <w:szCs w:val="18"/>
              </w:rPr>
            </w:pPr>
            <w:r>
              <w:rPr>
                <w:rFonts w:ascii="宋体" w:hAnsi="宋体" w:cs="宋体" w:eastAsia="宋体" w:hint="default"/>
                <w:sz w:val="18"/>
                <w:szCs w:val="18"/>
              </w:rPr>
              <w:t>逾期未收回的本金和收益累计 金额</w:t>
            </w:r>
          </w:p>
        </w:tc>
        <w:tc>
          <w:tcPr>
            <w:tcW w:w="7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469"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10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469"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4"/>
              <w:ind w:left="22" w:right="9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 日期（如有</w:t>
            </w:r>
            <w:r>
              <w:rPr>
                <w:rFonts w:ascii="Times New Roman" w:hAnsi="Times New Roman" w:cs="Times New Roman" w:eastAsia="Times New Roman" w:hint="default"/>
                <w:sz w:val="18"/>
                <w:szCs w:val="18"/>
              </w:rPr>
              <w:t>)</w:t>
            </w:r>
          </w:p>
        </w:tc>
        <w:tc>
          <w:tcPr>
            <w:tcW w:w="710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r>
      <w:tr>
        <w:trPr>
          <w:trHeight w:val="403" w:hRule="exact"/>
        </w:trPr>
        <w:tc>
          <w:tcPr>
            <w:tcW w:w="2469" w:type="dxa"/>
            <w:vMerge/>
            <w:tcBorders>
              <w:left w:val="single" w:sz="4" w:space="0" w:color="000000"/>
              <w:bottom w:val="single" w:sz="4" w:space="0" w:color="000000"/>
              <w:right w:val="single" w:sz="4" w:space="0" w:color="000000"/>
            </w:tcBorders>
            <w:shd w:val="clear" w:color="auto" w:fill="D2D2D2"/>
          </w:tcPr>
          <w:p>
            <w:pPr/>
          </w:p>
        </w:tc>
        <w:tc>
          <w:tcPr>
            <w:tcW w:w="7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713" w:hRule="exact"/>
        </w:trPr>
        <w:tc>
          <w:tcPr>
            <w:tcW w:w="2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 日期（如有</w:t>
            </w:r>
            <w:r>
              <w:rPr>
                <w:rFonts w:ascii="Times New Roman" w:hAnsi="Times New Roman" w:cs="Times New Roman" w:eastAsia="Times New Roman" w:hint="default"/>
                <w:sz w:val="18"/>
                <w:szCs w:val="18"/>
              </w:rPr>
              <w:t>)</w:t>
            </w:r>
          </w:p>
        </w:tc>
        <w:tc>
          <w:tcPr>
            <w:tcW w:w="71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按照法定审批程序执行</w:t>
            </w:r>
          </w:p>
        </w:tc>
      </w:tr>
    </w:tbl>
    <w:p>
      <w:pPr>
        <w:spacing w:line="240" w:lineRule="auto" w:before="3"/>
        <w:rPr>
          <w:rFonts w:ascii="宋体" w:hAnsi="宋体" w:cs="宋体" w:eastAsia="宋体" w:hint="default"/>
          <w:sz w:val="19"/>
          <w:szCs w:val="19"/>
        </w:rPr>
      </w:pPr>
    </w:p>
    <w:p>
      <w:pPr>
        <w:pStyle w:val="Heading3"/>
        <w:spacing w:line="240" w:lineRule="auto" w:before="36"/>
        <w:ind w:right="9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ind w:right="9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93"/>
        <w:jc w:val="left"/>
        <w:rPr>
          <w:b w:val="0"/>
          <w:bCs w:val="0"/>
        </w:rPr>
      </w:pP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4" w:lineRule="auto" w:before="103"/>
        <w:ind w:right="94"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日，公司第三届董事会第十次会议审议通过了《关于部分变更非公开发行募投项目实施方式的议案》， </w:t>
      </w:r>
      <w:r>
        <w:rPr>
          <w:spacing w:val="-2"/>
        </w:rPr>
        <w:t>为缓解深圳产能压力，提高公司现有设备的整体利用率，从而提高募集资金使用效率，增强公司持续盈利能力，公司向全资</w:t>
      </w:r>
      <w:r>
        <w:rPr>
          <w:spacing w:val="-65"/>
        </w:rPr>
        <w:t> </w:t>
      </w:r>
      <w:r>
        <w:rPr>
          <w:spacing w:val="-65"/>
        </w:rPr>
      </w:r>
      <w:r>
        <w:rPr/>
        <w:t>子公司天津卓达租用非公开发行股票募投项目的七条</w:t>
      </w:r>
      <w:r>
        <w:rPr>
          <w:rFonts w:ascii="Times New Roman" w:hAnsi="Times New Roman" w:cs="Times New Roman" w:eastAsia="Times New Roman" w:hint="default"/>
        </w:rPr>
        <w:t>SMT</w:t>
      </w:r>
      <w:r>
        <w:rPr/>
        <w:t>生产线。该议案于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日经</w:t>
      </w:r>
      <w:r>
        <w:rPr>
          <w:rFonts w:ascii="Times New Roman" w:hAnsi="Times New Roman" w:cs="Times New Roman" w:eastAsia="Times New Roman" w:hint="default"/>
        </w:rPr>
        <w:t>2014</w:t>
      </w:r>
      <w:r>
        <w:rPr/>
        <w:t>年第二次临时股东大会审 议通过。</w:t>
      </w:r>
      <w:r>
        <w:rPr>
          <w:rFonts w:ascii="Times New Roman" w:hAnsi="Times New Roman" w:cs="Times New Roman" w:eastAsia="Times New Roman" w:hint="default"/>
        </w:rPr>
        <w:t>2015</w:t>
      </w:r>
      <w:r>
        <w:rPr/>
        <w:t>年，根据公司及其全资子公司的实际生产需求，公司同意从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日起终止向天津卓达租赁四条</w:t>
      </w:r>
      <w:r>
        <w:rPr>
          <w:rFonts w:ascii="Times New Roman" w:hAnsi="Times New Roman" w:cs="Times New Roman" w:eastAsia="Times New Roman" w:hint="default"/>
        </w:rPr>
        <w:t>SMT</w:t>
      </w:r>
      <w:r>
        <w:rPr/>
        <w:t>生 产线（其中，两条为</w:t>
      </w:r>
      <w:r>
        <w:rPr>
          <w:rFonts w:ascii="Times New Roman" w:hAnsi="Times New Roman" w:cs="Times New Roman" w:eastAsia="Times New Roman" w:hint="default"/>
        </w:rPr>
        <w:t>2014</w:t>
      </w:r>
      <w:r>
        <w:rPr/>
        <w:t>年续租的，两条为</w:t>
      </w:r>
      <w:r>
        <w:rPr>
          <w:rFonts w:ascii="Times New Roman" w:hAnsi="Times New Roman" w:cs="Times New Roman" w:eastAsia="Times New Roman" w:hint="default"/>
        </w:rPr>
        <w:t>2014</w:t>
      </w:r>
      <w:r>
        <w:rPr/>
        <w:t>年新租的五条中的两条）。（注</w:t>
      </w:r>
      <w:r>
        <w:rPr>
          <w:rFonts w:ascii="Times New Roman" w:hAnsi="Times New Roman" w:cs="Times New Roman" w:eastAsia="Times New Roman" w:hint="default"/>
        </w:rPr>
        <w:t>1</w:t>
      </w:r>
      <w:r>
        <w:rPr/>
        <w:t>）</w:t>
      </w:r>
    </w:p>
    <w:p>
      <w:pPr>
        <w:pStyle w:val="BodyText"/>
        <w:spacing w:line="300" w:lineRule="auto" w:before="47"/>
        <w:ind w:right="191"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10</w:t>
      </w:r>
      <w:r>
        <w:rPr>
          <w:spacing w:val="-2"/>
        </w:rPr>
        <w:t>日，公司召开第三届董事会第十四次会议，审议通过了《关于公司拟在厦门购买研发楼的议案》，同意</w:t>
      </w:r>
      <w:r>
        <w:rPr/>
        <w:t> </w:t>
      </w:r>
      <w:r>
        <w:rPr>
          <w:spacing w:val="-1"/>
        </w:rPr>
        <w:t>公司购买厦门软件园三期的研发楼，拟购买面积约</w:t>
      </w:r>
      <w:r>
        <w:rPr>
          <w:rFonts w:ascii="Times New Roman" w:hAnsi="Times New Roman" w:cs="Times New Roman" w:eastAsia="Times New Roman" w:hint="default"/>
          <w:spacing w:val="-1"/>
        </w:rPr>
        <w:t>37692.3</w:t>
      </w:r>
      <w:r>
        <w:rPr>
          <w:spacing w:val="-1"/>
        </w:rPr>
        <w:t>平米（实际面积以实测面积为准），总价格约人民币</w:t>
      </w:r>
      <w:r>
        <w:rPr>
          <w:rFonts w:ascii="Times New Roman" w:hAnsi="Times New Roman" w:cs="Times New Roman" w:eastAsia="Times New Roman" w:hint="default"/>
          <w:spacing w:val="-1"/>
        </w:rPr>
        <w:t>2</w:t>
      </w:r>
      <w:r>
        <w:rPr>
          <w:spacing w:val="-1"/>
        </w:rPr>
        <w:t>亿元。（注</w:t>
      </w:r>
      <w:r>
        <w:rPr>
          <w:spacing w:val="-74"/>
        </w:rPr>
        <w:t> </w:t>
      </w:r>
      <w:r>
        <w:rPr>
          <w:spacing w:val="-74"/>
        </w:rPr>
      </w:r>
      <w:r>
        <w:rPr>
          <w:rFonts w:ascii="Times New Roman" w:hAnsi="Times New Roman" w:cs="Times New Roman" w:eastAsia="Times New Roman" w:hint="default"/>
        </w:rPr>
        <w:t>2</w:t>
      </w:r>
      <w:r>
        <w:rPr/>
        <w:t>）</w:t>
      </w:r>
    </w:p>
    <w:p>
      <w:pPr>
        <w:pStyle w:val="BodyText"/>
        <w:spacing w:line="307" w:lineRule="auto" w:before="53"/>
        <w:ind w:right="194" w:firstLine="360"/>
        <w:jc w:val="both"/>
      </w:pP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日与北京文和共创投资管理中心（有限合伙）、北京朝歌数码科技股份有限公司、蒋文（朝歌科</w:t>
      </w:r>
      <w:r>
        <w:rPr/>
        <w:t> </w:t>
      </w:r>
      <w:r>
        <w:rPr>
          <w:spacing w:val="-2"/>
        </w:rPr>
        <w:t>技的实际控制人、控股股东）签署了《北京文和共创投资管理中心（有限合伙）与深圳市卓翼科技股份有限公司关于北京朝</w:t>
      </w:r>
      <w:r>
        <w:rPr>
          <w:spacing w:val="-67"/>
        </w:rPr>
        <w:t> </w:t>
      </w:r>
      <w:r>
        <w:rPr>
          <w:spacing w:val="-67"/>
        </w:rPr>
      </w:r>
      <w:r>
        <w:rPr/>
        <w:t>歌数码科技股份有限公司之股份转让协议》，公司以人民币</w:t>
      </w:r>
      <w:r>
        <w:rPr>
          <w:rFonts w:ascii="Times New Roman" w:hAnsi="Times New Roman" w:cs="Times New Roman" w:eastAsia="Times New Roman" w:hint="default"/>
        </w:rPr>
        <w:t>8,400</w:t>
      </w:r>
      <w:r>
        <w:rPr/>
        <w:t>万元受让北京文和共创投资管理中心（有限合伙）持有的 北京朝歌数码科技股份有限公司</w:t>
      </w:r>
      <w:r>
        <w:rPr>
          <w:rFonts w:ascii="Times New Roman" w:hAnsi="Times New Roman" w:cs="Times New Roman" w:eastAsia="Times New Roman" w:hint="default"/>
        </w:rPr>
        <w:t>21%</w:t>
      </w:r>
      <w:r>
        <w:rPr/>
        <w:t>的股权。（注</w:t>
      </w:r>
      <w:r>
        <w:rPr>
          <w:rFonts w:ascii="Times New Roman" w:hAnsi="Times New Roman" w:cs="Times New Roman" w:eastAsia="Times New Roman" w:hint="default"/>
        </w:rPr>
        <w:t>3</w:t>
      </w:r>
      <w:r>
        <w:rPr/>
        <w:t>）</w:t>
      </w:r>
    </w:p>
    <w:p>
      <w:pPr>
        <w:pStyle w:val="BodyText"/>
        <w:spacing w:line="304" w:lineRule="auto" w:before="48"/>
        <w:ind w:right="94" w:firstLine="36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日，公司因筹划非公开发行股份事项，对外披露了《重大事项停牌公告》，公司股票（证券简称：卓翼 科技，证券代码：</w:t>
      </w:r>
      <w:r>
        <w:rPr>
          <w:rFonts w:ascii="Times New Roman" w:hAnsi="Times New Roman" w:cs="Times New Roman" w:eastAsia="Times New Roman" w:hint="default"/>
        </w:rPr>
        <w:t>002369</w:t>
      </w:r>
      <w:r>
        <w:rPr/>
        <w:t>）自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日开市起停牌，在停牌期间，公司每</w:t>
      </w:r>
      <w:r>
        <w:rPr>
          <w:rFonts w:ascii="Times New Roman" w:hAnsi="Times New Roman" w:cs="Times New Roman" w:eastAsia="Times New Roman" w:hint="default"/>
        </w:rPr>
        <w:t>5</w:t>
      </w:r>
      <w:r>
        <w:rPr/>
        <w:t>个交易日发布了进展公告。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w:t>
      </w:r>
      <w:r>
        <w:rPr>
          <w:spacing w:val="-3"/>
        </w:rPr>
        <w:t> </w:t>
      </w:r>
      <w:r>
        <w:rPr>
          <w:spacing w:val="-2"/>
        </w:rPr>
        <w:t>公司披露了《关于终止筹划非公开发行股票事项暨拟筹划重大资产重组事项的停牌公告》，结合当时资本市场以及公司的实</w:t>
      </w:r>
      <w:r>
        <w:rPr>
          <w:spacing w:val="-63"/>
        </w:rPr>
        <w:t> </w:t>
      </w:r>
      <w:r>
        <w:rPr>
          <w:spacing w:val="-63"/>
        </w:rPr>
      </w:r>
      <w:r>
        <w:rPr>
          <w:spacing w:val="-5"/>
        </w:rPr>
        <w:t>际情况，经过慎重考虑及与有关各方充分协商，公司决定终止筹划非公开发行股份事项，并开始筹划重大资产重组事项。</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日，公司披露了《关于筹划重大资产重组进展暨延期复牌公告》，公司预计在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日前披露符合《公开发 </w:t>
      </w:r>
      <w:r>
        <w:rPr>
          <w:spacing w:val="-2"/>
        </w:rPr>
        <w:t>行证券的公司信息披露内容与格式准则第</w:t>
      </w:r>
      <w:r>
        <w:rPr>
          <w:rFonts w:ascii="Times New Roman" w:hAnsi="Times New Roman" w:cs="Times New Roman" w:eastAsia="Times New Roman" w:hint="default"/>
          <w:spacing w:val="-2"/>
        </w:rPr>
        <w:t>26</w:t>
      </w:r>
      <w:r>
        <w:rPr>
          <w:spacing w:val="-2"/>
        </w:rPr>
        <w:t>号</w:t>
      </w:r>
      <w:r>
        <w:rPr>
          <w:rFonts w:ascii="Times New Roman" w:hAnsi="Times New Roman" w:cs="Times New Roman" w:eastAsia="Times New Roman" w:hint="default"/>
          <w:spacing w:val="-2"/>
        </w:rPr>
        <w:t>—</w:t>
      </w:r>
      <w:r>
        <w:rPr>
          <w:spacing w:val="-2"/>
        </w:rPr>
        <w:t>上市公司重大资产重组申请文件》要求的重大资产重组预案（或报告书）并</w:t>
      </w:r>
    </w:p>
    <w:p>
      <w:pPr>
        <w:spacing w:after="0" w:line="304"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40" w:lineRule="auto" w:before="44"/>
        <w:ind w:left="585" w:right="701" w:hanging="433"/>
        <w:jc w:val="left"/>
      </w:pPr>
      <w:r>
        <w:rPr/>
        <w:t>复牌。此后，公司每</w:t>
      </w:r>
      <w:r>
        <w:rPr>
          <w:rFonts w:ascii="Times New Roman" w:hAnsi="Times New Roman" w:cs="Times New Roman" w:eastAsia="Times New Roman" w:hint="default"/>
        </w:rPr>
        <w:t>5</w:t>
      </w:r>
      <w:r>
        <w:rPr/>
        <w:t>个交易日发布一次关于筹划重大资产重组的进展公告。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日，公司未能在上述期限内披露重大资产重组预案（或报告书），公司股票于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日开市</w:t>
      </w:r>
    </w:p>
    <w:p>
      <w:pPr>
        <w:pStyle w:val="BodyText"/>
        <w:spacing w:line="228" w:lineRule="exact"/>
        <w:ind w:right="701"/>
        <w:jc w:val="left"/>
      </w:pPr>
      <w:r>
        <w:rPr/>
        <w:t>时起复牌，公司承诺自公司股票复牌之日起六个月内不再筹划重大资产重组事项。（注</w:t>
      </w:r>
      <w:r>
        <w:rPr>
          <w:rFonts w:ascii="Times New Roman" w:hAnsi="Times New Roman" w:cs="Times New Roman" w:eastAsia="Times New Roman" w:hint="default"/>
        </w:rPr>
        <w:t>4</w:t>
      </w:r>
      <w:r>
        <w:rPr/>
        <w:t>）</w:t>
      </w:r>
    </w:p>
    <w:p>
      <w:pPr>
        <w:pStyle w:val="BodyText"/>
        <w:spacing w:line="304" w:lineRule="auto" w:before="101"/>
        <w:ind w:right="660" w:firstLine="288"/>
        <w:jc w:val="both"/>
      </w:pPr>
      <w:r>
        <w:rPr>
          <w:rFonts w:ascii="Times New Roman" w:hAnsi="Times New Roman" w:cs="Times New Roman" w:eastAsia="Times New Roman" w:hint="default"/>
        </w:rPr>
        <w:t>5</w:t>
      </w:r>
      <w:r>
        <w:rPr/>
        <w:t>、经公司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日召开的第三届董事会第十八次会议、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日召开的</w:t>
      </w:r>
      <w:r>
        <w:rPr>
          <w:rFonts w:ascii="Times New Roman" w:hAnsi="Times New Roman" w:cs="Times New Roman" w:eastAsia="Times New Roman" w:hint="default"/>
        </w:rPr>
        <w:t>2015</w:t>
      </w:r>
      <w:r>
        <w:rPr/>
        <w:t>年第二次临时股东大会审议， 通过了《</w:t>
      </w:r>
      <w:r>
        <w:rPr>
          <w:rFonts w:ascii="Times New Roman" w:hAnsi="Times New Roman" w:cs="Times New Roman" w:eastAsia="Times New Roman" w:hint="default"/>
        </w:rPr>
        <w:t>2015</w:t>
      </w:r>
      <w:r>
        <w:rPr/>
        <w:t>年度非公开发行股票预案》等相关议案，以及经公司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日召开的第三届董事会第二十次会议审议， 通过了《</w:t>
      </w:r>
      <w:r>
        <w:rPr>
          <w:rFonts w:ascii="Times New Roman" w:hAnsi="Times New Roman" w:cs="Times New Roman" w:eastAsia="Times New Roman" w:hint="default"/>
        </w:rPr>
        <w:t>2015</w:t>
      </w:r>
      <w:r>
        <w:rPr/>
        <w:t>年度非公开发行</w:t>
      </w:r>
      <w:r>
        <w:rPr>
          <w:rFonts w:ascii="Times New Roman" w:hAnsi="Times New Roman" w:cs="Times New Roman" w:eastAsia="Times New Roman" w:hint="default"/>
        </w:rPr>
        <w:t>A</w:t>
      </w:r>
      <w:r>
        <w:rPr/>
        <w:t>股股票预案（修订稿）》等相关议案，对</w:t>
      </w:r>
      <w:r>
        <w:rPr>
          <w:rFonts w:ascii="Times New Roman" w:hAnsi="Times New Roman" w:cs="Times New Roman" w:eastAsia="Times New Roman" w:hint="default"/>
        </w:rPr>
        <w:t>2015</w:t>
      </w:r>
      <w:r>
        <w:rPr/>
        <w:t>年度非公开发行股票预案等内容进行了调整， 公司拟募集资金</w:t>
      </w:r>
      <w:r>
        <w:rPr>
          <w:rFonts w:ascii="Times New Roman" w:hAnsi="Times New Roman" w:cs="Times New Roman" w:eastAsia="Times New Roman" w:hint="default"/>
        </w:rPr>
        <w:t>8</w:t>
      </w:r>
      <w:r>
        <w:rPr/>
        <w:t>亿元投资智能制造升级项目、创新支持平台项目以及补充流动资金项目，其中智能制造升级项目、创新支 </w:t>
      </w:r>
      <w:r>
        <w:rPr>
          <w:spacing w:val="-2"/>
        </w:rPr>
        <w:t>持平台项目是符合国家政策、鼓励发展的行业，是对公司原有业务的进一步扩展，有助于公司的持续发展，使公司跃上新的</w:t>
      </w:r>
      <w:r>
        <w:rPr>
          <w:spacing w:val="-65"/>
        </w:rPr>
        <w:t> </w:t>
      </w:r>
      <w:r>
        <w:rPr>
          <w:spacing w:val="-65"/>
        </w:rPr>
      </w:r>
      <w:r>
        <w:rPr/>
        <w:t>发展台阶。</w:t>
      </w:r>
    </w:p>
    <w:p>
      <w:pPr>
        <w:pStyle w:val="BodyText"/>
        <w:spacing w:line="300" w:lineRule="auto" w:before="68"/>
        <w:ind w:right="692" w:firstLine="288"/>
        <w:jc w:val="both"/>
      </w:pPr>
      <w:r>
        <w:rPr>
          <w:spacing w:val="-1"/>
        </w:rPr>
        <w:t>上述</w:t>
      </w:r>
      <w:r>
        <w:rPr>
          <w:rFonts w:ascii="Times New Roman" w:hAnsi="Times New Roman" w:cs="Times New Roman" w:eastAsia="Times New Roman" w:hint="default"/>
          <w:spacing w:val="-1"/>
        </w:rPr>
        <w:t>2015</w:t>
      </w:r>
      <w:r>
        <w:rPr>
          <w:spacing w:val="-1"/>
        </w:rPr>
        <w:t>年度非公开发行的相关议案尚需提交公司股东大会以及中国证监会审批后方可实施，更多详细内容，可参阅公</w:t>
      </w:r>
      <w:r>
        <w:rPr/>
        <w:t> 司刊登在巨潮资讯网上的《</w:t>
      </w:r>
      <w:r>
        <w:rPr>
          <w:rFonts w:ascii="Times New Roman" w:hAnsi="Times New Roman" w:cs="Times New Roman" w:eastAsia="Times New Roman" w:hint="default"/>
        </w:rPr>
        <w:t>2015</w:t>
      </w:r>
      <w:r>
        <w:rPr/>
        <w:t>年度非公开发行</w:t>
      </w:r>
      <w:r>
        <w:rPr>
          <w:rFonts w:ascii="Times New Roman" w:hAnsi="Times New Roman" w:cs="Times New Roman" w:eastAsia="Times New Roman" w:hint="default"/>
        </w:rPr>
        <w:t>A</w:t>
      </w:r>
      <w:r>
        <w:rPr/>
        <w:t>股股票预案（修订稿）》。（注</w:t>
      </w:r>
      <w:r>
        <w:rPr>
          <w:rFonts w:ascii="Times New Roman" w:hAnsi="Times New Roman" w:cs="Times New Roman" w:eastAsia="Times New Roman" w:hint="default"/>
        </w:rPr>
        <w:t>5</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44"/>
        <w:ind w:left="0" w:right="117"/>
        <w:jc w:val="right"/>
      </w:pPr>
      <w:r>
        <w:rPr/>
        <w:pict>
          <v:shape style="position:absolute;margin-left:56.279999pt;margin-top:-216.77829pt;width:507.85pt;height:424.4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00"/>
                    <w:gridCol w:w="2845"/>
                    <w:gridCol w:w="4890"/>
                  </w:tblGrid>
                  <w:tr>
                    <w:trPr>
                      <w:trHeight w:val="346" w:hRule="exact"/>
                    </w:trPr>
                    <w:tc>
                      <w:tcPr>
                        <w:tcW w:w="240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564" w:right="0"/>
                          <w:jc w:val="left"/>
                          <w:rPr>
                            <w:rFonts w:ascii="宋体" w:hAnsi="宋体" w:cs="宋体" w:eastAsia="宋体" w:hint="default"/>
                            <w:sz w:val="21"/>
                            <w:szCs w:val="21"/>
                          </w:rPr>
                        </w:pPr>
                        <w:r>
                          <w:rPr>
                            <w:rFonts w:ascii="宋体" w:hAnsi="宋体" w:cs="宋体" w:eastAsia="宋体" w:hint="default"/>
                            <w:sz w:val="21"/>
                            <w:szCs w:val="21"/>
                          </w:rPr>
                          <w:t>重要事项概述</w:t>
                        </w:r>
                      </w:p>
                    </w:tc>
                    <w:tc>
                      <w:tcPr>
                        <w:tcW w:w="284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489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2" w:lineRule="exact"/>
                          <w:ind w:left="1176" w:right="0"/>
                          <w:jc w:val="left"/>
                          <w:rPr>
                            <w:rFonts w:ascii="宋体" w:hAnsi="宋体" w:cs="宋体" w:eastAsia="宋体" w:hint="default"/>
                            <w:sz w:val="21"/>
                            <w:szCs w:val="21"/>
                          </w:rPr>
                        </w:pPr>
                        <w:r>
                          <w:rPr>
                            <w:rFonts w:ascii="宋体" w:hAnsi="宋体" w:cs="宋体" w:eastAsia="宋体" w:hint="default"/>
                            <w:sz w:val="21"/>
                            <w:szCs w:val="21"/>
                          </w:rPr>
                          <w:t>临时报告披露网站查询索引</w:t>
                        </w:r>
                      </w:p>
                    </w:tc>
                  </w:tr>
                  <w:tr>
                    <w:trPr>
                      <w:trHeight w:val="661" w:hRule="exact"/>
                    </w:trPr>
                    <w:tc>
                      <w:tcPr>
                        <w:tcW w:w="2400" w:type="dxa"/>
                        <w:vMerge w:val="restart"/>
                        <w:tcBorders>
                          <w:top w:val="single" w:sz="6" w:space="0" w:color="000000"/>
                          <w:left w:val="single" w:sz="6" w:space="0" w:color="000000"/>
                          <w:right w:val="single" w:sz="6" w:space="0" w:color="000000"/>
                        </w:tcBorders>
                      </w:tcPr>
                      <w:p>
                        <w:pPr>
                          <w:pStyle w:val="TableParagraph"/>
                          <w:spacing w:line="300" w:lineRule="auto" w:before="20"/>
                          <w:ind w:left="4" w:right="-1"/>
                          <w:jc w:val="left"/>
                          <w:rPr>
                            <w:rFonts w:ascii="宋体" w:hAnsi="宋体" w:cs="宋体" w:eastAsia="宋体" w:hint="default"/>
                            <w:sz w:val="18"/>
                            <w:szCs w:val="18"/>
                          </w:rPr>
                        </w:pPr>
                        <w:r>
                          <w:rPr>
                            <w:rFonts w:ascii="宋体" w:hAnsi="宋体" w:cs="宋体" w:eastAsia="宋体" w:hint="default"/>
                            <w:spacing w:val="-4"/>
                            <w:sz w:val="18"/>
                            <w:szCs w:val="18"/>
                          </w:rPr>
                          <w:t>（注</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）公司向全资子公司天津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卓达终止租赁四条</w:t>
                        </w:r>
                        <w:r>
                          <w:rPr>
                            <w:rFonts w:ascii="Times New Roman" w:hAnsi="Times New Roman" w:cs="Times New Roman" w:eastAsia="Times New Roman" w:hint="default"/>
                            <w:sz w:val="18"/>
                            <w:szCs w:val="18"/>
                          </w:rPr>
                          <w:t>SMT</w:t>
                        </w:r>
                        <w:r>
                          <w:rPr>
                            <w:rFonts w:ascii="宋体" w:hAnsi="宋体" w:cs="宋体" w:eastAsia="宋体" w:hint="default"/>
                            <w:sz w:val="18"/>
                            <w:szCs w:val="18"/>
                          </w:rPr>
                          <w:t>生产线</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489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368"/>
                          <w:jc w:val="left"/>
                          <w:rPr>
                            <w:rFonts w:ascii="Times New Roman" w:hAnsi="Times New Roman" w:cs="Times New Roman" w:eastAsia="Times New Roman" w:hint="default"/>
                            <w:sz w:val="18"/>
                            <w:szCs w:val="18"/>
                          </w:rPr>
                        </w:pPr>
                        <w:r>
                          <w:rPr>
                            <w:rFonts w:ascii="宋体" w:hAnsi="宋体" w:cs="宋体" w:eastAsia="宋体" w:hint="default"/>
                            <w:sz w:val="18"/>
                            <w:szCs w:val="18"/>
                          </w:rPr>
                          <w:t>披露媒体：《证券时报》、《中国证券报》及巨潮资讯网 公告编号：</w:t>
                        </w:r>
                        <w:r>
                          <w:rPr>
                            <w:rFonts w:ascii="Times New Roman" w:hAnsi="Times New Roman" w:cs="Times New Roman" w:eastAsia="Times New Roman" w:hint="default"/>
                            <w:sz w:val="18"/>
                            <w:szCs w:val="18"/>
                          </w:rPr>
                          <w:t>2014-049</w:t>
                        </w:r>
                      </w:p>
                    </w:tc>
                  </w:tr>
                  <w:tr>
                    <w:trPr>
                      <w:trHeight w:val="658" w:hRule="exact"/>
                    </w:trPr>
                    <w:tc>
                      <w:tcPr>
                        <w:tcW w:w="2400" w:type="dxa"/>
                        <w:vMerge/>
                        <w:tcBorders>
                          <w:left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48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368"/>
                          <w:jc w:val="left"/>
                          <w:rPr>
                            <w:rFonts w:ascii="Times New Roman" w:hAnsi="Times New Roman" w:cs="Times New Roman" w:eastAsia="Times New Roman" w:hint="default"/>
                            <w:sz w:val="18"/>
                            <w:szCs w:val="18"/>
                          </w:rPr>
                        </w:pPr>
                        <w:r>
                          <w:rPr>
                            <w:rFonts w:ascii="宋体" w:hAnsi="宋体" w:cs="宋体" w:eastAsia="宋体" w:hint="default"/>
                            <w:sz w:val="18"/>
                            <w:szCs w:val="18"/>
                          </w:rPr>
                          <w:t>披露媒体：《证券时报》、《中国证券报》及巨潮资讯网 公告编号：</w:t>
                        </w:r>
                        <w:r>
                          <w:rPr>
                            <w:rFonts w:ascii="Times New Roman" w:hAnsi="Times New Roman" w:cs="Times New Roman" w:eastAsia="Times New Roman" w:hint="default"/>
                            <w:sz w:val="18"/>
                            <w:szCs w:val="18"/>
                          </w:rPr>
                          <w:t>2014-055</w:t>
                        </w:r>
                      </w:p>
                    </w:tc>
                  </w:tr>
                  <w:tr>
                    <w:trPr>
                      <w:trHeight w:val="660" w:hRule="exact"/>
                    </w:trPr>
                    <w:tc>
                      <w:tcPr>
                        <w:tcW w:w="2400" w:type="dxa"/>
                        <w:vMerge/>
                        <w:tcBorders>
                          <w:left w:val="single" w:sz="6" w:space="0" w:color="000000"/>
                          <w:bottom w:val="single" w:sz="6" w:space="0" w:color="000000"/>
                          <w:right w:val="single" w:sz="6" w:space="0" w:color="000000"/>
                        </w:tcBorders>
                      </w:tcPr>
                      <w:p>
                        <w:pP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48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68"/>
                          <w:jc w:val="left"/>
                          <w:rPr>
                            <w:rFonts w:ascii="Times New Roman" w:hAnsi="Times New Roman" w:cs="Times New Roman" w:eastAsia="Times New Roman" w:hint="default"/>
                            <w:sz w:val="18"/>
                            <w:szCs w:val="18"/>
                          </w:rPr>
                        </w:pPr>
                        <w:r>
                          <w:rPr>
                            <w:rFonts w:ascii="宋体" w:hAnsi="宋体" w:cs="宋体" w:eastAsia="宋体" w:hint="default"/>
                            <w:sz w:val="18"/>
                            <w:szCs w:val="18"/>
                          </w:rPr>
                          <w:t>披露媒体：《证券时报》、《中国证券报》及巨潮资讯网 公告编号：</w:t>
                        </w:r>
                        <w:r>
                          <w:rPr>
                            <w:rFonts w:ascii="Times New Roman" w:hAnsi="Times New Roman" w:cs="Times New Roman" w:eastAsia="Times New Roman" w:hint="default"/>
                            <w:sz w:val="18"/>
                            <w:szCs w:val="18"/>
                          </w:rPr>
                          <w:t>2015-019</w:t>
                        </w:r>
                      </w:p>
                    </w:tc>
                  </w:tr>
                  <w:tr>
                    <w:trPr>
                      <w:trHeight w:val="660" w:hRule="exact"/>
                    </w:trPr>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1"/>
                          <w:jc w:val="left"/>
                          <w:rPr>
                            <w:rFonts w:ascii="宋体" w:hAnsi="宋体" w:cs="宋体" w:eastAsia="宋体" w:hint="default"/>
                            <w:sz w:val="18"/>
                            <w:szCs w:val="18"/>
                          </w:rPr>
                        </w:pPr>
                        <w:r>
                          <w:rPr>
                            <w:rFonts w:ascii="宋体" w:hAnsi="宋体" w:cs="宋体" w:eastAsia="宋体" w:hint="default"/>
                            <w:spacing w:val="-4"/>
                            <w:sz w:val="18"/>
                            <w:szCs w:val="18"/>
                          </w:rPr>
                          <w:t>（注</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）公司拟购买厦门软件园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三期的研发楼</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48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368"/>
                          <w:jc w:val="left"/>
                          <w:rPr>
                            <w:rFonts w:ascii="Times New Roman" w:hAnsi="Times New Roman" w:cs="Times New Roman" w:eastAsia="Times New Roman" w:hint="default"/>
                            <w:sz w:val="18"/>
                            <w:szCs w:val="18"/>
                          </w:rPr>
                        </w:pPr>
                        <w:r>
                          <w:rPr>
                            <w:rFonts w:ascii="宋体" w:hAnsi="宋体" w:cs="宋体" w:eastAsia="宋体" w:hint="default"/>
                            <w:sz w:val="18"/>
                            <w:szCs w:val="18"/>
                          </w:rPr>
                          <w:t>披露媒体：《证券时报》、《中国证券报》及巨潮资讯网 公告编号：</w:t>
                        </w:r>
                        <w:r>
                          <w:rPr>
                            <w:rFonts w:ascii="Times New Roman" w:hAnsi="Times New Roman" w:cs="Times New Roman" w:eastAsia="Times New Roman" w:hint="default"/>
                            <w:sz w:val="18"/>
                            <w:szCs w:val="18"/>
                          </w:rPr>
                          <w:t>2015-035</w:t>
                        </w:r>
                      </w:p>
                    </w:tc>
                  </w:tr>
                  <w:tr>
                    <w:trPr>
                      <w:trHeight w:val="1049" w:hRule="exact"/>
                    </w:trPr>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58"/>
                          <w:ind w:left="4" w:right="-1"/>
                          <w:jc w:val="both"/>
                          <w:rPr>
                            <w:rFonts w:ascii="宋体" w:hAnsi="宋体" w:cs="宋体" w:eastAsia="宋体" w:hint="default"/>
                            <w:sz w:val="18"/>
                            <w:szCs w:val="18"/>
                          </w:rPr>
                        </w:pPr>
                        <w:r>
                          <w:rPr>
                            <w:rFonts w:ascii="宋体" w:hAnsi="宋体" w:cs="宋体" w:eastAsia="宋体" w:hint="default"/>
                            <w:spacing w:val="-4"/>
                            <w:sz w:val="18"/>
                            <w:szCs w:val="18"/>
                          </w:rPr>
                          <w:t>（注</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）关于收购北京朝歌数码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科技股份有限公司部分股权的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公告</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48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43"/>
                          <w:jc w:val="left"/>
                          <w:rPr>
                            <w:rFonts w:ascii="Times New Roman" w:hAnsi="Times New Roman" w:cs="Times New Roman" w:eastAsia="Times New Roman" w:hint="default"/>
                            <w:sz w:val="18"/>
                            <w:szCs w:val="18"/>
                          </w:rPr>
                        </w:pPr>
                        <w:r>
                          <w:rPr>
                            <w:rFonts w:ascii="宋体" w:hAnsi="宋体" w:cs="宋体" w:eastAsia="宋体" w:hint="default"/>
                            <w:sz w:val="18"/>
                            <w:szCs w:val="18"/>
                          </w:rPr>
                          <w:t>披露媒体：《证券时报》、《中国证券报》及巨潮资讯网</w:t>
                        </w:r>
                        <w:r>
                          <w:rPr>
                            <w:rFonts w:ascii="宋体" w:hAnsi="宋体" w:cs="宋体" w:eastAsia="宋体" w:hint="default"/>
                            <w:spacing w:val="55"/>
                            <w:sz w:val="18"/>
                            <w:szCs w:val="18"/>
                          </w:rPr>
                          <w:t> </w:t>
                        </w:r>
                        <w:r>
                          <w:rPr>
                            <w:rFonts w:ascii="宋体" w:hAnsi="宋体" w:cs="宋体" w:eastAsia="宋体" w:hint="default"/>
                            <w:sz w:val="18"/>
                            <w:szCs w:val="18"/>
                          </w:rPr>
                          <w:t>公</w:t>
                        </w:r>
                        <w:r>
                          <w:rPr>
                            <w:rFonts w:ascii="宋体" w:hAnsi="宋体" w:cs="宋体" w:eastAsia="宋体" w:hint="default"/>
                            <w:sz w:val="18"/>
                            <w:szCs w:val="18"/>
                          </w:rPr>
                          <w:t> 告编号：</w:t>
                        </w:r>
                        <w:r>
                          <w:rPr>
                            <w:rFonts w:ascii="Times New Roman" w:hAnsi="Times New Roman" w:cs="Times New Roman" w:eastAsia="Times New Roman" w:hint="default"/>
                            <w:sz w:val="18"/>
                            <w:szCs w:val="18"/>
                          </w:rPr>
                          <w:t>2015-066</w:t>
                        </w:r>
                      </w:p>
                    </w:tc>
                  </w:tr>
                  <w:tr>
                    <w:trPr>
                      <w:trHeight w:val="3156" w:hRule="exact"/>
                    </w:trPr>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3"/>
                          <w:jc w:val="left"/>
                          <w:rPr>
                            <w:rFonts w:ascii="宋体" w:hAnsi="宋体" w:cs="宋体" w:eastAsia="宋体" w:hint="default"/>
                            <w:sz w:val="18"/>
                            <w:szCs w:val="18"/>
                          </w:rPr>
                        </w:pPr>
                        <w:r>
                          <w:rPr>
                            <w:rFonts w:ascii="宋体" w:hAnsi="宋体" w:cs="宋体" w:eastAsia="宋体" w:hint="default"/>
                            <w:spacing w:val="-4"/>
                            <w:sz w:val="18"/>
                            <w:szCs w:val="18"/>
                          </w:rPr>
                          <w:t>（注</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）重大事项停牌、进展及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终止</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2015</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日、</w:t>
                        </w:r>
                        <w:r>
                          <w:rPr>
                            <w:rFonts w:ascii="Times New Roman" w:hAnsi="Times New Roman" w:cs="Times New Roman" w:eastAsia="Times New Roman" w:hint="default"/>
                            <w:spacing w:val="-7"/>
                            <w:sz w:val="18"/>
                            <w:szCs w:val="18"/>
                          </w:rPr>
                          <w:t>2015</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10</w:t>
                        </w:r>
                        <w:r>
                          <w:rPr>
                            <w:rFonts w:ascii="宋体" w:hAnsi="宋体" w:cs="宋体" w:eastAsia="宋体" w:hint="default"/>
                            <w:spacing w:val="-7"/>
                            <w:sz w:val="18"/>
                            <w:szCs w:val="18"/>
                          </w:rPr>
                          <w:t>日、</w:t>
                        </w:r>
                        <w:r>
                          <w:rPr>
                            <w:rFonts w:ascii="Times New Roman" w:hAnsi="Times New Roman" w:cs="Times New Roman" w:eastAsia="Times New Roman" w:hint="default"/>
                            <w:spacing w:val="-7"/>
                            <w:sz w:val="18"/>
                            <w:szCs w:val="18"/>
                          </w:rPr>
                          <w:t>2015</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pacing w:val="-22"/>
                            <w:sz w:val="18"/>
                            <w:szCs w:val="18"/>
                          </w:rPr>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 </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19</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26</w:t>
                        </w:r>
                        <w:r>
                          <w:rPr>
                            <w:rFonts w:ascii="Times New Roman" w:hAnsi="Times New Roman" w:cs="Times New Roman" w:eastAsia="Times New Roman" w:hint="default"/>
                            <w:spacing w:val="-30"/>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日</w:t>
                        </w:r>
                        <w:r>
                          <w:rPr>
                            <w:rFonts w:ascii="宋体" w:hAnsi="宋体" w:cs="宋体" w:eastAsia="宋体" w:hint="default"/>
                            <w:spacing w:val="-82"/>
                            <w:sz w:val="18"/>
                            <w:szCs w:val="18"/>
                          </w:rPr>
                          <w:t> </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489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88"/>
                          <w:jc w:val="left"/>
                          <w:rPr>
                            <w:rFonts w:ascii="Times New Roman" w:hAnsi="Times New Roman" w:cs="Times New Roman" w:eastAsia="Times New Roman" w:hint="default"/>
                            <w:sz w:val="18"/>
                            <w:szCs w:val="18"/>
                          </w:rPr>
                        </w:pPr>
                        <w:r>
                          <w:rPr>
                            <w:rFonts w:ascii="宋体" w:hAnsi="宋体" w:cs="宋体" w:eastAsia="宋体" w:hint="default"/>
                            <w:sz w:val="18"/>
                            <w:szCs w:val="18"/>
                          </w:rPr>
                          <w:t>披露媒体：《证券时报》、《中国证券报》及巨潮资讯网 </w:t>
                        </w:r>
                        <w:r>
                          <w:rPr>
                            <w:rFonts w:ascii="宋体" w:hAnsi="宋体" w:cs="宋体" w:eastAsia="宋体" w:hint="default"/>
                            <w:spacing w:val="-7"/>
                            <w:sz w:val="18"/>
                            <w:szCs w:val="18"/>
                          </w:rPr>
                          <w:t>公告编号：</w:t>
                        </w:r>
                        <w:r>
                          <w:rPr>
                            <w:rFonts w:ascii="Times New Roman" w:hAnsi="Times New Roman" w:cs="Times New Roman" w:eastAsia="Times New Roman" w:hint="default"/>
                            <w:spacing w:val="-7"/>
                            <w:sz w:val="18"/>
                            <w:szCs w:val="18"/>
                          </w:rPr>
                          <w:t>2015-028</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2015-030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2015-038</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2015-039</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2015-040</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11"/>
                            <w:sz w:val="18"/>
                            <w:szCs w:val="18"/>
                          </w:rPr>
                        </w:r>
                        <w:r>
                          <w:rPr>
                            <w:rFonts w:ascii="Times New Roman" w:hAnsi="Times New Roman" w:cs="Times New Roman" w:eastAsia="Times New Roman" w:hint="default"/>
                            <w:spacing w:val="-6"/>
                            <w:sz w:val="18"/>
                            <w:szCs w:val="18"/>
                          </w:rPr>
                          <w:t>2015-041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2015-043</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2015-044</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2015-047</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2015-048</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2015-049</w:t>
                        </w:r>
                      </w:p>
                      <w:p>
                        <w:pPr>
                          <w:pStyle w:val="TableParagraph"/>
                          <w:spacing w:line="240" w:lineRule="auto" w:before="5"/>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2015-051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2015-052</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2015-060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2015-061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2015-063</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2015-064</w:t>
                        </w:r>
                      </w:p>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2015-065</w:t>
                        </w:r>
                        <w:r>
                          <w:rPr>
                            <w:rFonts w:ascii="宋体" w:hAnsi="宋体" w:cs="宋体" w:eastAsia="宋体" w:hint="default"/>
                            <w:sz w:val="18"/>
                            <w:szCs w:val="18"/>
                          </w:rPr>
                          <w:t>、</w:t>
                        </w:r>
                        <w:r>
                          <w:rPr>
                            <w:rFonts w:ascii="Times New Roman" w:hAnsi="Times New Roman" w:cs="Times New Roman" w:eastAsia="Times New Roman" w:hint="default"/>
                            <w:sz w:val="18"/>
                            <w:szCs w:val="18"/>
                          </w:rPr>
                          <w:t>2015-068</w:t>
                        </w:r>
                        <w:r>
                          <w:rPr>
                            <w:rFonts w:ascii="宋体" w:hAnsi="宋体" w:cs="宋体" w:eastAsia="宋体" w:hint="default"/>
                            <w:sz w:val="18"/>
                            <w:szCs w:val="18"/>
                          </w:rPr>
                          <w:t>、</w:t>
                        </w:r>
                        <w:r>
                          <w:rPr>
                            <w:rFonts w:ascii="Times New Roman" w:hAnsi="Times New Roman" w:cs="Times New Roman" w:eastAsia="Times New Roman" w:hint="default"/>
                            <w:sz w:val="18"/>
                            <w:szCs w:val="18"/>
                          </w:rPr>
                          <w:t>2015-069</w:t>
                        </w:r>
                        <w:r>
                          <w:rPr>
                            <w:rFonts w:ascii="宋体" w:hAnsi="宋体" w:cs="宋体" w:eastAsia="宋体" w:hint="default"/>
                            <w:sz w:val="18"/>
                            <w:szCs w:val="18"/>
                          </w:rPr>
                          <w:t>、</w:t>
                        </w:r>
                        <w:r>
                          <w:rPr>
                            <w:rFonts w:ascii="Times New Roman" w:hAnsi="Times New Roman" w:cs="Times New Roman" w:eastAsia="Times New Roman" w:hint="default"/>
                            <w:sz w:val="18"/>
                            <w:szCs w:val="18"/>
                          </w:rPr>
                          <w:t>2015-074</w:t>
                        </w:r>
                      </w:p>
                    </w:tc>
                  </w:tr>
                  <w:tr>
                    <w:trPr>
                      <w:trHeight w:val="1285" w:hRule="exact"/>
                    </w:trPr>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年度非公开发行</w:t>
                        </w:r>
                      </w:p>
                    </w:tc>
                    <w:tc>
                      <w:tcPr>
                        <w:tcW w:w="2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489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4" w:right="88"/>
                          <w:jc w:val="left"/>
                          <w:rPr>
                            <w:rFonts w:ascii="Times New Roman" w:hAnsi="Times New Roman" w:cs="Times New Roman" w:eastAsia="Times New Roman" w:hint="default"/>
                            <w:sz w:val="18"/>
                            <w:szCs w:val="18"/>
                          </w:rPr>
                        </w:pPr>
                        <w:r>
                          <w:rPr>
                            <w:rFonts w:ascii="宋体" w:hAnsi="宋体" w:cs="宋体" w:eastAsia="宋体" w:hint="default"/>
                            <w:sz w:val="18"/>
                            <w:szCs w:val="18"/>
                          </w:rPr>
                          <w:t>披露媒体：《证券时报》、《中国证券报》及巨潮资讯网 </w:t>
                        </w:r>
                        <w:r>
                          <w:rPr>
                            <w:rFonts w:ascii="宋体" w:hAnsi="宋体" w:cs="宋体" w:eastAsia="宋体" w:hint="default"/>
                            <w:spacing w:val="-7"/>
                            <w:sz w:val="18"/>
                            <w:szCs w:val="18"/>
                          </w:rPr>
                          <w:t>公告编号：</w:t>
                        </w:r>
                        <w:r>
                          <w:rPr>
                            <w:rFonts w:ascii="Times New Roman" w:hAnsi="Times New Roman" w:cs="Times New Roman" w:eastAsia="Times New Roman" w:hint="default"/>
                            <w:spacing w:val="-7"/>
                            <w:sz w:val="18"/>
                            <w:szCs w:val="18"/>
                          </w:rPr>
                          <w:t>2015-080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2015-081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2015-082</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2015-083</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2015-088</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11"/>
                            <w:sz w:val="18"/>
                            <w:szCs w:val="18"/>
                          </w:rPr>
                        </w:r>
                        <w:r>
                          <w:rPr>
                            <w:rFonts w:ascii="Times New Roman" w:hAnsi="Times New Roman" w:cs="Times New Roman" w:eastAsia="Times New Roman" w:hint="default"/>
                            <w:spacing w:val="-6"/>
                            <w:sz w:val="18"/>
                            <w:szCs w:val="18"/>
                          </w:rPr>
                          <w:t>2016-007</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2016-008</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2016-009</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2016-010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2016-011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2016-012</w:t>
                        </w:r>
                      </w:p>
                      <w:p>
                        <w:pPr>
                          <w:pStyle w:val="TableParagraph"/>
                          <w:spacing w:line="240" w:lineRule="auto" w:before="5"/>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2016-013</w:t>
                        </w:r>
                        <w:r>
                          <w:rPr>
                            <w:rFonts w:ascii="宋体" w:hAnsi="宋体" w:cs="宋体" w:eastAsia="宋体" w:hint="default"/>
                            <w:sz w:val="18"/>
                            <w:szCs w:val="18"/>
                          </w:rPr>
                          <w:t>、</w:t>
                        </w:r>
                        <w:r>
                          <w:rPr>
                            <w:rFonts w:ascii="Times New Roman" w:hAnsi="Times New Roman" w:cs="Times New Roman" w:eastAsia="Times New Roman" w:hint="default"/>
                            <w:sz w:val="18"/>
                            <w:szCs w:val="18"/>
                          </w:rPr>
                          <w:t>2016-014</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44"/>
        <w:ind w:left="0" w:right="11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2"/>
        <w:spacing w:line="240" w:lineRule="auto" w:before="26"/>
        <w:ind w:right="701"/>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7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440"/>
        </w:sectPr>
      </w:pPr>
    </w:p>
    <w:p>
      <w:pPr>
        <w:spacing w:line="240" w:lineRule="auto" w:before="9"/>
        <w:rPr>
          <w:rFonts w:ascii="宋体" w:hAnsi="宋体" w:cs="宋体" w:eastAsia="宋体" w:hint="default"/>
          <w:sz w:val="25"/>
          <w:szCs w:val="25"/>
        </w:rPr>
      </w:pPr>
    </w:p>
    <w:p>
      <w:pPr>
        <w:pStyle w:val="BodyText"/>
        <w:spacing w:line="300" w:lineRule="auto" w:before="44"/>
        <w:ind w:right="195"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10</w:t>
      </w:r>
      <w:r>
        <w:rPr>
          <w:spacing w:val="-2"/>
        </w:rPr>
        <w:t>日，公司召开第三届董事会第十四次会议，审议通过了《关于设立投资公司的议案》，同意公司设立全</w:t>
      </w:r>
      <w:r>
        <w:rPr/>
        <w:t> 资子公司深圳市翼飞投资有限公司，注册资本</w:t>
      </w:r>
      <w:r>
        <w:rPr>
          <w:rFonts w:ascii="Times New Roman" w:hAnsi="Times New Roman" w:cs="Times New Roman" w:eastAsia="Times New Roman" w:hint="default"/>
        </w:rPr>
        <w:t>1</w:t>
      </w:r>
      <w:r>
        <w:rPr/>
        <w:t>亿元，已于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日完成工商登记并取得营业执照。</w:t>
      </w:r>
    </w:p>
    <w:p>
      <w:pPr>
        <w:pStyle w:val="BodyText"/>
        <w:spacing w:line="300" w:lineRule="auto" w:before="53"/>
        <w:ind w:right="199" w:firstLine="360"/>
        <w:jc w:val="both"/>
      </w:pPr>
      <w:r>
        <w:rPr/>
        <w:t>具体内容请详见公司于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日在《证券时报》、《中国证券报》及巨潮资讯网披露的《关于设立投资公司的公 告》（公告编号：</w:t>
      </w:r>
      <w:r>
        <w:rPr>
          <w:rFonts w:ascii="Times New Roman" w:hAnsi="Times New Roman" w:cs="Times New Roman" w:eastAsia="Times New Roman" w:hint="default"/>
        </w:rPr>
        <w:t>2015-034</w:t>
      </w:r>
      <w:r>
        <w:rPr/>
        <w:t>）。</w:t>
      </w:r>
    </w:p>
    <w:p>
      <w:pPr>
        <w:pStyle w:val="BodyText"/>
        <w:spacing w:line="300" w:lineRule="auto" w:before="51"/>
        <w:ind w:right="191"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日，公司召开了第三届董事会第十七次会议，审议通过了《关于公司全资子公司投资设立股权投资基 金公司暨关联交易的议案》，同意公司全资子公司卓翼营销与</w:t>
      </w:r>
      <w:r>
        <w:rPr>
          <w:rFonts w:ascii="Times New Roman" w:hAnsi="Times New Roman" w:cs="Times New Roman" w:eastAsia="Times New Roman" w:hint="default"/>
        </w:rPr>
        <w:t>ACME Partners Investment Ltd.</w:t>
      </w:r>
      <w:r>
        <w:rPr/>
        <w:t>、</w:t>
      </w:r>
      <w:r>
        <w:rPr>
          <w:rFonts w:ascii="Times New Roman" w:hAnsi="Times New Roman" w:cs="Times New Roman" w:eastAsia="Times New Roman" w:hint="default"/>
        </w:rPr>
        <w:t>Wanquan Ltd.</w:t>
      </w:r>
      <w:r>
        <w:rPr/>
        <w:t>、</w:t>
      </w:r>
      <w:r>
        <w:rPr>
          <w:rFonts w:ascii="Times New Roman" w:hAnsi="Times New Roman" w:cs="Times New Roman" w:eastAsia="Times New Roman" w:hint="default"/>
        </w:rPr>
        <w:t>Haxis GP</w:t>
      </w:r>
      <w:r>
        <w:rPr>
          <w:rFonts w:ascii="Times New Roman" w:hAnsi="Times New Roman" w:cs="Times New Roman" w:eastAsia="Times New Roman" w:hint="default"/>
          <w:spacing w:val="-9"/>
        </w:rPr>
        <w:t> </w:t>
      </w:r>
      <w:r>
        <w:rPr>
          <w:rFonts w:ascii="Times New Roman" w:hAnsi="Times New Roman" w:cs="Times New Roman" w:eastAsia="Times New Roman" w:hint="default"/>
        </w:rPr>
        <w:t>Ltd</w:t>
      </w:r>
      <w:r>
        <w:rPr>
          <w:rFonts w:ascii="Times New Roman" w:hAnsi="Times New Roman" w:cs="Times New Roman" w:eastAsia="Times New Roman" w:hint="default"/>
        </w:rPr>
        <w:t> </w:t>
      </w:r>
      <w:r>
        <w:rPr/>
        <w:t>共同在开曼群岛发起设立面向海外投资并购业务的股权投资基金公司</w:t>
      </w:r>
      <w:r>
        <w:rPr>
          <w:rFonts w:ascii="Times New Roman" w:hAnsi="Times New Roman" w:cs="Times New Roman" w:eastAsia="Times New Roman" w:hint="default"/>
        </w:rPr>
        <w:t>Haxis</w:t>
      </w:r>
      <w:r>
        <w:rPr>
          <w:rFonts w:ascii="Times New Roman" w:hAnsi="Times New Roman" w:cs="Times New Roman" w:eastAsia="Times New Roman" w:hint="default"/>
          <w:spacing w:val="-7"/>
        </w:rPr>
        <w:t> </w:t>
      </w:r>
      <w:r>
        <w:rPr>
          <w:rFonts w:ascii="Times New Roman" w:hAnsi="Times New Roman" w:cs="Times New Roman" w:eastAsia="Times New Roman" w:hint="default"/>
        </w:rPr>
        <w:t>Fund</w:t>
      </w:r>
      <w:r>
        <w:rPr>
          <w:rFonts w:ascii="Times New Roman" w:hAnsi="Times New Roman" w:cs="Times New Roman" w:eastAsia="Times New Roman" w:hint="default"/>
          <w:spacing w:val="-6"/>
        </w:rPr>
        <w:t> </w:t>
      </w:r>
      <w:r>
        <w:rPr>
          <w:rFonts w:ascii="Times New Roman" w:hAnsi="Times New Roman" w:cs="Times New Roman" w:eastAsia="Times New Roman" w:hint="default"/>
        </w:rPr>
        <w:t>I</w:t>
      </w:r>
      <w:r>
        <w:rPr>
          <w:rFonts w:ascii="Times New Roman" w:hAnsi="Times New Roman" w:cs="Times New Roman" w:eastAsia="Times New Roman" w:hint="default"/>
          <w:spacing w:val="-7"/>
        </w:rPr>
        <w:t> </w:t>
      </w:r>
      <w:r>
        <w:rPr>
          <w:rFonts w:ascii="Times New Roman" w:hAnsi="Times New Roman" w:cs="Times New Roman" w:eastAsia="Times New Roman" w:hint="default"/>
        </w:rPr>
        <w:t>LP</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w:t>
      </w:r>
      <w:r>
        <w:rPr>
          <w:spacing w:val="-21"/>
        </w:rPr>
        <w:t> </w:t>
      </w:r>
      <w:r>
        <w:rPr>
          <w:rFonts w:ascii="Times New Roman" w:hAnsi="Times New Roman" w:cs="Times New Roman" w:eastAsia="Times New Roman" w:hint="default"/>
        </w:rPr>
        <w:t>Haxis</w:t>
      </w:r>
      <w:r>
        <w:rPr>
          <w:rFonts w:ascii="Times New Roman" w:hAnsi="Times New Roman" w:cs="Times New Roman" w:eastAsia="Times New Roman" w:hint="default"/>
          <w:spacing w:val="-7"/>
        </w:rPr>
        <w:t> </w:t>
      </w:r>
      <w:r>
        <w:rPr>
          <w:rFonts w:ascii="Times New Roman" w:hAnsi="Times New Roman" w:cs="Times New Roman" w:eastAsia="Times New Roman" w:hint="default"/>
        </w:rPr>
        <w:t>Fund</w:t>
      </w:r>
      <w:r>
        <w:rPr>
          <w:rFonts w:ascii="Times New Roman" w:hAnsi="Times New Roman" w:cs="Times New Roman" w:eastAsia="Times New Roman" w:hint="default"/>
          <w:spacing w:val="-6"/>
        </w:rPr>
        <w:t> </w:t>
      </w:r>
      <w:r>
        <w:rPr>
          <w:rFonts w:ascii="Times New Roman" w:hAnsi="Times New Roman" w:cs="Times New Roman" w:eastAsia="Times New Roman" w:hint="default"/>
        </w:rPr>
        <w:t>I</w:t>
      </w:r>
      <w:r>
        <w:rPr>
          <w:rFonts w:ascii="Times New Roman" w:hAnsi="Times New Roman" w:cs="Times New Roman" w:eastAsia="Times New Roman" w:hint="default"/>
          <w:spacing w:val="-7"/>
        </w:rPr>
        <w:t> </w:t>
      </w:r>
      <w:r>
        <w:rPr>
          <w:rFonts w:ascii="Times New Roman" w:hAnsi="Times New Roman" w:cs="Times New Roman" w:eastAsia="Times New Roman" w:hint="default"/>
        </w:rPr>
        <w:t>LP</w:t>
      </w:r>
      <w:r>
        <w:rPr/>
        <w:t>已 完成注册登记手续，取得开曼群岛下发的注册证明书。</w:t>
      </w:r>
    </w:p>
    <w:p>
      <w:pPr>
        <w:pStyle w:val="BodyText"/>
        <w:spacing w:line="300" w:lineRule="auto" w:before="72"/>
        <w:ind w:right="189" w:firstLine="360"/>
        <w:jc w:val="both"/>
      </w:pPr>
      <w:r>
        <w:rPr>
          <w:spacing w:val="-2"/>
        </w:rPr>
        <w:t>具体内容请详见公司于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28</w:t>
      </w:r>
      <w:r>
        <w:rPr>
          <w:spacing w:val="-2"/>
        </w:rPr>
        <w:t>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19</w:t>
      </w:r>
      <w:r>
        <w:rPr>
          <w:spacing w:val="-2"/>
        </w:rPr>
        <w:t>日在《证券时报》、《中国证券报》及巨潮资讯网披露的《关于</w:t>
      </w:r>
      <w:r>
        <w:rPr/>
        <w:t> </w:t>
      </w:r>
      <w:r>
        <w:rPr>
          <w:spacing w:val="-1"/>
        </w:rPr>
        <w:t>公司全资子公司投资设立股权投资基金公司暨关联交易的公告》（公告编号：</w:t>
      </w:r>
      <w:r>
        <w:rPr>
          <w:rFonts w:ascii="Times New Roman" w:hAnsi="Times New Roman" w:cs="Times New Roman" w:eastAsia="Times New Roman" w:hint="default"/>
          <w:spacing w:val="-1"/>
        </w:rPr>
        <w:t>2015-073</w:t>
      </w:r>
      <w:r>
        <w:rPr>
          <w:spacing w:val="-1"/>
        </w:rPr>
        <w:t>）、《关于公司全资子公司投资设立</w:t>
      </w:r>
      <w:r>
        <w:rPr>
          <w:spacing w:val="-87"/>
        </w:rPr>
        <w:t> </w:t>
      </w:r>
      <w:r>
        <w:rPr>
          <w:spacing w:val="-87"/>
        </w:rPr>
      </w:r>
      <w:r>
        <w:rPr/>
        <w:t>股权投资基金公司进展暨完成注册登记的公告》（公告编号：</w:t>
      </w:r>
      <w:r>
        <w:rPr>
          <w:rFonts w:ascii="Times New Roman" w:hAnsi="Times New Roman" w:cs="Times New Roman" w:eastAsia="Times New Roman" w:hint="default"/>
        </w:rPr>
        <w:t>2015-077</w:t>
      </w:r>
      <w:r>
        <w:rPr/>
        <w:t>）。</w:t>
      </w:r>
    </w:p>
    <w:p>
      <w:pPr>
        <w:pStyle w:val="BodyText"/>
        <w:spacing w:line="240" w:lineRule="auto" w:before="53"/>
        <w:ind w:left="513" w:right="93"/>
        <w:jc w:val="left"/>
      </w:pPr>
      <w:r>
        <w:rPr>
          <w:rFonts w:ascii="Times New Roman" w:hAnsi="Times New Roman" w:cs="Times New Roman" w:eastAsia="Times New Roman" w:hint="default"/>
        </w:rPr>
        <w:t>3</w:t>
      </w:r>
      <w:r>
        <w:rPr/>
        <w:t>、根据公司的实际情况，决定结束公司上海分公司的经营，公司已与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月办理完成注销手续。</w:t>
      </w:r>
    </w:p>
    <w:p>
      <w:pPr>
        <w:spacing w:line="240" w:lineRule="auto" w:before="1"/>
        <w:rPr>
          <w:rFonts w:ascii="宋体" w:hAnsi="宋体" w:cs="宋体" w:eastAsia="宋体" w:hint="default"/>
          <w:sz w:val="24"/>
          <w:szCs w:val="24"/>
        </w:rPr>
      </w:pPr>
    </w:p>
    <w:p>
      <w:pPr>
        <w:pStyle w:val="Heading2"/>
        <w:spacing w:line="240" w:lineRule="auto"/>
        <w:ind w:right="93"/>
        <w:jc w:val="left"/>
        <w:rPr>
          <w:b w:val="0"/>
          <w:bCs w:val="0"/>
        </w:rPr>
      </w:pPr>
      <w:r>
        <w:rPr/>
        <w:t>二十、社会责任情况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498" w:right="91" w:hanging="34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公司以</w:t>
      </w:r>
      <w:r>
        <w:rPr>
          <w:rFonts w:ascii="Calibri" w:hAnsi="Calibri" w:cs="Calibri" w:eastAsia="Calibri" w:hint="default"/>
        </w:rPr>
        <w:t>“</w:t>
      </w:r>
      <w:r>
        <w:rPr/>
        <w:t>拥抱万物互联、引领中国智造、助力全球创新</w:t>
      </w:r>
      <w:r>
        <w:rPr>
          <w:rFonts w:ascii="Calibri" w:hAnsi="Calibri" w:cs="Calibri" w:eastAsia="Calibri" w:hint="default"/>
        </w:rPr>
        <w:t>”</w:t>
      </w:r>
      <w:r>
        <w:rPr/>
        <w:t>为企业宗旨，以</w:t>
      </w:r>
      <w:r>
        <w:rPr>
          <w:rFonts w:ascii="Calibri" w:hAnsi="Calibri" w:cs="Calibri" w:eastAsia="Calibri" w:hint="default"/>
        </w:rPr>
        <w:t>“</w:t>
      </w:r>
      <w:r>
        <w:rPr/>
        <w:t>致力产品与服务增值</w:t>
      </w:r>
      <w:r>
        <w:rPr>
          <w:rFonts w:ascii="Calibri" w:hAnsi="Calibri" w:cs="Calibri" w:eastAsia="Calibri" w:hint="default"/>
        </w:rPr>
        <w:t>”</w:t>
      </w:r>
      <w:r>
        <w:rPr/>
        <w:t>为公司使命，秉承</w:t>
      </w:r>
      <w:r>
        <w:rPr>
          <w:rFonts w:ascii="Calibri" w:hAnsi="Calibri" w:cs="Calibri" w:eastAsia="Calibri" w:hint="default"/>
        </w:rPr>
        <w:t>“</w:t>
      </w:r>
      <w:r>
        <w:rPr/>
        <w:t>诚信、</w:t>
      </w:r>
    </w:p>
    <w:p>
      <w:pPr>
        <w:pStyle w:val="BodyText"/>
        <w:spacing w:line="220" w:lineRule="exact"/>
        <w:ind w:right="93"/>
        <w:jc w:val="left"/>
      </w:pPr>
      <w:r>
        <w:rPr/>
        <w:t>进取、合作、分享</w:t>
      </w:r>
      <w:r>
        <w:rPr>
          <w:rFonts w:ascii="Calibri" w:hAnsi="Calibri" w:cs="Calibri" w:eastAsia="Calibri" w:hint="default"/>
        </w:rPr>
        <w:t>”</w:t>
      </w:r>
      <w:r>
        <w:rPr/>
        <w:t>的核心价值观，在追求经济效益和为股东创造价值的同时，积极履行企业应尽的义务，持续推进与完善</w:t>
      </w:r>
    </w:p>
    <w:p>
      <w:pPr>
        <w:pStyle w:val="BodyText"/>
        <w:spacing w:line="240" w:lineRule="auto" w:before="53"/>
        <w:ind w:right="93"/>
        <w:jc w:val="left"/>
      </w:pPr>
      <w:r>
        <w:rPr/>
        <w:t>社会责任体系建设，切实履行社会责任。</w:t>
      </w:r>
    </w:p>
    <w:p>
      <w:pPr>
        <w:pStyle w:val="BodyText"/>
        <w:spacing w:line="300" w:lineRule="auto" w:before="76"/>
        <w:ind w:right="194" w:firstLine="346"/>
        <w:jc w:val="both"/>
      </w:pPr>
      <w:r>
        <w:rPr>
          <w:rFonts w:ascii="Times New Roman" w:hAnsi="Times New Roman" w:cs="Times New Roman" w:eastAsia="Times New Roman" w:hint="default"/>
        </w:rPr>
        <w:t>1</w:t>
      </w:r>
      <w:r>
        <w:rPr/>
        <w:t>、公司始终坚持以人为本，关心员工的工作、生活、健康、安全，切实维护员工的各项权益，提升企业的凝聚力，实 现员工与企业的共同成长。</w:t>
      </w:r>
    </w:p>
    <w:p>
      <w:pPr>
        <w:pStyle w:val="BodyText"/>
        <w:spacing w:line="316" w:lineRule="auto" w:before="31"/>
        <w:ind w:right="193" w:firstLine="346"/>
        <w:jc w:val="both"/>
      </w:pPr>
      <w:r>
        <w:rPr>
          <w:spacing w:val="-2"/>
        </w:rPr>
        <w:t>公司不断规范用工制度。公司实行劳动合同制，按照《劳动合同法》和有关劳动法律法规的规定，严格执行国家用工制</w:t>
      </w:r>
      <w:r>
        <w:rPr/>
        <w:t> </w:t>
      </w:r>
      <w:r>
        <w:rPr>
          <w:spacing w:val="-2"/>
        </w:rPr>
        <w:t>度、劳动保护制度、社会保障制度，按照国家及当地主管部门的规定，为企业员工缴纳医疗保险金、养老保险金、失业保险</w:t>
      </w:r>
      <w:r>
        <w:rPr>
          <w:spacing w:val="-68"/>
        </w:rPr>
        <w:t> </w:t>
      </w:r>
      <w:r>
        <w:rPr>
          <w:spacing w:val="-68"/>
        </w:rPr>
      </w:r>
      <w:r>
        <w:rPr/>
        <w:t>金、工伤保险金、生育保险金和住房公积金，切实保证员工的合法权益。</w:t>
      </w:r>
    </w:p>
    <w:p>
      <w:pPr>
        <w:pStyle w:val="BodyText"/>
        <w:spacing w:line="319" w:lineRule="auto" w:before="19"/>
        <w:ind w:right="97" w:firstLine="346"/>
        <w:jc w:val="left"/>
      </w:pPr>
      <w:r>
        <w:rPr>
          <w:spacing w:val="-2"/>
        </w:rPr>
        <w:t>公司将企业文化建设作为一项长期工作持续推进，提高员工自我认知、价值认知及做事的价值判断能力，将企业文化贯</w:t>
      </w:r>
      <w:r>
        <w:rPr/>
        <w:t> </w:t>
      </w:r>
      <w:r>
        <w:rPr>
          <w:spacing w:val="-2"/>
        </w:rPr>
        <w:t>穿于员工的行为规范、职业素质、职业能力、职业道德、职业精神等各个层面，建设良好的企业文化氛围，提升企业的凝聚</w:t>
      </w:r>
      <w:r>
        <w:rPr>
          <w:spacing w:val="-70"/>
        </w:rPr>
        <w:t> </w:t>
      </w:r>
      <w:r>
        <w:rPr>
          <w:spacing w:val="-70"/>
        </w:rPr>
      </w:r>
      <w:r>
        <w:rPr>
          <w:spacing w:val="-1"/>
        </w:rPr>
        <w:t>力，实现员工与公司的共同成长。</w:t>
      </w:r>
      <w:r>
        <w:rPr/>
        <w:t> </w:t>
      </w:r>
      <w:r>
        <w:rPr>
          <w:spacing w:val="-2"/>
        </w:rPr>
        <w:t>公司定期和不定期组织员工进行内、外部培训，同时为员工提供安全、舒适的工作环境，</w:t>
      </w:r>
      <w:r>
        <w:rPr>
          <w:spacing w:val="-82"/>
        </w:rPr>
        <w:t> </w:t>
      </w:r>
      <w:r>
        <w:rPr>
          <w:spacing w:val="-82"/>
        </w:rPr>
      </w:r>
      <w:r>
        <w:rPr/>
        <w:t>并积极开展丰富多彩的各类活动，丰富员工的生活，增强了公司的凝聚力和向心力。</w:t>
      </w:r>
    </w:p>
    <w:p>
      <w:pPr>
        <w:pStyle w:val="BodyText"/>
        <w:spacing w:line="316" w:lineRule="auto" w:before="17"/>
        <w:ind w:right="192" w:firstLine="346"/>
        <w:jc w:val="both"/>
      </w:pPr>
      <w:r>
        <w:rPr>
          <w:spacing w:val="-2"/>
        </w:rPr>
        <w:t>公司成立了精益生产项目小组，推动公司精益生产与改善革新工作，提高业务人员、技术人员的精益管理能力，并完善</w:t>
      </w:r>
      <w:r>
        <w:rPr/>
        <w:t> 配套激励体系，充分调动与激发员工积极性，持续促进公司整体人均效率的不断提升。</w:t>
      </w:r>
    </w:p>
    <w:p>
      <w:pPr>
        <w:pStyle w:val="BodyText"/>
        <w:spacing w:line="300" w:lineRule="auto" w:before="19"/>
        <w:ind w:right="189" w:firstLine="346"/>
        <w:jc w:val="both"/>
      </w:pPr>
      <w:r>
        <w:rPr>
          <w:rFonts w:ascii="Times New Roman" w:hAnsi="Times New Roman" w:cs="Times New Roman" w:eastAsia="Times New Roman" w:hint="default"/>
        </w:rPr>
        <w:t>2</w:t>
      </w:r>
      <w:r>
        <w:rPr/>
        <w:t>、公司高度重视环境管理和职业健康安全管理，开展新员工的入职安全、消防培训，对员工每年定期进行安全教育和 各种安全、消防措施的演练，提高全体员工的安全责任和安全意识。公司已通过</w:t>
      </w:r>
      <w:r>
        <w:rPr>
          <w:rFonts w:ascii="Times New Roman" w:hAnsi="Times New Roman" w:cs="Times New Roman" w:eastAsia="Times New Roman" w:hint="default"/>
        </w:rPr>
        <w:t>ISO 14001:2004</w:t>
      </w:r>
      <w:r>
        <w:rPr/>
        <w:t>环境管理体系认证、</w:t>
      </w:r>
      <w:r>
        <w:rPr>
          <w:rFonts w:ascii="Times New Roman" w:hAnsi="Times New Roman" w:cs="Times New Roman" w:eastAsia="Times New Roman" w:hint="default"/>
        </w:rPr>
        <w:t>GB/T</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rFonts w:ascii="Times New Roman" w:hAnsi="Times New Roman" w:cs="Times New Roman" w:eastAsia="Times New Roman" w:hint="default"/>
          <w:spacing w:val="-1"/>
        </w:rPr>
        <w:t>28001-2011</w:t>
      </w:r>
      <w:r>
        <w:rPr>
          <w:spacing w:val="-1"/>
        </w:rPr>
        <w:t>职业健康安全管理体系认证、安全生产标准化三级评审等管理体系，成立专门的管理机构对环境、职业健康、安</w:t>
      </w:r>
      <w:r>
        <w:rPr>
          <w:spacing w:val="-87"/>
        </w:rPr>
        <w:t> </w:t>
      </w:r>
      <w:r>
        <w:rPr>
          <w:spacing w:val="-87"/>
        </w:rPr>
      </w:r>
      <w:r>
        <w:rPr/>
        <w:t>全生产、品质管理等进行日常管理，实现环境与职业健康安全管理目标，促进公司效益、社会效益与环境效益的共赢。</w:t>
      </w:r>
    </w:p>
    <w:p>
      <w:pPr>
        <w:pStyle w:val="BodyText"/>
        <w:spacing w:line="240" w:lineRule="auto" w:before="31"/>
        <w:ind w:left="498" w:right="93"/>
        <w:jc w:val="left"/>
      </w:pPr>
      <w:r>
        <w:rPr/>
        <w:t>公司不存在被质量技术监管等部门提出整改要求或者进行立案稽查和行政处罚的情形。</w:t>
      </w:r>
    </w:p>
    <w:p>
      <w:pPr>
        <w:pStyle w:val="BodyText"/>
        <w:spacing w:line="309" w:lineRule="auto" w:before="76"/>
        <w:ind w:right="194" w:firstLine="346"/>
        <w:jc w:val="both"/>
      </w:pPr>
      <w:r>
        <w:rPr>
          <w:rFonts w:ascii="Times New Roman" w:hAnsi="Times New Roman" w:cs="Times New Roman" w:eastAsia="Times New Roman" w:hint="default"/>
        </w:rPr>
        <w:t>3</w:t>
      </w:r>
      <w:r>
        <w:rPr/>
        <w:t>、公司一贯信守承诺，始终坚持客户至上的原则，为客户提供优质产品与满意的服务，充分保障客户利益。公司注重 </w:t>
      </w:r>
      <w:r>
        <w:rPr>
          <w:spacing w:val="-2"/>
        </w:rPr>
        <w:t>加强与客户的沟通交流，以合作为纽带，以诚信为基础，形成长期友好合作的战略伙伴关系，达到供需双方的互惠共赢，共</w:t>
      </w:r>
      <w:r>
        <w:rPr>
          <w:spacing w:val="-67"/>
        </w:rPr>
        <w:t> </w:t>
      </w:r>
      <w:r>
        <w:rPr>
          <w:spacing w:val="-67"/>
        </w:rPr>
      </w:r>
      <w:r>
        <w:rPr/>
        <w:t>同为社会创造财富。</w:t>
      </w:r>
    </w:p>
    <w:p>
      <w:pPr>
        <w:pStyle w:val="BodyText"/>
        <w:spacing w:line="316" w:lineRule="auto" w:before="24"/>
        <w:ind w:right="100" w:firstLine="346"/>
        <w:jc w:val="both"/>
      </w:pPr>
      <w:r>
        <w:rPr>
          <w:spacing w:val="-3"/>
        </w:rPr>
        <w:t>公司充分尊重银行、供应商、员工和客户等其他利益相关者的合法权益，在经济活动中秉承诚实守信、公平公正的原则，</w:t>
      </w:r>
      <w:r>
        <w:rPr/>
        <w:t> 树立良好的企业形象，促进公司能够平稳持续地健康发展。</w:t>
      </w:r>
    </w:p>
    <w:p>
      <w:pPr>
        <w:pStyle w:val="BodyText"/>
        <w:spacing w:line="309" w:lineRule="auto" w:before="19"/>
        <w:ind w:right="193" w:firstLine="346"/>
        <w:jc w:val="both"/>
      </w:pPr>
      <w:r>
        <w:rPr>
          <w:rFonts w:ascii="Times New Roman" w:hAnsi="Times New Roman" w:cs="Times New Roman" w:eastAsia="Times New Roman" w:hint="default"/>
        </w:rPr>
        <w:t>4</w:t>
      </w:r>
      <w:r>
        <w:rPr/>
        <w:t>、公司充分树立尊重投资者及资本市场的管理理念，高度重视开展投资者关系管理工作，保持与投资者之间的顺畅沟 </w:t>
      </w:r>
      <w:r>
        <w:rPr>
          <w:spacing w:val="-2"/>
        </w:rPr>
        <w:t>通，促进投资者对公司的了解与认同。公司严格履行信息披露义务，真实、准确、及时、完整地披露有关信息，同时切实做</w:t>
      </w:r>
      <w:r>
        <w:rPr>
          <w:spacing w:val="-70"/>
        </w:rPr>
        <w:t> </w:t>
      </w:r>
      <w:r>
        <w:rPr>
          <w:spacing w:val="-70"/>
        </w:rPr>
      </w:r>
      <w:r>
        <w:rPr>
          <w:spacing w:val="-2"/>
        </w:rPr>
        <w:t>好内幕信息管理和保密工作，维护信息披露的公平原则。公司重视对投资者的合理回报，报告期内，公司制定了《未来三年</w:t>
      </w:r>
    </w:p>
    <w:p>
      <w:pPr>
        <w:pStyle w:val="BodyText"/>
        <w:spacing w:line="240" w:lineRule="auto" w:before="24"/>
        <w:ind w:right="93"/>
        <w:jc w:val="left"/>
      </w:pPr>
      <w:r>
        <w:rPr/>
        <w:t>（</w:t>
      </w:r>
      <w:r>
        <w:rPr>
          <w:rFonts w:ascii="Times New Roman" w:hAnsi="Times New Roman" w:cs="Times New Roman" w:eastAsia="Times New Roman" w:hint="default"/>
        </w:rPr>
        <w:t>2015-2017</w:t>
      </w:r>
      <w:r>
        <w:rPr/>
        <w:t>年）股东回报规划》，有效保障了股东的合法权益。</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9" w:lineRule="auto" w:before="44"/>
        <w:ind w:right="153" w:firstLine="346"/>
        <w:jc w:val="both"/>
      </w:pPr>
      <w:r>
        <w:rPr>
          <w:rFonts w:ascii="Times New Roman" w:hAnsi="Times New Roman" w:cs="Times New Roman" w:eastAsia="Times New Roman" w:hint="default"/>
        </w:rPr>
        <w:t>5</w:t>
      </w:r>
      <w:r>
        <w:rPr/>
        <w:t>、公司勇于承担社会责任，积极参与社会公益事业。关心困难员工，关爱员工生活。公司将关心爱护员工落实在日常 </w:t>
      </w:r>
      <w:r>
        <w:rPr>
          <w:spacing w:val="-2"/>
        </w:rPr>
        <w:t>行动中。创造就业，促进和谐社会建设。积极参加所辖组织的各项社区活动，响应社区安排，构建了良好的社区关系。随着</w:t>
      </w:r>
      <w:r>
        <w:rPr>
          <w:spacing w:val="-68"/>
        </w:rPr>
        <w:t> </w:t>
      </w:r>
      <w:r>
        <w:rPr>
          <w:spacing w:val="-68"/>
        </w:rPr>
      </w:r>
      <w:r>
        <w:rPr/>
        <w:t>公司规模不断扩大，公司担负起更大的社会责任，积极提供就业岗位，为社会和谐稳定创造条件。</w:t>
      </w:r>
    </w:p>
    <w:p>
      <w:pPr>
        <w:pStyle w:val="BodyText"/>
        <w:spacing w:line="240" w:lineRule="auto" w:before="65"/>
        <w:ind w:right="153"/>
        <w:jc w:val="left"/>
      </w:pPr>
      <w:r>
        <w:rPr/>
        <w:t>上市公司及其子公司是否属于国家环境保护部门规定的重污染行业</w:t>
      </w:r>
    </w:p>
    <w:p>
      <w:pPr>
        <w:pStyle w:val="BodyText"/>
        <w:spacing w:line="240" w:lineRule="auto" w:before="115"/>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二十一、公司债券相关情况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1134"/>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153"/>
        <w:jc w:val="left"/>
        <w:rPr>
          <w:b w:val="0"/>
          <w:bCs w:val="0"/>
        </w:rPr>
      </w:pPr>
      <w:bookmarkStart w:name="_bookmark4" w:id="5"/>
      <w:bookmarkEnd w:id="5"/>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53"/>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3"/>
        <w:gridCol w:w="795"/>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795"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9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141,044,9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28.67%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-69,655,3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-69,655,3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71,389,56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14.61%</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141,044,9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28.67%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-69,655,3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-69,655,3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71,389,56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14.61%</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141,044,9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28.67%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-69,655,3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-69,655,3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71,389,56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14.61%</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350,936,1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71.33%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66,312,09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66,312,09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417,248,1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85.39%</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350,936,1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71.33%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66,312,09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66,312,09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417,248,1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85.39%</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491,981,0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-3,343,25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-3,343,25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488,637,7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股份变动的原因</w:t>
      </w:r>
    </w:p>
    <w:p>
      <w:pPr>
        <w:pStyle w:val="BodyText"/>
        <w:spacing w:line="240" w:lineRule="auto" w:before="11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74" w:firstLine="360"/>
        <w:jc w:val="left"/>
      </w:pPr>
      <w:r>
        <w:rPr>
          <w:rFonts w:ascii="Times New Roman" w:hAnsi="Times New Roman" w:cs="Times New Roman" w:eastAsia="Times New Roman" w:hint="default"/>
        </w:rPr>
        <w:t>1</w:t>
      </w:r>
      <w:r>
        <w:rPr/>
        <w:t>、根据中国证券登记结算有限责任公司的通知，董事、高管所持有公司股份每年按</w:t>
      </w:r>
      <w:r>
        <w:rPr>
          <w:rFonts w:ascii="Times New Roman" w:hAnsi="Times New Roman" w:cs="Times New Roman" w:eastAsia="Times New Roman" w:hint="default"/>
        </w:rPr>
        <w:t>25%</w:t>
      </w:r>
      <w:r>
        <w:rPr/>
        <w:t>比例解除限售，其所持有的部 分股份转为无限售流通股。</w:t>
      </w:r>
    </w:p>
    <w:p>
      <w:pPr>
        <w:pStyle w:val="BodyText"/>
        <w:spacing w:line="240" w:lineRule="auto" w:before="31"/>
        <w:ind w:left="513" w:right="15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月，原公司董事长田昱先生所持高管锁定股份禁售期满，全部转为无限售流通股。</w:t>
      </w:r>
    </w:p>
    <w:p>
      <w:pPr>
        <w:pStyle w:val="BodyText"/>
        <w:spacing w:line="240" w:lineRule="auto" w:before="63"/>
        <w:ind w:left="513" w:right="0"/>
        <w:jc w:val="left"/>
      </w:pPr>
      <w:r>
        <w:rPr>
          <w:rFonts w:ascii="Times New Roman" w:hAnsi="Times New Roman" w:cs="Times New Roman" w:eastAsia="Times New Roman" w:hint="default"/>
        </w:rPr>
        <w:t>3</w:t>
      </w:r>
      <w:r>
        <w:rPr/>
        <w:t>、经公司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日召开的第三届董事会第十二次会议、第三届监事会第十一次会议审议批准，同意根据公司《限</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制性股票激励计划（草案修订稿）》的相关规定，回购注销未达到第一期解锁条件的激励对象持有获授的限制性股票总数的</w:t>
      </w:r>
    </w:p>
    <w:p>
      <w:pPr>
        <w:pStyle w:val="BodyText"/>
        <w:spacing w:line="240" w:lineRule="auto" w:before="77"/>
        <w:ind w:right="93"/>
        <w:jc w:val="left"/>
      </w:pPr>
      <w:r>
        <w:rPr>
          <w:rFonts w:ascii="Times New Roman" w:hAnsi="Times New Roman" w:cs="Times New Roman" w:eastAsia="Times New Roman" w:hint="default"/>
        </w:rPr>
        <w:t>25%</w:t>
      </w:r>
      <w:r>
        <w:rPr/>
        <w:t>及</w:t>
      </w:r>
      <w:r>
        <w:rPr>
          <w:rFonts w:ascii="Times New Roman" w:hAnsi="Times New Roman" w:cs="Times New Roman" w:eastAsia="Times New Roman" w:hint="default"/>
        </w:rPr>
        <w:t>2</w:t>
      </w:r>
      <w:r>
        <w:rPr/>
        <w:t>名离职人员持有的已获授但尚未解锁的全部限制性股票，共计</w:t>
      </w:r>
      <w:r>
        <w:rPr>
          <w:rFonts w:ascii="Times New Roman" w:hAnsi="Times New Roman" w:cs="Times New Roman" w:eastAsia="Times New Roman" w:hint="default"/>
        </w:rPr>
        <w:t>303.275</w:t>
      </w:r>
      <w:r>
        <w:rPr/>
        <w:t>万股，并依法办理了回购注销手续。</w:t>
      </w:r>
    </w:p>
    <w:p>
      <w:pPr>
        <w:pStyle w:val="BodyText"/>
        <w:spacing w:line="240" w:lineRule="auto" w:before="63"/>
        <w:ind w:left="513" w:right="93"/>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月，离任董事程利先生所持高管锁定股份禁售期满，全部转为无限售流通股。</w:t>
      </w:r>
    </w:p>
    <w:p>
      <w:pPr>
        <w:pStyle w:val="BodyText"/>
        <w:spacing w:line="240" w:lineRule="auto" w:before="63"/>
        <w:ind w:left="513" w:right="93"/>
        <w:jc w:val="left"/>
      </w:pPr>
      <w:r>
        <w:rPr>
          <w:rFonts w:ascii="Times New Roman" w:hAnsi="Times New Roman" w:cs="Times New Roman" w:eastAsia="Times New Roman" w:hint="default"/>
        </w:rPr>
        <w:t>5</w:t>
      </w:r>
      <w:r>
        <w:rPr/>
        <w:t>、公司部分董事所持股份按照中国证监会的有关规定进行了减持。</w:t>
      </w:r>
    </w:p>
    <w:p>
      <w:pPr>
        <w:pStyle w:val="BodyText"/>
        <w:spacing w:line="307" w:lineRule="auto" w:before="63"/>
        <w:ind w:right="93" w:firstLine="360"/>
        <w:jc w:val="left"/>
      </w:pPr>
      <w:r>
        <w:rPr>
          <w:rFonts w:ascii="Times New Roman" w:hAnsi="Times New Roman" w:cs="Times New Roman" w:eastAsia="Times New Roman" w:hint="default"/>
          <w:spacing w:val="-2"/>
        </w:rPr>
        <w:t>6</w:t>
      </w:r>
      <w:r>
        <w:rPr>
          <w:spacing w:val="-2"/>
        </w:rPr>
        <w:t>、经公司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26</w:t>
      </w:r>
      <w:r>
        <w:rPr>
          <w:spacing w:val="-2"/>
        </w:rPr>
        <w:t>日召开的第三届董事会第十六次会议、第三届监事会第十四次会议审议批准，同意根据公司《限</w:t>
      </w:r>
      <w:r>
        <w:rPr/>
        <w:t> </w:t>
      </w:r>
      <w:r>
        <w:rPr>
          <w:spacing w:val="-4"/>
        </w:rPr>
        <w:t>制性股票激励计划（草案修订稿）》的相关规定，回购注销原激励对象吴少林、黄壁墙、李榕华、潘朝金、李建云、彭光一、</w:t>
      </w:r>
      <w:r>
        <w:rPr>
          <w:spacing w:val="-50"/>
        </w:rPr>
        <w:t> </w:t>
      </w:r>
      <w:r>
        <w:rPr>
          <w:spacing w:val="-50"/>
        </w:rPr>
      </w:r>
      <w:r>
        <w:rPr/>
        <w:t>吕小红、秦标、黄远辉、兰亚爽等</w:t>
      </w:r>
      <w:r>
        <w:rPr>
          <w:rFonts w:ascii="Times New Roman" w:hAnsi="Times New Roman" w:cs="Times New Roman" w:eastAsia="Times New Roman" w:hint="default"/>
        </w:rPr>
        <w:t>10</w:t>
      </w:r>
      <w:r>
        <w:rPr/>
        <w:t>人持有的已获授但尚未解锁的全部限制性股票，共计</w:t>
      </w:r>
      <w:r>
        <w:rPr>
          <w:rFonts w:ascii="Times New Roman" w:hAnsi="Times New Roman" w:cs="Times New Roman" w:eastAsia="Times New Roman" w:hint="default"/>
        </w:rPr>
        <w:t>31.05</w:t>
      </w:r>
      <w:r>
        <w:rPr/>
        <w:t>万股，并依法办理了回购注 销手续。</w:t>
      </w:r>
    </w:p>
    <w:p>
      <w:pPr>
        <w:pStyle w:val="BodyText"/>
        <w:spacing w:line="300" w:lineRule="auto" w:before="26"/>
        <w:ind w:right="93" w:firstLine="360"/>
        <w:jc w:val="left"/>
      </w:pPr>
      <w:r>
        <w:rPr>
          <w:rFonts w:ascii="Times New Roman" w:hAnsi="Times New Roman" w:cs="Times New Roman" w:eastAsia="Times New Roman" w:hint="default"/>
          <w:spacing w:val="-1"/>
        </w:rPr>
        <w:t>7</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9</w:t>
      </w:r>
      <w:r>
        <w:rPr>
          <w:spacing w:val="-1"/>
        </w:rPr>
        <w:t>日，公司董事陈新民先生增持了公司股份</w:t>
      </w:r>
      <w:r>
        <w:rPr>
          <w:rFonts w:ascii="Times New Roman" w:hAnsi="Times New Roman" w:cs="Times New Roman" w:eastAsia="Times New Roman" w:hint="default"/>
          <w:spacing w:val="-1"/>
        </w:rPr>
        <w:t>3.62</w:t>
      </w:r>
      <w:r>
        <w:rPr>
          <w:spacing w:val="-1"/>
        </w:rPr>
        <w:t>万股，在其任职期间，每年转让的股份不得超过其所持有</w:t>
      </w:r>
      <w:r>
        <w:rPr/>
        <w:t> 公司股份总数的</w:t>
      </w:r>
      <w:r>
        <w:rPr>
          <w:rFonts w:ascii="Times New Roman" w:hAnsi="Times New Roman" w:cs="Times New Roman" w:eastAsia="Times New Roman" w:hint="default"/>
        </w:rPr>
        <w:t>25%</w:t>
      </w:r>
      <w:r>
        <w:rPr/>
        <w:t>。</w:t>
      </w:r>
    </w:p>
    <w:p>
      <w:pPr>
        <w:pStyle w:val="BodyText"/>
        <w:spacing w:line="300" w:lineRule="auto" w:before="13"/>
        <w:ind w:right="184" w:firstLine="360"/>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日，原董事董海军先生因辞去董事职务已满半年，按照相关法律法规的规定，其所持有的公司股份相 应解锁</w:t>
      </w:r>
      <w:r>
        <w:rPr>
          <w:rFonts w:ascii="Times New Roman" w:hAnsi="Times New Roman" w:cs="Times New Roman" w:eastAsia="Times New Roman" w:hint="default"/>
        </w:rPr>
        <w:t>50%</w:t>
      </w:r>
      <w:r>
        <w:rPr/>
        <w:t>。</w:t>
      </w:r>
    </w:p>
    <w:p>
      <w:pPr>
        <w:pStyle w:val="BodyText"/>
        <w:spacing w:line="240" w:lineRule="auto" w:before="53"/>
        <w:ind w:right="93"/>
        <w:jc w:val="left"/>
      </w:pPr>
      <w:r>
        <w:rPr/>
        <w:t>股份变动的批准情况</w:t>
      </w:r>
    </w:p>
    <w:p>
      <w:pPr>
        <w:pStyle w:val="BodyText"/>
        <w:spacing w:line="240" w:lineRule="auto" w:before="115"/>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84" w:firstLine="360"/>
        <w:jc w:val="left"/>
      </w:pPr>
      <w:r>
        <w:rPr>
          <w:rFonts w:ascii="Times New Roman" w:hAnsi="Times New Roman" w:cs="Times New Roman" w:eastAsia="Times New Roman" w:hint="default"/>
        </w:rPr>
        <w:t>1</w:t>
      </w:r>
      <w:r>
        <w:rPr/>
        <w:t>、高管锁定股每年按比例解除限售、高管离任后锁定股份的解锁、高管减持、增持股份是满足中国证监会以及深圳证 券交易所的相关要求执行的，无需审批；</w:t>
      </w:r>
    </w:p>
    <w:p>
      <w:pPr>
        <w:pStyle w:val="BodyText"/>
        <w:spacing w:line="300" w:lineRule="auto" w:before="31"/>
        <w:ind w:right="184" w:firstLine="360"/>
        <w:jc w:val="left"/>
      </w:pPr>
      <w:r>
        <w:rPr>
          <w:rFonts w:ascii="Times New Roman" w:hAnsi="Times New Roman" w:cs="Times New Roman" w:eastAsia="Times New Roman" w:hint="default"/>
        </w:rPr>
        <w:t>2</w:t>
      </w:r>
      <w:r>
        <w:rPr/>
        <w:t>、公司第三届董事会第十二次会议、第三届监事会第十一次会议审议批准了回购注销未达到第一期解锁条件的激励对 象持有获授的限制性股票总数的</w:t>
      </w:r>
      <w:r>
        <w:rPr>
          <w:rFonts w:ascii="Times New Roman" w:hAnsi="Times New Roman" w:cs="Times New Roman" w:eastAsia="Times New Roman" w:hint="default"/>
        </w:rPr>
        <w:t>25%</w:t>
      </w:r>
      <w:r>
        <w:rPr/>
        <w:t>及</w:t>
      </w:r>
      <w:r>
        <w:rPr>
          <w:rFonts w:ascii="Times New Roman" w:hAnsi="Times New Roman" w:cs="Times New Roman" w:eastAsia="Times New Roman" w:hint="default"/>
        </w:rPr>
        <w:t>2</w:t>
      </w:r>
      <w:r>
        <w:rPr/>
        <w:t>名离职人员持有的已获授但尚未解锁的全部限制性股票事宜。</w:t>
      </w:r>
    </w:p>
    <w:p>
      <w:pPr>
        <w:pStyle w:val="BodyText"/>
        <w:spacing w:line="319" w:lineRule="auto" w:before="13"/>
        <w:ind w:right="94" w:firstLine="360"/>
        <w:jc w:val="left"/>
      </w:pPr>
      <w:r>
        <w:rPr>
          <w:rFonts w:ascii="Times New Roman" w:hAnsi="Times New Roman" w:cs="Times New Roman" w:eastAsia="Times New Roman" w:hint="default"/>
        </w:rPr>
        <w:t>3</w:t>
      </w:r>
      <w:r>
        <w:rPr/>
        <w:t>、公司第三届董事会第十六次会议、第三届监事会第十四次会议审议批准了回购注销原激励对象吴少林、黄壁墙、李 榕华、潘朝金、李建云、彭光一、吕小红、秦标、黄远辉、兰亚爽等</w:t>
      </w:r>
      <w:r>
        <w:rPr>
          <w:rFonts w:ascii="Times New Roman" w:hAnsi="Times New Roman" w:cs="Times New Roman" w:eastAsia="Times New Roman" w:hint="default"/>
        </w:rPr>
        <w:t>10</w:t>
      </w:r>
      <w:r>
        <w:rPr/>
        <w:t>人持有的已获授但尚未解锁的全部限制性股票事宜。 股份变动的过户情况</w:t>
      </w:r>
    </w:p>
    <w:p>
      <w:pPr>
        <w:pStyle w:val="BodyText"/>
        <w:spacing w:line="240" w:lineRule="auto" w:before="55"/>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91" w:firstLine="360"/>
        <w:jc w:val="both"/>
      </w:pPr>
      <w:r>
        <w:rPr>
          <w:rFonts w:ascii="Times New Roman" w:hAnsi="Times New Roman" w:cs="Times New Roman" w:eastAsia="Times New Roman" w:hint="default"/>
        </w:rPr>
        <w:t>1</w:t>
      </w:r>
      <w:r>
        <w:rPr/>
        <w:t>、根据公司《限制性股票激励计划（草案修订稿）》的规定，因激励对象离职和股权激励计划解锁条件中的公司业绩 </w:t>
      </w:r>
      <w:r>
        <w:rPr>
          <w:spacing w:val="-1"/>
        </w:rPr>
        <w:t>条件未达到，公司决定回购注销限制性股票合计</w:t>
      </w:r>
      <w:r>
        <w:rPr>
          <w:rFonts w:ascii="Times New Roman" w:hAnsi="Times New Roman" w:cs="Times New Roman" w:eastAsia="Times New Roman" w:hint="default"/>
          <w:spacing w:val="-1"/>
        </w:rPr>
        <w:t>303.275</w:t>
      </w:r>
      <w:r>
        <w:rPr>
          <w:spacing w:val="-1"/>
        </w:rPr>
        <w:t>万股。本次述回购注销事项已于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10</w:t>
      </w:r>
      <w:r>
        <w:rPr>
          <w:spacing w:val="-1"/>
        </w:rPr>
        <w:t>日在中国证券登记结算</w:t>
      </w:r>
      <w:r>
        <w:rPr>
          <w:spacing w:val="-73"/>
        </w:rPr>
        <w:t> </w:t>
      </w:r>
      <w:r>
        <w:rPr>
          <w:spacing w:val="-73"/>
        </w:rPr>
      </w:r>
      <w:r>
        <w:rPr/>
        <w:t>有限责任公司深圳分公司办理完成回购注销手续。</w:t>
      </w:r>
    </w:p>
    <w:p>
      <w:pPr>
        <w:pStyle w:val="BodyText"/>
        <w:spacing w:line="300" w:lineRule="auto" w:before="32"/>
        <w:ind w:right="93" w:firstLine="360"/>
        <w:jc w:val="left"/>
      </w:pPr>
      <w:r>
        <w:rPr>
          <w:rFonts w:ascii="Times New Roman" w:hAnsi="Times New Roman" w:cs="Times New Roman" w:eastAsia="Times New Roman" w:hint="default"/>
          <w:spacing w:val="-1"/>
        </w:rPr>
        <w:t>2</w:t>
      </w:r>
      <w:r>
        <w:rPr>
          <w:spacing w:val="-1"/>
        </w:rPr>
        <w:t>、根据公司《限制性股票激励计划（草案修订稿）》的规定，因激励对象离职，公司决定回购注销限制性股票</w:t>
      </w:r>
      <w:r>
        <w:rPr>
          <w:rFonts w:ascii="Times New Roman" w:hAnsi="Times New Roman" w:cs="Times New Roman" w:eastAsia="Times New Roman" w:hint="default"/>
          <w:spacing w:val="-1"/>
        </w:rPr>
        <w:t>31.05</w:t>
      </w:r>
      <w:r>
        <w:rPr>
          <w:spacing w:val="-1"/>
        </w:rPr>
        <w:t>万</w:t>
      </w:r>
      <w:r>
        <w:rPr/>
        <w:t> 股。本次回购注销事项已于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日在中国证券登记结算有限责任公司深圳分公司办理完成回购注销手续。</w:t>
      </w:r>
    </w:p>
    <w:p>
      <w:pPr>
        <w:pStyle w:val="BodyText"/>
        <w:spacing w:line="340" w:lineRule="auto" w:before="13"/>
        <w:ind w:right="454" w:firstLine="360"/>
        <w:jc w:val="left"/>
      </w:pPr>
      <w:r>
        <w:rPr>
          <w:rFonts w:ascii="Times New Roman" w:hAnsi="Times New Roman" w:cs="Times New Roman" w:eastAsia="Times New Roman" w:hint="default"/>
        </w:rPr>
        <w:t>3</w:t>
      </w:r>
      <w:r>
        <w:rPr/>
        <w:t>、高管的股份性质变化已在其个人账户中调整完毕。 股份变动对最近一年和最近一期基本每股收益和稀释每股收益、归属于公司普通股股东的每股净资产等财务指标的影响</w:t>
      </w:r>
    </w:p>
    <w:p>
      <w:pPr>
        <w:pStyle w:val="BodyText"/>
        <w:spacing w:line="340" w:lineRule="auto" w:before="39"/>
        <w:ind w:left="513" w:right="9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报告期内，公司总股本发生变动，由</w:t>
      </w:r>
      <w:r>
        <w:rPr>
          <w:rFonts w:ascii="Times New Roman" w:hAnsi="Times New Roman" w:cs="Times New Roman" w:eastAsia="Times New Roman" w:hint="default"/>
          <w:spacing w:val="-2"/>
        </w:rPr>
        <w:t>491,981,000</w:t>
      </w:r>
      <w:r>
        <w:rPr>
          <w:spacing w:val="-2"/>
        </w:rPr>
        <w:t>股减少至</w:t>
      </w:r>
      <w:r>
        <w:rPr>
          <w:rFonts w:ascii="Times New Roman" w:hAnsi="Times New Roman" w:cs="Times New Roman" w:eastAsia="Times New Roman" w:hint="default"/>
          <w:spacing w:val="-2"/>
        </w:rPr>
        <w:t>488,637,750</w:t>
      </w:r>
      <w:r>
        <w:rPr>
          <w:spacing w:val="-2"/>
        </w:rPr>
        <w:t>股。股份变动对公司</w:t>
      </w:r>
      <w:r>
        <w:rPr>
          <w:rFonts w:ascii="Times New Roman" w:hAnsi="Times New Roman" w:cs="Times New Roman" w:eastAsia="Times New Roman" w:hint="default"/>
          <w:spacing w:val="-2"/>
        </w:rPr>
        <w:t>2015</w:t>
      </w:r>
      <w:r>
        <w:rPr>
          <w:spacing w:val="-2"/>
        </w:rPr>
        <w:t>年度基本每股收益和稀释</w:t>
      </w:r>
    </w:p>
    <w:p>
      <w:pPr>
        <w:pStyle w:val="BodyText"/>
        <w:spacing w:line="215" w:lineRule="exact"/>
        <w:ind w:right="93"/>
        <w:jc w:val="left"/>
      </w:pPr>
      <w:r>
        <w:rPr/>
        <w:t>每股收益、归属于公司普通股股东的每股净资产等财务指标的影响如下：</w:t>
      </w:r>
    </w:p>
    <w:p>
      <w:pPr>
        <w:spacing w:line="240" w:lineRule="auto" w:before="3"/>
        <w:rPr>
          <w:rFonts w:ascii="宋体" w:hAnsi="宋体" w:cs="宋体" w:eastAsia="宋体" w:hint="default"/>
          <w:sz w:val="5"/>
          <w:szCs w:val="5"/>
        </w:rPr>
      </w:pPr>
    </w:p>
    <w:tbl>
      <w:tblPr>
        <w:tblW w:w="0" w:type="auto"/>
        <w:jc w:val="left"/>
        <w:tblInd w:w="429" w:type="dxa"/>
        <w:tblLayout w:type="fixed"/>
        <w:tblCellMar>
          <w:top w:w="0" w:type="dxa"/>
          <w:left w:w="0" w:type="dxa"/>
          <w:bottom w:w="0" w:type="dxa"/>
          <w:right w:w="0" w:type="dxa"/>
        </w:tblCellMar>
        <w:tblLook w:val="01E0"/>
      </w:tblPr>
      <w:tblGrid>
        <w:gridCol w:w="2979"/>
        <w:gridCol w:w="2976"/>
        <w:gridCol w:w="2835"/>
      </w:tblGrid>
      <w:tr>
        <w:trPr>
          <w:trHeight w:val="660"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3" w:right="0"/>
              <w:jc w:val="left"/>
              <w:rPr>
                <w:rFonts w:ascii="宋体" w:hAnsi="宋体" w:cs="宋体" w:eastAsia="宋体" w:hint="default"/>
                <w:sz w:val="18"/>
                <w:szCs w:val="18"/>
              </w:rPr>
            </w:pPr>
            <w:r>
              <w:rPr>
                <w:rFonts w:ascii="宋体" w:hAnsi="宋体" w:cs="宋体" w:eastAsia="宋体" w:hint="default"/>
                <w:sz w:val="18"/>
                <w:szCs w:val="18"/>
              </w:rPr>
              <w:t>财务指标名称</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按新股本（</w:t>
            </w:r>
            <w:r>
              <w:rPr>
                <w:rFonts w:ascii="Times New Roman" w:hAnsi="Times New Roman" w:cs="Times New Roman" w:eastAsia="Times New Roman" w:hint="default"/>
                <w:sz w:val="18"/>
                <w:szCs w:val="18"/>
              </w:rPr>
              <w:t>488,637,750</w:t>
            </w:r>
            <w:r>
              <w:rPr>
                <w:rFonts w:ascii="宋体" w:hAnsi="宋体" w:cs="宋体" w:eastAsia="宋体" w:hint="default"/>
                <w:sz w:val="18"/>
                <w:szCs w:val="18"/>
              </w:rPr>
              <w:t>股）计算</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按原股本（</w:t>
            </w:r>
            <w:r>
              <w:rPr>
                <w:rFonts w:ascii="Times New Roman" w:hAnsi="Times New Roman" w:cs="Times New Roman" w:eastAsia="Times New Roman" w:hint="default"/>
                <w:sz w:val="18"/>
                <w:szCs w:val="18"/>
              </w:rPr>
              <w:t>491,981,000</w:t>
            </w:r>
            <w:r>
              <w:rPr>
                <w:rFonts w:ascii="宋体" w:hAnsi="宋体" w:cs="宋体" w:eastAsia="宋体" w:hint="default"/>
                <w:sz w:val="18"/>
                <w:szCs w:val="18"/>
              </w:rPr>
              <w:t>股）计算</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346"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-0.11</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0.09</w:t>
            </w:r>
          </w:p>
        </w:tc>
      </w:tr>
      <w:tr>
        <w:trPr>
          <w:trHeight w:val="3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-0.11</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0.09</w:t>
            </w:r>
          </w:p>
        </w:tc>
      </w:tr>
      <w:tr>
        <w:trPr>
          <w:trHeight w:val="349"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归属于公司普通股股东的每股净资产</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2.74</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2.84</w:t>
            </w:r>
          </w:p>
        </w:tc>
      </w:tr>
    </w:tbl>
    <w:p>
      <w:pPr>
        <w:spacing w:line="240" w:lineRule="auto" w:before="2"/>
        <w:rPr>
          <w:rFonts w:ascii="宋体" w:hAnsi="宋体" w:cs="宋体" w:eastAsia="宋体" w:hint="default"/>
          <w:sz w:val="24"/>
          <w:szCs w:val="24"/>
        </w:rPr>
      </w:pPr>
    </w:p>
    <w:p>
      <w:pPr>
        <w:pStyle w:val="BodyText"/>
        <w:spacing w:line="240" w:lineRule="auto" w:before="44"/>
        <w:ind w:right="93"/>
        <w:jc w:val="left"/>
      </w:pPr>
      <w:r>
        <w:rPr/>
        <w:t>公司认为必要或证券监管机构要求披露的其他内容</w:t>
      </w:r>
    </w:p>
    <w:p>
      <w:pPr>
        <w:pStyle w:val="BodyText"/>
        <w:spacing w:line="240" w:lineRule="auto" w:before="115"/>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r>
        <w:rPr/>
        <w:pict>
          <v:shape style="position:absolute;margin-left:452.230011pt;margin-top:354.769989pt;width:82.85pt;height:78pt;mso-position-horizontal-relative:page;mso-position-vertical-relative:page;z-index:-1099648"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3"/>
                    <w:ind w:left="0" w:right="0"/>
                    <w:jc w:val="left"/>
                  </w:pPr>
                  <w:r>
                    <w:rPr/>
                    <w:t>月，</w:t>
                  </w:r>
                </w:p>
              </w:txbxContent>
            </v:textbox>
            <w10:wrap type="none"/>
          </v:shape>
        </w:pict>
      </w:r>
      <w:r>
        <w:rPr/>
        <w:pict>
          <v:shape style="position:absolute;margin-left:452.230011pt;margin-top:624.435974pt;width:82.85pt;height:54.65pt;mso-position-horizontal-relative:page;mso-position-vertical-relative:page;z-index:-1099624"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t>月，</w:t>
                  </w:r>
                </w:p>
              </w:txbxContent>
            </v:textbox>
            <w10:wrap type="none"/>
          </v:shape>
        </w:pict>
      </w: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59,250,690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59,250,690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32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董海军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6,262,890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3,914,295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2,348,595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316"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日辞去董事一 职，辞去董事一 职后半年内其所 持有的公司股份 </w:t>
            </w:r>
            <w:r>
              <w:rPr>
                <w:rFonts w:ascii="Times New Roman" w:hAnsi="Times New Roman" w:cs="Times New Roman" w:eastAsia="Times New Roman" w:hint="default"/>
                <w:sz w:val="18"/>
                <w:szCs w:val="18"/>
              </w:rPr>
              <w:t>100%</w:t>
            </w:r>
            <w:r>
              <w:rPr>
                <w:rFonts w:ascii="宋体" w:hAnsi="宋体" w:cs="宋体" w:eastAsia="宋体" w:hint="default"/>
                <w:sz w:val="18"/>
                <w:szCs w:val="18"/>
              </w:rPr>
              <w:t>锁定，辞去 董事一职后半年 后的一年内其所 持有的本公司股 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539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1,359,650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、股权激励限售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股，</w:t>
            </w:r>
            <w:r>
              <w:rPr>
                <w:rFonts w:ascii="Times New Roman" w:hAnsi="Times New Roman" w:cs="Times New Roman" w:eastAsia="Times New Roman" w:hint="default"/>
                <w:spacing w:val="-14"/>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因股权激励计划 解锁条件中的公 司业绩条件未达 到，公司决定回 购注销其所持有 的限制性股票的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、高管锁 </w:t>
            </w:r>
            <w:r>
              <w:rPr>
                <w:rFonts w:ascii="宋体" w:hAnsi="宋体" w:cs="宋体" w:eastAsia="宋体" w:hint="default"/>
                <w:spacing w:val="-5"/>
                <w:sz w:val="18"/>
                <w:szCs w:val="18"/>
              </w:rPr>
              <w:t>定股，</w:t>
            </w:r>
            <w:r>
              <w:rPr>
                <w:rFonts w:ascii="Times New Roman" w:hAnsi="Times New Roman" w:cs="Times New Roman" w:eastAsia="Times New Roman" w:hint="default"/>
                <w:spacing w:val="-5"/>
                <w:sz w:val="18"/>
                <w:szCs w:val="18"/>
              </w:rPr>
              <w:t>2015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日增持公司</w:t>
            </w:r>
          </w:p>
          <w:p>
            <w:pPr>
              <w:pStyle w:val="TableParagraph"/>
              <w:spacing w:line="314" w:lineRule="auto" w:before="63"/>
              <w:ind w:left="23" w:right="22"/>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在其任职期间， 每年转让的股份 不得超过其所持 有公司股份总数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560" w:lineRule="exact"/>
              <w:ind w:left="2" w:right="-50"/>
              <w:jc w:val="left"/>
              <w:rPr>
                <w:rFonts w:ascii="宋体" w:hAnsi="宋体" w:cs="宋体" w:eastAsia="宋体" w:hint="default"/>
                <w:sz w:val="20"/>
                <w:szCs w:val="20"/>
              </w:rPr>
            </w:pPr>
            <w:r>
              <w:rPr>
                <w:rFonts w:ascii="宋体" w:hAnsi="宋体" w:cs="宋体" w:eastAsia="宋体" w:hint="default"/>
                <w:position w:val="-30"/>
                <w:sz w:val="20"/>
                <w:szCs w:val="20"/>
              </w:rPr>
              <w:pict>
                <v:group style="width:67.8pt;height:78pt;mso-position-horizontal-relative:char;mso-position-vertical-relative:line" coordorigin="0,0" coordsize="1356,1560">
                  <v:group style="position:absolute;left:0;top:0;width:1356;height:1560" coordorigin="0,0" coordsize="1356,1560">
                    <v:shape style="position:absolute;left:0;top:0;width:1356;height:1560" coordorigin="0,0" coordsize="1356,1560" path="m0,1560l1356,1560,1356,0,0,0,0,1560xe" filled="true" fillcolor="#ffffff" stroked="false">
                      <v:path arrowok="t"/>
                      <v:fill type="solid"/>
                    </v:shape>
                  </v:group>
                </v:group>
              </w:pict>
            </w:r>
            <w:r>
              <w:rPr>
                <w:rFonts w:ascii="宋体" w:hAnsi="宋体" w:cs="宋体" w:eastAsia="宋体" w:hint="default"/>
                <w:position w:val="-30"/>
                <w:sz w:val="20"/>
                <w:szCs w:val="20"/>
              </w:rPr>
            </w:r>
          </w:p>
          <w:p>
            <w:pPr>
              <w:pStyle w:val="TableParagraph"/>
              <w:spacing w:line="304" w:lineRule="auto" w:before="51"/>
              <w:ind w:left="23" w:right="19"/>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、股权激励限售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股，解除限售时 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309" w:lineRule="auto" w:before="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、高管锁定股， 按法律规定解 锁；</w:t>
            </w:r>
          </w:p>
        </w:tc>
      </w:tr>
      <w:tr>
        <w:trPr>
          <w:trHeight w:val="289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4" w:right="0"/>
              <w:jc w:val="left"/>
              <w:rPr>
                <w:rFonts w:ascii="宋体" w:hAnsi="宋体" w:cs="宋体" w:eastAsia="宋体" w:hint="default"/>
                <w:sz w:val="18"/>
                <w:szCs w:val="18"/>
              </w:rPr>
            </w:pPr>
            <w:r>
              <w:rPr>
                <w:rFonts w:ascii="宋体" w:hAnsi="宋体" w:cs="宋体" w:eastAsia="宋体" w:hint="default"/>
                <w:sz w:val="18"/>
                <w:szCs w:val="18"/>
              </w:rPr>
              <w:t>徐家斌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股权激励限售 </w:t>
            </w:r>
            <w:r>
              <w:rPr>
                <w:rFonts w:ascii="宋体" w:hAnsi="宋体" w:cs="宋体" w:eastAsia="宋体" w:hint="default"/>
                <w:spacing w:val="-14"/>
                <w:sz w:val="18"/>
                <w:szCs w:val="18"/>
              </w:rPr>
              <w:t>股，</w:t>
            </w:r>
            <w:r>
              <w:rPr>
                <w:rFonts w:ascii="Times New Roman" w:hAnsi="Times New Roman" w:cs="Times New Roman" w:eastAsia="Times New Roman" w:hint="default"/>
                <w:spacing w:val="-14"/>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因股权激励计划 解锁条件中的公 司业绩条件未达 到，公司决定回 购注销其所持有 的限制性股票的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left="2" w:right="-50"/>
              <w:jc w:val="left"/>
              <w:rPr>
                <w:rFonts w:ascii="宋体" w:hAnsi="宋体" w:cs="宋体" w:eastAsia="宋体" w:hint="default"/>
                <w:sz w:val="20"/>
                <w:szCs w:val="20"/>
              </w:rPr>
            </w:pPr>
            <w:r>
              <w:rPr>
                <w:rFonts w:ascii="宋体" w:hAnsi="宋体" w:cs="宋体" w:eastAsia="宋体" w:hint="default"/>
                <w:position w:val="-21"/>
                <w:sz w:val="20"/>
                <w:szCs w:val="20"/>
              </w:rPr>
              <w:pict>
                <v:group style="width:67.8pt;height:54.65pt;mso-position-horizontal-relative:char;mso-position-vertical-relative:line" coordorigin="0,0" coordsize="1356,1093">
                  <v:group style="position:absolute;left:0;top:0;width:1356;height:1093" coordorigin="0,0" coordsize="1356,1093">
                    <v:shape style="position:absolute;left:0;top:0;width:1356;height:1093" coordorigin="0,0" coordsize="1356,1093" path="m0,1092l1356,1092,1356,0,0,0,0,1092xe" filled="true" fillcolor="#ffffff" stroked="false">
                      <v:path arrowok="t"/>
                      <v:fill type="solid"/>
                    </v:shape>
                  </v:group>
                </v:group>
              </w:pict>
            </w:r>
            <w:r>
              <w:rPr>
                <w:rFonts w:ascii="宋体" w:hAnsi="宋体" w:cs="宋体" w:eastAsia="宋体" w:hint="default"/>
                <w:position w:val="-21"/>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452.230011pt;margin-top:72.475983pt;width:82.85pt;height:54.65pt;mso-position-horizontal-relative:page;mso-position-vertical-relative:page;z-index:-10995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月，</w:t>
                  </w:r>
                </w:p>
              </w:txbxContent>
            </v:textbox>
            <w10:wrap type="none"/>
          </v:shape>
        </w:pict>
      </w:r>
      <w:r>
        <w:rPr/>
        <w:pict>
          <v:shape style="position:absolute;margin-left:452.230011pt;margin-top:377.929993pt;width:82.85pt;height:54.6pt;mso-position-horizontal-relative:page;mso-position-vertical-relative:page;z-index:-10994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月，</w:t>
                  </w:r>
                </w:p>
              </w:txbxContent>
            </v:textbox>
            <w10:wrap type="none"/>
          </v:shape>
        </w:pict>
      </w:r>
      <w:r>
        <w:rPr/>
        <w:pict>
          <v:shape style="position:absolute;margin-left:452.230011pt;margin-top:522.909973pt;width:82.85pt;height:54.6pt;mso-position-horizontal-relative:page;mso-position-vertical-relative:page;z-index:-10994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1"/>
                    <w:ind w:left="0" w:right="0"/>
                    <w:jc w:val="left"/>
                  </w:pPr>
                  <w:r>
                    <w:rPr/>
                    <w:t>月，</w:t>
                  </w:r>
                </w:p>
              </w:txbxContent>
            </v:textbox>
            <w10:wrap type="none"/>
          </v:shape>
        </w:pict>
      </w:r>
      <w:r>
        <w:rPr/>
        <w:pict>
          <v:shape style="position:absolute;margin-left:452.230011pt;margin-top:667.779968pt;width:82.85pt;height:30.25pt;mso-position-horizontal-relative:page;mso-position-vertical-relative:page;z-index:-10994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月，</w:t>
                  </w:r>
                </w:p>
              </w:txbxContent>
            </v:textbox>
            <w10:wrap type="none"/>
          </v:shape>
        </w:pict>
      </w:r>
      <w:r>
        <w:rPr/>
        <w:pict>
          <v:group style="position:absolute;margin-left:468.339996pt;margin-top:240.859985pt;width:65.650pt;height:33.15pt;mso-position-horizontal-relative:page;mso-position-vertical-relative:page;z-index:-1099408" coordorigin="9367,4817" coordsize="1313,663">
            <v:group style="position:absolute;left:9367;top:4817;width:1313;height:351" coordorigin="9367,4817" coordsize="1313,351">
              <v:shape style="position:absolute;left:9367;top:4817;width:1313;height:351" coordorigin="9367,4817" coordsize="1313,351" path="m9367,5168l10680,5168,10680,4817,9367,4817,9367,5168xe" filled="true" fillcolor="#ffffff" stroked="false">
                <v:path arrowok="t"/>
                <v:fill type="solid"/>
              </v:shape>
            </v:group>
            <v:group style="position:absolute;left:9367;top:5168;width:1313;height:312" coordorigin="9367,5168" coordsize="1313,312">
              <v:shape style="position:absolute;left:9367;top:5168;width:1313;height:312" coordorigin="9367,5168" coordsize="1313,312" path="m9367,5480l10680,5480,10680,5168,9367,5168,9367,548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289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周诗红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股权激励限售 </w:t>
            </w:r>
            <w:r>
              <w:rPr>
                <w:rFonts w:ascii="宋体" w:hAnsi="宋体" w:cs="宋体" w:eastAsia="宋体" w:hint="default"/>
                <w:spacing w:val="-14"/>
                <w:sz w:val="18"/>
                <w:szCs w:val="18"/>
              </w:rPr>
              <w:t>股，</w:t>
            </w:r>
            <w:r>
              <w:rPr>
                <w:rFonts w:ascii="Times New Roman" w:hAnsi="Times New Roman" w:cs="Times New Roman" w:eastAsia="Times New Roman" w:hint="default"/>
                <w:spacing w:val="-14"/>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因股权激励计划 解锁条件中的公 司业绩条件未达 到，公司决定回 购注销其所持有 的限制性股票的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67.8pt;height:54.65pt;mso-position-horizontal-relative:char;mso-position-vertical-relative:line" coordorigin="0,0" coordsize="1356,1093">
                  <v:group style="position:absolute;left:0;top:0;width:1356;height:1093" coordorigin="0,0" coordsize="1356,1093">
                    <v:shape style="position:absolute;left:0;top:0;width:1356;height:1093" coordorigin="0,0" coordsize="1356,1093" path="m0,1092l1356,1092,1356,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21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1,021,874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299,999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721,875</w:t>
            </w:r>
          </w:p>
        </w:tc>
        <w:tc>
          <w:tcPr>
            <w:tcW w:w="136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、高管锁定股</w:t>
            </w:r>
          </w:p>
          <w:p>
            <w:pPr>
              <w:pStyle w:val="TableParagraph"/>
              <w:spacing w:line="314" w:lineRule="auto" w:before="60"/>
              <w:ind w:left="23" w:right="5"/>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、股权激励限售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股，</w:t>
            </w:r>
            <w:r>
              <w:rPr>
                <w:rFonts w:ascii="Times New Roman" w:hAnsi="Times New Roman" w:cs="Times New Roman" w:eastAsia="Times New Roman" w:hint="default"/>
                <w:spacing w:val="-14"/>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因股权激励计划 解锁条件中的公 司业绩条件未达 到，公司决定回 购注销其所持有 的限制性股票的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36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1" w:lineRule="exact" w:before="105"/>
              <w:ind w:left="11"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、高管锁定股，</w:t>
            </w:r>
          </w:p>
          <w:p>
            <w:pPr>
              <w:pStyle w:val="TableParagraph"/>
              <w:spacing w:line="148"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按法律规定解</w:t>
            </w:r>
          </w:p>
          <w:p>
            <w:pPr>
              <w:pStyle w:val="TableParagraph"/>
              <w:spacing w:line="309" w:lineRule="auto" w:before="77"/>
              <w:ind w:left="11" w:right="19"/>
              <w:jc w:val="left"/>
              <w:rPr>
                <w:rFonts w:ascii="宋体" w:hAnsi="宋体" w:cs="宋体" w:eastAsia="宋体" w:hint="default"/>
                <w:sz w:val="18"/>
                <w:szCs w:val="18"/>
              </w:rPr>
            </w:pPr>
            <w:r>
              <w:rPr>
                <w:rFonts w:ascii="宋体" w:hAnsi="宋体" w:cs="宋体" w:eastAsia="宋体" w:hint="default"/>
                <w:sz w:val="18"/>
                <w:szCs w:val="18"/>
              </w:rPr>
              <w:t>锁；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、股权激励限售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股，解除限售时 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289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韩继玲</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股权激励限售 </w:t>
            </w:r>
            <w:r>
              <w:rPr>
                <w:rFonts w:ascii="宋体" w:hAnsi="宋体" w:cs="宋体" w:eastAsia="宋体" w:hint="default"/>
                <w:spacing w:val="-14"/>
                <w:sz w:val="18"/>
                <w:szCs w:val="18"/>
              </w:rPr>
              <w:t>股，</w:t>
            </w:r>
            <w:r>
              <w:rPr>
                <w:rFonts w:ascii="Times New Roman" w:hAnsi="Times New Roman" w:cs="Times New Roman" w:eastAsia="Times New Roman" w:hint="default"/>
                <w:spacing w:val="-14"/>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因股权激励计划 解锁条件中的公 司业绩条件未达 到，公司决定回 购注销其所持有 的限制性股票的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67.8pt;height:54.6pt;mso-position-horizontal-relative:char;mso-position-vertical-relative:line" coordorigin="0,0" coordsize="1356,1092">
                  <v:group style="position:absolute;left:0;top:0;width:1356;height:1092" coordorigin="0,0" coordsize="1356,1092">
                    <v:shape style="position:absolute;left:0;top:0;width:1356;height:1092" coordorigin="0,0" coordsize="1356,1092" path="m0,1092l1356,1092,1356,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90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股权激励限售 </w:t>
            </w:r>
            <w:r>
              <w:rPr>
                <w:rFonts w:ascii="宋体" w:hAnsi="宋体" w:cs="宋体" w:eastAsia="宋体" w:hint="default"/>
                <w:spacing w:val="-14"/>
                <w:sz w:val="18"/>
                <w:szCs w:val="18"/>
              </w:rPr>
              <w:t>股，</w:t>
            </w:r>
            <w:r>
              <w:rPr>
                <w:rFonts w:ascii="Times New Roman" w:hAnsi="Times New Roman" w:cs="Times New Roman" w:eastAsia="Times New Roman" w:hint="default"/>
                <w:spacing w:val="-14"/>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因股权激励计划 解锁条件中的公 司业绩条件未达 到，公司决定回 购注销其所持有 的限制性股票的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67.8pt;height:54.6pt;mso-position-horizontal-relative:char;mso-position-vertical-relative:line" coordorigin="0,0" coordsize="1356,1092">
                  <v:group style="position:absolute;left:0;top:0;width:1356;height:1092" coordorigin="0,0" coordsize="1356,1092">
                    <v:shape style="position:absolute;left:0;top:0;width:1356;height:1092" coordorigin="0,0" coordsize="1356,1092" path="m0,1092l1356,1092,1356,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9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曾兆豪</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股权激励限售 </w:t>
            </w:r>
            <w:r>
              <w:rPr>
                <w:rFonts w:ascii="宋体" w:hAnsi="宋体" w:cs="宋体" w:eastAsia="宋体" w:hint="default"/>
                <w:spacing w:val="-14"/>
                <w:sz w:val="18"/>
                <w:szCs w:val="18"/>
              </w:rPr>
              <w:t>股，</w:t>
            </w:r>
            <w:r>
              <w:rPr>
                <w:rFonts w:ascii="Times New Roman" w:hAnsi="Times New Roman" w:cs="Times New Roman" w:eastAsia="Times New Roman" w:hint="default"/>
                <w:spacing w:val="-14"/>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因股权激励计划 解锁条件中的公 司业绩条件未达 到，公司决定回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604"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67.8pt;height:30.25pt;mso-position-horizontal-relative:char;mso-position-vertical-relative:line" coordorigin="0,0" coordsize="1356,605">
                  <v:group style="position:absolute;left:0;top:0;width:1356;height:605" coordorigin="0,0" coordsize="1356,605">
                    <v:shape style="position:absolute;left:0;top:0;width:1356;height:605" coordorigin="0,0" coordsize="1356,605" path="m0,605l1356,605,1356,0,0,0,0,605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452.230011pt;margin-top:121.819984pt;width:82.85pt;height:54.6pt;mso-position-horizontal-relative:page;mso-position-vertical-relative:page;z-index:-10993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月，</w:t>
                  </w:r>
                </w:p>
              </w:txbxContent>
            </v:textbox>
            <w10:wrap type="none"/>
          </v:shape>
        </w:pict>
      </w:r>
      <w:r>
        <w:rPr/>
        <w:pict>
          <v:shape style="position:absolute;margin-left:452.230011pt;margin-top:266.665985pt;width:82.85pt;height:54.65pt;mso-position-horizontal-relative:page;mso-position-vertical-relative:page;z-index:-10993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月，</w:t>
                  </w:r>
                </w:p>
              </w:txbxContent>
            </v:textbox>
            <w10:wrap type="none"/>
          </v:shape>
        </w:pict>
      </w:r>
      <w:r>
        <w:rPr/>
        <w:pict>
          <v:group style="position:absolute;margin-left:467.26001pt;margin-top:411.645996pt;width:67.8pt;height:78.05pt;mso-position-horizontal-relative:page;mso-position-vertical-relative:page;z-index:-1099288" coordorigin="9345,8233" coordsize="1356,1561">
            <v:shape style="position:absolute;left:9345;top:8233;width:1356;height:1561" coordorigin="9345,8233" coordsize="1356,1561" path="m9345,9793l10701,9793,10701,8233,9345,8233,9345,979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987"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70"/>
              <w:jc w:val="both"/>
              <w:rPr>
                <w:rFonts w:ascii="宋体" w:hAnsi="宋体" w:cs="宋体" w:eastAsia="宋体" w:hint="default"/>
                <w:sz w:val="18"/>
                <w:szCs w:val="18"/>
              </w:rPr>
            </w:pPr>
            <w:r>
              <w:rPr>
                <w:rFonts w:ascii="宋体" w:hAnsi="宋体" w:cs="宋体" w:eastAsia="宋体" w:hint="default"/>
                <w:sz w:val="18"/>
                <w:szCs w:val="18"/>
              </w:rPr>
              <w:t>购注销其所持有 的限制性股票的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冯春雷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股权激励限售 </w:t>
            </w:r>
            <w:r>
              <w:rPr>
                <w:rFonts w:ascii="宋体" w:hAnsi="宋体" w:cs="宋体" w:eastAsia="宋体" w:hint="default"/>
                <w:spacing w:val="-14"/>
                <w:sz w:val="18"/>
                <w:szCs w:val="18"/>
              </w:rPr>
              <w:t>股，</w:t>
            </w:r>
            <w:r>
              <w:rPr>
                <w:rFonts w:ascii="Times New Roman" w:hAnsi="Times New Roman" w:cs="Times New Roman" w:eastAsia="Times New Roman" w:hint="default"/>
                <w:spacing w:val="-14"/>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因股权激励计划 解锁条件中的公 司业绩条件未达 到，公司决定回 购注销其所持有 的限制性股票的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67.8pt;height:54.6pt;mso-position-horizontal-relative:char;mso-position-vertical-relative:line" coordorigin="0,0" coordsize="1356,1092">
                  <v:group style="position:absolute;left:0;top:0;width:1356;height:1092" coordorigin="0,0" coordsize="1356,1092">
                    <v:shape style="position:absolute;left:0;top:0;width:1356;height:1092" coordorigin="0,0" coordsize="1356,1092" path="m0,1092l1356,1092,1356,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r>
      <w:tr>
        <w:trPr>
          <w:trHeight w:val="290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7"/>
              <w:ind w:left="24" w:right="17"/>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84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名在职限 制性股票激励对 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5,537,000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1,384,250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4,152,750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股权激励限售 </w:t>
            </w:r>
            <w:r>
              <w:rPr>
                <w:rFonts w:ascii="宋体" w:hAnsi="宋体" w:cs="宋体" w:eastAsia="宋体" w:hint="default"/>
                <w:spacing w:val="-14"/>
                <w:sz w:val="18"/>
                <w:szCs w:val="18"/>
              </w:rPr>
              <w:t>股，</w:t>
            </w:r>
            <w:r>
              <w:rPr>
                <w:rFonts w:ascii="Times New Roman" w:hAnsi="Times New Roman" w:cs="Times New Roman" w:eastAsia="Times New Roman" w:hint="default"/>
                <w:spacing w:val="-14"/>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因股权激励计划 解锁条件中的公 司业绩条件未达 到，公司决定回 购注销其所持有 的限制性股票的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67.8pt;height:54.65pt;mso-position-horizontal-relative:char;mso-position-vertical-relative:line" coordorigin="0,0" coordsize="1356,1093">
                  <v:group style="position:absolute;left:0;top:0;width:1356;height:1093" coordorigin="0,0" coordsize="1356,1093">
                    <v:shape style="position:absolute;left:0;top:0;width:1356;height:1093" coordorigin="0,0" coordsize="1356,1093" path="m0,1092l1356,1092,1356,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r>
      <w:tr>
        <w:trPr>
          <w:trHeight w:val="414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60"/>
              <w:ind w:left="24" w:right="17"/>
              <w:jc w:val="both"/>
              <w:rPr>
                <w:rFonts w:ascii="宋体" w:hAnsi="宋体" w:cs="宋体" w:eastAsia="宋体" w:hint="default"/>
                <w:sz w:val="18"/>
                <w:szCs w:val="18"/>
              </w:rPr>
            </w:pPr>
            <w:r>
              <w:rPr>
                <w:rFonts w:ascii="宋体" w:hAnsi="宋体" w:cs="宋体" w:eastAsia="宋体" w:hint="default"/>
                <w:sz w:val="18"/>
                <w:szCs w:val="18"/>
              </w:rPr>
              <w:t>已离职的</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名限 制性股票激励对 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 因激励对象离职 和股权激励计划 解锁条件中的公 司业绩条件未达 到，公司决定回 购注销部分限制 </w:t>
            </w:r>
            <w:r>
              <w:rPr>
                <w:rFonts w:ascii="宋体" w:hAnsi="宋体" w:cs="宋体" w:eastAsia="宋体" w:hint="default"/>
                <w:spacing w:val="-5"/>
                <w:sz w:val="18"/>
                <w:szCs w:val="18"/>
              </w:rPr>
              <w:t>性股票；</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月，因激励 对象离职，公司 决定回购注销限 制性股票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31.05 </w:t>
            </w:r>
            <w:r>
              <w:rPr>
                <w:rFonts w:ascii="宋体" w:hAnsi="宋体" w:cs="宋体" w:eastAsia="宋体" w:hint="default"/>
                <w:sz w:val="18"/>
                <w:szCs w:val="18"/>
              </w:rPr>
              <w:t>万股。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85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57,942,000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57,942,000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312"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日届满离任，离 任后半年内其所 持有的公司股份 </w:t>
            </w:r>
            <w:r>
              <w:rPr>
                <w:rFonts w:ascii="Times New Roman" w:hAnsi="Times New Roman" w:cs="Times New Roman" w:eastAsia="Times New Roman" w:hint="default"/>
                <w:sz w:val="18"/>
                <w:szCs w:val="18"/>
              </w:rPr>
              <w:t>100%</w:t>
            </w:r>
            <w:r>
              <w:rPr>
                <w:rFonts w:ascii="宋体" w:hAnsi="宋体" w:cs="宋体" w:eastAsia="宋体" w:hint="default"/>
                <w:sz w:val="18"/>
                <w:szCs w:val="18"/>
              </w:rPr>
              <w:t>锁定，离任 半年后的一年内 其所持有的本公 司股份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锁 定，离任满一年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987"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70"/>
              <w:jc w:val="both"/>
              <w:rPr>
                <w:rFonts w:ascii="宋体" w:hAnsi="宋体" w:cs="宋体" w:eastAsia="宋体" w:hint="default"/>
                <w:sz w:val="18"/>
                <w:szCs w:val="18"/>
              </w:rPr>
            </w:pPr>
            <w:r>
              <w:rPr>
                <w:rFonts w:ascii="宋体" w:hAnsi="宋体" w:cs="宋体" w:eastAsia="宋体" w:hint="default"/>
                <w:sz w:val="18"/>
                <w:szCs w:val="18"/>
              </w:rPr>
              <w:t>半后，其所持有 的本公司股份全 部解锁。</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程利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4,173,946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4,173,946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314"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日离任，离任后 半年内其所持有 的公司股份 </w:t>
            </w:r>
            <w:r>
              <w:rPr>
                <w:rFonts w:ascii="Times New Roman" w:hAnsi="Times New Roman" w:cs="Times New Roman" w:eastAsia="Times New Roman" w:hint="default"/>
                <w:sz w:val="18"/>
                <w:szCs w:val="18"/>
              </w:rPr>
              <w:t>100%</w:t>
            </w:r>
            <w:r>
              <w:rPr>
                <w:rFonts w:ascii="宋体" w:hAnsi="宋体" w:cs="宋体" w:eastAsia="宋体" w:hint="default"/>
                <w:sz w:val="18"/>
                <w:szCs w:val="18"/>
              </w:rPr>
              <w:t>锁定，离任 半年后的一年内 其所持有的本公 司股份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锁 定，离任满一年 半后，其所持有 的本公司股份全 部解锁。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余红英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离任职工监事增 持了公司股份， 按照相关法律法 规的规定进行了 锁定处理。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141,044,900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69,683,490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71,389,560</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5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441" w:right="153"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根据公司《限制性股票激励计划（草案修订稿）》的规定，因股权激励计划解锁条件中的公司业绩条件未达到和激励对</w:t>
      </w:r>
    </w:p>
    <w:p>
      <w:pPr>
        <w:pStyle w:val="BodyText"/>
        <w:spacing w:line="240" w:lineRule="auto" w:before="1"/>
        <w:ind w:right="153"/>
        <w:jc w:val="left"/>
      </w:pPr>
      <w:r>
        <w:rPr/>
        <w:t>象离职，回购注销限制性股票合计</w:t>
      </w:r>
      <w:r>
        <w:rPr>
          <w:rFonts w:ascii="Times New Roman" w:hAnsi="Times New Roman" w:cs="Times New Roman" w:eastAsia="Times New Roman" w:hint="default"/>
        </w:rPr>
        <w:t>3,343,250</w:t>
      </w:r>
      <w:r>
        <w:rPr/>
        <w:t>股，回购注销完成后，公司总股本由</w:t>
      </w:r>
      <w:r>
        <w:rPr>
          <w:rFonts w:ascii="Times New Roman" w:hAnsi="Times New Roman" w:cs="Times New Roman" w:eastAsia="Times New Roman" w:hint="default"/>
        </w:rPr>
        <w:t>491,981,000</w:t>
      </w:r>
      <w:r>
        <w:rPr/>
        <w:t>股减少至</w:t>
      </w:r>
      <w:r>
        <w:rPr>
          <w:rFonts w:ascii="Times New Roman" w:hAnsi="Times New Roman" w:cs="Times New Roman" w:eastAsia="Times New Roman" w:hint="default"/>
        </w:rPr>
        <w:t>488,637,750</w:t>
      </w:r>
      <w:r>
        <w:rPr/>
        <w:t>股。</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单位：股</w:t>
      </w:r>
    </w:p>
    <w:p>
      <w:pPr>
        <w:spacing w:after="0" w:line="240" w:lineRule="auto"/>
        <w:jc w:val="right"/>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34"/>
        <w:gridCol w:w="478"/>
        <w:gridCol w:w="697"/>
        <w:gridCol w:w="92"/>
        <w:gridCol w:w="785"/>
        <w:gridCol w:w="341"/>
        <w:gridCol w:w="449"/>
        <w:gridCol w:w="756"/>
        <w:gridCol w:w="872"/>
        <w:gridCol w:w="317"/>
        <w:gridCol w:w="1033"/>
        <w:gridCol w:w="140"/>
        <w:gridCol w:w="1208"/>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63" w:right="0"/>
              <w:jc w:val="left"/>
              <w:rPr>
                <w:rFonts w:ascii="Times New Roman" w:hAnsi="Times New Roman" w:cs="Times New Roman" w:eastAsia="Times New Roman" w:hint="default"/>
                <w:sz w:val="18"/>
                <w:szCs w:val="18"/>
              </w:rPr>
            </w:pPr>
            <w:r>
              <w:rPr>
                <w:rFonts w:ascii="Times New Roman"/>
                <w:sz w:val="18"/>
              </w:rPr>
              <w:t>44,790</w:t>
            </w:r>
          </w:p>
        </w:tc>
        <w:tc>
          <w:tcPr>
            <w:tcW w:w="1175"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49,382</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9"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9"/>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1" w:right="102"/>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7"/>
              <w:ind w:left="11" w:right="43"/>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703"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68"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175"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10"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gridSpan w:val="2"/>
            <w:vMerge/>
            <w:tcBorders>
              <w:left w:val="single" w:sz="10"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10" w:space="0" w:color="D2D2D2"/>
              <w:bottom w:val="single" w:sz="4" w:space="0" w:color="000000"/>
              <w:right w:val="single" w:sz="4" w:space="0" w:color="000000"/>
            </w:tcBorders>
          </w:tcPr>
          <w:p>
            <w:pPr/>
          </w:p>
        </w:tc>
      </w:tr>
      <w:tr>
        <w:trPr>
          <w:trHeight w:val="391" w:hRule="exact"/>
        </w:trPr>
        <w:tc>
          <w:tcPr>
            <w:tcW w:w="957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756"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5"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6"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6"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90" w:type="dxa"/>
            <w:gridSpan w:val="2"/>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6"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56"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16.17%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79,000,92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59,250,69</w:t>
            </w:r>
          </w:p>
          <w:p>
            <w:pPr>
              <w:pStyle w:val="TableParagraph"/>
              <w:spacing w:line="240" w:lineRule="auto" w:before="102"/>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19,750,23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25,100,000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何学忠</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4.76%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23,239,90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23,239,90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23,239,90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33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交通银行股份有 限公司－博时新 兴成长混合型证 券投资基金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92" w:right="0"/>
              <w:jc w:val="left"/>
              <w:rPr>
                <w:rFonts w:ascii="Times New Roman" w:hAnsi="Times New Roman" w:cs="Times New Roman" w:eastAsia="Times New Roman" w:hint="default"/>
                <w:sz w:val="18"/>
                <w:szCs w:val="18"/>
              </w:rPr>
            </w:pPr>
            <w:r>
              <w:rPr>
                <w:rFonts w:ascii="Times New Roman"/>
                <w:sz w:val="18"/>
              </w:rPr>
              <w:t>1.23%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5,999,909</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5,999,909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5,999,909</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董海军</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0.94%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4,597,190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-1,665,73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2,348,595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2,248,595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颉涛</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0.91%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4,451,500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-1,848,50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4,451,500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杨森</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0.78%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3,818,000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3,304,200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3,818,000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上海荣利纺织品 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0.71%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3,464,121</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3,464,121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3,464,121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全国社保基金一 零八组合</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0.61%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刘飞凤</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2" w:right="0"/>
              <w:jc w:val="left"/>
              <w:rPr>
                <w:rFonts w:ascii="Times New Roman" w:hAnsi="Times New Roman" w:cs="Times New Roman" w:eastAsia="Times New Roman" w:hint="default"/>
                <w:sz w:val="18"/>
                <w:szCs w:val="18"/>
              </w:rPr>
            </w:pPr>
            <w:r>
              <w:rPr>
                <w:rFonts w:ascii="Times New Roman"/>
                <w:sz w:val="18"/>
              </w:rPr>
              <w:t>0.57%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2,807,600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2,807,500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2,807,600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133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交通银行股份有 限公司－华安安 顺灵活配置混合 型证券投资基金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92" w:right="0"/>
              <w:jc w:val="left"/>
              <w:rPr>
                <w:rFonts w:ascii="Times New Roman" w:hAnsi="Times New Roman" w:cs="Times New Roman" w:eastAsia="Times New Roman" w:hint="default"/>
                <w:sz w:val="18"/>
                <w:szCs w:val="18"/>
              </w:rPr>
            </w:pPr>
            <w:r>
              <w:rPr>
                <w:rFonts w:ascii="Times New Roman"/>
                <w:sz w:val="18"/>
              </w:rPr>
              <w:t>0.57%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2,790,000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2,790,000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2,790,000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90"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、夏传武先生是本公司的控股股东、实际控制人；</w:t>
            </w:r>
          </w:p>
          <w:p>
            <w:pPr>
              <w:pStyle w:val="TableParagraph"/>
              <w:spacing w:line="312" w:lineRule="auto" w:before="101"/>
              <w:ind w:left="26" w:right="20" w:firstLine="362"/>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、公司前</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名股东中，股东何学忠与上海荣利纺织品有限公司为一致行动人关 </w:t>
            </w:r>
            <w:r>
              <w:rPr>
                <w:rFonts w:ascii="宋体" w:hAnsi="宋体" w:cs="宋体" w:eastAsia="宋体" w:hint="default"/>
                <w:spacing w:val="-1"/>
                <w:sz w:val="18"/>
                <w:szCs w:val="18"/>
              </w:rPr>
              <w:t>系；除此之外，公司控股股东、实际控制人与前十名股东不存在关联关系，不属于一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致行动人；本公司未知上述其他股东之间是否存在关联关系，也未知上述股东之间是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否属于《上市公司股东持股变动信息披露管理办法》中规定的一致行动人。</w:t>
            </w:r>
          </w:p>
        </w:tc>
      </w:tr>
    </w:tbl>
    <w:p>
      <w:pPr>
        <w:spacing w:after="0" w:line="312"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pStyle w:val="BodyText"/>
        <w:spacing w:line="240" w:lineRule="auto" w:before="44"/>
        <w:ind w:left="0" w:right="156"/>
        <w:jc w:val="right"/>
      </w:pPr>
      <w:r>
        <w:rPr/>
        <w:pict>
          <v:shape style="position:absolute;margin-left:56.400002pt;margin-top:-502.51828pt;width:479.3pt;height:538.050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1"/>
                    <w:gridCol w:w="3992"/>
                    <w:gridCol w:w="1349"/>
                    <w:gridCol w:w="1349"/>
                  </w:tblGrid>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8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2881" w:type="dxa"/>
                        <w:vMerge/>
                        <w:tcBorders>
                          <w:left w:val="single" w:sz="4" w:space="0" w:color="000000"/>
                          <w:bottom w:val="single" w:sz="4" w:space="0" w:color="000000"/>
                          <w:right w:val="single" w:sz="4" w:space="0" w:color="000000"/>
                        </w:tcBorders>
                        <w:shd w:val="clear" w:color="auto" w:fill="D2D2D2"/>
                      </w:tcPr>
                      <w:p>
                        <w:pPr/>
                      </w:p>
                    </w:tc>
                    <w:tc>
                      <w:tcPr>
                        <w:tcW w:w="3992"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何学忠</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23,239,906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23,239,906</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19,750,230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19,750,230</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交通银行股份有限公司－博时新兴 成长混合型证券投资基金</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5,999,909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5,999,909</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颉涛</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4,451,500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4,451,500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杨森</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3,818,000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上海荣利纺织品有限公司</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3,464,121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3,464,121</w:t>
                        </w:r>
                      </w:p>
                    </w:tc>
                  </w:tr>
                  <w:tr>
                    <w:trPr>
                      <w:trHeight w:val="40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全国社保基金一零八组合</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刘飞凤</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2,807,600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2,807,600</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交通银行股份有限公司－华安安顺 灵活配置混合型证券投资基金</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2,790,000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张晓鸣</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2,739,200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2,739,200</w:t>
                        </w:r>
                      </w:p>
                    </w:tc>
                  </w:tr>
                  <w:tr>
                    <w:trPr>
                      <w:trHeight w:val="1692"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、夏传武先生是本公司的控股股东、实际控制人；</w:t>
                        </w:r>
                      </w:p>
                      <w:p>
                        <w:pPr>
                          <w:pStyle w:val="TableParagraph"/>
                          <w:spacing w:line="312" w:lineRule="auto" w:before="101"/>
                          <w:ind w:left="26" w:right="-7" w:firstLine="362"/>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名无限售流通股股东中，股东何学忠与上海荣利纺织品有限公司为一致 行动人关系；除此之外，公司控股股东、实际控制人与前十名股东不存在关联关系， </w:t>
                        </w:r>
                        <w:r>
                          <w:rPr>
                            <w:rFonts w:ascii="宋体" w:hAnsi="宋体" w:cs="宋体" w:eastAsia="宋体" w:hint="default"/>
                            <w:spacing w:val="-1"/>
                            <w:sz w:val="18"/>
                            <w:szCs w:val="18"/>
                          </w:rPr>
                          <w:t>不属于一致行动人；本公司未知上述其他股东之间是否存在关联关系，也未知上述股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东之间是否属于《上市公司股东持股变动信息披露管理办法》中规定的一致行动人。</w:t>
                        </w:r>
                      </w:p>
                    </w:tc>
                  </w:tr>
                  <w:tr>
                    <w:trPr>
                      <w:trHeight w:val="3209"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19"/>
                          <w:ind w:left="24"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80" w:firstLine="362"/>
                          <w:jc w:val="left"/>
                          <w:rPr>
                            <w:rFonts w:ascii="宋体" w:hAnsi="宋体" w:cs="宋体" w:eastAsia="宋体" w:hint="default"/>
                            <w:sz w:val="18"/>
                            <w:szCs w:val="18"/>
                          </w:rPr>
                        </w:pPr>
                        <w:r>
                          <w:rPr>
                            <w:rFonts w:ascii="宋体" w:hAnsi="宋体" w:cs="宋体" w:eastAsia="宋体" w:hint="default"/>
                            <w:sz w:val="18"/>
                            <w:szCs w:val="18"/>
                          </w:rPr>
                          <w:t>公司股东何学忠通过中国国际金融有限公司客户信用交易担保证券账户持有公 司股票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18,656,226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股，通过普通账户持有公司股票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4,583,680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股；股东颉涛通过招商</w:t>
                        </w:r>
                      </w:p>
                      <w:p>
                        <w:pPr>
                          <w:pStyle w:val="TableParagraph"/>
                          <w:spacing w:line="248" w:lineRule="exact"/>
                          <w:ind w:left="26" w:right="0"/>
                          <w:jc w:val="left"/>
                          <w:rPr>
                            <w:rFonts w:ascii="宋体" w:hAnsi="宋体" w:cs="宋体" w:eastAsia="宋体" w:hint="default"/>
                            <w:sz w:val="18"/>
                            <w:szCs w:val="18"/>
                          </w:rPr>
                        </w:pPr>
                        <w:r>
                          <w:rPr>
                            <w:rFonts w:ascii="宋体" w:hAnsi="宋体" w:cs="宋体" w:eastAsia="宋体" w:hint="default"/>
                            <w:sz w:val="18"/>
                            <w:szCs w:val="18"/>
                          </w:rPr>
                          <w:t>证券股份有限公司客户信用交易担保证券账户持有公司股票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股，通过普通</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账户持有公司股票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3,451,500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股；股东杨森通过中信建投证券股份有限公司客户信用</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交易担保证券账户持有公司股票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3,818,000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股；股东上海荣利纺织品有限公司通过信</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达证券股份有限公司客户信用交易担保证券账户持有公司股票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3,100,321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股，通过普</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通账户持有公司股票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363,800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股；股东刘飞凤通过华泰证券股份有限公司客户信用交</w:t>
                        </w:r>
                      </w:p>
                      <w:p>
                        <w:pPr>
                          <w:pStyle w:val="TableParagraph"/>
                          <w:spacing w:line="300" w:lineRule="auto" w:before="63"/>
                          <w:ind w:left="26" w:right="31"/>
                          <w:jc w:val="left"/>
                          <w:rPr>
                            <w:rFonts w:ascii="宋体" w:hAnsi="宋体" w:cs="宋体" w:eastAsia="宋体" w:hint="default"/>
                            <w:sz w:val="18"/>
                            <w:szCs w:val="18"/>
                          </w:rPr>
                        </w:pPr>
                        <w:r>
                          <w:rPr>
                            <w:rFonts w:ascii="宋体" w:hAnsi="宋体" w:cs="宋体" w:eastAsia="宋体" w:hint="default"/>
                            <w:sz w:val="18"/>
                            <w:szCs w:val="18"/>
                          </w:rPr>
                          <w:t>易担保证券账户持有公司股票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2,764,600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股，通过普通账户持有公司股票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43,000 </w:t>
                        </w:r>
                        <w:r>
                          <w:rPr>
                            <w:rFonts w:ascii="宋体" w:hAnsi="宋体" w:cs="宋体" w:eastAsia="宋体" w:hint="default"/>
                            <w:sz w:val="18"/>
                            <w:szCs w:val="18"/>
                          </w:rPr>
                          <w:t>股。 </w:t>
                        </w:r>
                        <w:r>
                          <w:rPr>
                            <w:rFonts w:ascii="宋体" w:hAnsi="宋体" w:cs="宋体" w:eastAsia="宋体" w:hint="default"/>
                            <w:spacing w:val="-5"/>
                            <w:sz w:val="18"/>
                            <w:szCs w:val="18"/>
                          </w:rPr>
                          <w:t>上述股东在报告期内持股变动情况请参见《持股</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以上股东或前</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名股东持股情况</w:t>
                        </w:r>
                        <w:r>
                          <w:rPr>
                            <w:rFonts w:ascii="宋体" w:hAnsi="宋体" w:cs="宋体" w:eastAsia="宋体" w:hint="default"/>
                            <w:spacing w:val="-81"/>
                            <w:sz w:val="18"/>
                            <w:szCs w:val="18"/>
                          </w:rPr>
                          <w:t> </w:t>
                        </w:r>
                        <w:r>
                          <w:rPr>
                            <w:rFonts w:ascii="宋体" w:hAnsi="宋体" w:cs="宋体" w:eastAsia="宋体" w:hint="default"/>
                            <w:sz w:val="18"/>
                            <w:szCs w:val="18"/>
                          </w:rPr>
                          <w:t>表格中内容。</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right="15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15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3"/>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614"/>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7"/>
        <w:gridCol w:w="2302"/>
        <w:gridCol w:w="3838"/>
      </w:tblGrid>
      <w:tr>
        <w:trPr>
          <w:trHeight w:val="40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7"/>
        <w:gridCol w:w="2302"/>
        <w:gridCol w:w="3850"/>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深圳市卓翼科技股份有限公司董事长</w:t>
            </w:r>
          </w:p>
        </w:tc>
      </w:tr>
      <w:tr>
        <w:trPr>
          <w:trHeight w:val="71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公司实际控制人夏传武先生未控股其他境内外上市公司。</w:t>
            </w:r>
          </w:p>
        </w:tc>
      </w:tr>
    </w:tbl>
    <w:p>
      <w:pPr>
        <w:pStyle w:val="BodyText"/>
        <w:spacing w:line="240" w:lineRule="auto" w:before="49"/>
        <w:ind w:right="153"/>
        <w:jc w:val="left"/>
      </w:pPr>
      <w:r>
        <w:rPr/>
        <w:t>控股股东报告期内变更</w:t>
      </w:r>
    </w:p>
    <w:p>
      <w:pPr>
        <w:pStyle w:val="BodyText"/>
        <w:spacing w:line="340" w:lineRule="auto" w:before="115"/>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43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419"/>
        <w:gridCol w:w="2302"/>
        <w:gridCol w:w="3850"/>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深圳市卓翼科技股份有限公司董事长</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公司实际控制人夏传武先生未控股其他境内外上市公司。</w:t>
            </w:r>
          </w:p>
        </w:tc>
      </w:tr>
    </w:tbl>
    <w:p>
      <w:pPr>
        <w:pStyle w:val="BodyText"/>
        <w:spacing w:line="240" w:lineRule="auto" w:before="68"/>
        <w:ind w:right="153"/>
        <w:jc w:val="left"/>
      </w:pPr>
      <w:r>
        <w:rPr/>
        <w:t>实际控制人报告期内变更</w:t>
      </w:r>
    </w:p>
    <w:p>
      <w:pPr>
        <w:pStyle w:val="BodyText"/>
        <w:spacing w:line="348"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7"/>
        <w:rPr>
          <w:rFonts w:ascii="宋体" w:hAnsi="宋体" w:cs="宋体" w:eastAsia="宋体" w:hint="default"/>
          <w:sz w:val="25"/>
          <w:szCs w:val="25"/>
        </w:rPr>
      </w:pPr>
    </w:p>
    <w:p>
      <w:pPr>
        <w:spacing w:line="4695" w:lineRule="exact"/>
        <w:ind w:left="1355"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4591634" cy="298132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5" cstate="print"/>
                    <a:stretch>
                      <a:fillRect/>
                    </a:stretch>
                  </pic:blipFill>
                  <pic:spPr>
                    <a:xfrm>
                      <a:off x="0" y="0"/>
                      <a:ext cx="4591634" cy="2981325"/>
                    </a:xfrm>
                    <a:prstGeom prst="rect">
                      <a:avLst/>
                    </a:prstGeom>
                  </pic:spPr>
                </pic:pic>
              </a:graphicData>
            </a:graphic>
          </wp:inline>
        </w:drawing>
      </w:r>
      <w:r>
        <w:rPr>
          <w:rFonts w:ascii="宋体" w:hAnsi="宋体" w:cs="宋体" w:eastAsia="宋体" w:hint="default"/>
          <w:position w:val="-93"/>
          <w:sz w:val="20"/>
          <w:szCs w:val="20"/>
        </w:rPr>
      </w:r>
    </w:p>
    <w:p>
      <w:pPr>
        <w:spacing w:line="240" w:lineRule="auto" w:before="0"/>
        <w:rPr>
          <w:rFonts w:ascii="宋体" w:hAnsi="宋体" w:cs="宋体" w:eastAsia="宋体" w:hint="default"/>
          <w:sz w:val="22"/>
          <w:szCs w:val="22"/>
        </w:rPr>
      </w:pPr>
    </w:p>
    <w:p>
      <w:pPr>
        <w:spacing w:before="26"/>
        <w:ind w:left="152" w:right="153"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53"/>
        <w:jc w:val="left"/>
        <w:rPr>
          <w:b w:val="0"/>
          <w:bCs w:val="0"/>
        </w:rPr>
      </w:pPr>
      <w:bookmarkStart w:name="_bookmark5" w:id="6"/>
      <w:bookmarkEnd w:id="6"/>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53"/>
        <w:jc w:val="left"/>
        <w:rPr>
          <w:b w:val="0"/>
          <w:bCs w:val="0"/>
        </w:rPr>
      </w:pPr>
      <w:bookmarkStart w:name="_bookmark6" w:id="7"/>
      <w:bookmarkEnd w:id="7"/>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5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800"/>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79,000,92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79,000,92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董事、董 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1,162,500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1,012,500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337,500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1,528,700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昌智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曾兆豪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董事、财 务负责人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易庆国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胡爱武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叶广照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夏艳华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800"/>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董海军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6,262,920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1,665,730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4,597,190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余红英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原职工监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89,796,34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2,004,230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87,175,31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53"/>
        <w:jc w:val="left"/>
        <w:rPr>
          <w:b w:val="0"/>
          <w:bCs w:val="0"/>
        </w:rPr>
      </w:pPr>
      <w:r>
        <w:rPr/>
        <w:t>二、公司董事、监事、高级管理人员变动情况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9"/>
          <w:szCs w:val="29"/>
        </w:rPr>
      </w:pPr>
    </w:p>
    <w:p>
      <w:pPr>
        <w:pStyle w:val="BodyText"/>
        <w:spacing w:line="240" w:lineRule="auto" w:before="44"/>
        <w:ind w:left="0" w:right="156"/>
        <w:jc w:val="right"/>
      </w:pPr>
      <w:r>
        <w:rPr/>
        <w:pict>
          <v:shape style="position:absolute;margin-left:56.400002pt;margin-top:-67.568283pt;width:479.15pt;height:381.8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0"/>
                    <w:gridCol w:w="1333"/>
                    <w:gridCol w:w="1330"/>
                    <w:gridCol w:w="4247"/>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3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董海军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因个人原因，董海军先生申请辞去公司第三届董事会 董事一职。内容详见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日刊登在《证券 </w:t>
                        </w:r>
                        <w:r>
                          <w:rPr>
                            <w:rFonts w:ascii="宋体" w:hAnsi="宋体" w:cs="宋体" w:eastAsia="宋体" w:hint="default"/>
                            <w:spacing w:val="-11"/>
                            <w:sz w:val="18"/>
                            <w:szCs w:val="18"/>
                          </w:rPr>
                          <w:t>时报》、《中国证券报》和巨潮资讯网</w:t>
                        </w:r>
                      </w:p>
                      <w:p>
                        <w:pPr>
                          <w:pStyle w:val="TableParagraph"/>
                          <w:spacing w:line="240" w:lineRule="auto" w:before="24"/>
                          <w:ind w:left="23" w:right="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htpp:/</w:t>
                        </w:r>
                        <w:hyperlink r:id="rId11">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pacing w:val="-3"/>
                            <w:sz w:val="18"/>
                            <w:szCs w:val="18"/>
                          </w:rPr>
                          <w:t>.</w:t>
                        </w:r>
                        <w:hyperlink r:id="rId11">
                          <w:r>
                            <w:rPr>
                              <w:rFonts w:ascii="Times New Roman" w:hAnsi="Times New Roman" w:cs="Times New Roman" w:eastAsia="Times New Roman" w:hint="default"/>
                              <w:spacing w:val="-3"/>
                              <w:sz w:val="18"/>
                              <w:szCs w:val="18"/>
                            </w:rPr>
                            <w:t>cninfo.com.cn</w:t>
                          </w:r>
                        </w:hyperlink>
                        <w:r>
                          <w:rPr>
                            <w:rFonts w:ascii="宋体" w:hAnsi="宋体" w:cs="宋体" w:eastAsia="宋体" w:hint="default"/>
                            <w:spacing w:val="-3"/>
                            <w:sz w:val="18"/>
                            <w:szCs w:val="18"/>
                          </w:rPr>
                          <w:t>）上的第 </w:t>
                        </w:r>
                        <w:r>
                          <w:rPr>
                            <w:rFonts w:ascii="Times New Roman" w:hAnsi="Times New Roman" w:cs="Times New Roman" w:eastAsia="Times New Roman" w:hint="default"/>
                            <w:sz w:val="18"/>
                            <w:szCs w:val="18"/>
                          </w:rPr>
                          <w:t>2015-036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号公告</w:t>
                        </w:r>
                      </w:p>
                    </w:tc>
                  </w:tr>
                  <w:tr>
                    <w:trPr>
                      <w:trHeight w:val="133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余红英</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4"/>
                          <w:jc w:val="both"/>
                          <w:rPr>
                            <w:rFonts w:ascii="宋体" w:hAnsi="宋体" w:cs="宋体" w:eastAsia="宋体" w:hint="default"/>
                            <w:sz w:val="18"/>
                            <w:szCs w:val="18"/>
                          </w:rPr>
                        </w:pPr>
                        <w:r>
                          <w:rPr>
                            <w:rFonts w:ascii="宋体" w:hAnsi="宋体" w:cs="宋体" w:eastAsia="宋体" w:hint="default"/>
                            <w:sz w:val="18"/>
                            <w:szCs w:val="18"/>
                          </w:rPr>
                          <w:t>因个人原因，余红英女士申请辞去公司第三届监事会 </w:t>
                        </w:r>
                        <w:r>
                          <w:rPr>
                            <w:rFonts w:ascii="宋体" w:hAnsi="宋体" w:cs="宋体" w:eastAsia="宋体" w:hint="default"/>
                            <w:spacing w:val="-6"/>
                            <w:sz w:val="18"/>
                            <w:szCs w:val="18"/>
                          </w:rPr>
                          <w:t>职工监事一职。内容详见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日刊登在《证</w:t>
                        </w:r>
                        <w:r>
                          <w:rPr>
                            <w:rFonts w:ascii="宋体" w:hAnsi="宋体" w:cs="宋体" w:eastAsia="宋体" w:hint="default"/>
                            <w:sz w:val="18"/>
                            <w:szCs w:val="18"/>
                          </w:rPr>
                          <w:t> </w:t>
                        </w:r>
                        <w:r>
                          <w:rPr>
                            <w:rFonts w:ascii="宋体" w:hAnsi="宋体" w:cs="宋体" w:eastAsia="宋体" w:hint="default"/>
                            <w:spacing w:val="-11"/>
                            <w:sz w:val="18"/>
                            <w:szCs w:val="18"/>
                          </w:rPr>
                          <w:t>券时报》、《中国证券报》和巨潮资讯网</w:t>
                        </w:r>
                      </w:p>
                      <w:p>
                        <w:pPr>
                          <w:pStyle w:val="TableParagraph"/>
                          <w:spacing w:line="240" w:lineRule="auto" w:before="26"/>
                          <w:ind w:left="23" w:right="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htpp:/</w:t>
                        </w:r>
                        <w:hyperlink r:id="rId11">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pacing w:val="-3"/>
                            <w:sz w:val="18"/>
                            <w:szCs w:val="18"/>
                          </w:rPr>
                          <w:t>.</w:t>
                        </w:r>
                        <w:hyperlink r:id="rId11">
                          <w:r>
                            <w:rPr>
                              <w:rFonts w:ascii="Times New Roman" w:hAnsi="Times New Roman" w:cs="Times New Roman" w:eastAsia="Times New Roman" w:hint="default"/>
                              <w:spacing w:val="-3"/>
                              <w:sz w:val="18"/>
                              <w:szCs w:val="18"/>
                            </w:rPr>
                            <w:t>cninfo.com.cn</w:t>
                          </w:r>
                        </w:hyperlink>
                        <w:r>
                          <w:rPr>
                            <w:rFonts w:ascii="宋体" w:hAnsi="宋体" w:cs="宋体" w:eastAsia="宋体" w:hint="default"/>
                            <w:spacing w:val="-3"/>
                            <w:sz w:val="18"/>
                            <w:szCs w:val="18"/>
                          </w:rPr>
                          <w:t>）上的第 </w:t>
                        </w:r>
                        <w:r>
                          <w:rPr>
                            <w:rFonts w:ascii="Times New Roman" w:hAnsi="Times New Roman" w:cs="Times New Roman" w:eastAsia="Times New Roman" w:hint="default"/>
                            <w:sz w:val="18"/>
                            <w:szCs w:val="18"/>
                          </w:rPr>
                          <w:t>2015-037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号公告</w:t>
                        </w:r>
                      </w:p>
                    </w:tc>
                  </w:tr>
                  <w:tr>
                    <w:trPr>
                      <w:trHeight w:val="196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夏艳华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宋体" w:hAnsi="宋体" w:cs="宋体" w:eastAsia="宋体" w:hint="default"/>
                            <w:spacing w:val="-3"/>
                            <w:sz w:val="18"/>
                            <w:szCs w:val="18"/>
                          </w:rPr>
                          <w:t>因原职工监事辞职，公司召开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年第一次职工代表 大会，选举夏艳华女士为公司第三届监事会职工监事 其任期自选举通过之日起至第三届监事会任期结束之 </w:t>
                        </w:r>
                        <w:r>
                          <w:rPr>
                            <w:rFonts w:ascii="宋体" w:hAnsi="宋体" w:cs="宋体" w:eastAsia="宋体" w:hint="default"/>
                            <w:spacing w:val="-10"/>
                            <w:sz w:val="18"/>
                            <w:szCs w:val="18"/>
                          </w:rPr>
                          <w:t>日止。内容详见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z w:val="18"/>
                            <w:szCs w:val="18"/>
                          </w:rPr>
                          <w:t> </w:t>
                        </w:r>
                        <w:r>
                          <w:rPr>
                            <w:rFonts w:ascii="宋体" w:hAnsi="宋体" w:cs="宋体" w:eastAsia="宋体" w:hint="default"/>
                            <w:spacing w:val="-16"/>
                            <w:sz w:val="18"/>
                            <w:szCs w:val="18"/>
                          </w:rPr>
                          <w:t>日刊登在《证券时报》</w:t>
                        </w:r>
                        <w:r>
                          <w:rPr>
                            <w:rFonts w:ascii="宋体" w:hAnsi="宋体" w:cs="宋体" w:eastAsia="宋体" w:hint="default"/>
                            <w:sz w:val="18"/>
                            <w:szCs w:val="18"/>
                          </w:rPr>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《中国证券报》和巨潮资讯网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htpp:/</w:t>
                        </w:r>
                        <w:hyperlink r:id="rId11">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pacing w:val="-3"/>
                            <w:sz w:val="18"/>
                            <w:szCs w:val="18"/>
                          </w:rPr>
                          <w:t>.</w:t>
                        </w:r>
                        <w:hyperlink r:id="rId11">
                          <w:r>
                            <w:rPr>
                              <w:rFonts w:ascii="Times New Roman" w:hAnsi="Times New Roman" w:cs="Times New Roman" w:eastAsia="Times New Roman" w:hint="default"/>
                              <w:spacing w:val="-3"/>
                              <w:sz w:val="18"/>
                              <w:szCs w:val="18"/>
                            </w:rPr>
                            <w:t>cninfo.com.cn</w:t>
                          </w:r>
                        </w:hyperlink>
                        <w:r>
                          <w:rPr>
                            <w:rFonts w:ascii="宋体" w:hAnsi="宋体" w:cs="宋体" w:eastAsia="宋体" w:hint="default"/>
                            <w:spacing w:val="-3"/>
                            <w:sz w:val="18"/>
                            <w:szCs w:val="18"/>
                          </w:rPr>
                          <w:t>）上的第 </w:t>
                        </w:r>
                        <w:r>
                          <w:rPr>
                            <w:rFonts w:ascii="Times New Roman" w:hAnsi="Times New Roman" w:cs="Times New Roman" w:eastAsia="Times New Roman" w:hint="default"/>
                            <w:sz w:val="18"/>
                            <w:szCs w:val="18"/>
                          </w:rPr>
                          <w:t>2015-037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号公告</w:t>
                        </w:r>
                      </w:p>
                    </w:tc>
                  </w:tr>
                  <w:tr>
                    <w:trPr>
                      <w:trHeight w:val="258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曾兆豪</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4"/>
                          <w:jc w:val="left"/>
                          <w:rPr>
                            <w:rFonts w:ascii="宋体" w:hAnsi="宋体" w:cs="宋体" w:eastAsia="宋体" w:hint="default"/>
                            <w:sz w:val="18"/>
                            <w:szCs w:val="18"/>
                          </w:rPr>
                        </w:pPr>
                        <w:r>
                          <w:rPr>
                            <w:rFonts w:ascii="宋体" w:hAnsi="宋体" w:cs="宋体" w:eastAsia="宋体" w:hint="default"/>
                            <w:sz w:val="18"/>
                            <w:szCs w:val="18"/>
                          </w:rPr>
                          <w:t>因原董事董海军先生辞去公司第三届董事会董事一 </w:t>
                        </w:r>
                        <w:r>
                          <w:rPr>
                            <w:rFonts w:ascii="宋体" w:hAnsi="宋体" w:cs="宋体" w:eastAsia="宋体" w:hint="default"/>
                            <w:spacing w:val="-3"/>
                            <w:sz w:val="18"/>
                            <w:szCs w:val="18"/>
                          </w:rPr>
                          <w:t>职，经公司召开的第三届第十六次会议以及</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w:t>
                        </w:r>
                        <w:r>
                          <w:rPr>
                            <w:rFonts w:ascii="宋体" w:hAnsi="宋体" w:cs="宋体" w:eastAsia="宋体" w:hint="default"/>
                            <w:spacing w:val="-88"/>
                            <w:sz w:val="18"/>
                            <w:szCs w:val="18"/>
                          </w:rPr>
                          <w:t> </w:t>
                        </w:r>
                        <w:r>
                          <w:rPr>
                            <w:rFonts w:ascii="宋体" w:hAnsi="宋体" w:cs="宋体" w:eastAsia="宋体" w:hint="default"/>
                            <w:sz w:val="18"/>
                            <w:szCs w:val="18"/>
                          </w:rPr>
                          <w:t>一次临时股东大会审议通过，同意选举曾兆豪先生为 公司第三届董事会董事，其任期自选举通过之日起至 第三届董事会任期结束之日止。内容分别详见</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300" w:lineRule="auto" w:before="3"/>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日、</w:t>
                        </w:r>
                        <w:r>
                          <w:rPr>
                            <w:rFonts w:ascii="Times New Roman" w:hAnsi="Times New Roman" w:cs="Times New Roman" w:eastAsia="Times New Roman" w:hint="default"/>
                            <w:spacing w:val="-8"/>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pacing w:val="-22"/>
                            <w:sz w:val="18"/>
                            <w:szCs w:val="18"/>
                          </w:rPr>
                          <w:t>日刊登在《证券时报》、《中</w:t>
                        </w:r>
                        <w:r>
                          <w:rPr>
                            <w:rFonts w:ascii="宋体" w:hAnsi="宋体" w:cs="宋体" w:eastAsia="宋体" w:hint="default"/>
                            <w:sz w:val="18"/>
                            <w:szCs w:val="18"/>
                          </w:rPr>
                          <w:t> 国证券报》和巨潮资讯网（</w:t>
                        </w:r>
                        <w:r>
                          <w:rPr>
                            <w:rFonts w:ascii="Times New Roman" w:hAnsi="Times New Roman" w:cs="Times New Roman" w:eastAsia="Times New Roman" w:hint="default"/>
                            <w:sz w:val="18"/>
                            <w:szCs w:val="18"/>
                          </w:rPr>
                          <w:t>htpp:/</w:t>
                        </w:r>
                        <w:hyperlink r:id="rId11">
                          <w:r>
                            <w:rPr>
                              <w:rFonts w:ascii="Times New Roman" w:hAnsi="Times New Roman" w:cs="Times New Roman" w:eastAsia="Times New Roman" w:hint="default"/>
                              <w:sz w:val="18"/>
                              <w:szCs w:val="18"/>
                            </w:rPr>
                            <w:t>/www</w:t>
                          </w:r>
                        </w:hyperlink>
                        <w:r>
                          <w:rPr>
                            <w:rFonts w:ascii="Times New Roman" w:hAnsi="Times New Roman" w:cs="Times New Roman" w:eastAsia="Times New Roman" w:hint="default"/>
                            <w:sz w:val="18"/>
                            <w:szCs w:val="18"/>
                          </w:rPr>
                          <w:t>.</w:t>
                        </w:r>
                        <w:hyperlink r:id="rId11">
                          <w:r>
                            <w:rPr>
                              <w:rFonts w:ascii="Times New Roman" w:hAnsi="Times New Roman" w:cs="Times New Roman" w:eastAsia="Times New Roman" w:hint="default"/>
                              <w:sz w:val="18"/>
                              <w:szCs w:val="18"/>
                            </w:rPr>
                            <w:t>cninfo.com.cn</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上的第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2015-053</w:t>
                        </w:r>
                        <w:r>
                          <w:rPr>
                            <w:rFonts w:ascii="宋体" w:hAnsi="宋体" w:cs="宋体" w:eastAsia="宋体" w:hint="default"/>
                            <w:sz w:val="18"/>
                            <w:szCs w:val="18"/>
                          </w:rPr>
                          <w:t>、</w:t>
                        </w:r>
                        <w:r>
                          <w:rPr>
                            <w:rFonts w:ascii="Times New Roman" w:hAnsi="Times New Roman" w:cs="Times New Roman" w:eastAsia="Times New Roman" w:hint="default"/>
                            <w:sz w:val="18"/>
                            <w:szCs w:val="18"/>
                          </w:rPr>
                          <w:t>2015-062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号公告。</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44"/>
        <w:ind w:left="0" w:right="156"/>
        <w:jc w:val="right"/>
      </w:pP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0" w:right="159"/>
        <w:jc w:val="right"/>
      </w:pPr>
      <w:r>
        <w:rPr/>
        <w:t>，</w:t>
      </w:r>
    </w:p>
    <w:p>
      <w:pPr>
        <w:spacing w:line="240" w:lineRule="auto" w:before="4"/>
        <w:rPr>
          <w:rFonts w:ascii="宋体" w:hAnsi="宋体" w:cs="宋体" w:eastAsia="宋体" w:hint="default"/>
          <w:sz w:val="26"/>
          <w:szCs w:val="26"/>
        </w:rPr>
      </w:pPr>
    </w:p>
    <w:p>
      <w:pPr>
        <w:pStyle w:val="BodyText"/>
        <w:spacing w:line="240" w:lineRule="auto" w:before="44"/>
        <w:ind w:left="0" w:right="161"/>
        <w:jc w:val="right"/>
      </w:pPr>
      <w:r>
        <w:rPr/>
        <w:t>、</w:t>
      </w:r>
    </w:p>
    <w:p>
      <w:pPr>
        <w:spacing w:line="240" w:lineRule="auto" w:before="4"/>
        <w:rPr>
          <w:rFonts w:ascii="宋体" w:hAnsi="宋体" w:cs="宋体" w:eastAsia="宋体" w:hint="default"/>
          <w:sz w:val="26"/>
          <w:szCs w:val="26"/>
        </w:rPr>
      </w:pPr>
    </w:p>
    <w:p>
      <w:pPr>
        <w:pStyle w:val="BodyText"/>
        <w:spacing w:line="240" w:lineRule="auto" w:before="44"/>
        <w:ind w:left="0" w:right="15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left="0" w:right="177"/>
        <w:jc w:val="right"/>
      </w:pPr>
      <w:r>
        <w:rPr/>
        <w:t>）</w:t>
      </w:r>
    </w:p>
    <w:p>
      <w:pPr>
        <w:spacing w:after="0" w:line="240" w:lineRule="auto"/>
        <w:jc w:val="righ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93"/>
        <w:jc w:val="left"/>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2794"/>
        <w:jc w:val="left"/>
      </w:pPr>
      <w:r>
        <w:rPr/>
        <w:t>公司现任董事、监事、高级管理人员专业背景、主要工作经历以及目前在公司的主要职责 公司现任董事、监事、高级管理人员最近</w:t>
      </w:r>
      <w:r>
        <w:rPr>
          <w:rFonts w:ascii="Times New Roman" w:hAnsi="Times New Roman" w:cs="Times New Roman" w:eastAsia="Times New Roman" w:hint="default"/>
        </w:rPr>
        <w:t>5</w:t>
      </w:r>
      <w:r>
        <w:rPr/>
        <w:t>年的主要工作经历</w:t>
      </w:r>
    </w:p>
    <w:p>
      <w:pPr>
        <w:pStyle w:val="BodyText"/>
        <w:spacing w:line="240" w:lineRule="auto" w:before="6"/>
        <w:ind w:left="513" w:right="93"/>
        <w:jc w:val="left"/>
      </w:pPr>
      <w:r>
        <w:rPr>
          <w:rFonts w:ascii="Times New Roman" w:hAnsi="Times New Roman" w:cs="Times New Roman" w:eastAsia="Times New Roman" w:hint="default"/>
        </w:rPr>
        <w:t>1</w:t>
      </w:r>
      <w:r>
        <w:rPr/>
        <w:t>、现任董事会成员主要工作经历</w:t>
      </w:r>
    </w:p>
    <w:p>
      <w:pPr>
        <w:pStyle w:val="BodyText"/>
        <w:spacing w:line="312" w:lineRule="auto" w:before="103"/>
        <w:ind w:right="93" w:firstLine="360"/>
        <w:jc w:val="left"/>
      </w:pPr>
      <w:r>
        <w:rPr>
          <w:spacing w:val="-2"/>
        </w:rPr>
        <w:t>（</w:t>
      </w:r>
      <w:r>
        <w:rPr>
          <w:rFonts w:ascii="Times New Roman" w:hAnsi="Times New Roman" w:cs="Times New Roman" w:eastAsia="Times New Roman" w:hint="default"/>
          <w:spacing w:val="-2"/>
        </w:rPr>
        <w:t>1</w:t>
      </w:r>
      <w:r>
        <w:rPr>
          <w:spacing w:val="-2"/>
        </w:rPr>
        <w:t>）夏传武先生，自</w:t>
      </w:r>
      <w:r>
        <w:rPr>
          <w:rFonts w:ascii="Times New Roman" w:hAnsi="Times New Roman" w:cs="Times New Roman" w:eastAsia="Times New Roman" w:hint="default"/>
          <w:spacing w:val="-2"/>
        </w:rPr>
        <w:t>2004</w:t>
      </w:r>
      <w:r>
        <w:rPr>
          <w:spacing w:val="-2"/>
        </w:rPr>
        <w:t>年卓翼科技成立至今，担任公司总经理职务；</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26</w:t>
      </w:r>
      <w:r>
        <w:rPr>
          <w:spacing w:val="-2"/>
        </w:rPr>
        <w:t>日公司董事会换届起，夏传武先生</w:t>
      </w:r>
      <w:r>
        <w:rPr/>
        <w:t> </w:t>
      </w:r>
      <w:r>
        <w:rPr>
          <w:spacing w:val="-4"/>
        </w:rPr>
        <w:t>担任公司董事长职务。同时担任深圳市卓大精密模具有限公司董事兼总经理、天津卓达科技发展有限公司执行董事兼总经理、</w:t>
      </w:r>
      <w:r>
        <w:rPr>
          <w:spacing w:val="-44"/>
        </w:rPr>
        <w:t> </w:t>
      </w:r>
      <w:r>
        <w:rPr>
          <w:spacing w:val="-44"/>
        </w:rPr>
      </w:r>
      <w:r>
        <w:rPr>
          <w:spacing w:val="-2"/>
        </w:rPr>
        <w:t>卓翼科技（香港）有限公司董事、深圳市中广视讯科技发展有限公司执行董事、深圳市卓翼智造有限公司执行董事、中广互</w:t>
      </w:r>
      <w:r>
        <w:rPr>
          <w:spacing w:val="-67"/>
        </w:rPr>
        <w:t> </w:t>
      </w:r>
      <w:r>
        <w:rPr>
          <w:spacing w:val="-67"/>
        </w:rPr>
      </w:r>
      <w:r>
        <w:rPr/>
        <w:t>联（厦门）信息科技有限公司执行董事以及公司宝安分公司负责人。</w:t>
      </w:r>
    </w:p>
    <w:p>
      <w:pPr>
        <w:pStyle w:val="BodyText"/>
        <w:spacing w:line="300" w:lineRule="auto" w:before="22"/>
        <w:ind w:right="190" w:firstLine="360"/>
        <w:jc w:val="both"/>
      </w:pPr>
      <w:r>
        <w:rPr/>
        <w:t>（</w:t>
      </w:r>
      <w:r>
        <w:rPr>
          <w:rFonts w:ascii="Times New Roman" w:hAnsi="Times New Roman" w:cs="Times New Roman" w:eastAsia="Times New Roman" w:hint="default"/>
        </w:rPr>
        <w:t>2</w:t>
      </w:r>
      <w:r>
        <w:rPr/>
        <w:t>）魏代英女士，</w:t>
      </w:r>
      <w:r>
        <w:rPr>
          <w:rFonts w:ascii="Times New Roman" w:hAnsi="Times New Roman" w:cs="Times New Roman" w:eastAsia="Times New Roman" w:hint="default"/>
        </w:rPr>
        <w:t>2006</w:t>
      </w:r>
      <w:r>
        <w:rPr/>
        <w:t>年加入卓翼科技，</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月，担任公司第一届监事会监事；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 </w:t>
      </w:r>
      <w:r>
        <w:rPr/>
        <w:t>月，担任公司第二届董事会董事；现担任本公司第三届董事会董事、董事会秘书，同时担任</w:t>
      </w:r>
      <w:r>
        <w:rPr>
          <w:rFonts w:ascii="Times New Roman" w:hAnsi="Times New Roman" w:cs="Times New Roman" w:eastAsia="Times New Roman" w:hint="default"/>
        </w:rPr>
        <w:t>Double Power Technology</w:t>
      </w:r>
      <w:r>
        <w:rPr>
          <w:rFonts w:ascii="Times New Roman" w:hAnsi="Times New Roman" w:cs="Times New Roman" w:eastAsia="Times New Roman" w:hint="default"/>
          <w:spacing w:val="-8"/>
        </w:rPr>
        <w:t> </w:t>
      </w:r>
      <w:r>
        <w:rPr>
          <w:rFonts w:ascii="Times New Roman" w:hAnsi="Times New Roman" w:cs="Times New Roman" w:eastAsia="Times New Roman" w:hint="default"/>
        </w:rPr>
        <w:t>Inc.</w:t>
      </w:r>
      <w:r>
        <w:rPr/>
        <w:t>秘 书、深圳市翼飞投资有限公司法定代表人。</w:t>
      </w:r>
    </w:p>
    <w:p>
      <w:pPr>
        <w:pStyle w:val="BodyText"/>
        <w:spacing w:line="300" w:lineRule="auto" w:before="31"/>
        <w:ind w:right="111" w:firstLine="360"/>
        <w:jc w:val="both"/>
      </w:pPr>
      <w:r>
        <w:rPr/>
        <w:t>（</w:t>
      </w:r>
      <w:r>
        <w:rPr>
          <w:rFonts w:ascii="Times New Roman" w:hAnsi="Times New Roman" w:cs="Times New Roman" w:eastAsia="Times New Roman" w:hint="default"/>
        </w:rPr>
        <w:t>3</w:t>
      </w:r>
      <w:r>
        <w:rPr/>
        <w:t>）陈新民先生，</w:t>
      </w:r>
      <w:r>
        <w:rPr>
          <w:rFonts w:ascii="Times New Roman" w:hAnsi="Times New Roman" w:cs="Times New Roman" w:eastAsia="Times New Roman" w:hint="default"/>
        </w:rPr>
        <w:t>2005</w:t>
      </w:r>
      <w:r>
        <w:rPr/>
        <w:t>年加入卓翼科技，</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月，担任公司第二届董事会董事；现担任公司制造革新 中心高级总监、第三届董事会董事；同时担任深圳市卓翼智造有限公司总经理及中广互联（厦门）信息科技有限公司监事。</w:t>
      </w:r>
    </w:p>
    <w:p>
      <w:pPr>
        <w:pStyle w:val="BodyText"/>
        <w:spacing w:line="300" w:lineRule="auto" w:before="31"/>
        <w:ind w:right="192" w:firstLine="360"/>
        <w:jc w:val="both"/>
      </w:pPr>
      <w:r>
        <w:rPr/>
        <w:t>（</w:t>
      </w:r>
      <w:r>
        <w:rPr>
          <w:rFonts w:ascii="Times New Roman" w:hAnsi="Times New Roman" w:cs="Times New Roman" w:eastAsia="Times New Roman" w:hint="default"/>
        </w:rPr>
        <w:t>4</w:t>
      </w:r>
      <w:r>
        <w:rPr/>
        <w:t>）曾兆豪先生，</w:t>
      </w:r>
      <w:r>
        <w:rPr>
          <w:rFonts w:ascii="Times New Roman" w:hAnsi="Times New Roman" w:cs="Times New Roman" w:eastAsia="Times New Roman" w:hint="default"/>
        </w:rPr>
        <w:t>2005</w:t>
      </w:r>
      <w:r>
        <w:rPr/>
        <w:t>年加入深圳市卓翼科技股份有限公司，先后担任资讯部经理、资材部经理、产品事业部总监、 </w:t>
      </w:r>
      <w:r>
        <w:rPr>
          <w:spacing w:val="3"/>
        </w:rPr>
        <w:t>资讯中心总监职务，现担任公司财务负责人；从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14</w:t>
      </w:r>
      <w:r>
        <w:rPr>
          <w:spacing w:val="3"/>
        </w:rPr>
        <w:t>日起，担任公司第三届董事会董事，同时担任</w:t>
      </w:r>
      <w:r>
        <w:rPr>
          <w:rFonts w:ascii="Times New Roman" w:hAnsi="Times New Roman" w:cs="Times New Roman" w:eastAsia="Times New Roman" w:hint="default"/>
          <w:spacing w:val="3"/>
        </w:rPr>
        <w:t>Double</w:t>
      </w:r>
      <w:r>
        <w:rPr>
          <w:rFonts w:ascii="Times New Roman" w:hAnsi="Times New Roman" w:cs="Times New Roman" w:eastAsia="Times New Roman" w:hint="default"/>
          <w:spacing w:val="29"/>
        </w:rPr>
        <w:t> </w:t>
      </w:r>
      <w:r>
        <w:rPr>
          <w:rFonts w:ascii="Times New Roman" w:hAnsi="Times New Roman" w:cs="Times New Roman" w:eastAsia="Times New Roman" w:hint="default"/>
        </w:rPr>
        <w:t>Power</w:t>
      </w:r>
      <w:r>
        <w:rPr>
          <w:rFonts w:ascii="Times New Roman" w:hAnsi="Times New Roman" w:cs="Times New Roman" w:eastAsia="Times New Roman" w:hint="default"/>
        </w:rPr>
        <w:t> Technology</w:t>
      </w:r>
      <w:r>
        <w:rPr>
          <w:rFonts w:ascii="Times New Roman" w:hAnsi="Times New Roman" w:cs="Times New Roman" w:eastAsia="Times New Roman" w:hint="default"/>
          <w:spacing w:val="-5"/>
        </w:rPr>
        <w:t> </w:t>
      </w:r>
      <w:r>
        <w:rPr>
          <w:rFonts w:ascii="Times New Roman" w:hAnsi="Times New Roman" w:cs="Times New Roman" w:eastAsia="Times New Roman" w:hint="default"/>
        </w:rPr>
        <w:t>Inc.</w:t>
      </w:r>
      <w:r>
        <w:rPr/>
        <w:t>财务负责人。</w:t>
      </w:r>
    </w:p>
    <w:p>
      <w:pPr>
        <w:pStyle w:val="BodyText"/>
        <w:spacing w:line="309" w:lineRule="auto" w:before="13"/>
        <w:ind w:right="190" w:firstLine="360"/>
        <w:jc w:val="both"/>
      </w:pPr>
      <w:r>
        <w:rPr/>
        <w:t>（</w:t>
      </w:r>
      <w:r>
        <w:rPr>
          <w:rFonts w:ascii="Times New Roman" w:hAnsi="Times New Roman" w:cs="Times New Roman" w:eastAsia="Times New Roman" w:hint="default"/>
        </w:rPr>
        <w:t>5</w:t>
      </w:r>
      <w:r>
        <w:rPr/>
        <w:t>）昌智先生，曾任职于广东工学院、深圳大学、深圳大学文化科技服务公司、深圳经济特区发展集团公司、深圳市 </w:t>
      </w:r>
      <w:r>
        <w:rPr>
          <w:spacing w:val="-2"/>
        </w:rPr>
        <w:t>特发信息股份有限公司；曾担任深圳市证通电子股份有限公司外部董事。现担任公司第三届董事会董事，同时担任深圳市贝</w:t>
      </w:r>
      <w:r>
        <w:rPr>
          <w:spacing w:val="-63"/>
        </w:rPr>
        <w:t> </w:t>
      </w:r>
      <w:r>
        <w:rPr>
          <w:spacing w:val="-63"/>
        </w:rPr>
      </w:r>
      <w:r>
        <w:rPr/>
        <w:t>朗管理顾问有限公司总经理、深圳市承创管理咨询有限公司董事长兼总经理。</w:t>
      </w:r>
    </w:p>
    <w:p>
      <w:pPr>
        <w:pStyle w:val="BodyText"/>
        <w:spacing w:line="309" w:lineRule="auto" w:before="24"/>
        <w:ind w:right="94" w:firstLine="360"/>
        <w:jc w:val="left"/>
      </w:pPr>
      <w:r>
        <w:rPr/>
        <w:t>（</w:t>
      </w:r>
      <w:r>
        <w:rPr>
          <w:rFonts w:ascii="Times New Roman" w:hAnsi="Times New Roman" w:cs="Times New Roman" w:eastAsia="Times New Roman" w:hint="default"/>
        </w:rPr>
        <w:t>6</w:t>
      </w:r>
      <w:r>
        <w:rPr/>
        <w:t>）张学斌先生，曾担任湖南白沙矿务局会计，深圳华特容器有限公司财务经理，深圳北方实业发展有限公司财务总 监，深圳广深会计师事务所副所长，深圳市彩虹精细化工股份有限公司独立董事，深圳市海格物流股份有限公司独立董事； </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月，担任公司第二届董事会独立董事；现担任公司第三届董事会独立董事，同时担任深圳市思迈特企业</w:t>
      </w:r>
      <w:r>
        <w:rPr>
          <w:spacing w:val="-58"/>
        </w:rPr>
        <w:t> </w:t>
      </w:r>
      <w:r>
        <w:rPr>
          <w:spacing w:val="-58"/>
        </w:rPr>
      </w:r>
      <w:r>
        <w:rPr>
          <w:spacing w:val="-2"/>
        </w:rPr>
        <w:t>管理咨询有限公司监事、深圳市思迈特财税咨询有限公司执行董事、深圳德永会计师事务所合伙人、深圳市长亮科技股份有</w:t>
      </w:r>
      <w:r>
        <w:rPr>
          <w:spacing w:val="-63"/>
        </w:rPr>
        <w:t> </w:t>
      </w:r>
      <w:r>
        <w:rPr>
          <w:spacing w:val="-63"/>
        </w:rPr>
      </w:r>
      <w:r>
        <w:rPr/>
        <w:t>限公司独立董事、深圳拓日新能源科技股份有限公司独立董事、深圳市彩虹精细化工股份有限公司独立董事。</w:t>
      </w:r>
    </w:p>
    <w:p>
      <w:pPr>
        <w:pStyle w:val="BodyText"/>
        <w:spacing w:line="309" w:lineRule="auto" w:before="24"/>
        <w:ind w:right="94" w:firstLine="360"/>
        <w:jc w:val="left"/>
      </w:pPr>
      <w:r>
        <w:rPr/>
        <w:t>（</w:t>
      </w:r>
      <w:r>
        <w:rPr>
          <w:rFonts w:ascii="Times New Roman" w:hAnsi="Times New Roman" w:cs="Times New Roman" w:eastAsia="Times New Roman" w:hint="default"/>
        </w:rPr>
        <w:t>7</w:t>
      </w:r>
      <w:r>
        <w:rPr/>
        <w:t>）王艳梅女士，曾任职辽宁鞍山钢铁集团公司研究所、深圳市科学技术学会、深圳清华大学研究院、深圳清华国际 技术转移中心、深圳力合孵化器发展有限公司；曾担任浩宁达股份有限公司独立董事；现担任公司第三届董事会独立董事， 同时担任深圳市南山科技事务所所长。</w:t>
      </w:r>
    </w:p>
    <w:p>
      <w:pPr>
        <w:pStyle w:val="BodyText"/>
        <w:spacing w:line="307" w:lineRule="auto" w:before="65"/>
        <w:ind w:right="188" w:firstLine="360"/>
        <w:jc w:val="both"/>
      </w:pPr>
      <w:r>
        <w:rPr/>
        <w:t>（</w:t>
      </w:r>
      <w:r>
        <w:rPr>
          <w:rFonts w:ascii="Times New Roman" w:hAnsi="Times New Roman" w:cs="Times New Roman" w:eastAsia="Times New Roman" w:hint="default"/>
        </w:rPr>
        <w:t>8</w:t>
      </w:r>
      <w:r>
        <w:rPr/>
        <w:t>）易庆国先生，曾任职险峰机床厂、深圳特区华侨城建设指挥部、深圳市特发黎明光电集团有限公司、深圳市中小 </w:t>
      </w:r>
      <w:r>
        <w:rPr>
          <w:spacing w:val="-2"/>
        </w:rPr>
        <w:t>企业信用担保中心有限公司，曾担任深圳市第三届人大代表；现担任公司第三届董事会独立董事，同时担任深圳市水源投资</w:t>
      </w:r>
      <w:r>
        <w:rPr>
          <w:spacing w:val="-61"/>
        </w:rPr>
        <w:t> </w:t>
      </w:r>
      <w:r>
        <w:rPr>
          <w:spacing w:val="-61"/>
        </w:rPr>
      </w:r>
      <w:r>
        <w:rPr/>
        <w:t>有限公司总经理。</w:t>
      </w:r>
    </w:p>
    <w:p>
      <w:pPr>
        <w:spacing w:line="240" w:lineRule="auto" w:before="0"/>
        <w:rPr>
          <w:rFonts w:ascii="宋体" w:hAnsi="宋体" w:cs="宋体" w:eastAsia="宋体" w:hint="default"/>
          <w:sz w:val="18"/>
          <w:szCs w:val="18"/>
        </w:rPr>
      </w:pPr>
    </w:p>
    <w:p>
      <w:pPr>
        <w:pStyle w:val="BodyText"/>
        <w:spacing w:line="240" w:lineRule="auto" w:before="143"/>
        <w:ind w:left="513" w:right="93"/>
        <w:jc w:val="left"/>
      </w:pPr>
      <w:r>
        <w:rPr>
          <w:rFonts w:ascii="Times New Roman" w:hAnsi="Times New Roman" w:cs="Times New Roman" w:eastAsia="Times New Roman" w:hint="default"/>
        </w:rPr>
        <w:t>2</w:t>
      </w:r>
      <w:r>
        <w:rPr/>
        <w:t>、现任监事会成员主要工作经历</w:t>
      </w:r>
    </w:p>
    <w:p>
      <w:pPr>
        <w:pStyle w:val="BodyText"/>
        <w:spacing w:line="300" w:lineRule="auto" w:before="63"/>
        <w:ind w:right="189" w:firstLine="360"/>
        <w:jc w:val="both"/>
      </w:pPr>
      <w:r>
        <w:rPr/>
        <w:t>（</w:t>
      </w:r>
      <w:r>
        <w:rPr>
          <w:rFonts w:ascii="Times New Roman" w:hAnsi="Times New Roman" w:cs="Times New Roman" w:eastAsia="Times New Roman" w:hint="default"/>
        </w:rPr>
        <w:t>1</w:t>
      </w:r>
      <w:r>
        <w:rPr/>
        <w:t>）胡爱武女士，</w:t>
      </w:r>
      <w:r>
        <w:rPr>
          <w:rFonts w:ascii="Times New Roman" w:hAnsi="Times New Roman" w:cs="Times New Roman" w:eastAsia="Times New Roman" w:hint="default"/>
        </w:rPr>
        <w:t>2004</w:t>
      </w:r>
      <w:r>
        <w:rPr/>
        <w:t>年加入深圳市卓翼科技股份有限公司，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月担任公司第一届监事会职工代表 </w:t>
      </w:r>
      <w:r>
        <w:rPr>
          <w:spacing w:val="-2"/>
        </w:rPr>
        <w:t>监事；</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月担任公司第二届监事会监事；</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月担任公司内部审计部负责人；现担任公司</w:t>
      </w:r>
      <w:r>
        <w:rPr>
          <w:spacing w:val="-51"/>
        </w:rPr>
        <w:t> </w:t>
      </w:r>
      <w:r>
        <w:rPr>
          <w:spacing w:val="-51"/>
        </w:rPr>
      </w:r>
      <w:r>
        <w:rPr/>
        <w:t>总经理助理、第三届监事会监事，同时担任深圳市卓翼智造有限公司监事。</w:t>
      </w:r>
    </w:p>
    <w:p>
      <w:pPr>
        <w:pStyle w:val="BodyText"/>
        <w:spacing w:line="300" w:lineRule="auto" w:before="31"/>
        <w:ind w:right="188" w:firstLine="360"/>
        <w:jc w:val="both"/>
      </w:pPr>
      <w:r>
        <w:rPr/>
        <w:t>（</w:t>
      </w:r>
      <w:r>
        <w:rPr>
          <w:rFonts w:ascii="Times New Roman" w:hAnsi="Times New Roman" w:cs="Times New Roman" w:eastAsia="Times New Roman" w:hint="default"/>
        </w:rPr>
        <w:t>2</w:t>
      </w:r>
      <w:r>
        <w:rPr/>
        <w:t>）叶广照先生，曾就职于富士康科技集团，历任企划课长、组装厂长及总装制造处负责人；</w:t>
      </w:r>
      <w:r>
        <w:rPr>
          <w:rFonts w:ascii="Times New Roman" w:hAnsi="Times New Roman" w:cs="Times New Roman" w:eastAsia="Times New Roman" w:hint="default"/>
        </w:rPr>
        <w:t>2010</w:t>
      </w:r>
      <w:r>
        <w:rPr/>
        <w:t>年加入深圳市卓翼 </w:t>
      </w:r>
      <w:r>
        <w:rPr>
          <w:spacing w:val="-2"/>
        </w:rPr>
        <w:t>科技股份有限公司，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月担任公司第二届监事会监事；现担任公司移动终端事业部总经理、第三届监事会</w:t>
      </w:r>
      <w:r>
        <w:rPr>
          <w:spacing w:val="-56"/>
        </w:rPr>
        <w:t> </w:t>
      </w:r>
      <w:r>
        <w:rPr>
          <w:spacing w:val="-56"/>
        </w:rPr>
      </w:r>
      <w:r>
        <w:rPr/>
        <w:t>监事。</w:t>
      </w:r>
    </w:p>
    <w:p>
      <w:pPr>
        <w:pStyle w:val="BodyText"/>
        <w:spacing w:line="300" w:lineRule="auto" w:before="31"/>
        <w:ind w:right="192" w:firstLine="360"/>
        <w:jc w:val="both"/>
      </w:pPr>
      <w:r>
        <w:rPr>
          <w:spacing w:val="-2"/>
        </w:rPr>
        <w:t>（</w:t>
      </w:r>
      <w:r>
        <w:rPr>
          <w:rFonts w:ascii="Times New Roman" w:hAnsi="Times New Roman" w:cs="Times New Roman" w:eastAsia="Times New Roman" w:hint="default"/>
          <w:spacing w:val="-2"/>
        </w:rPr>
        <w:t>3</w:t>
      </w:r>
      <w:r>
        <w:rPr>
          <w:spacing w:val="-2"/>
        </w:rPr>
        <w:t>）夏艳华女士，</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4</w:t>
      </w:r>
      <w:r>
        <w:rPr>
          <w:spacing w:val="-2"/>
        </w:rPr>
        <w:t>月至今任职于深圳市卓翼科技股份有限公司，先后担任公司国际业务部业务员、国际业务部</w:t>
      </w:r>
      <w:r>
        <w:rPr/>
        <w:t> 副经理、商务部经理，从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日起担任公司第三届监事会职工监事；现担任公司商务部经理、第三届监事会职工监</w:t>
      </w:r>
      <w:r>
        <w:rPr>
          <w:spacing w:val="-85"/>
        </w:rPr>
        <w:t> </w:t>
      </w:r>
      <w:r>
        <w:rPr>
          <w:spacing w:val="-85"/>
        </w:rPr>
      </w:r>
      <w:r>
        <w:rPr/>
        <w:t>事。</w:t>
      </w:r>
    </w:p>
    <w:p>
      <w:pPr>
        <w:spacing w:line="240" w:lineRule="auto" w:before="3"/>
        <w:rPr>
          <w:rFonts w:ascii="宋体" w:hAnsi="宋体" w:cs="宋体" w:eastAsia="宋体" w:hint="default"/>
          <w:sz w:val="26"/>
          <w:szCs w:val="26"/>
        </w:rPr>
      </w:pPr>
    </w:p>
    <w:p>
      <w:pPr>
        <w:pStyle w:val="BodyText"/>
        <w:spacing w:line="240" w:lineRule="auto"/>
        <w:ind w:left="513" w:right="93"/>
        <w:jc w:val="left"/>
      </w:pPr>
      <w:r>
        <w:rPr>
          <w:rFonts w:ascii="Times New Roman" w:hAnsi="Times New Roman" w:cs="Times New Roman" w:eastAsia="Times New Roman" w:hint="default"/>
        </w:rPr>
        <w:t>3</w:t>
      </w:r>
      <w:r>
        <w:rPr/>
        <w:t>、现任高级管理人员主要工作经历</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3" w:right="153"/>
        <w:jc w:val="left"/>
      </w:pPr>
      <w:r>
        <w:rPr/>
        <w:t>（</w:t>
      </w:r>
      <w:r>
        <w:rPr>
          <w:rFonts w:ascii="Times New Roman" w:hAnsi="Times New Roman" w:cs="Times New Roman" w:eastAsia="Times New Roman" w:hint="default"/>
        </w:rPr>
        <w:t>1</w:t>
      </w:r>
      <w:r>
        <w:rPr/>
        <w:t>）夏传武先生简历详见董事会成员所述。</w:t>
      </w:r>
    </w:p>
    <w:p>
      <w:pPr>
        <w:pStyle w:val="BodyText"/>
        <w:spacing w:line="240" w:lineRule="auto" w:before="63"/>
        <w:ind w:left="513" w:right="153"/>
        <w:jc w:val="left"/>
      </w:pPr>
      <w:r>
        <w:rPr/>
        <w:t>（</w:t>
      </w:r>
      <w:r>
        <w:rPr>
          <w:rFonts w:ascii="Times New Roman" w:hAnsi="Times New Roman" w:cs="Times New Roman" w:eastAsia="Times New Roman" w:hint="default"/>
        </w:rPr>
        <w:t>2</w:t>
      </w:r>
      <w:r>
        <w:rPr/>
        <w:t>）魏代英女士简历详见董事会成员所述。</w:t>
      </w:r>
    </w:p>
    <w:p>
      <w:pPr>
        <w:pStyle w:val="BodyText"/>
        <w:spacing w:line="240" w:lineRule="auto" w:before="63"/>
        <w:ind w:left="513" w:right="153"/>
        <w:jc w:val="left"/>
      </w:pPr>
      <w:r>
        <w:rPr/>
        <w:t>（</w:t>
      </w:r>
      <w:r>
        <w:rPr>
          <w:rFonts w:ascii="Times New Roman" w:hAnsi="Times New Roman" w:cs="Times New Roman" w:eastAsia="Times New Roman" w:hint="default"/>
        </w:rPr>
        <w:t>3</w:t>
      </w:r>
      <w:r>
        <w:rPr/>
        <w:t>）曾兆豪先生简历详见董事会成员所述。</w:t>
      </w:r>
    </w:p>
    <w:p>
      <w:pPr>
        <w:pStyle w:val="BodyText"/>
        <w:spacing w:line="300" w:lineRule="auto" w:before="103"/>
        <w:ind w:right="154" w:firstLine="288"/>
        <w:jc w:val="both"/>
      </w:pPr>
      <w:r>
        <w:rPr/>
        <w:t>（</w:t>
      </w:r>
      <w:r>
        <w:rPr>
          <w:rFonts w:ascii="Times New Roman" w:hAnsi="Times New Roman" w:cs="Times New Roman" w:eastAsia="Times New Roman" w:hint="default"/>
        </w:rPr>
        <w:t>4</w:t>
      </w:r>
      <w:r>
        <w:rPr/>
        <w:t>）陈蔚女士，曾担任广州有线通讯工业公司助理工程师，同维电子有限公司采购部经理，共进电子有限公司供应链 </w:t>
      </w:r>
      <w:r>
        <w:rPr>
          <w:spacing w:val="-2"/>
        </w:rPr>
        <w:t>总监、市场部总监、副总经理，深圳万得凯科技有限公司总经理；</w:t>
      </w:r>
      <w:r>
        <w:rPr>
          <w:rFonts w:ascii="Times New Roman" w:hAnsi="Times New Roman" w:cs="Times New Roman" w:eastAsia="Times New Roman" w:hint="default"/>
          <w:spacing w:val="-2"/>
        </w:rPr>
        <w:t>2012</w:t>
      </w:r>
      <w:r>
        <w:rPr>
          <w:spacing w:val="-2"/>
        </w:rPr>
        <w:t>年加入深圳市卓翼科技股份有限公司；现担任本公司</w:t>
      </w:r>
      <w:r>
        <w:rPr>
          <w:spacing w:val="-64"/>
        </w:rPr>
        <w:t> </w:t>
      </w:r>
      <w:r>
        <w:rPr>
          <w:spacing w:val="-64"/>
        </w:rPr>
      </w:r>
      <w:r>
        <w:rPr/>
        <w:t>副总经理。</w:t>
      </w:r>
    </w:p>
    <w:p>
      <w:pPr>
        <w:pStyle w:val="BodyText"/>
        <w:spacing w:line="240" w:lineRule="auto" w:before="70"/>
        <w:ind w:right="153"/>
        <w:jc w:val="left"/>
      </w:pPr>
      <w:r>
        <w:rPr/>
        <w:t>在股东单位任职情况</w:t>
      </w:r>
    </w:p>
    <w:p>
      <w:pPr>
        <w:pStyle w:val="BodyText"/>
        <w:spacing w:line="340" w:lineRule="auto" w:before="117"/>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39"/>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深圳市卓大精密模具有限公司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天津卓达科技发展有限公司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天津卓达科技发展有限公司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卓翼科技（香港）有限公司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深圳市卓翼科技股份有限公司宝安分公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深圳市卓翼智造有限公司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中广互联（厦门）信息科技有限公司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Double Power Technology</w:t>
            </w:r>
            <w:r>
              <w:rPr>
                <w:rFonts w:ascii="Times New Roman"/>
                <w:spacing w:val="-25"/>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秘书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深圳市翼飞投资有限公司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Haxis GP</w:t>
            </w:r>
            <w:r>
              <w:rPr>
                <w:rFonts w:ascii="Times New Roman"/>
                <w:spacing w:val="-12"/>
                <w:sz w:val="18"/>
              </w:rPr>
              <w:t> </w:t>
            </w:r>
            <w:r>
              <w:rPr>
                <w:rFonts w:ascii="Times New Roman"/>
                <w:sz w:val="18"/>
              </w:rPr>
              <w:t>Ltd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深圳市卓翼智造有限公司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中广互联（厦门）信息科技有限公司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胡爱武</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深圳市卓翼智造有限公司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曾兆豪</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Double Power Technology</w:t>
            </w:r>
            <w:r>
              <w:rPr>
                <w:rFonts w:ascii="Times New Roman"/>
                <w:spacing w:val="-25"/>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27</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昌智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深圳市贝朗管理顾问有限公司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昌智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深圳市承创管理咨询有限公司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深圳市思迈特企业管理咨询有限公司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深圳市思迈特财税咨询有限公司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深圳德永会计师事务所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深圳市长亮科技股份有限公司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深圳拓日新能源科技股份有限公司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深圳市彩虹精细化工股份有限公司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深圳市南山科技事务所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易庆国</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深圳市水源投资有限公司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深圳市中广视讯科技发展有限公司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北京朝歌数码科技股份有限公司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53"/>
        <w:jc w:val="left"/>
      </w:pPr>
      <w:r>
        <w:rPr/>
        <w:t>公司现任及报告期内离任董事、监事和高级管理人员近三年证券监管机构处罚的情况</w:t>
      </w:r>
    </w:p>
    <w:p>
      <w:pPr>
        <w:pStyle w:val="BodyText"/>
        <w:spacing w:line="240" w:lineRule="auto" w:before="117"/>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3"/>
        <w:jc w:val="left"/>
      </w:pPr>
      <w:r>
        <w:rPr/>
        <w:t>董事、监事、高级管理人员报酬的决策程序、确定依据、实际支付情况</w:t>
      </w:r>
    </w:p>
    <w:p>
      <w:pPr>
        <w:pStyle w:val="BodyText"/>
        <w:spacing w:line="340" w:lineRule="auto" w:before="118"/>
        <w:ind w:left="513" w:right="153"/>
        <w:jc w:val="left"/>
      </w:pPr>
      <w:r>
        <w:rPr>
          <w:rFonts w:ascii="Times New Roman" w:hAnsi="Times New Roman" w:cs="Times New Roman" w:eastAsia="Times New Roman" w:hint="default"/>
        </w:rPr>
        <w:t>1</w:t>
      </w:r>
      <w:r>
        <w:rPr/>
        <w:t>、</w:t>
      </w:r>
      <w:r>
        <w:rPr>
          <w:spacing w:val="-18"/>
        </w:rPr>
        <w:t> </w:t>
      </w:r>
      <w:r>
        <w:rPr/>
        <w:t>董事、监事、高级管理人员报酬的决策程序</w:t>
      </w:r>
      <w:r>
        <w:rPr/>
        <w:t> </w:t>
      </w:r>
      <w:r>
        <w:rPr>
          <w:spacing w:val="-2"/>
        </w:rPr>
        <w:t>公司董事、监事及高级管理人员报酬情况严格按照公司制定的《董事会议事规则》和《股东大会议事规则》执行，符合</w:t>
      </w:r>
    </w:p>
    <w:p>
      <w:pPr>
        <w:pStyle w:val="BodyText"/>
        <w:spacing w:line="240" w:lineRule="auto" w:before="1"/>
        <w:ind w:right="153"/>
        <w:jc w:val="left"/>
      </w:pPr>
      <w:r>
        <w:rPr/>
        <w:t>公司《章程》及《公司法》等的有关规定。</w:t>
      </w:r>
    </w:p>
    <w:p>
      <w:pPr>
        <w:pStyle w:val="BodyText"/>
        <w:spacing w:line="300" w:lineRule="auto" w:before="115"/>
        <w:ind w:left="513" w:right="0"/>
        <w:jc w:val="left"/>
      </w:pPr>
      <w:r>
        <w:rPr>
          <w:rFonts w:ascii="Times New Roman" w:hAnsi="Times New Roman" w:cs="Times New Roman" w:eastAsia="Times New Roman" w:hint="default"/>
        </w:rPr>
        <w:t>2</w:t>
      </w:r>
      <w:r>
        <w:rPr/>
        <w:t>、董事、监事、高级管理人员报酬的确定依据 </w:t>
      </w:r>
      <w:r>
        <w:rPr>
          <w:spacing w:val="-2"/>
        </w:rPr>
        <w:t>在公司任职的董事（不含独立董事）、监事、高级管理人员按其职务根据公司现行的薪酬制度、参与经营业绩和个人绩</w:t>
      </w:r>
    </w:p>
    <w:p>
      <w:pPr>
        <w:pStyle w:val="BodyText"/>
        <w:spacing w:line="316" w:lineRule="auto" w:before="31"/>
        <w:ind w:right="0"/>
        <w:jc w:val="left"/>
      </w:pPr>
      <w:r>
        <w:rPr>
          <w:spacing w:val="-2"/>
        </w:rPr>
        <w:t>效的实际情况领取报酬，高级管理人员实行年薪制，年薪与年度经营业绩挂钩，同时参照所处行业、地区的薪酬水平等综合</w:t>
      </w:r>
      <w:r>
        <w:rPr>
          <w:spacing w:val="-65"/>
        </w:rPr>
        <w:t> </w:t>
      </w:r>
      <w:r>
        <w:rPr>
          <w:spacing w:val="-65"/>
        </w:rPr>
      </w:r>
      <w:r>
        <w:rPr>
          <w:spacing w:val="-2"/>
        </w:rPr>
        <w:t>因素确定，并在年终实行绩效考核，上述人员的收入均为其从事公司管理工作的工资性收入。公司外部董事、独立董事的津</w:t>
      </w:r>
    </w:p>
    <w:p>
      <w:pPr>
        <w:spacing w:after="0" w:line="316"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93"/>
        <w:jc w:val="left"/>
      </w:pPr>
      <w:r>
        <w:rPr/>
        <w:t>贴为</w:t>
      </w:r>
      <w:r>
        <w:rPr>
          <w:rFonts w:ascii="Times New Roman" w:hAnsi="Times New Roman" w:cs="Times New Roman" w:eastAsia="Times New Roman" w:hint="default"/>
        </w:rPr>
        <w:t>6</w:t>
      </w:r>
      <w:r>
        <w:rPr/>
        <w:t>万元</w:t>
      </w:r>
      <w:r>
        <w:rPr>
          <w:rFonts w:ascii="Times New Roman" w:hAnsi="Times New Roman" w:cs="Times New Roman" w:eastAsia="Times New Roman" w:hint="default"/>
        </w:rPr>
        <w:t>/</w:t>
      </w:r>
      <w:r>
        <w:rPr/>
        <w:t>年（含税）。</w:t>
      </w:r>
    </w:p>
    <w:p>
      <w:pPr>
        <w:pStyle w:val="BodyText"/>
        <w:spacing w:line="300" w:lineRule="auto" w:before="63"/>
        <w:ind w:left="513" w:right="93"/>
        <w:jc w:val="left"/>
      </w:pPr>
      <w:r>
        <w:rPr>
          <w:rFonts w:ascii="Times New Roman" w:hAnsi="Times New Roman" w:cs="Times New Roman" w:eastAsia="Times New Roman" w:hint="default"/>
        </w:rPr>
        <w:t>3</w:t>
      </w:r>
      <w:r>
        <w:rPr/>
        <w:t>、董事、监事、高级管理人员报酬的实际支付情况 公司按照劳动法及公司薪酬制度的有关规定，如期足额支付公司董事、监事及高级管理人员的薪资，其中，外部董事、</w:t>
      </w:r>
    </w:p>
    <w:p>
      <w:pPr>
        <w:pStyle w:val="BodyText"/>
        <w:spacing w:line="360" w:lineRule="auto" w:before="31"/>
        <w:ind w:right="5854"/>
        <w:jc w:val="left"/>
      </w:pPr>
      <w:r>
        <w:rPr/>
        <w:t>独立董事的津贴每半年支付一次。 公司报告期内董事、监事和高级管理人员报酬情况</w:t>
      </w:r>
    </w:p>
    <w:p>
      <w:pPr>
        <w:pStyle w:val="BodyText"/>
        <w:spacing w:line="240" w:lineRule="auto" w:before="25"/>
        <w:ind w:left="0" w:right="19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66.91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董事、董事会秘 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昌智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曾兆豪</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1"/>
              <w:jc w:val="left"/>
              <w:rPr>
                <w:rFonts w:ascii="宋体" w:hAnsi="宋体" w:cs="宋体" w:eastAsia="宋体" w:hint="default"/>
                <w:sz w:val="18"/>
                <w:szCs w:val="18"/>
              </w:rPr>
            </w:pPr>
            <w:r>
              <w:rPr>
                <w:rFonts w:ascii="宋体" w:hAnsi="宋体" w:cs="宋体" w:eastAsia="宋体" w:hint="default"/>
                <w:sz w:val="18"/>
                <w:szCs w:val="18"/>
              </w:rPr>
              <w:t>董事、财务负责 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易庆国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胡爱武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叶广照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夏艳华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董海军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余红英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原职工监事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324.91</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40"/>
        </w:sectPr>
      </w:pPr>
    </w:p>
    <w:p>
      <w:pPr>
        <w:pStyle w:val="BodyText"/>
        <w:spacing w:line="240" w:lineRule="auto" w:before="49"/>
        <w:ind w:right="-20"/>
        <w:jc w:val="left"/>
      </w:pPr>
      <w:r>
        <w:rPr/>
        <w:t>公司董事、监事、高级管理人员报告期内被授予的股权激励情况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940"/>
          <w:cols w:num="2" w:equalWidth="0">
            <w:col w:w="5193" w:space="3727"/>
            <w:col w:w="107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69"/>
        <w:gridCol w:w="872"/>
        <w:gridCol w:w="869"/>
        <w:gridCol w:w="871"/>
        <w:gridCol w:w="869"/>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0"/>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45" w:right="41"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p>
            <w:pPr>
              <w:pStyle w:val="TableParagraph"/>
              <w:spacing w:line="119"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0"/>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3"/>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魏代英</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会秘书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88"/>
              <w:jc w:val="right"/>
              <w:rPr>
                <w:rFonts w:ascii="宋体" w:hAnsi="宋体" w:cs="宋体" w:eastAsia="宋体" w:hint="default"/>
                <w:sz w:val="18"/>
                <w:szCs w:val="18"/>
              </w:rPr>
            </w:pPr>
            <w:r>
              <w:rPr>
                <w:rFonts w:ascii="宋体" w:hAnsi="宋体" w:cs="宋体" w:eastAsia="宋体" w:hint="default"/>
                <w:sz w:val="18"/>
                <w:szCs w:val="18"/>
              </w:rPr>
              <w:t>陈新民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曾兆豪</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负责人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69"/>
        <w:gridCol w:w="871"/>
        <w:gridCol w:w="872"/>
        <w:gridCol w:w="869"/>
        <w:gridCol w:w="869"/>
        <w:gridCol w:w="872"/>
        <w:gridCol w:w="869"/>
        <w:gridCol w:w="871"/>
        <w:gridCol w:w="869"/>
        <w:gridCol w:w="871"/>
      </w:tblGrid>
      <w:tr>
        <w:trPr>
          <w:trHeight w:val="401"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陈蔚</w:t>
            </w:r>
          </w:p>
        </w:tc>
        <w:tc>
          <w:tcPr>
            <w:tcW w:w="869"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right="83"/>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540,000</w:t>
            </w:r>
          </w:p>
        </w:tc>
      </w:tr>
      <w:tr>
        <w:trPr>
          <w:trHeight w:val="40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夏艳华</w:t>
            </w:r>
          </w:p>
        </w:tc>
        <w:tc>
          <w:tcPr>
            <w:tcW w:w="869"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right="83"/>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13.3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45,000</w:t>
            </w:r>
          </w:p>
        </w:tc>
      </w:tr>
      <w:tr>
        <w:trPr>
          <w:trHeight w:val="401"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1,965,000</w:t>
            </w:r>
          </w:p>
        </w:tc>
      </w:tr>
      <w:tr>
        <w:trPr>
          <w:trHeight w:val="1651" w:hRule="exact"/>
        </w:trPr>
        <w:tc>
          <w:tcPr>
            <w:tcW w:w="1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33" w:type="dxa"/>
            <w:gridSpan w:val="9"/>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9" w:right="46" w:firstLine="362"/>
              <w:jc w:val="left"/>
              <w:rPr>
                <w:rFonts w:ascii="宋体" w:hAnsi="宋体" w:cs="宋体" w:eastAsia="宋体" w:hint="default"/>
                <w:sz w:val="18"/>
                <w:szCs w:val="18"/>
              </w:rPr>
            </w:pPr>
            <w:r>
              <w:rPr>
                <w:rFonts w:ascii="宋体" w:hAnsi="宋体" w:cs="宋体" w:eastAsia="宋体" w:hint="default"/>
                <w:sz w:val="18"/>
                <w:szCs w:val="18"/>
              </w:rPr>
              <w:t>因公司股权激励计划首次授予的限制性股票的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股份因未达到解锁条件而由公司回购注销， 其中董事魏代英女士所持有的限制性股票回购注销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股，董事陈新民先生所持有的限制性股</w:t>
            </w:r>
          </w:p>
          <w:p>
            <w:pPr>
              <w:pStyle w:val="TableParagraph"/>
              <w:spacing w:line="240" w:lineRule="auto" w:before="15"/>
              <w:ind w:left="19" w:right="0"/>
              <w:jc w:val="left"/>
              <w:rPr>
                <w:rFonts w:ascii="宋体" w:hAnsi="宋体" w:cs="宋体" w:eastAsia="宋体" w:hint="default"/>
                <w:sz w:val="18"/>
                <w:szCs w:val="18"/>
              </w:rPr>
            </w:pPr>
            <w:r>
              <w:rPr>
                <w:rFonts w:ascii="宋体" w:hAnsi="宋体" w:cs="宋体" w:eastAsia="宋体" w:hint="default"/>
                <w:sz w:val="18"/>
                <w:szCs w:val="18"/>
              </w:rPr>
              <w:t>票回购注销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160,000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股，董事曾兆豪先生所持有的限制性股票回购注销</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股，副总经理陈蔚女</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士所持有的限制性股票回购注销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股，职工监事夏艳华女士所持有的限制性股票回购注销</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line="240" w:lineRule="auto" w:before="1"/>
        <w:rPr>
          <w:rFonts w:ascii="宋体" w:hAnsi="宋体" w:cs="宋体" w:eastAsia="宋体" w:hint="default"/>
          <w:sz w:val="18"/>
          <w:szCs w:val="18"/>
        </w:rPr>
      </w:pPr>
    </w:p>
    <w:p>
      <w:pPr>
        <w:pStyle w:val="Heading2"/>
        <w:spacing w:line="240" w:lineRule="auto" w:before="26"/>
        <w:ind w:right="15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6,223</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6,914</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6,914</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4,005</w:t>
            </w:r>
          </w:p>
        </w:tc>
      </w:tr>
      <w:tr>
        <w:trPr>
          <w:trHeight w:val="40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1,921</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6,914</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博士及以上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1,661</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4,862</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9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91" w:firstLine="360"/>
        <w:jc w:val="both"/>
      </w:pPr>
      <w:r>
        <w:rPr>
          <w:spacing w:val="-2"/>
        </w:rPr>
        <w:t>本公司实行劳动合同制，按照《中华人民共和国劳动合同法》和国家及地方其他有关劳动法律、法规的规定，与员工签</w:t>
      </w:r>
      <w:r>
        <w:rPr/>
        <w:t> </w:t>
      </w:r>
      <w:r>
        <w:rPr>
          <w:spacing w:val="-2"/>
        </w:rPr>
        <w:t>订劳动合同。公司严格执行国家用工制度、劳动保护制度、社会保障制度和医疗保障制度，按照国家规定为员工缴纳医疗保</w:t>
      </w:r>
      <w:r>
        <w:rPr>
          <w:spacing w:val="-64"/>
        </w:rPr>
        <w:t> </w:t>
      </w:r>
      <w:r>
        <w:rPr>
          <w:spacing w:val="-64"/>
        </w:rPr>
      </w:r>
      <w:r>
        <w:rPr/>
        <w:t>险金、养老保险、失业保险、工伤保险、生育保险、公积金。</w:t>
      </w:r>
    </w:p>
    <w:p>
      <w:pPr>
        <w:pStyle w:val="BodyText"/>
        <w:spacing w:line="316" w:lineRule="auto" w:before="19"/>
        <w:ind w:right="192" w:firstLine="360"/>
        <w:jc w:val="both"/>
      </w:pPr>
      <w:r>
        <w:rPr>
          <w:spacing w:val="-2"/>
        </w:rPr>
        <w:t>公司向员工提供稳定而有竞争力的薪酬，建立了一套以岗位定薪的薪酬和绩效考核体系，充分调动员工的积极性和创造</w:t>
      </w:r>
      <w:r>
        <w:rPr/>
        <w:t> </w:t>
      </w:r>
      <w:r>
        <w:rPr>
          <w:spacing w:val="-2"/>
        </w:rPr>
        <w:t>性，不断提高员工的满意度和忠诚度。同时，公司积极探索和不断完善有持久吸引力的绩效评价体系和相应的激励机制，实</w:t>
      </w:r>
      <w:r>
        <w:rPr>
          <w:spacing w:val="-66"/>
        </w:rPr>
        <w:t> </w:t>
      </w:r>
      <w:r>
        <w:rPr>
          <w:spacing w:val="-66"/>
        </w:rPr>
      </w:r>
      <w:r>
        <w:rPr/>
        <w:t>现人力资源的可持续发展，从而塑造一支高素质的人才队伍，持续增强公司的竞争实力。</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94" w:firstLine="360"/>
        <w:jc w:val="left"/>
      </w:pPr>
      <w:r>
        <w:rPr/>
        <w:t>公司自上而下构建了完善的培训体系，培训内容涵盖了新员工培训、专项技术、管理技能、经验交流等多方面的内容， </w:t>
      </w:r>
      <w:r>
        <w:rPr>
          <w:spacing w:val="-2"/>
        </w:rPr>
        <w:t>积极寻求各种有效的培训资源（如高校、政府、社会培训学校及内部优秀师资挖掘与培养等），同时全年组织员工参加各类</w:t>
      </w:r>
      <w:r>
        <w:rPr>
          <w:spacing w:val="-65"/>
        </w:rPr>
        <w:t> </w:t>
      </w:r>
      <w:r>
        <w:rPr>
          <w:spacing w:val="-65"/>
        </w:rPr>
      </w:r>
      <w:r>
        <w:rPr/>
        <w:t>职业资格考试，提升员工的工作技术水平，将</w:t>
      </w:r>
      <w:r>
        <w:rPr>
          <w:rFonts w:ascii="Times New Roman" w:hAnsi="Times New Roman" w:cs="Times New Roman" w:eastAsia="Times New Roman" w:hint="default"/>
        </w:rPr>
        <w:t>“</w:t>
      </w:r>
      <w:r>
        <w:rPr/>
        <w:t>分享</w:t>
      </w:r>
      <w:r>
        <w:rPr>
          <w:rFonts w:ascii="Times New Roman" w:hAnsi="Times New Roman" w:cs="Times New Roman" w:eastAsia="Times New Roman" w:hint="default"/>
        </w:rPr>
        <w:t>”</w:t>
      </w:r>
      <w:r>
        <w:rPr/>
        <w:t>的理念贯穿于整个培训体系。</w:t>
      </w:r>
    </w:p>
    <w:p>
      <w:pPr>
        <w:spacing w:line="240" w:lineRule="auto" w:before="2"/>
        <w:rPr>
          <w:rFonts w:ascii="宋体" w:hAnsi="宋体" w:cs="宋体" w:eastAsia="宋体" w:hint="default"/>
          <w:sz w:val="21"/>
          <w:szCs w:val="21"/>
        </w:rPr>
      </w:pPr>
    </w:p>
    <w:p>
      <w:pPr>
        <w:pStyle w:val="Heading3"/>
        <w:spacing w:line="240" w:lineRule="auto"/>
        <w:ind w:right="9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65"/>
        <w:jc w:val="center"/>
        <w:rPr>
          <w:b w:val="0"/>
          <w:bCs w:val="0"/>
        </w:rPr>
      </w:pPr>
      <w:bookmarkStart w:name="_bookmark7" w:id="8"/>
      <w:bookmarkEnd w:id="8"/>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360"/>
        <w:jc w:val="both"/>
      </w:pPr>
      <w:r>
        <w:rPr>
          <w:spacing w:val="-2"/>
        </w:rPr>
        <w:t>报告期内，公司严格按照《公司法》、《证券法》、《上市公司治理准则》、《深圳证券交易所股票上市规则》、《深</w:t>
      </w:r>
      <w:r>
        <w:rPr/>
        <w:t> </w:t>
      </w:r>
      <w:r>
        <w:rPr>
          <w:spacing w:val="-2"/>
        </w:rPr>
        <w:t>圳证券交易所中小企业板上市公司规范运作指引》等法律法规的要求，不断完善公司治理，健全内部控制制度，规范公司运</w:t>
      </w:r>
      <w:r>
        <w:rPr>
          <w:spacing w:val="-64"/>
        </w:rPr>
        <w:t> </w:t>
      </w:r>
      <w:r>
        <w:rPr>
          <w:spacing w:val="-64"/>
        </w:rPr>
      </w:r>
      <w:r>
        <w:rPr>
          <w:spacing w:val="-2"/>
        </w:rPr>
        <w:t>作，进一步加强公司信息披露工作，积极开展投资者关系管理，提升公司的规范化和透明度，不断提高公司治理水平，确保</w:t>
      </w:r>
      <w:r>
        <w:rPr>
          <w:spacing w:val="-67"/>
        </w:rPr>
        <w:t> </w:t>
      </w:r>
      <w:r>
        <w:rPr>
          <w:spacing w:val="-67"/>
        </w:rPr>
      </w:r>
      <w:r>
        <w:rPr/>
        <w:t>公司规范、健康发展。截止报告期末，公司治理的情况基本符合中国证监会发布的有关上市公司治理的规范性文件。</w:t>
      </w:r>
    </w:p>
    <w:p>
      <w:pPr>
        <w:pStyle w:val="BodyText"/>
        <w:spacing w:line="240" w:lineRule="auto" w:before="19"/>
        <w:ind w:left="513" w:right="93"/>
        <w:jc w:val="left"/>
      </w:pPr>
      <w:r>
        <w:rPr/>
        <w:t>报告期内，公司治理具体情况如下：</w:t>
      </w:r>
    </w:p>
    <w:p>
      <w:pPr>
        <w:pStyle w:val="BodyText"/>
        <w:spacing w:line="300" w:lineRule="auto" w:before="76"/>
        <w:ind w:left="513" w:right="93"/>
        <w:jc w:val="left"/>
      </w:pPr>
      <w:r>
        <w:rPr>
          <w:rFonts w:ascii="Times New Roman" w:hAnsi="Times New Roman" w:cs="Times New Roman" w:eastAsia="Times New Roman" w:hint="default"/>
        </w:rPr>
        <w:t>1</w:t>
      </w:r>
      <w:r>
        <w:rPr/>
        <w:t>、关于股东与股东大会 公司严格按照《上市公司股东大会规则》及公司《章程》、《股东大会议事规则》等规范性文件执行股东大会的召集、</w:t>
      </w:r>
    </w:p>
    <w:p>
      <w:pPr>
        <w:pStyle w:val="BodyText"/>
        <w:spacing w:line="316" w:lineRule="auto" w:before="32"/>
        <w:ind w:right="195"/>
        <w:jc w:val="both"/>
      </w:pPr>
      <w:r>
        <w:rPr>
          <w:spacing w:val="-2"/>
        </w:rPr>
        <w:t>召开、表决等程序，确保平等对待所有股东，特别是保证中小股东享有平等地位，充分行使自己的权力，有效地保证了中小</w:t>
      </w:r>
      <w:r>
        <w:rPr>
          <w:spacing w:val="-67"/>
        </w:rPr>
        <w:t> </w:t>
      </w:r>
      <w:r>
        <w:rPr>
          <w:spacing w:val="-67"/>
        </w:rPr>
      </w:r>
      <w:r>
        <w:rPr>
          <w:spacing w:val="-2"/>
        </w:rPr>
        <w:t>股东的权益。报告期内，公司共召开了三次股东大会，均由公司董事会召集召开，采用现场投票和网络投票方式，并有见证</w:t>
      </w:r>
      <w:r>
        <w:rPr>
          <w:spacing w:val="-67"/>
        </w:rPr>
        <w:t> </w:t>
      </w:r>
      <w:r>
        <w:rPr>
          <w:spacing w:val="-67"/>
        </w:rPr>
      </w:r>
      <w:r>
        <w:rPr/>
        <w:t>律师现场见证。</w:t>
      </w:r>
    </w:p>
    <w:p>
      <w:pPr>
        <w:pStyle w:val="BodyText"/>
        <w:spacing w:line="300" w:lineRule="auto" w:before="19"/>
        <w:ind w:left="513" w:right="93"/>
        <w:jc w:val="left"/>
      </w:pPr>
      <w:r>
        <w:rPr>
          <w:rFonts w:ascii="Times New Roman" w:hAnsi="Times New Roman" w:cs="Times New Roman" w:eastAsia="Times New Roman" w:hint="default"/>
        </w:rPr>
        <w:t>2</w:t>
      </w:r>
      <w:r>
        <w:rPr/>
        <w:t>、关于公司与控股股东 </w:t>
      </w:r>
      <w:r>
        <w:rPr>
          <w:spacing w:val="-2"/>
        </w:rPr>
        <w:t>公司具有独立的业务及自主经营能力，公司控股股东严格规范自己的行为，依法通过股东大会行使出资人的权利，并承</w:t>
      </w:r>
    </w:p>
    <w:p>
      <w:pPr>
        <w:pStyle w:val="BodyText"/>
        <w:spacing w:line="309" w:lineRule="auto" w:before="31"/>
        <w:ind w:right="190"/>
        <w:jc w:val="both"/>
      </w:pPr>
      <w:r>
        <w:rPr>
          <w:spacing w:val="-2"/>
        </w:rPr>
        <w:t>担相应义务，没有超越股东大会直接或间接干预公司的决策和经营活动，公司与控股股东在人员、资产、财务、机构、业务</w:t>
      </w:r>
      <w:r>
        <w:rPr>
          <w:spacing w:val="-70"/>
        </w:rPr>
        <w:t> </w:t>
      </w:r>
      <w:r>
        <w:rPr>
          <w:spacing w:val="-70"/>
        </w:rPr>
      </w:r>
      <w:r>
        <w:rPr>
          <w:spacing w:val="-2"/>
        </w:rPr>
        <w:t>做到了</w:t>
      </w:r>
      <w:r>
        <w:rPr>
          <w:rFonts w:ascii="Times New Roman" w:hAnsi="Times New Roman" w:cs="Times New Roman" w:eastAsia="Times New Roman" w:hint="default"/>
          <w:spacing w:val="-2"/>
        </w:rPr>
        <w:t>“</w:t>
      </w:r>
      <w:r>
        <w:rPr>
          <w:spacing w:val="-2"/>
        </w:rPr>
        <w:t>五独立</w:t>
      </w:r>
      <w:r>
        <w:rPr>
          <w:rFonts w:ascii="Times New Roman" w:hAnsi="Times New Roman" w:cs="Times New Roman" w:eastAsia="Times New Roman" w:hint="default"/>
          <w:spacing w:val="-2"/>
        </w:rPr>
        <w:t>”</w:t>
      </w:r>
      <w:r>
        <w:rPr>
          <w:spacing w:val="-2"/>
        </w:rPr>
        <w:t>，公司董事会、监事会和内部机构能够独立运作。在报告期内，控股股东严格遵守相关承诺，公司未与控股</w:t>
      </w:r>
      <w:r>
        <w:rPr>
          <w:spacing w:val="-46"/>
        </w:rPr>
        <w:t> </w:t>
      </w:r>
      <w:r>
        <w:rPr>
          <w:spacing w:val="-46"/>
        </w:rPr>
      </w:r>
      <w:r>
        <w:rPr/>
        <w:t>股东进行关联交易，不存在控股股东占用上市公司资金的现象。</w:t>
      </w:r>
    </w:p>
    <w:p>
      <w:pPr>
        <w:pStyle w:val="BodyText"/>
        <w:spacing w:line="300" w:lineRule="auto" w:before="24"/>
        <w:ind w:left="513" w:right="93"/>
        <w:jc w:val="left"/>
      </w:pPr>
      <w:r>
        <w:rPr>
          <w:rFonts w:ascii="Times New Roman" w:hAnsi="Times New Roman" w:cs="Times New Roman" w:eastAsia="Times New Roman" w:hint="default"/>
        </w:rPr>
        <w:t>3</w:t>
      </w:r>
      <w:r>
        <w:rPr/>
        <w:t>、关于董事与董事会 公司严格按照《公司法》、公司《章程》等规定的选聘程序选举董事，确保公司董事选举的公开、公平、公正、独立，</w:t>
      </w:r>
    </w:p>
    <w:p>
      <w:pPr>
        <w:pStyle w:val="BodyText"/>
        <w:spacing w:line="319" w:lineRule="auto" w:before="31"/>
        <w:ind w:right="194"/>
        <w:jc w:val="both"/>
      </w:pPr>
      <w:r>
        <w:rPr>
          <w:spacing w:val="-2"/>
        </w:rPr>
        <w:t>公司目前有八名董事，其中独立董事三名（一名为会计专业人员），占全体董事的三分之一以上，董事会的人数和人员构成</w:t>
      </w:r>
      <w:r>
        <w:rPr>
          <w:spacing w:val="-67"/>
        </w:rPr>
        <w:t> </w:t>
      </w:r>
      <w:r>
        <w:rPr>
          <w:spacing w:val="-67"/>
        </w:rPr>
      </w:r>
      <w:r>
        <w:rPr>
          <w:spacing w:val="-2"/>
        </w:rPr>
        <w:t>符合法律法规和公司《章程》等的要求。报告期内，董事会严格按照公司《章程》、《独立董事工作制度》和《董事会议事</w:t>
      </w:r>
      <w:r>
        <w:rPr>
          <w:spacing w:val="-74"/>
        </w:rPr>
        <w:t> </w:t>
      </w:r>
      <w:r>
        <w:rPr>
          <w:spacing w:val="-74"/>
        </w:rPr>
      </w:r>
      <w:r>
        <w:rPr>
          <w:spacing w:val="-2"/>
        </w:rPr>
        <w:t>规则》等规定召集、召开董事会会议和股东大会会议，执行股东大会决议；全体董事严格按照《公司法》、公司《章程》和</w:t>
      </w:r>
    </w:p>
    <w:p>
      <w:pPr>
        <w:pStyle w:val="BodyText"/>
        <w:spacing w:line="316" w:lineRule="auto" w:before="17"/>
        <w:ind w:right="191"/>
        <w:jc w:val="both"/>
      </w:pPr>
      <w:r>
        <w:rPr>
          <w:spacing w:val="-2"/>
        </w:rPr>
        <w:t>《董事会议事规则》等制度开展工作，积极参加相关知识的培训，熟悉有关法律法规，勤勉尽责履行权力、义务和责任。公</w:t>
      </w:r>
      <w:r>
        <w:rPr>
          <w:spacing w:val="-70"/>
        </w:rPr>
        <w:t> </w:t>
      </w:r>
      <w:r>
        <w:rPr>
          <w:spacing w:val="-70"/>
        </w:rPr>
      </w:r>
      <w:r>
        <w:rPr>
          <w:spacing w:val="-2"/>
        </w:rPr>
        <w:t>司董事会下设薪酬与考核委员会、审计委员会、提名委员会，并制定了各委员会相关的实施细则，董事会专门委员会严格按</w:t>
      </w:r>
      <w:r>
        <w:rPr>
          <w:spacing w:val="-64"/>
        </w:rPr>
        <w:t> </w:t>
      </w:r>
      <w:r>
        <w:rPr>
          <w:spacing w:val="-64"/>
        </w:rPr>
      </w:r>
      <w:r>
        <w:rPr/>
        <w:t>照实施细则运作。报告期内，公司共召开了七次董事会，各位董事认真审议各项议案，履行应尽的职责。</w:t>
      </w:r>
    </w:p>
    <w:p>
      <w:pPr>
        <w:pStyle w:val="BodyText"/>
        <w:spacing w:line="300" w:lineRule="auto" w:before="19"/>
        <w:ind w:left="513" w:right="93"/>
        <w:jc w:val="left"/>
      </w:pPr>
      <w:r>
        <w:rPr>
          <w:rFonts w:ascii="Times New Roman" w:hAnsi="Times New Roman" w:cs="Times New Roman" w:eastAsia="Times New Roman" w:hint="default"/>
        </w:rPr>
        <w:t>4</w:t>
      </w:r>
      <w:r>
        <w:rPr/>
        <w:t>、关于监事与监事会 公司严格按照《公司法》、公司《章程》等规定的选聘程序选举监事，确保公司监事选举的公开、公平、公正、独立，</w:t>
      </w:r>
    </w:p>
    <w:p>
      <w:pPr>
        <w:pStyle w:val="BodyText"/>
        <w:spacing w:line="316" w:lineRule="auto" w:before="31"/>
        <w:ind w:right="94"/>
        <w:jc w:val="left"/>
      </w:pPr>
      <w:r>
        <w:rPr>
          <w:spacing w:val="-2"/>
        </w:rPr>
        <w:t>监事会人员构成和人数符合法律、法规的要求。公司严格规范监事会的召集、召开和表决，全体监事严格按照《监事会议事</w:t>
      </w:r>
      <w:r>
        <w:rPr>
          <w:spacing w:val="-67"/>
        </w:rPr>
        <w:t> </w:t>
      </w:r>
      <w:r>
        <w:rPr>
          <w:spacing w:val="-67"/>
        </w:rPr>
      </w:r>
      <w:r>
        <w:rPr/>
        <w:t>规则》等的要求，认真履行职责，对公司重大事项、财务状况及公司董事、高级管理人员履行职责的合法合规性进行监督， </w:t>
      </w:r>
      <w:r>
        <w:rPr>
          <w:spacing w:val="-2"/>
        </w:rPr>
        <w:t>切实维护公司及股东的权益。报告期内，公司共召开了六次监事会，全体监事认真审议各项议案，有效维护了公司及股东的</w:t>
      </w:r>
      <w:r>
        <w:rPr>
          <w:spacing w:val="-65"/>
        </w:rPr>
        <w:t> </w:t>
      </w:r>
      <w:r>
        <w:rPr>
          <w:spacing w:val="-65"/>
        </w:rPr>
      </w:r>
      <w:r>
        <w:rPr/>
        <w:t>合法权益。</w:t>
      </w:r>
    </w:p>
    <w:p>
      <w:pPr>
        <w:pStyle w:val="BodyText"/>
        <w:spacing w:line="300" w:lineRule="auto" w:before="19"/>
        <w:ind w:left="513" w:right="93"/>
        <w:jc w:val="left"/>
      </w:pPr>
      <w:r>
        <w:rPr>
          <w:rFonts w:ascii="Times New Roman" w:hAnsi="Times New Roman" w:cs="Times New Roman" w:eastAsia="Times New Roman" w:hint="default"/>
        </w:rPr>
        <w:t>5</w:t>
      </w:r>
      <w:r>
        <w:rPr/>
        <w:t>、关于绩效评价和激励约束机制 </w:t>
      </w:r>
      <w:r>
        <w:rPr>
          <w:spacing w:val="-2"/>
        </w:rPr>
        <w:t>公司逐步建立和完善公正、透明的董事、监事和高级管理人员的绩效评价标准和激励约束机制，公司高管人员的聘任公</w:t>
      </w:r>
    </w:p>
    <w:p>
      <w:pPr>
        <w:pStyle w:val="BodyText"/>
        <w:spacing w:line="240" w:lineRule="auto" w:before="32"/>
        <w:ind w:right="0"/>
        <w:jc w:val="both"/>
      </w:pPr>
      <w:r>
        <w:rPr/>
        <w:t>开、透明，符合法律法规的规定。</w:t>
      </w:r>
    </w:p>
    <w:p>
      <w:pPr>
        <w:pStyle w:val="BodyText"/>
        <w:spacing w:line="300" w:lineRule="auto" w:before="76"/>
        <w:ind w:left="513" w:right="93"/>
        <w:jc w:val="left"/>
      </w:pPr>
      <w:r>
        <w:rPr>
          <w:rFonts w:ascii="Times New Roman" w:hAnsi="Times New Roman" w:cs="Times New Roman" w:eastAsia="Times New Roman" w:hint="default"/>
        </w:rPr>
        <w:t>6</w:t>
      </w:r>
      <w:r>
        <w:rPr/>
        <w:t>、关于相关利益者 </w:t>
      </w:r>
      <w:r>
        <w:rPr>
          <w:spacing w:val="-2"/>
        </w:rPr>
        <w:t>公司充分尊重和维护相关利益者的合法权益，积极与相关利益者合作，通过深交所投资者关系平台等渠道，加强与各方</w:t>
      </w:r>
    </w:p>
    <w:p>
      <w:pPr>
        <w:pStyle w:val="BodyText"/>
        <w:spacing w:line="309" w:lineRule="auto" w:before="31"/>
        <w:ind w:left="513" w:right="93" w:hanging="361"/>
        <w:jc w:val="left"/>
      </w:pPr>
      <w:r>
        <w:rPr/>
        <w:t>的沟通和交流，实现社会、股东、公司、员工等各方利益的协调平衡，共同推动公司持续、稳健发展。 </w:t>
      </w:r>
      <w:r>
        <w:rPr>
          <w:rFonts w:ascii="Times New Roman" w:hAnsi="Times New Roman" w:cs="Times New Roman" w:eastAsia="Times New Roman" w:hint="default"/>
        </w:rPr>
        <w:t>7</w:t>
      </w:r>
      <w:r>
        <w:rPr/>
        <w:t>、关于信息披露与透明度 </w:t>
      </w:r>
      <w:r>
        <w:rPr>
          <w:spacing w:val="-7"/>
        </w:rPr>
        <w:t>公司严格按照《信息披露事务管理制度》、《年报信息披露重大差错责任追究制度》、《内幕信息知情人登记管理制度》、</w:t>
      </w:r>
    </w:p>
    <w:p>
      <w:pPr>
        <w:pStyle w:val="BodyText"/>
        <w:spacing w:line="240" w:lineRule="auto" w:before="24"/>
        <w:ind w:right="0"/>
        <w:jc w:val="both"/>
      </w:pPr>
      <w:r>
        <w:rPr/>
        <w:t>《投资者关系管理制度》等的要求，真实、准确、完整、及时地披露有关信息，并指定《证券时报》、《中国证券报》和巨</w:t>
      </w:r>
    </w:p>
    <w:p>
      <w:pPr>
        <w:spacing w:after="0" w:line="240"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3"/>
        <w:jc w:val="left"/>
      </w:pPr>
      <w:r>
        <w:rPr>
          <w:spacing w:val="-2"/>
        </w:rPr>
        <w:t>潮资讯网为公司信息披露的报纸和网站，确保公司所有股东能够以平等的机会获得信息；公司建立信息披露重大差错责任追</w:t>
      </w:r>
      <w:r>
        <w:rPr>
          <w:spacing w:val="-64"/>
        </w:rPr>
        <w:t> </w:t>
      </w:r>
      <w:r>
        <w:rPr>
          <w:spacing w:val="-64"/>
        </w:rPr>
      </w:r>
      <w:r>
        <w:rPr>
          <w:spacing w:val="-4"/>
        </w:rPr>
        <w:t>究机制，加大了对年报信息披露责任人的问责力度，提高年报信息披露质量和透明度；建立了内幕信息知情人登记管理机制，</w:t>
      </w:r>
      <w:r>
        <w:rPr>
          <w:spacing w:val="-44"/>
        </w:rPr>
        <w:t> </w:t>
      </w:r>
      <w:r>
        <w:rPr>
          <w:spacing w:val="-44"/>
        </w:rPr>
      </w:r>
      <w:r>
        <w:rPr/>
        <w:t>明确了对内幕信息知情人的管理和责任追究。</w:t>
      </w:r>
    </w:p>
    <w:p>
      <w:pPr>
        <w:pStyle w:val="BodyText"/>
        <w:spacing w:line="300" w:lineRule="auto" w:before="17"/>
        <w:ind w:left="441" w:right="93" w:firstLine="72"/>
        <w:jc w:val="left"/>
      </w:pPr>
      <w:r>
        <w:rPr>
          <w:rFonts w:ascii="Times New Roman" w:hAnsi="Times New Roman" w:cs="Times New Roman" w:eastAsia="Times New Roman" w:hint="default"/>
        </w:rPr>
        <w:t>8</w:t>
      </w:r>
      <w:r>
        <w:rPr/>
        <w:t>、内部审计制度 </w:t>
      </w:r>
      <w:r>
        <w:rPr>
          <w:spacing w:val="-1"/>
        </w:rPr>
        <w:t>公司已建立内部审计制度，设置内部审计部门，董事会聘任内部审计负责人，对公司的日常运行、重大事项等进行有效</w:t>
      </w:r>
    </w:p>
    <w:p>
      <w:pPr>
        <w:pStyle w:val="BodyText"/>
        <w:spacing w:line="240" w:lineRule="auto" w:before="31"/>
        <w:ind w:right="93"/>
        <w:jc w:val="left"/>
      </w:pPr>
      <w:r>
        <w:rPr/>
        <w:t>控制。</w:t>
      </w:r>
    </w:p>
    <w:p>
      <w:pPr>
        <w:pStyle w:val="BodyText"/>
        <w:spacing w:line="316" w:lineRule="auto" w:before="76"/>
        <w:ind w:right="93" w:firstLine="288"/>
        <w:jc w:val="left"/>
      </w:pPr>
      <w:r>
        <w:rPr>
          <w:spacing w:val="-1"/>
        </w:rPr>
        <w:t>报告期内，公司根据有关法律、法规的要求，结合公司实际情况，对公司《章程》、《内部审计制度》进行了修订和完</w:t>
      </w:r>
      <w:r>
        <w:rPr/>
        <w:t> 善，并严格履行了必要的法定程序。</w:t>
      </w:r>
    </w:p>
    <w:p>
      <w:pPr>
        <w:pStyle w:val="BodyText"/>
        <w:spacing w:line="300" w:lineRule="auto" w:before="19"/>
        <w:ind w:left="513" w:right="93" w:firstLine="72"/>
        <w:jc w:val="left"/>
      </w:pPr>
      <w:r>
        <w:rPr>
          <w:rFonts w:ascii="Times New Roman" w:hAnsi="Times New Roman" w:cs="Times New Roman" w:eastAsia="Times New Roman" w:hint="default"/>
        </w:rPr>
        <w:t>9</w:t>
      </w:r>
      <w:r>
        <w:rPr/>
        <w:t>、公司与投资者 </w:t>
      </w:r>
      <w:r>
        <w:rPr>
          <w:spacing w:val="-2"/>
        </w:rPr>
        <w:t>公司高度重视投资者关系和投资者关系管理。公司董事长为公司接待和推广工作第一责任人，董事会秘书全面负责公司</w:t>
      </w:r>
    </w:p>
    <w:p>
      <w:pPr>
        <w:pStyle w:val="BodyText"/>
        <w:spacing w:line="316" w:lineRule="auto" w:before="31"/>
        <w:ind w:right="191"/>
        <w:jc w:val="both"/>
      </w:pPr>
      <w:r>
        <w:rPr>
          <w:spacing w:val="-2"/>
        </w:rPr>
        <w:t>信息披露工作及投资者关系管理。为了加强与投资者的双向沟通，公司制定了《投资者关系管理制度》，组织并实施公司的</w:t>
      </w:r>
      <w:r>
        <w:rPr>
          <w:spacing w:val="-67"/>
        </w:rPr>
        <w:t> </w:t>
      </w:r>
      <w:r>
        <w:rPr>
          <w:spacing w:val="-67"/>
        </w:rPr>
      </w:r>
      <w:r>
        <w:rPr>
          <w:spacing w:val="-2"/>
        </w:rPr>
        <w:t>投资者关系管理工作。报告期内，公司通过年度报告网上说明会、接待投资者的调研和咨询，及时回答投资者互动平台上提</w:t>
      </w:r>
      <w:r>
        <w:rPr>
          <w:spacing w:val="-65"/>
        </w:rPr>
        <w:t> </w:t>
      </w:r>
      <w:r>
        <w:rPr>
          <w:spacing w:val="-65"/>
        </w:rPr>
      </w:r>
      <w:r>
        <w:rPr/>
        <w:t>出的问题等形式，加强与投资者的沟通。</w:t>
      </w:r>
    </w:p>
    <w:p>
      <w:pPr>
        <w:pStyle w:val="BodyText"/>
        <w:spacing w:line="240" w:lineRule="auto" w:before="60"/>
        <w:ind w:right="93"/>
        <w:jc w:val="left"/>
      </w:pPr>
      <w:r>
        <w:rPr/>
        <w:t>公司治理的实际状况与中国证监会发布的有关上市公司治理的规范性文件是否存在重大差异</w:t>
      </w:r>
    </w:p>
    <w:p>
      <w:pPr>
        <w:pStyle w:val="BodyText"/>
        <w:spacing w:line="340" w:lineRule="auto" w:before="115"/>
        <w:ind w:right="2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93"/>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93" w:firstLine="379"/>
        <w:jc w:val="left"/>
      </w:pPr>
      <w:r>
        <w:rPr/>
        <w:t>公司具有独立的业务及自主经营能力，公司控股股东严格规范自己的行为，通过股东大会行使出资人的权利，没有超 </w:t>
      </w:r>
      <w:r>
        <w:rPr>
          <w:spacing w:val="-2"/>
        </w:rPr>
        <w:t>越股东大会直接或间接干预公司的决策和经营活动，公司与控股股东在业务、人员、资产、财务、机构做到了</w:t>
      </w:r>
      <w:r>
        <w:rPr>
          <w:rFonts w:ascii="Times New Roman" w:hAnsi="Times New Roman" w:cs="Times New Roman" w:eastAsia="Times New Roman" w:hint="default"/>
          <w:spacing w:val="-2"/>
        </w:rPr>
        <w:t>“</w:t>
      </w:r>
      <w:r>
        <w:rPr>
          <w:spacing w:val="-2"/>
        </w:rPr>
        <w:t>五独立</w:t>
      </w:r>
      <w:r>
        <w:rPr>
          <w:rFonts w:ascii="Times New Roman" w:hAnsi="Times New Roman" w:cs="Times New Roman" w:eastAsia="Times New Roman" w:hint="default"/>
          <w:spacing w:val="-2"/>
        </w:rPr>
        <w:t>”</w:t>
      </w:r>
      <w:r>
        <w:rPr>
          <w:spacing w:val="-2"/>
        </w:rPr>
        <w:t>，公</w:t>
      </w:r>
      <w:r>
        <w:rPr>
          <w:spacing w:val="-54"/>
        </w:rPr>
        <w:t> </w:t>
      </w:r>
      <w:r>
        <w:rPr/>
        <w:t>司未与控股股东进行关联交易，不存在控股股东占用上市公司资金的现象。</w:t>
      </w:r>
    </w:p>
    <w:p>
      <w:pPr>
        <w:pStyle w:val="BodyText"/>
        <w:spacing w:line="300" w:lineRule="auto" w:before="24"/>
        <w:ind w:left="532" w:right="254"/>
        <w:jc w:val="left"/>
      </w:pPr>
      <w:r>
        <w:rPr>
          <w:rFonts w:ascii="Times New Roman" w:hAnsi="Times New Roman" w:cs="Times New Roman" w:eastAsia="Times New Roman" w:hint="default"/>
        </w:rPr>
        <w:t>1</w:t>
      </w:r>
      <w:r>
        <w:rPr/>
        <w:t>、业务独立 公司的业务完全独立于控股股东，是独立从事生产经营的企业法人，拥有独立、完整的生产、采购、销售体系。公司</w:t>
      </w:r>
    </w:p>
    <w:p>
      <w:pPr>
        <w:pStyle w:val="BodyText"/>
        <w:spacing w:line="319" w:lineRule="auto" w:before="31"/>
        <w:ind w:right="93"/>
        <w:jc w:val="left"/>
      </w:pPr>
      <w:r>
        <w:rPr>
          <w:spacing w:val="-2"/>
        </w:rPr>
        <w:t>具有独立对外签订合同、独立作出生产经营决策、独立从事生产经营活动的能力。公司在业务开展方面不存在对主要股东和</w:t>
      </w:r>
      <w:r>
        <w:rPr>
          <w:spacing w:val="-63"/>
        </w:rPr>
        <w:t> </w:t>
      </w:r>
      <w:r>
        <w:rPr>
          <w:spacing w:val="-63"/>
        </w:rPr>
      </w:r>
      <w:r>
        <w:rPr/>
        <w:t>其他关联方的依赖关系。报告期内，不存在资金、资产及其他资源被控股股东占用的情形。</w:t>
      </w:r>
    </w:p>
    <w:p>
      <w:pPr>
        <w:pStyle w:val="BodyText"/>
        <w:spacing w:line="300" w:lineRule="auto" w:before="17"/>
        <w:ind w:left="532" w:right="254"/>
        <w:jc w:val="left"/>
      </w:pPr>
      <w:r>
        <w:rPr>
          <w:rFonts w:ascii="Times New Roman" w:hAnsi="Times New Roman" w:cs="Times New Roman" w:eastAsia="Times New Roman" w:hint="default"/>
        </w:rPr>
        <w:t>2</w:t>
      </w:r>
      <w:r>
        <w:rPr/>
        <w:t>、资产独立 公司拥有独立于控股股东的生产经营场所、完整的资产结构和独立的生产经营活动所必须的生产系统、辅助生产系统</w:t>
      </w:r>
    </w:p>
    <w:p>
      <w:pPr>
        <w:pStyle w:val="BodyText"/>
        <w:spacing w:line="316" w:lineRule="auto" w:before="31"/>
        <w:ind w:right="93"/>
        <w:jc w:val="left"/>
      </w:pPr>
      <w:r>
        <w:rPr>
          <w:spacing w:val="-2"/>
        </w:rPr>
        <w:t>和配套设施，对所有资产拥有完全的控制支配权，不存在资产、资金被各股东、实际控制人及其控制的其他企业违规占用而</w:t>
      </w:r>
      <w:r>
        <w:rPr>
          <w:spacing w:val="-63"/>
        </w:rPr>
        <w:t> </w:t>
      </w:r>
      <w:r>
        <w:rPr>
          <w:spacing w:val="-63"/>
        </w:rPr>
      </w:r>
      <w:r>
        <w:rPr/>
        <w:t>损害公司利益的情况。</w:t>
      </w:r>
    </w:p>
    <w:p>
      <w:pPr>
        <w:pStyle w:val="BodyText"/>
        <w:spacing w:line="300" w:lineRule="auto" w:before="19"/>
        <w:ind w:left="532" w:right="254"/>
        <w:jc w:val="left"/>
      </w:pPr>
      <w:r>
        <w:rPr>
          <w:rFonts w:ascii="Times New Roman" w:hAnsi="Times New Roman" w:cs="Times New Roman" w:eastAsia="Times New Roman" w:hint="default"/>
        </w:rPr>
        <w:t>3</w:t>
      </w:r>
      <w:r>
        <w:rPr/>
        <w:t>、人员独立 公司已建立健全独立的法人治理结构。公司股东大会、董事会、监事会和总经理之间分工明确、各司其职，分别承担</w:t>
      </w:r>
    </w:p>
    <w:p>
      <w:pPr>
        <w:pStyle w:val="BodyText"/>
        <w:spacing w:line="316" w:lineRule="auto" w:before="31"/>
        <w:ind w:right="93"/>
        <w:jc w:val="left"/>
      </w:pPr>
      <w:r>
        <w:rPr>
          <w:spacing w:val="-2"/>
        </w:rPr>
        <w:t>相应的责任和义务，严格按照《公司法》和公司《章程》规范运作，不存在控股股东干预公司董事会和股东大会作出人事任</w:t>
      </w:r>
      <w:r>
        <w:rPr>
          <w:spacing w:val="-70"/>
        </w:rPr>
        <w:t> </w:t>
      </w:r>
      <w:r>
        <w:rPr>
          <w:spacing w:val="-70"/>
        </w:rPr>
      </w:r>
      <w:r>
        <w:rPr/>
        <w:t>免决定的情况。</w:t>
      </w:r>
    </w:p>
    <w:p>
      <w:pPr>
        <w:pStyle w:val="BodyText"/>
        <w:spacing w:line="240" w:lineRule="auto" w:before="19"/>
        <w:ind w:left="532" w:right="93"/>
        <w:jc w:val="left"/>
      </w:pPr>
      <w:r>
        <w:rPr/>
        <w:t>公司在员工管理、社会保障和工薪报酬等方面均独立于控股股东和其他关联方。</w:t>
      </w:r>
    </w:p>
    <w:p>
      <w:pPr>
        <w:pStyle w:val="BodyText"/>
        <w:spacing w:line="297" w:lineRule="auto" w:before="76"/>
        <w:ind w:left="532" w:right="254"/>
        <w:jc w:val="left"/>
      </w:pPr>
      <w:r>
        <w:rPr>
          <w:rFonts w:ascii="Times New Roman" w:hAnsi="Times New Roman" w:cs="Times New Roman" w:eastAsia="Times New Roman" w:hint="default"/>
        </w:rPr>
        <w:t>4</w:t>
      </w:r>
      <w:r>
        <w:rPr/>
        <w:t>、机构独立 公司的股东大会、董事会、监事会等组织机构依法独立行使各自的职权；财务部等职能部门拥有完全独立的管理、销</w:t>
      </w:r>
    </w:p>
    <w:p>
      <w:pPr>
        <w:pStyle w:val="BodyText"/>
        <w:spacing w:line="316" w:lineRule="auto" w:before="34"/>
        <w:ind w:left="532" w:right="254" w:hanging="380"/>
        <w:jc w:val="left"/>
      </w:pPr>
      <w:r>
        <w:rPr/>
        <w:t>售系统及配套设施。公司各组织机构和职能部门构成有机整体，具有独立面对市场自主经营的能力。 公司各职能机构在人员、办公场所和管理制度等方面均完全独立，不存在受主要股东及其他关联方干预公司机构设置</w:t>
      </w:r>
    </w:p>
    <w:p>
      <w:pPr>
        <w:pStyle w:val="BodyText"/>
        <w:spacing w:line="240" w:lineRule="auto" w:before="19"/>
        <w:ind w:right="93"/>
        <w:jc w:val="left"/>
      </w:pPr>
      <w:r>
        <w:rPr/>
        <w:t>的情形。</w:t>
      </w:r>
    </w:p>
    <w:p>
      <w:pPr>
        <w:pStyle w:val="BodyText"/>
        <w:spacing w:line="300" w:lineRule="auto" w:before="76"/>
        <w:ind w:left="532" w:right="254"/>
        <w:jc w:val="left"/>
      </w:pPr>
      <w:r>
        <w:rPr>
          <w:rFonts w:ascii="Times New Roman" w:hAnsi="Times New Roman" w:cs="Times New Roman" w:eastAsia="Times New Roman" w:hint="default"/>
        </w:rPr>
        <w:t>5</w:t>
      </w:r>
      <w:r>
        <w:rPr/>
        <w:t>、财务独立 公司设立独立的财务部门，配备专职财务人员，已按照相关法律、法规的要求建立一套独立、完整、规范的财务会计</w:t>
      </w:r>
    </w:p>
    <w:p>
      <w:pPr>
        <w:pStyle w:val="BodyText"/>
        <w:spacing w:line="316" w:lineRule="auto" w:before="31"/>
        <w:ind w:right="93"/>
        <w:jc w:val="left"/>
      </w:pPr>
      <w:r>
        <w:rPr>
          <w:spacing w:val="-2"/>
        </w:rPr>
        <w:t>核算体系和财务管理制度，并建立相应的内部控制制度，独立作出财务决策，实施严格的内部审计制度。公司在银行单独开</w:t>
      </w:r>
      <w:r>
        <w:rPr>
          <w:spacing w:val="-65"/>
        </w:rPr>
        <w:t> </w:t>
      </w:r>
      <w:r>
        <w:rPr>
          <w:spacing w:val="-65"/>
        </w:rPr>
      </w:r>
      <w:r>
        <w:rPr/>
        <w:t>立账户，拥有独立的银行账号；公司作为独立的纳税人，依法独立纳税。</w:t>
      </w:r>
    </w:p>
    <w:p>
      <w:pPr>
        <w:spacing w:after="0" w:line="316" w:lineRule="auto"/>
        <w:jc w:val="left"/>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53"/>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pacing w:val="-10"/>
                <w:sz w:val="18"/>
                <w:szCs w:val="18"/>
              </w:rPr>
              <w:t>具体内容详见《证券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1"/>
                <w:sz w:val="18"/>
                <w:szCs w:val="18"/>
              </w:rPr>
              <w:t>时报》、《中国证券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报》和巨潮资讯网披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露的公告（公告编 号：</w:t>
            </w:r>
            <w:r>
              <w:rPr>
                <w:rFonts w:ascii="Times New Roman" w:hAnsi="Times New Roman" w:cs="Times New Roman" w:eastAsia="Times New Roman" w:hint="default"/>
                <w:sz w:val="18"/>
                <w:szCs w:val="18"/>
              </w:rPr>
              <w:t>2015-025</w:t>
            </w:r>
            <w:r>
              <w:rPr>
                <w:rFonts w:ascii="宋体" w:hAnsi="宋体" w:cs="宋体" w:eastAsia="宋体" w:hint="default"/>
                <w:sz w:val="18"/>
                <w:szCs w:val="18"/>
              </w:rPr>
              <w:t>）</w:t>
            </w:r>
          </w:p>
        </w:tc>
      </w:tr>
      <w:tr>
        <w:trPr>
          <w:trHeight w:val="164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0"/>
                <w:sz w:val="18"/>
                <w:szCs w:val="18"/>
              </w:rPr>
              <w:t>具体内容详见《证券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1"/>
                <w:sz w:val="18"/>
                <w:szCs w:val="18"/>
              </w:rPr>
              <w:t>时报》、《中国证券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报》和巨潮资讯网披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露的公告（公告编 号：</w:t>
            </w:r>
            <w:r>
              <w:rPr>
                <w:rFonts w:ascii="Times New Roman" w:hAnsi="Times New Roman" w:cs="Times New Roman" w:eastAsia="Times New Roman" w:hint="default"/>
                <w:sz w:val="18"/>
                <w:szCs w:val="18"/>
              </w:rPr>
              <w:t>2015-062</w:t>
            </w:r>
            <w:r>
              <w:rPr>
                <w:rFonts w:ascii="宋体" w:hAnsi="宋体" w:cs="宋体" w:eastAsia="宋体" w:hint="default"/>
                <w:sz w:val="18"/>
                <w:szCs w:val="18"/>
              </w:rPr>
              <w:t>）</w:t>
            </w:r>
          </w:p>
        </w:tc>
      </w:tr>
      <w:tr>
        <w:trPr>
          <w:trHeight w:val="165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0"/>
                <w:sz w:val="18"/>
                <w:szCs w:val="18"/>
              </w:rPr>
              <w:t>具体内容详见《证券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1"/>
                <w:sz w:val="18"/>
                <w:szCs w:val="18"/>
              </w:rPr>
              <w:t>时报》、《中国证券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报》和巨潮资讯网披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露的公告（公告编 号：</w:t>
            </w:r>
            <w:r>
              <w:rPr>
                <w:rFonts w:ascii="Times New Roman" w:hAnsi="Times New Roman" w:cs="Times New Roman" w:eastAsia="Times New Roman" w:hint="default"/>
                <w:sz w:val="18"/>
                <w:szCs w:val="18"/>
              </w:rPr>
              <w:t>2015-088</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5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易庆国</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153"/>
        <w:jc w:val="left"/>
      </w:pPr>
      <w:r>
        <w:rPr/>
        <w:t>连续两次未亲自出席董事会的说明</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9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t>独立董事对公司有关事项是否提出异议</w:t>
      </w:r>
    </w:p>
    <w:p>
      <w:pPr>
        <w:pStyle w:val="BodyText"/>
        <w:spacing w:line="340" w:lineRule="auto" w:before="115"/>
        <w:ind w:right="6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9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3"/>
        <w:jc w:val="left"/>
      </w:pPr>
      <w:r>
        <w:rPr/>
        <w:t>独立董事对公司有关建议是否被采纳</w:t>
      </w:r>
    </w:p>
    <w:p>
      <w:pPr>
        <w:pStyle w:val="BodyText"/>
        <w:spacing w:line="340" w:lineRule="auto" w:before="117"/>
        <w:ind w:right="5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40"/>
        <w:ind w:right="192" w:firstLine="360"/>
        <w:jc w:val="both"/>
      </w:pPr>
      <w:r>
        <w:rPr>
          <w:spacing w:val="-2"/>
        </w:rPr>
        <w:t>报告期内，独立董事严格按照有关法律、法规、公司《章程》、《独立董事工作制度》的规定勤勉履行职责，忠实履行</w:t>
      </w:r>
      <w:r>
        <w:rPr/>
        <w:t> </w:t>
      </w:r>
      <w:r>
        <w:rPr>
          <w:spacing w:val="-2"/>
        </w:rPr>
        <w:t>职务，以认真负责的态度参加历次董事会，审议各项议案。通过出席董事会、股东大会、现场办公等方式，深入调查，了解</w:t>
      </w:r>
      <w:r>
        <w:rPr>
          <w:spacing w:val="-73"/>
        </w:rPr>
        <w:t> </w:t>
      </w:r>
      <w:r>
        <w:rPr>
          <w:spacing w:val="-73"/>
        </w:rPr>
      </w:r>
      <w:r>
        <w:rPr>
          <w:spacing w:val="-2"/>
        </w:rPr>
        <w:t>公司生产经营状况和内部控制的建设及董事会各项决议执行情况，及时了解公司各重大事项的进展情况，关注外部环境变化</w:t>
      </w:r>
      <w:r>
        <w:rPr>
          <w:spacing w:val="-64"/>
        </w:rPr>
        <w:t> </w:t>
      </w:r>
      <w:r>
        <w:rPr>
          <w:spacing w:val="-64"/>
        </w:rPr>
      </w:r>
      <w:r>
        <w:rPr>
          <w:spacing w:val="-2"/>
        </w:rPr>
        <w:t>对公司造成的影响，并结合自已的专业优势适时为公司经营、发展战略、内部控制、重大投资等和发展提出了合理化的意见</w:t>
      </w:r>
      <w:r>
        <w:rPr>
          <w:spacing w:val="-66"/>
        </w:rPr>
        <w:t> </w:t>
      </w:r>
      <w:r>
        <w:rPr>
          <w:spacing w:val="-66"/>
        </w:rPr>
      </w:r>
      <w:r>
        <w:rPr/>
        <w:t>和建议，对公司重大事项发表了独立意见，对董事会决策的公正、公平及保护中小投资者利益起到了积极作用。</w:t>
      </w:r>
    </w:p>
    <w:p>
      <w:pPr>
        <w:pStyle w:val="BodyText"/>
        <w:spacing w:line="240" w:lineRule="auto" w:before="19"/>
        <w:ind w:left="590" w:right="93"/>
        <w:jc w:val="left"/>
      </w:pPr>
      <w:r>
        <w:rPr/>
        <w:t>报告期内，公司各位独立董事对董事会各项议案及公司其他事项没有提出异议。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2"/>
        <w:spacing w:line="240" w:lineRule="auto"/>
        <w:ind w:right="93"/>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94" w:firstLine="360"/>
        <w:jc w:val="left"/>
      </w:pPr>
      <w:r>
        <w:rPr>
          <w:spacing w:val="-2"/>
        </w:rPr>
        <w:t>公司董事会设立了审计委员会、薪酬与考核委员会、提名委员会，并制定了专门委员会工作细则。</w:t>
      </w:r>
      <w:r>
        <w:rPr>
          <w:rFonts w:ascii="Times New Roman" w:hAnsi="Times New Roman" w:cs="Times New Roman" w:eastAsia="Times New Roman" w:hint="default"/>
          <w:spacing w:val="-2"/>
        </w:rPr>
        <w:t>2015</w:t>
      </w:r>
      <w:r>
        <w:rPr>
          <w:spacing w:val="-2"/>
        </w:rPr>
        <w:t>年，各专门委员</w:t>
      </w:r>
      <w:r>
        <w:rPr/>
        <w:t> 会本着勤勉尽责的原则，按照有关法律、法规、规范性文件及公司各专门委员会工作细则的规定开展相关工作。报告期内， 各专门委员会履职情况如下：</w:t>
      </w:r>
    </w:p>
    <w:p>
      <w:pPr>
        <w:pStyle w:val="BodyText"/>
        <w:spacing w:line="300" w:lineRule="auto" w:before="24"/>
        <w:ind w:left="513" w:right="93"/>
        <w:jc w:val="left"/>
      </w:pPr>
      <w:r>
        <w:rPr>
          <w:rFonts w:ascii="Times New Roman" w:hAnsi="Times New Roman" w:cs="Times New Roman" w:eastAsia="Times New Roman" w:hint="default"/>
        </w:rPr>
        <w:t>1</w:t>
      </w:r>
      <w:r>
        <w:rPr/>
        <w:t>、董事会审计委员会履职情况 </w:t>
      </w:r>
      <w:r>
        <w:rPr>
          <w:spacing w:val="-2"/>
        </w:rPr>
        <w:t>公司董事会审计委员会根据《公司法》、《证券法》、《上市公司治理准则》、《审计委员会年报工作制度》等有关规</w:t>
      </w:r>
    </w:p>
    <w:p>
      <w:pPr>
        <w:pStyle w:val="BodyText"/>
        <w:spacing w:line="314" w:lineRule="auto" w:before="31"/>
        <w:ind w:right="94"/>
        <w:jc w:val="left"/>
      </w:pPr>
      <w:r>
        <w:rPr>
          <w:spacing w:val="-2"/>
        </w:rPr>
        <w:t>定，积极履行职责。报告期内，审计委员会定期了解公司财务状况和经营情况，审查了公司内部控制制度及执行情况，督促</w:t>
      </w:r>
      <w:r>
        <w:rPr>
          <w:spacing w:val="-67"/>
        </w:rPr>
        <w:t> </w:t>
      </w:r>
      <w:r>
        <w:rPr>
          <w:spacing w:val="-67"/>
        </w:rPr>
      </w:r>
      <w:r>
        <w:rPr>
          <w:spacing w:val="-2"/>
        </w:rPr>
        <w:t>和指导内审部门对公司财务管理运行情况进行定期和不定期的检查和评估，在年报财务报告的审计过程中，与审计师及时进</w:t>
      </w:r>
      <w:r>
        <w:rPr>
          <w:spacing w:val="-64"/>
        </w:rPr>
        <w:t> </w:t>
      </w:r>
      <w:r>
        <w:rPr>
          <w:spacing w:val="-64"/>
        </w:rPr>
      </w:r>
      <w:r>
        <w:rPr/>
        <w:t>行工作沟通，并督促会计师认真、及时完成审计工作。报告期内，审计委员会共召开了</w:t>
      </w:r>
      <w:r>
        <w:rPr>
          <w:rFonts w:ascii="Times New Roman" w:hAnsi="Times New Roman" w:cs="Times New Roman" w:eastAsia="Times New Roman" w:hint="default"/>
        </w:rPr>
        <w:t>5</w:t>
      </w:r>
      <w:r>
        <w:rPr/>
        <w:t>次会议，审议公司内部审计部提交 的工作总结和工作计划等事项，并对内部审计部门的工作进行了指导，同时，对公司内部审计制度的执行方面进行了监督； </w:t>
      </w:r>
      <w:r>
        <w:rPr>
          <w:spacing w:val="-2"/>
        </w:rPr>
        <w:t>对在年度财务报告编制及审计过程中认真履行了监督、核查、沟通的职能，对公司健康运作及内部规章制度的贯彻执行实施</w:t>
      </w:r>
      <w:r>
        <w:rPr>
          <w:spacing w:val="-65"/>
        </w:rPr>
        <w:t> </w:t>
      </w:r>
      <w:r>
        <w:rPr>
          <w:spacing w:val="-65"/>
        </w:rPr>
      </w:r>
      <w:r>
        <w:rPr>
          <w:spacing w:val="-5"/>
        </w:rPr>
        <w:t>了有效监督。公司董事会审计委员会勤勉尽责，较好地履行了职责，委员会认为公司内控制度体系符合法律、法规及公司《章</w:t>
      </w:r>
      <w:r>
        <w:rPr>
          <w:spacing w:val="-80"/>
        </w:rPr>
        <w:t> </w:t>
      </w:r>
      <w:r>
        <w:rPr>
          <w:spacing w:val="-80"/>
        </w:rPr>
      </w:r>
      <w:r>
        <w:rPr/>
        <w:t>程》的要求，适应当前公司生产经营实际情况的需要，并能够得到有效的执行。</w:t>
      </w:r>
    </w:p>
    <w:p>
      <w:pPr>
        <w:pStyle w:val="BodyText"/>
        <w:spacing w:line="300" w:lineRule="auto" w:before="20"/>
        <w:ind w:left="513" w:right="93"/>
        <w:jc w:val="left"/>
      </w:pPr>
      <w:r>
        <w:rPr>
          <w:rFonts w:ascii="Times New Roman" w:hAnsi="Times New Roman" w:cs="Times New Roman" w:eastAsia="Times New Roman" w:hint="default"/>
        </w:rPr>
        <w:t>2</w:t>
      </w:r>
      <w:r>
        <w:rPr/>
        <w:t>、董事会薪酬与考核委员会履职情况 </w:t>
      </w:r>
      <w:r>
        <w:rPr>
          <w:spacing w:val="-2"/>
        </w:rPr>
        <w:t>报告期内，董事会薪酬与考核委员会召开了</w:t>
      </w:r>
      <w:r>
        <w:rPr>
          <w:rFonts w:ascii="Times New Roman" w:hAnsi="Times New Roman" w:cs="Times New Roman" w:eastAsia="Times New Roman" w:hint="default"/>
          <w:spacing w:val="-2"/>
        </w:rPr>
        <w:t>3</w:t>
      </w:r>
      <w:r>
        <w:rPr>
          <w:spacing w:val="-2"/>
        </w:rPr>
        <w:t>次专门会议，董事会薪酬与考核委员会依照法律、法规以及公司《章程》、</w:t>
      </w:r>
    </w:p>
    <w:p>
      <w:pPr>
        <w:pStyle w:val="BodyText"/>
        <w:spacing w:line="316" w:lineRule="auto" w:before="13"/>
        <w:ind w:left="513" w:right="93" w:hanging="361"/>
        <w:jc w:val="left"/>
      </w:pPr>
      <w:r>
        <w:rPr/>
        <w:t>《董事会薪酬与考核委员会议事规则》的规定，勤勉尽责地履行职责。 </w:t>
      </w:r>
      <w:r>
        <w:rPr>
          <w:spacing w:val="-2"/>
        </w:rPr>
        <w:t>报告期内，董事会薪酬与考核委员会对</w:t>
      </w:r>
      <w:r>
        <w:rPr>
          <w:rFonts w:ascii="Times New Roman" w:hAnsi="Times New Roman" w:cs="Times New Roman" w:eastAsia="Times New Roman" w:hint="default"/>
          <w:spacing w:val="-2"/>
        </w:rPr>
        <w:t>2014</w:t>
      </w:r>
      <w:r>
        <w:rPr>
          <w:spacing w:val="-2"/>
        </w:rPr>
        <w:t>年度工作进行了总结，对公司高级管理人员的</w:t>
      </w:r>
      <w:r>
        <w:rPr>
          <w:rFonts w:ascii="Times New Roman" w:hAnsi="Times New Roman" w:cs="Times New Roman" w:eastAsia="Times New Roman" w:hint="default"/>
          <w:spacing w:val="-2"/>
        </w:rPr>
        <w:t>2014</w:t>
      </w:r>
      <w:r>
        <w:rPr>
          <w:spacing w:val="-2"/>
        </w:rPr>
        <w:t>年度的履行职责等情况进</w:t>
      </w:r>
    </w:p>
    <w:p>
      <w:pPr>
        <w:pStyle w:val="BodyText"/>
        <w:spacing w:line="316" w:lineRule="auto"/>
        <w:ind w:right="93"/>
        <w:jc w:val="left"/>
      </w:pPr>
      <w:r>
        <w:rPr>
          <w:spacing w:val="-2"/>
        </w:rPr>
        <w:t>行了考评，在公司实施限制性股票激励计划工作中，薪酬与考核委员会委员审议通过了公司限制性股票的回购注销事宜，并</w:t>
      </w:r>
      <w:r>
        <w:rPr>
          <w:spacing w:val="-63"/>
        </w:rPr>
        <w:t> </w:t>
      </w:r>
      <w:r>
        <w:rPr>
          <w:spacing w:val="-63"/>
        </w:rPr>
      </w:r>
      <w:r>
        <w:rPr/>
        <w:t>对财务处理方案提出建议。</w:t>
      </w:r>
    </w:p>
    <w:p>
      <w:pPr>
        <w:pStyle w:val="BodyText"/>
        <w:spacing w:line="300" w:lineRule="auto" w:before="19"/>
        <w:ind w:left="513" w:right="93"/>
        <w:jc w:val="left"/>
      </w:pPr>
      <w:r>
        <w:rPr>
          <w:rFonts w:ascii="Times New Roman" w:hAnsi="Times New Roman" w:cs="Times New Roman" w:eastAsia="Times New Roman" w:hint="default"/>
        </w:rPr>
        <w:t>3</w:t>
      </w:r>
      <w:r>
        <w:rPr/>
        <w:t>、董事会提名委员会的履职情况 报告期内，董事会提名委员会召开了一次会议，审议通过了《关于提名曾兆豪先生为公司第三届董事会董事的议案》，</w:t>
      </w:r>
    </w:p>
    <w:p>
      <w:pPr>
        <w:pStyle w:val="BodyText"/>
        <w:spacing w:line="240" w:lineRule="auto" w:before="31"/>
        <w:ind w:right="93"/>
        <w:jc w:val="left"/>
      </w:pPr>
      <w:r>
        <w:rPr/>
        <w:t>同意提名曾兆豪先生为公司第三届董事会董事候选人，并提交公司董事会审议。</w:t>
      </w:r>
    </w:p>
    <w:p>
      <w:pPr>
        <w:spacing w:after="0" w:line="240" w:lineRule="auto"/>
        <w:jc w:val="left"/>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53"/>
        <w:jc w:val="left"/>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53"/>
        <w:jc w:val="left"/>
      </w:pPr>
      <w:r>
        <w:rPr/>
        <w:t>监事会在报告期内的监督活动中发现公司是否存在风险</w:t>
      </w:r>
    </w:p>
    <w:p>
      <w:pPr>
        <w:pStyle w:val="BodyText"/>
        <w:spacing w:line="340" w:lineRule="auto" w:before="115"/>
        <w:ind w:right="67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153"/>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53" w:firstLine="360"/>
        <w:jc w:val="both"/>
      </w:pPr>
      <w:r>
        <w:rPr>
          <w:rFonts w:ascii="Times New Roman" w:hAnsi="Times New Roman" w:cs="Times New Roman" w:eastAsia="Times New Roman" w:hint="default"/>
        </w:rPr>
        <w:t>1</w:t>
      </w:r>
      <w:r>
        <w:rPr/>
        <w:t>、公司建立了高级管理人员的考评、激励与约束机制，以公司规范化管理以及经营效益为基础，明确责任，实行薪酬 </w:t>
      </w:r>
      <w:r>
        <w:rPr>
          <w:spacing w:val="-2"/>
        </w:rPr>
        <w:t>与工作绩效挂钩的考评机制。董事会下设的薪酬与考核委员会结合公司实际经营完成情况以及高级管理人员的工作能力、履</w:t>
      </w:r>
      <w:r>
        <w:rPr>
          <w:spacing w:val="-64"/>
        </w:rPr>
        <w:t> </w:t>
      </w:r>
      <w:r>
        <w:rPr>
          <w:spacing w:val="-64"/>
        </w:rPr>
      </w:r>
      <w:r>
        <w:rPr>
          <w:spacing w:val="-2"/>
        </w:rPr>
        <w:t>职情况、责任目标完成情况等进行综合考评，其考评结果与其薪酬相结合。报告期内，公司高级管理人员能够严格按照《公</w:t>
      </w:r>
      <w:r>
        <w:rPr>
          <w:spacing w:val="-67"/>
        </w:rPr>
        <w:t> </w:t>
      </w:r>
      <w:r>
        <w:rPr>
          <w:spacing w:val="-67"/>
        </w:rPr>
      </w:r>
      <w:r>
        <w:rPr/>
        <w:t>司法》、</w:t>
      </w:r>
      <w:r>
        <w:rPr>
          <w:spacing w:val="-18"/>
        </w:rPr>
        <w:t> </w:t>
      </w:r>
      <w:r>
        <w:rPr/>
        <w:t>公司《章程》及相关法律法规认真履行职责，积极落实公司股东大会和董事会相关决议，在董事会的正确指导下</w:t>
      </w:r>
      <w:r>
        <w:rPr/>
        <w:t> 积极调整经营思路，不断加强内部管理，较好的完成了本年度的各项任务。</w:t>
      </w:r>
    </w:p>
    <w:p>
      <w:pPr>
        <w:pStyle w:val="BodyText"/>
        <w:spacing w:line="300" w:lineRule="auto" w:before="21"/>
        <w:ind w:right="159" w:firstLine="360"/>
        <w:jc w:val="both"/>
      </w:pPr>
      <w:r>
        <w:rPr>
          <w:rFonts w:ascii="Times New Roman" w:hAnsi="Times New Roman" w:cs="Times New Roman" w:eastAsia="Times New Roman" w:hint="default"/>
        </w:rPr>
        <w:t>2</w:t>
      </w:r>
      <w:r>
        <w:rPr/>
        <w:t>、对高级管理人员、核心技术及业务骨干人员实施股权激励计划。公司股权激励计划的实施，有利于激发管理团队的 工作积极性和创造性，提高经营效率，促进公司业绩提升。</w:t>
      </w:r>
    </w:p>
    <w:p>
      <w:pPr>
        <w:spacing w:line="240" w:lineRule="auto" w:before="11"/>
        <w:rPr>
          <w:rFonts w:ascii="宋体" w:hAnsi="宋体" w:cs="宋体" w:eastAsia="宋体" w:hint="default"/>
          <w:sz w:val="21"/>
          <w:szCs w:val="21"/>
        </w:rPr>
      </w:pPr>
    </w:p>
    <w:p>
      <w:pPr>
        <w:pStyle w:val="Heading2"/>
        <w:spacing w:line="240" w:lineRule="auto"/>
        <w:ind w:right="153"/>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3"/>
        <w:gridCol w:w="3333"/>
        <w:gridCol w:w="3053"/>
      </w:tblGrid>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5"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8"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公司现有制度中尚未明确规定</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公司现有制度中尚未明确规定</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公司现有制度中尚未明确规定</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公司现有制度中尚未明确规定</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6"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153"/>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53"/>
        <w:jc w:val="left"/>
      </w:pPr>
      <w:r>
        <w:rPr/>
        <w:t>内部控制鉴证报告</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17" w:firstLine="542"/>
              <w:jc w:val="left"/>
              <w:rPr>
                <w:rFonts w:ascii="宋体" w:hAnsi="宋体" w:cs="宋体" w:eastAsia="宋体" w:hint="default"/>
                <w:sz w:val="18"/>
                <w:szCs w:val="18"/>
              </w:rPr>
            </w:pPr>
            <w:r>
              <w:rPr>
                <w:rFonts w:ascii="宋体" w:hAnsi="宋体" w:cs="宋体" w:eastAsia="宋体" w:hint="default"/>
                <w:spacing w:val="-5"/>
                <w:sz w:val="18"/>
                <w:szCs w:val="18"/>
              </w:rPr>
              <w:t>我们认为，卓翼科技公司按照《内部会计控制规范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基本规范（试行）》和相关规定于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日在所有重大 方面保持了与财务报表相关的有效的内部控制。</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53"/>
        <w:jc w:val="left"/>
      </w:pPr>
      <w:r>
        <w:rPr/>
        <w:t>会计师事务所是否出具非标准意见的内部控制鉴证报告</w:t>
      </w:r>
    </w:p>
    <w:p>
      <w:pPr>
        <w:pStyle w:val="BodyText"/>
        <w:spacing w:line="340" w:lineRule="auto" w:before="115"/>
        <w:ind w:right="36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65"/>
        <w:jc w:val="center"/>
        <w:rPr>
          <w:b w:val="0"/>
          <w:bCs w:val="0"/>
        </w:rPr>
      </w:pPr>
      <w:bookmarkStart w:name="_bookmark8" w:id="9"/>
      <w:bookmarkEnd w:id="9"/>
      <w:r>
        <w:rPr>
          <w:b w:val="0"/>
          <w:bCs w:val="0"/>
        </w:rPr>
      </w:r>
      <w:r>
        <w:rPr/>
        <w:t>第十节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[2016]004360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张晓义、龚晨艳</w:t>
            </w:r>
          </w:p>
        </w:tc>
      </w:tr>
    </w:tbl>
    <w:p>
      <w:pPr>
        <w:pStyle w:val="BodyText"/>
        <w:spacing w:line="240" w:lineRule="auto" w:before="49"/>
        <w:ind w:left="3429" w:right="3467"/>
        <w:jc w:val="center"/>
      </w:pPr>
      <w:r>
        <w:rPr/>
        <w:t>审计报告正文</w:t>
      </w:r>
    </w:p>
    <w:p>
      <w:pPr>
        <w:pStyle w:val="BodyText"/>
        <w:spacing w:line="240" w:lineRule="auto" w:before="115"/>
        <w:ind w:right="93"/>
        <w:jc w:val="left"/>
      </w:pPr>
      <w:r>
        <w:rPr/>
        <w:t>深圳市卓翼科技股份有限公司全体股东：</w:t>
      </w:r>
    </w:p>
    <w:p>
      <w:pPr>
        <w:pStyle w:val="BodyText"/>
        <w:spacing w:line="300" w:lineRule="auto" w:before="76"/>
        <w:ind w:right="188" w:firstLine="360"/>
        <w:jc w:val="both"/>
      </w:pPr>
      <w:r>
        <w:rPr>
          <w:spacing w:val="-1"/>
        </w:rPr>
        <w:t>我们审计了后附的深圳市卓翼科技股份有限公司</w:t>
      </w:r>
      <w:r>
        <w:rPr>
          <w:rFonts w:ascii="Times New Roman" w:hAnsi="Times New Roman" w:cs="Times New Roman" w:eastAsia="Times New Roman" w:hint="default"/>
          <w:spacing w:val="-1"/>
        </w:rPr>
        <w:t>(</w:t>
      </w:r>
      <w:r>
        <w:rPr>
          <w:spacing w:val="-1"/>
        </w:rPr>
        <w:t>以下简称卓翼科技公司</w:t>
      </w:r>
      <w:r>
        <w:rPr>
          <w:rFonts w:ascii="Times New Roman" w:hAnsi="Times New Roman" w:cs="Times New Roman" w:eastAsia="Times New Roman" w:hint="default"/>
          <w:spacing w:val="-1"/>
        </w:rPr>
        <w:t>)</w:t>
      </w:r>
      <w:r>
        <w:rPr>
          <w:spacing w:val="-1"/>
        </w:rPr>
        <w:t>财务报表，包括</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w:t>
      </w:r>
      <w:r>
        <w:rPr/>
        <w:t> </w:t>
      </w:r>
      <w:r>
        <w:rPr>
          <w:spacing w:val="-2"/>
        </w:rPr>
        <w:t>司资产负债表，</w:t>
      </w:r>
      <w:r>
        <w:rPr>
          <w:rFonts w:ascii="Times New Roman" w:hAnsi="Times New Roman" w:cs="Times New Roman" w:eastAsia="Times New Roman" w:hint="default"/>
          <w:spacing w:val="-2"/>
        </w:rPr>
        <w:t>2015</w:t>
      </w:r>
      <w:r>
        <w:rPr>
          <w:spacing w:val="-2"/>
        </w:rPr>
        <w:t>年度的合并及母公司利润表、合并及母公司现金流量表、合并及母公司股东权益变动表，以及财务报表</w:t>
      </w:r>
      <w:r>
        <w:rPr>
          <w:spacing w:val="-62"/>
        </w:rPr>
        <w:t> </w:t>
      </w:r>
      <w:r>
        <w:rPr>
          <w:spacing w:val="-62"/>
        </w:rPr>
      </w:r>
      <w:r>
        <w:rPr/>
        <w:t>附注。</w:t>
      </w:r>
    </w:p>
    <w:p>
      <w:pPr>
        <w:pStyle w:val="BodyText"/>
        <w:spacing w:line="316" w:lineRule="auto" w:before="151"/>
        <w:ind w:left="513" w:right="93"/>
        <w:jc w:val="left"/>
      </w:pPr>
      <w:r>
        <w:rPr/>
        <w:t>一、管理层对财务报表的责任 </w:t>
      </w:r>
      <w:r>
        <w:rPr>
          <w:spacing w:val="-2"/>
        </w:rPr>
        <w:t>编制和公允列报财务报表是卓翼科技公司管理层的责任，这种责任包括：（</w:t>
      </w:r>
      <w:r>
        <w:rPr>
          <w:rFonts w:ascii="Times New Roman" w:hAnsi="Times New Roman" w:cs="Times New Roman" w:eastAsia="Times New Roman" w:hint="default"/>
          <w:spacing w:val="-2"/>
        </w:rPr>
        <w:t>1</w:t>
      </w:r>
      <w:r>
        <w:rPr>
          <w:spacing w:val="-2"/>
        </w:rPr>
        <w:t>）按照企业会计准则的规定编制财务报表，</w:t>
      </w:r>
    </w:p>
    <w:p>
      <w:pPr>
        <w:pStyle w:val="BodyText"/>
        <w:spacing w:line="248" w:lineRule="exact"/>
        <w:ind w:right="93"/>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spacing w:line="240" w:lineRule="auto" w:before="13"/>
        <w:rPr>
          <w:rFonts w:ascii="宋体" w:hAnsi="宋体" w:cs="宋体" w:eastAsia="宋体" w:hint="default"/>
          <w:sz w:val="13"/>
          <w:szCs w:val="13"/>
        </w:rPr>
      </w:pPr>
    </w:p>
    <w:p>
      <w:pPr>
        <w:pStyle w:val="BodyText"/>
        <w:spacing w:line="316" w:lineRule="auto"/>
        <w:ind w:left="513" w:right="93"/>
        <w:jc w:val="left"/>
      </w:pPr>
      <w:r>
        <w:rPr/>
        <w:t>二、注册会计师的责任 </w:t>
      </w:r>
      <w:r>
        <w:rPr>
          <w:spacing w:val="-2"/>
        </w:rPr>
        <w:t>我们的责任是在执行审计工作的基础上对财务报表发表审计意见。我们按照中国注册会计师审计准则的规定执行了审计</w:t>
      </w:r>
    </w:p>
    <w:p>
      <w:pPr>
        <w:pStyle w:val="BodyText"/>
        <w:spacing w:line="316" w:lineRule="auto" w:before="19"/>
        <w:ind w:right="93"/>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9"/>
        <w:ind w:right="9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 </w:t>
      </w:r>
      <w:r>
        <w:rPr>
          <w:spacing w:val="-2"/>
        </w:rPr>
        <w:t>恰当的审计程序。审计工作还包括评价管理层选用会计政策的恰当性和作出会计估计的合理性，以及评价财务报表的总体列</w:t>
      </w:r>
      <w:r>
        <w:rPr>
          <w:spacing w:val="-64"/>
        </w:rPr>
        <w:t> </w:t>
      </w:r>
      <w:r>
        <w:rPr>
          <w:spacing w:val="-64"/>
        </w:rPr>
      </w:r>
      <w:r>
        <w:rPr/>
        <w:t>报。</w:t>
      </w:r>
    </w:p>
    <w:p>
      <w:pPr>
        <w:pStyle w:val="BodyText"/>
        <w:spacing w:line="316" w:lineRule="auto" w:before="19"/>
        <w:ind w:left="513" w:right="3153"/>
        <w:jc w:val="left"/>
      </w:pPr>
      <w:r>
        <w:rPr/>
        <w:t>我们相信，我们获取的审计证据是充分、适当的，为发表审计意见提供了基础。 三、审计意见</w:t>
      </w:r>
    </w:p>
    <w:p>
      <w:pPr>
        <w:pStyle w:val="BodyText"/>
        <w:spacing w:line="300" w:lineRule="auto" w:before="19"/>
        <w:ind w:right="93" w:firstLine="360"/>
        <w:jc w:val="left"/>
      </w:pPr>
      <w:r>
        <w:rPr>
          <w:spacing w:val="-2"/>
        </w:rPr>
        <w:t>我们认为，卓翼科技公司的财务报表在所有重大方面按照企业会计准则的规定编制，公允反映了卓翼科技公司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 </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2015</w:t>
      </w:r>
      <w:r>
        <w:rPr/>
        <w:t>年度的合并及母公司经营成果和现金流量。</w:t>
      </w:r>
    </w:p>
    <w:p>
      <w:pPr>
        <w:spacing w:line="240" w:lineRule="auto" w:before="5"/>
        <w:rPr>
          <w:rFonts w:ascii="宋体" w:hAnsi="宋体" w:cs="宋体" w:eastAsia="宋体" w:hint="default"/>
          <w:sz w:val="20"/>
          <w:szCs w:val="20"/>
        </w:rPr>
      </w:pPr>
    </w:p>
    <w:p>
      <w:pPr>
        <w:pStyle w:val="Heading2"/>
        <w:spacing w:line="240" w:lineRule="auto"/>
        <w:ind w:right="93"/>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3"/>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9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3"/>
        <w:jc w:val="left"/>
      </w:pPr>
      <w:r>
        <w:rPr/>
        <w:t>编制单位：深圳市卓翼科技股份有限公司</w:t>
      </w:r>
    </w:p>
    <w:p>
      <w:pPr>
        <w:pStyle w:val="BodyText"/>
        <w:spacing w:line="240" w:lineRule="auto" w:before="117"/>
        <w:ind w:left="3429" w:right="3467"/>
        <w:jc w:val="center"/>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after="0" w:line="240" w:lineRule="auto"/>
        <w:jc w:val="center"/>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356,904,645.63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773,615,497.87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46,583.63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131,064,750.62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116,046,986.48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610,635,617.85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497,603,563.06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20,124,058.44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18,089,146.89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9,392,063.41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15,760,778.43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45,181,187.35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46,440,987.91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403,599,889.40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375,656,320.87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235,740,906.49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122,586,816.84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1,812,689,702.82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1,965,800,098.35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86,775,400.54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1,026,690,197.87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902,360,532.39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114,643,191.41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227,516,176.48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44,472,579.62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44,274,017.28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13,889,955.18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34,812,967.09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30,201,106.14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17,403,755.96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11,651,945.77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66,079,146.16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67,044,608.13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1,395,877,238.65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1,296,938,341.37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3,208,566,941.47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3,262,738,439.72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781,314,465.94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1,106,340,992.23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293,100,757.52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159,264,166.96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613,985,905.83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427,781,672.63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34,071,628.76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19,806,012.16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36,376,855.37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27,201,622.35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13,845,571.80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19,485,939.43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6,527,933.63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16,582,730.21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62,544,977.29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55,879,985.36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1,841,768,096.14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1,840,343,121.33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25,912,965.34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25,445,947.83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1,220,480.13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1,342,731.33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27,133,445.47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26,788,679.16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1,868,901,541.61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1,867,131,800.49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488,637,750.00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491,981,000.00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668,052,677.03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678,116,545.28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33,255,337.50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46,126,850.00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-483,203.08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-42,807.84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63,436,182.92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60,955,799.22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154,012,823.87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210,722,952.57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1,340,400,893.24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1,395,606,639.23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-735,493.38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1,339,665,399.86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1,395,606,639.23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3,208,566,941.47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3,262,738,439.72</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153"/>
        <w:jc w:val="left"/>
      </w:pPr>
      <w:r>
        <w:rPr/>
        <w:t>法定代表人：夏传武</w:t>
        <w:tab/>
      </w:r>
      <w:r>
        <w:rPr>
          <w:spacing w:val="-1"/>
        </w:rPr>
        <w:t>主管会计工作负责人：曾兆豪</w:t>
        <w:tab/>
      </w:r>
      <w:r>
        <w:rPr/>
        <w:t>会计机构负责人：韦丽丹</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1"/>
        <w:gridCol w:w="3315"/>
        <w:gridCol w:w="3303"/>
      </w:tblGrid>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240,615,149.79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645,096,575.65</w:t>
            </w:r>
          </w:p>
        </w:tc>
      </w:tr>
      <w:tr>
        <w:trPr>
          <w:trHeight w:val="71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46,583.63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19,666,747.75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116,046,986.48</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261,125,870.28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399,611,566.96</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106,567,455.89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124,353,289.58</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9,392,063.41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15,760,778.43</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504,301,527.78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344,821,748.39</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3,293,528.09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313,330,256.13</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205,291,421.18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90,025,901.40</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1,350,300,347.80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2,049,047,103.02</w:t>
            </w: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718,560,137.21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526,774,736.67</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374,313,976.59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387,898,213.52</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4,548,106.32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16,367,716.44</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8,017,949.30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7,884,900.48</w:t>
            </w:r>
          </w:p>
        </w:tc>
      </w:tr>
      <w:tr>
        <w:trPr>
          <w:trHeight w:val="401"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5"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19,386,656.77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19,995,215.83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3,354,016.13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3,728,972.17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66,028,106.16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66,814,054.13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1,194,208,948.48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1,029,463,809.24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2,544,509,296.28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3,078,510,912.26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602,758,958.45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1,056,225,992.23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253,872,239.97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106,258,337.71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73,602,176.65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280,487,617.59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19,047,518.48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11,271,718.00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5,060,647.04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21,278,406.27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9,380,710.63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19,089,874.70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6,050,381.66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16,517,847.73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38,394,894.56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55,211,016.75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1,008,167,527.44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1,566,340,810.98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6,987.54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12,921,699.00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13,054,794.33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12,928,686.54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13,054,794.33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1,021,096,213.98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1,579,395,605.31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488,637,750.00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491,981,000.00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668,039,296.60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678,103,164.85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33,255,337.50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46,126,850.00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29,544.14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63,436,182.92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60,955,799.22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336,525,646.14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314,202,192.88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1,523,413,082.30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1,499,115,306.95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2,544,509,296.28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3,078,510,912.26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5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3,779,465,102.22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3,586,877,473.77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3,779,465,102.22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3,586,877,473.77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3,859,016,252.85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3,533,056,100.41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3,570,372,207.81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3,310,746,909.26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8,179,616.95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13,759,885.08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259.519989pt;width:158.9pt;height:20.65pt;mso-position-horizontal-relative:page;mso-position-vertical-relative:page;z-index:-1099216" coordorigin="4220,5190" coordsize="3178,413">
            <v:group style="position:absolute;left:4231;top:5201;width:2;height:392" coordorigin="4231,5201" coordsize="2,392">
              <v:shape style="position:absolute;left:4231;top:5201;width:2;height:392" coordorigin="4231,5201" coordsize="0,392" path="m4231,5201l4231,5592e" filled="false" stroked="true" strokeweight="1.08pt" strokecolor="#ffffff">
                <v:path arrowok="t"/>
              </v:shape>
            </v:group>
            <v:group style="position:absolute;left:4242;top:5201;width:3157;height:392" coordorigin="4242,5201" coordsize="3157,392">
              <v:shape style="position:absolute;left:4242;top:5201;width:3157;height:392" coordorigin="4242,5201" coordsize="3157,392" path="m4242,5592l7398,5592,7398,5201,4242,5201,4242,5592xe" filled="true" fillcolor="#ffffff" stroked="false">
                <v:path arrowok="t"/>
                <v:fill type="solid"/>
              </v:shape>
            </v:group>
            <w10:wrap type="none"/>
          </v:group>
        </w:pict>
      </w:r>
      <w:r>
        <w:rPr/>
        <w:pict>
          <v:group style="position:absolute;margin-left:211.009995pt;margin-top:380.149994pt;width:158.9pt;height:20.65pt;mso-position-horizontal-relative:page;mso-position-vertical-relative:page;z-index:-1099192" coordorigin="4220,7603" coordsize="3178,413">
            <v:group style="position:absolute;left:4231;top:7614;width:2;height:392" coordorigin="4231,7614" coordsize="2,392">
              <v:shape style="position:absolute;left:4231;top:7614;width:2;height:392" coordorigin="4231,7614" coordsize="0,392" path="m4231,7614l4231,8005e" filled="false" stroked="true" strokeweight="1.08pt" strokecolor="#ffffff">
                <v:path arrowok="t"/>
              </v:shape>
            </v:group>
            <v:group style="position:absolute;left:4242;top:7614;width:3157;height:392" coordorigin="4242,7614" coordsize="3157,392">
              <v:shape style="position:absolute;left:4242;top:7614;width:3157;height:392" coordorigin="4242,7614" coordsize="3157,392" path="m4242,8005l7398,8005,7398,7614,4242,7614,4242,800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1087"/>
        <w:gridCol w:w="2136"/>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59,509,125.09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56,696,543.95</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2055" w:right="0"/>
              <w:jc w:val="left"/>
              <w:rPr>
                <w:rFonts w:ascii="Times New Roman" w:hAnsi="Times New Roman" w:cs="Times New Roman" w:eastAsia="Times New Roman" w:hint="default"/>
                <w:sz w:val="18"/>
                <w:szCs w:val="18"/>
              </w:rPr>
            </w:pPr>
            <w:r>
              <w:rPr>
                <w:rFonts w:ascii="Times New Roman"/>
                <w:sz w:val="18"/>
              </w:rPr>
              <w:t>158,617,396.91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115,517,668.83</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36,685,403.77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18,679,162.50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25,652,502.32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17,655,930.79</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46,583.63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9,192,807.45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1,444,030.03</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2,745,856.40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94" w:right="0"/>
              <w:jc w:val="left"/>
              <w:rPr>
                <w:rFonts w:ascii="Times New Roman" w:hAnsi="Times New Roman" w:cs="Times New Roman" w:eastAsia="Times New Roman" w:hint="default"/>
                <w:sz w:val="18"/>
                <w:szCs w:val="18"/>
              </w:rPr>
            </w:pPr>
            <w:r>
              <w:rPr>
                <w:rFonts w:ascii="Times New Roman"/>
                <w:sz w:val="18"/>
              </w:rPr>
              <w:t>-70,311,759.55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55,265,403.39</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14,392,304.33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4,604,554.63</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10,312.22</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4,919,844.55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805,192.24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743,407.40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63,500.25</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8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011" w:right="0"/>
              <w:jc w:val="left"/>
              <w:rPr>
                <w:rFonts w:ascii="Times New Roman" w:hAnsi="Times New Roman" w:cs="Times New Roman" w:eastAsia="Times New Roman" w:hint="default"/>
                <w:sz w:val="18"/>
                <w:szCs w:val="18"/>
              </w:rPr>
            </w:pPr>
            <w:r>
              <w:rPr>
                <w:rFonts w:ascii="Times New Roman"/>
                <w:sz w:val="18"/>
              </w:rPr>
              <w:t>-60,839,299.77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59,064,765.78</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-5,874,061.39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14,741,497.17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86" w:right="0"/>
              <w:jc w:val="left"/>
              <w:rPr>
                <w:rFonts w:ascii="Times New Roman" w:hAnsi="Times New Roman" w:cs="Times New Roman" w:eastAsia="Times New Roman" w:hint="default"/>
                <w:sz w:val="18"/>
                <w:szCs w:val="18"/>
              </w:rPr>
            </w:pPr>
            <w:r>
              <w:rPr>
                <w:rFonts w:ascii="Times New Roman"/>
                <w:sz w:val="18"/>
              </w:rPr>
              <w:t>-54,965,238.38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44,323,268.61</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86" w:right="0"/>
              <w:jc w:val="left"/>
              <w:rPr>
                <w:rFonts w:ascii="Times New Roman" w:hAnsi="Times New Roman" w:cs="Times New Roman" w:eastAsia="Times New Roman" w:hint="default"/>
                <w:sz w:val="18"/>
                <w:szCs w:val="18"/>
              </w:rPr>
            </w:pPr>
            <w:r>
              <w:rPr>
                <w:rFonts w:ascii="Times New Roman"/>
                <w:sz w:val="18"/>
              </w:rPr>
              <w:t>-54,229,745.00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44,323,268.61</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-735,493.38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-440,395.24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-42,807.84</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-440,395.24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-42,807.84</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9"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-440,395.24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-42,807.84</w:t>
            </w:r>
          </w:p>
        </w:tc>
      </w:tr>
      <w:tr>
        <w:trPr>
          <w:trHeight w:val="102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29,544.14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-469,939.38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-42,807.84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-55,405,633.62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44,280,460.77</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-54,670,140.24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44,280,460.77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-735,493.38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0.09</w:t>
            </w:r>
          </w:p>
        </w:tc>
      </w:tr>
    </w:tbl>
    <w:p>
      <w:pPr>
        <w:pStyle w:val="BodyText"/>
        <w:tabs>
          <w:tab w:pos="3578" w:val="left" w:leader="none"/>
          <w:tab w:pos="7721" w:val="left" w:leader="none"/>
        </w:tabs>
        <w:spacing w:line="624" w:lineRule="auto" w:before="49"/>
        <w:ind w:right="243"/>
        <w:jc w:val="left"/>
      </w:pPr>
      <w:r>
        <w:rPr/>
        <w:t>本期发生同一控制下企业合并的，被合并方在合并前实现的净利润为：元，上期被合并方实现的净利润为：元。 法定代表人：夏传武</w:t>
        <w:tab/>
      </w:r>
      <w:r>
        <w:rPr>
          <w:spacing w:val="-1"/>
        </w:rPr>
        <w:t>主管会计工作负责人：曾兆豪</w:t>
        <w:tab/>
      </w:r>
      <w:r>
        <w:rPr/>
        <w:t>会计机构负责人：韦丽丹</w:t>
      </w:r>
    </w:p>
    <w:p>
      <w:pPr>
        <w:pStyle w:val="Heading3"/>
        <w:spacing w:line="240" w:lineRule="auto" w:before="68"/>
        <w:ind w:right="15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4,057,674,732.33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3,201,250,928.58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3,906,113,134.72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2,923,757,849.00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7,504,589.93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13,638,783.47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13,092,632.61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30,935,996.57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100,184,033.03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83,878,641.92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21,193,247.56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17,036,858.37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3,710,188.94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4,363,655.10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46,583.63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9,192,807.45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1,444,030.03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2,745,856.40</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15,116,296.62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129,083,174.18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12,497,783.14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2,781,380.09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2,428,299.22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357,318.54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218,440.38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63,500.25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25,185,780.54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131,507,235.73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381,943.58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17,863,842.10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24,803,836.96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113,643,393.63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24,803,836.96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113,643,393.63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after="0" w:line="240" w:lineRule="auto"/>
        <w:jc w:val="right"/>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2,938,944,352.63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2,480,449,143.66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169,014,697.62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18,083,858.75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119,526,807.03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30,089,348.82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3,227,485,857.28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2,528,622,351.23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2,245,447,790.25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2,074,185,455.99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433,802,346.35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327,753,725.85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28,548,454.70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39,928,729.84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186,252,681.82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82,117,122.55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2,894,051,273.12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2,523,985,034.23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333,434,584.16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4,637,317.00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1,444,030.03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10,312.22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3,195,118.00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37,412,102.00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3,205,430.22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38,856,132.03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107,212,807.23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215,713,267.67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4,815,180.44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151,720,000.00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347,932,807.23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220,528,448.11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-344,727,377.01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-181,672,316.08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46,126,850.00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1,317,103,844.20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1,833,117,324.63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387,292,153.32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6,272,315.67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1,704,395,997.52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1,885,516,490.30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1,687,083,594.54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1,210,290,483.86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41,660,574.07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44,660,407.11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14,723,087.35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377,380,136.33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1,743,467,255.96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1,632,331,027.30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-39,071,258.44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253,185,463.00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7,229,347.07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-4,098,404.37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-43,134,704.22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72,052,059.55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181,886,143.76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109,834,084.21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138,751,439.54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181,886,143.76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15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2,502,269,959.60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2,360,685,701.45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147,302,909.92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16,481,546.72</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181,659,861.09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161,840,224.16</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2,831,232,730.61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2,539,007,472.33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1,758,289,194.13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2,034,890,077.21</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84,309,240.51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275,624,592.41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24,135,091.73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31,400,981.26</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428,543,605.52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443,514,793.17</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2,295,277,131.89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2,785,430,444.05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535,955,598.72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-246,422,971.72</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1,444,030.03</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10,312.22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3,195,118.00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30,629,905.00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3,205,430.22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32,073,935.03</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55,669,456.65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77,542,258.11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396,399,456.65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77,542,258.11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-393,194,026.43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-45,468,323.08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46,126,850.00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1,173,128,481.70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1,774,341,474.63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375,056,061.53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6,272,315.67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1,548,184,543.23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1,826,740,640.30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1,689,563,594.54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1,144,330,903.76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36,473,396.85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41,683,605.66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14,723,087.35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349,116,922.62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1,740,760,078.74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1,535,131,432.04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-192,575,535.51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291,609,208.26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5,730,985.63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-3,862,110.07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-44,082,977.59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-4,144,196.61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90,919,227.37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95,063,423.98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46,836,249.78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90,919,227.37</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t>本期金额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3"/>
        <w:gridCol w:w="531"/>
        <w:gridCol w:w="530"/>
        <w:gridCol w:w="665"/>
        <w:gridCol w:w="665"/>
        <w:gridCol w:w="665"/>
        <w:gridCol w:w="665"/>
        <w:gridCol w:w="665"/>
        <w:gridCol w:w="665"/>
        <w:gridCol w:w="665"/>
        <w:gridCol w:w="665"/>
        <w:gridCol w:w="660"/>
      </w:tblGrid>
      <w:tr>
        <w:trPr>
          <w:trHeight w:val="403"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0"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7"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491,98</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678,116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,545.28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46,126,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850.00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-42,807.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60,955,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799.22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210,722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,952.57</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06,639.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491,98</w:t>
            </w:r>
          </w:p>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678,116</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,545.28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46,126,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850.00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-42,807.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60,955,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799.22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210,722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,952.57</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06,639.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-10,063,</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868.25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-12,871,</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512.50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-440,39</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5.24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2,480,3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83.70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-56,710,</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128.70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-735,49</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3.38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-55,941,</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239.37</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-440,39</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5.24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-54,229,</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745.00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-735,49</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3.38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-55,405,</w:t>
            </w:r>
          </w:p>
          <w:p>
            <w:pPr>
              <w:pStyle w:val="TableParagraph"/>
              <w:spacing w:line="240" w:lineRule="auto" w:before="102"/>
              <w:ind w:left="108" w:right="0"/>
              <w:jc w:val="center"/>
              <w:rPr>
                <w:rFonts w:ascii="Times New Roman" w:hAnsi="Times New Roman" w:cs="Times New Roman" w:eastAsia="Times New Roman" w:hint="default"/>
                <w:sz w:val="18"/>
                <w:szCs w:val="18"/>
              </w:rPr>
            </w:pPr>
            <w:r>
              <w:rPr>
                <w:rFonts w:ascii="Times New Roman"/>
                <w:sz w:val="18"/>
              </w:rPr>
              <w:t>633.62</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-10,063,</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868.25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-12,871,</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512.50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-535,60</w:t>
            </w:r>
          </w:p>
          <w:p>
            <w:pPr>
              <w:pStyle w:val="TableParagraph"/>
              <w:spacing w:line="240" w:lineRule="auto" w:before="105"/>
              <w:ind w:left="311" w:right="0"/>
              <w:jc w:val="left"/>
              <w:rPr>
                <w:rFonts w:ascii="Times New Roman" w:hAnsi="Times New Roman" w:cs="Times New Roman" w:eastAsia="Times New Roman" w:hint="default"/>
                <w:sz w:val="18"/>
                <w:szCs w:val="18"/>
              </w:rPr>
            </w:pPr>
            <w:r>
              <w:rPr>
                <w:rFonts w:ascii="Times New Roman"/>
                <w:sz w:val="18"/>
              </w:rPr>
              <w:t>5.75</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-3,343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-9,528,2</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62.50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-12,871,</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512.50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-535,60</w:t>
            </w:r>
          </w:p>
          <w:p>
            <w:pPr>
              <w:pStyle w:val="TableParagraph"/>
              <w:spacing w:line="240" w:lineRule="auto" w:before="102"/>
              <w:ind w:left="316" w:right="0"/>
              <w:jc w:val="left"/>
              <w:rPr>
                <w:rFonts w:ascii="Times New Roman" w:hAnsi="Times New Roman" w:cs="Times New Roman" w:eastAsia="Times New Roman" w:hint="default"/>
                <w:sz w:val="18"/>
                <w:szCs w:val="18"/>
              </w:rPr>
            </w:pPr>
            <w:r>
              <w:rPr>
                <w:rFonts w:ascii="Times New Roman"/>
                <w:sz w:val="18"/>
              </w:rPr>
              <w:t>5.75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-535,60</w:t>
            </w:r>
          </w:p>
          <w:p>
            <w:pPr>
              <w:pStyle w:val="TableParagraph"/>
              <w:spacing w:line="240" w:lineRule="auto" w:before="102"/>
              <w:ind w:left="311" w:right="0"/>
              <w:jc w:val="left"/>
              <w:rPr>
                <w:rFonts w:ascii="Times New Roman" w:hAnsi="Times New Roman" w:cs="Times New Roman" w:eastAsia="Times New Roman" w:hint="default"/>
                <w:sz w:val="18"/>
                <w:szCs w:val="18"/>
              </w:rPr>
            </w:pPr>
            <w:r>
              <w:rPr>
                <w:rFonts w:ascii="Times New Roman"/>
                <w:sz w:val="18"/>
              </w:rPr>
              <w:t>5.75</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2,480,3</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83.70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-2,480,3</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83.70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2,480,3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83.70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-2,480,3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83.70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488,63</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7,750.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668,052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,677.03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33,255,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337.50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-483,20</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3.08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63,436,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182.92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154,012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,823.87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-735,49</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3.38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1,339,6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65,399.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r>
    </w:tbl>
    <w:p>
      <w:pPr>
        <w:pStyle w:val="BodyText"/>
        <w:spacing w:line="240" w:lineRule="auto" w:before="49"/>
        <w:ind w:right="153"/>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0"/>
        <w:gridCol w:w="531"/>
        <w:gridCol w:w="533"/>
        <w:gridCol w:w="662"/>
        <w:gridCol w:w="665"/>
        <w:gridCol w:w="668"/>
        <w:gridCol w:w="665"/>
        <w:gridCol w:w="662"/>
        <w:gridCol w:w="665"/>
        <w:gridCol w:w="680"/>
        <w:gridCol w:w="653"/>
        <w:gridCol w:w="658"/>
      </w:tblGrid>
      <w:tr>
        <w:trPr>
          <w:trHeight w:val="403"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0" w:hRule="exact"/>
        </w:trPr>
        <w:tc>
          <w:tcPr>
            <w:tcW w:w="1415" w:type="dxa"/>
            <w:vMerge/>
            <w:tcBorders>
              <w:left w:val="single" w:sz="4" w:space="0" w:color="000000"/>
              <w:right w:val="single" w:sz="4" w:space="0" w:color="000000"/>
            </w:tcBorders>
            <w:shd w:val="clear" w:color="auto" w:fill="D2D2D2"/>
          </w:tcPr>
          <w:p>
            <w:pPr/>
          </w:p>
        </w:tc>
        <w:tc>
          <w:tcPr>
            <w:tcW w:w="6833"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3"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872,174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,568.77</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49,591,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459.86</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204,164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,023.32</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30,051.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3"/>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872,174</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,568.77</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49,591,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459.86</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204,164</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,023.32</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1,365,9</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30,051.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7"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251,98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8,023.4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46,126,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850.00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-42,807.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11,364,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339.36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6,558,9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29.25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29,676,</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587.28</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-42,807.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44,323,</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268.61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44,280,</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460.77</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11,981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45,941,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976.51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46,126,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850.00</w:t>
            </w: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11,796,</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126.51</w:t>
            </w:r>
          </w:p>
        </w:tc>
      </w:tr>
      <w:tr>
        <w:trPr>
          <w:trHeight w:val="706"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11,981</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34,145,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850.00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46,126,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850.00</w:t>
            </w: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97"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8"/>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11,796,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126.51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11,796,</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126.51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11,364,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339.36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-37,764,</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339.36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-26,400,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11,364,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339.36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-11,364,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339.36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-26,400,</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-26,400,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491,98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678,116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,545.28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46,126,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850.00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-42,807.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60,955,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799.22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210,722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,952.57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06,639.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t>本期金额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2"/>
        <w:gridCol w:w="664"/>
        <w:gridCol w:w="667"/>
        <w:gridCol w:w="653"/>
        <w:gridCol w:w="810"/>
        <w:gridCol w:w="796"/>
        <w:gridCol w:w="786"/>
        <w:gridCol w:w="810"/>
        <w:gridCol w:w="799"/>
        <w:gridCol w:w="676"/>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3"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20"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2"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84" w:type="dxa"/>
            <w:gridSpan w:val="3"/>
            <w:vMerge/>
            <w:tcBorders>
              <w:left w:val="single" w:sz="4" w:space="0" w:color="000000"/>
              <w:bottom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6" w:type="dxa"/>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2" w:type="dxa"/>
            <w:vMerge/>
            <w:tcBorders>
              <w:left w:val="single" w:sz="4" w:space="0" w:color="000000"/>
              <w:bottom w:val="nil" w:sz="6" w:space="0" w:color="auto"/>
              <w:right w:val="single" w:sz="4" w:space="0" w:color="000000"/>
            </w:tcBorders>
            <w:shd w:val="clear" w:color="auto" w:fill="D2D2D2"/>
          </w:tcPr>
          <w:p>
            <w:pP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0" w:type="dxa"/>
            <w:vMerge/>
            <w:tcBorders>
              <w:left w:val="single" w:sz="4" w:space="0" w:color="000000"/>
              <w:bottom w:val="nil" w:sz="6" w:space="0" w:color="auto"/>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8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8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491,981,</w:t>
            </w:r>
          </w:p>
        </w:tc>
        <w:tc>
          <w:tcPr>
            <w:tcW w:w="664"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7" w:right="0"/>
              <w:jc w:val="left"/>
              <w:rPr>
                <w:rFonts w:ascii="Times New Roman" w:hAnsi="Times New Roman" w:cs="Times New Roman" w:eastAsia="Times New Roman" w:hint="default"/>
                <w:sz w:val="18"/>
                <w:szCs w:val="18"/>
              </w:rPr>
            </w:pPr>
            <w:r>
              <w:rPr>
                <w:rFonts w:ascii="Times New Roman"/>
                <w:sz w:val="18"/>
              </w:rPr>
              <w:t>678,103,1</w:t>
            </w:r>
          </w:p>
        </w:tc>
        <w:tc>
          <w:tcPr>
            <w:tcW w:w="796"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46,126,85</w:t>
            </w:r>
          </w:p>
        </w:tc>
        <w:tc>
          <w:tcPr>
            <w:tcW w:w="786" w:type="dxa"/>
            <w:tcBorders>
              <w:top w:val="single" w:sz="21" w:space="0" w:color="D2D2D2"/>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60,955,79</w:t>
            </w:r>
          </w:p>
        </w:tc>
        <w:tc>
          <w:tcPr>
            <w:tcW w:w="676"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314,202</w:t>
            </w:r>
          </w:p>
        </w:tc>
        <w:tc>
          <w:tcPr>
            <w:tcW w:w="780"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1,499,115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7"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9" w:right="0"/>
              <w:jc w:val="left"/>
              <w:rPr>
                <w:rFonts w:ascii="Times New Roman" w:hAnsi="Times New Roman" w:cs="Times New Roman" w:eastAsia="Times New Roman" w:hint="default"/>
                <w:sz w:val="18"/>
                <w:szCs w:val="18"/>
              </w:rPr>
            </w:pPr>
            <w:r>
              <w:rPr>
                <w:rFonts w:ascii="Times New Roman"/>
                <w:sz w:val="18"/>
              </w:rPr>
              <w:t>64.85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9.22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,192.88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,306.95</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491,981,</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678,103,1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64.85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46,126,85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60,955,79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314,202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,192.88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1,499,115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,306.95</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-3,343,2</w:t>
            </w:r>
          </w:p>
          <w:p>
            <w:pPr>
              <w:pStyle w:val="TableParagraph"/>
              <w:spacing w:line="240" w:lineRule="auto" w:before="105"/>
              <w:ind w:left="238" w:right="0"/>
              <w:jc w:val="center"/>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-10,063,8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68.25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-12,871,5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29,544.14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2,480,383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22,323,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453.26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24,297,77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5.35</w:t>
            </w: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24,803,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836.96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24,803,83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6.96</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-3,343,2</w:t>
            </w:r>
          </w:p>
          <w:p>
            <w:pPr>
              <w:pStyle w:val="TableParagraph"/>
              <w:spacing w:line="240" w:lineRule="auto" w:before="105"/>
              <w:ind w:left="238" w:right="0"/>
              <w:jc w:val="center"/>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-10,063,8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68.25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-12,871,5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29,544.14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-506,061.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-3,343,2</w:t>
            </w:r>
          </w:p>
          <w:p>
            <w:pPr>
              <w:pStyle w:val="TableParagraph"/>
              <w:spacing w:line="240" w:lineRule="auto" w:before="105"/>
              <w:ind w:left="238" w:right="0"/>
              <w:jc w:val="center"/>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-9,528,26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-12,871,5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29,544.14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29,544.14</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-535,605.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-535,605.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2,480,383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-2,480,3</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83.70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2,480,383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-2,480,3</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83.70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488,637,</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750.00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668,039,2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96.60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33,255,33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29,544.14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63,436,18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2.92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336,525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,646.14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1,523,413</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,082.30</w:t>
            </w:r>
          </w:p>
        </w:tc>
      </w:tr>
    </w:tbl>
    <w:p>
      <w:pPr>
        <w:pStyle w:val="BodyText"/>
        <w:spacing w:line="240" w:lineRule="auto" w:before="49"/>
        <w:ind w:right="153"/>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8"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872,161,1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88.34</w:t>
            </w:r>
          </w:p>
        </w:tc>
        <w:tc>
          <w:tcPr>
            <w:tcW w:w="797" w:type="dxa"/>
            <w:vMerge w:val="restart"/>
            <w:tcBorders>
              <w:top w:val="single" w:sz="18" w:space="0" w:color="D2D2D2"/>
              <w:left w:val="single" w:sz="4" w:space="0" w:color="000000"/>
              <w:right w:val="single" w:sz="4" w:space="0" w:color="000000"/>
            </w:tcBorders>
          </w:tcPr>
          <w:p>
            <w:pPr/>
          </w:p>
        </w:tc>
        <w:tc>
          <w:tcPr>
            <w:tcW w:w="797" w:type="dxa"/>
            <w:vMerge w:val="restart"/>
            <w:tcBorders>
              <w:top w:val="single" w:sz="18"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49,591,45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9.86</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57" w:right="0"/>
              <w:jc w:val="left"/>
              <w:rPr>
                <w:rFonts w:ascii="Times New Roman" w:hAnsi="Times New Roman" w:cs="Times New Roman" w:eastAsia="Times New Roman" w:hint="default"/>
                <w:sz w:val="18"/>
                <w:szCs w:val="18"/>
              </w:rPr>
            </w:pPr>
            <w:r>
              <w:rPr>
                <w:rFonts w:ascii="Times New Roman"/>
                <w:sz w:val="18"/>
              </w:rPr>
              <w:t>238,323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,138.61</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7" w:right="0"/>
              <w:jc w:val="center"/>
              <w:rPr>
                <w:rFonts w:ascii="Times New Roman" w:hAnsi="Times New Roman" w:cs="Times New Roman" w:eastAsia="Times New Roman" w:hint="default"/>
                <w:sz w:val="18"/>
                <w:szCs w:val="18"/>
              </w:rPr>
            </w:pPr>
            <w:r>
              <w:rPr>
                <w:rFonts w:ascii="Times New Roman"/>
                <w:sz w:val="18"/>
              </w:rPr>
              <w:t>1,400,075</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,786.81</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872,161,1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88.34</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49,591,45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9.86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238,323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,138.61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1,400,075</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,786.81</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251,981,</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-194,058,</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023.49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46,126,85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11,364,33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9.36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75,879,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054.27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99,039,52</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0.14</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113,643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,393.63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113,643,3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93.63</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11,981,0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45,941,97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46,126,85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11,796,12</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6.51</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11,981,0</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34,145,85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46,126,85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11,796,12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11,796,12</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6.51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11,364,33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-37,764,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9" w:right="0"/>
              <w:jc w:val="left"/>
              <w:rPr>
                <w:rFonts w:ascii="Times New Roman" w:hAnsi="Times New Roman" w:cs="Times New Roman" w:eastAsia="Times New Roman" w:hint="default"/>
                <w:sz w:val="18"/>
                <w:szCs w:val="18"/>
              </w:rPr>
            </w:pPr>
            <w:r>
              <w:rPr>
                <w:rFonts w:ascii="Times New Roman"/>
                <w:sz w:val="18"/>
              </w:rPr>
              <w:t>-26,400,0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9.36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Times New Roman"/>
                <w:sz w:val="18"/>
              </w:rPr>
              <w:t>339.36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11,364,33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9.36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-11,364,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339.36</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-26,400,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-26,400,0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491,981,</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678,103,1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64.85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46,126,85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60,955,79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314,202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,192.88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1,499,115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,306.95</w:t>
            </w:r>
          </w:p>
        </w:tc>
      </w:tr>
    </w:tbl>
    <w:p>
      <w:pPr>
        <w:spacing w:line="240" w:lineRule="auto" w:before="1"/>
        <w:rPr>
          <w:rFonts w:ascii="宋体" w:hAnsi="宋体" w:cs="宋体" w:eastAsia="宋体" w:hint="default"/>
          <w:sz w:val="18"/>
          <w:szCs w:val="18"/>
        </w:rPr>
      </w:pPr>
    </w:p>
    <w:p>
      <w:pPr>
        <w:pStyle w:val="Heading2"/>
        <w:spacing w:line="240" w:lineRule="auto" w:before="26"/>
        <w:ind w:right="114"/>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11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spacing w:val="-18"/>
        </w:rPr>
        <w:t> </w:t>
      </w:r>
      <w:r>
        <w:rPr/>
        <w:t>公司注册地、组织形式和总部地址</w:t>
      </w:r>
      <w:r>
        <w:rPr/>
        <w:t> </w:t>
      </w:r>
      <w:r>
        <w:rPr>
          <w:spacing w:val="-2"/>
          <w:w w:val="100"/>
        </w:rPr>
        <w:t>深圳市卓翼科技股份有限公司</w:t>
      </w:r>
      <w:r>
        <w:rPr>
          <w:rFonts w:ascii="Times New Roman" w:hAnsi="Times New Roman" w:cs="Times New Roman" w:eastAsia="Times New Roman" w:hint="default"/>
          <w:spacing w:val="-2"/>
          <w:w w:val="100"/>
        </w:rPr>
        <w:t>(</w:t>
      </w:r>
      <w:r>
        <w:rPr>
          <w:spacing w:val="-2"/>
          <w:w w:val="100"/>
        </w:rPr>
        <w:t>以下简称</w:t>
      </w:r>
      <w:r>
        <w:rPr>
          <w:rFonts w:ascii="Times New Roman" w:hAnsi="Times New Roman" w:cs="Times New Roman" w:eastAsia="Times New Roman" w:hint="default"/>
          <w:spacing w:val="-2"/>
          <w:w w:val="100"/>
        </w:rPr>
        <w:t>“</w:t>
      </w:r>
      <w:r>
        <w:rPr>
          <w:spacing w:val="-2"/>
          <w:w w:val="100"/>
        </w:rPr>
        <w:t>公司</w:t>
      </w:r>
      <w:r>
        <w:rPr>
          <w:rFonts w:ascii="Times New Roman" w:hAnsi="Times New Roman" w:cs="Times New Roman" w:eastAsia="Times New Roman" w:hint="default"/>
          <w:spacing w:val="-2"/>
          <w:w w:val="100"/>
        </w:rPr>
        <w:t>”</w:t>
      </w:r>
      <w:r>
        <w:rPr>
          <w:spacing w:val="-2"/>
          <w:w w:val="100"/>
        </w:rPr>
        <w:t>或</w:t>
      </w:r>
      <w:r>
        <w:rPr>
          <w:rFonts w:ascii="Times New Roman" w:hAnsi="Times New Roman" w:cs="Times New Roman" w:eastAsia="Times New Roman" w:hint="default"/>
          <w:spacing w:val="-2"/>
          <w:w w:val="100"/>
        </w:rPr>
        <w:t>“</w:t>
      </w:r>
      <w:r>
        <w:rPr>
          <w:spacing w:val="-2"/>
          <w:w w:val="100"/>
        </w:rPr>
        <w:t>本公司</w:t>
      </w:r>
      <w:r>
        <w:rPr>
          <w:rFonts w:ascii="Times New Roman" w:hAnsi="Times New Roman" w:cs="Times New Roman" w:eastAsia="Times New Roman" w:hint="default"/>
          <w:spacing w:val="-2"/>
          <w:w w:val="100"/>
        </w:rPr>
        <w:t>”)</w:t>
      </w:r>
      <w:r>
        <w:rPr>
          <w:spacing w:val="-2"/>
          <w:w w:val="100"/>
        </w:rPr>
        <w:t>的前身为深圳市卓翼科技发展有限公司，成立于</w:t>
      </w:r>
      <w:r>
        <w:rPr>
          <w:rFonts w:ascii="Times New Roman" w:hAnsi="Times New Roman" w:cs="Times New Roman" w:eastAsia="Times New Roman" w:hint="default"/>
          <w:spacing w:val="-2"/>
          <w:w w:val="100"/>
        </w:rPr>
        <w:t>2004</w:t>
      </w:r>
      <w:r>
        <w:rPr>
          <w:spacing w:val="-2"/>
          <w:w w:val="100"/>
        </w:rPr>
        <w:t>年</w:t>
      </w:r>
      <w:r>
        <w:rPr>
          <w:rFonts w:ascii="Times New Roman" w:hAnsi="Times New Roman" w:cs="Times New Roman" w:eastAsia="Times New Roman" w:hint="default"/>
          <w:spacing w:val="-2"/>
          <w:w w:val="100"/>
        </w:rPr>
        <w:t>2</w:t>
      </w:r>
      <w:r>
        <w:rPr>
          <w:spacing w:val="-2"/>
          <w:w w:val="100"/>
        </w:rPr>
        <w:t>月</w:t>
      </w:r>
      <w:r>
        <w:rPr>
          <w:rFonts w:ascii="Times New Roman" w:hAnsi="Times New Roman" w:cs="Times New Roman" w:eastAsia="Times New Roman" w:hint="default"/>
          <w:spacing w:val="-2"/>
          <w:w w:val="100"/>
        </w:rPr>
        <w:t>26</w:t>
      </w:r>
      <w:r>
        <w:rPr>
          <w:rFonts w:ascii="Times New Roman" w:hAnsi="Times New Roman" w:cs="Times New Roman" w:eastAsia="Times New Roman" w:hint="default"/>
          <w:w w:val="100"/>
        </w:rPr>
      </w:r>
    </w:p>
    <w:p>
      <w:pPr>
        <w:pStyle w:val="BodyText"/>
        <w:spacing w:line="300" w:lineRule="auto" w:before="13"/>
        <w:ind w:right="114"/>
        <w:jc w:val="left"/>
      </w:pPr>
      <w:r>
        <w:rPr/>
        <w:t>日。根据</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日董事会决议及</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日发起人协议的规定，本公司由有限责任公司整体变更为股份有限公司， 变更后注册资本为人民币</w:t>
      </w:r>
      <w:r>
        <w:rPr>
          <w:rFonts w:ascii="Times New Roman" w:hAnsi="Times New Roman" w:cs="Times New Roman" w:eastAsia="Times New Roman" w:hint="default"/>
        </w:rPr>
        <w:t>6,937.50</w:t>
      </w:r>
      <w:r>
        <w:rPr/>
        <w:t>万元，股本为人民币</w:t>
      </w:r>
      <w:r>
        <w:rPr>
          <w:rFonts w:ascii="Times New Roman" w:hAnsi="Times New Roman" w:cs="Times New Roman" w:eastAsia="Times New Roman" w:hint="default"/>
        </w:rPr>
        <w:t>6,937.50</w:t>
      </w:r>
      <w:r>
        <w:rPr/>
        <w:t>万元。</w:t>
      </w:r>
    </w:p>
    <w:p>
      <w:pPr>
        <w:pStyle w:val="BodyText"/>
        <w:spacing w:line="300" w:lineRule="auto" w:before="13"/>
        <w:ind w:right="261" w:firstLine="360"/>
        <w:jc w:val="both"/>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日，经公司第一次临时股东大会决议和修改后公司章程的规定，增加注册资本人民币</w:t>
      </w:r>
      <w:r>
        <w:rPr>
          <w:rFonts w:ascii="Times New Roman" w:hAnsi="Times New Roman" w:cs="Times New Roman" w:eastAsia="Times New Roman" w:hint="default"/>
        </w:rPr>
        <w:t>562.50</w:t>
      </w:r>
      <w:r>
        <w:rPr/>
        <w:t>万元，由袁军 等</w:t>
      </w:r>
      <w:r>
        <w:rPr>
          <w:rFonts w:ascii="Times New Roman" w:hAnsi="Times New Roman" w:cs="Times New Roman" w:eastAsia="Times New Roman" w:hint="default"/>
        </w:rPr>
        <w:t>6</w:t>
      </w:r>
      <w:r>
        <w:rPr/>
        <w:t>位自然人新股东认缴，变更后的注册资本为人民币</w:t>
      </w:r>
      <w:r>
        <w:rPr>
          <w:rFonts w:ascii="Times New Roman" w:hAnsi="Times New Roman" w:cs="Times New Roman" w:eastAsia="Times New Roman" w:hint="default"/>
        </w:rPr>
        <w:t>7,500.00</w:t>
      </w:r>
      <w:r>
        <w:rPr/>
        <w:t>万元。</w:t>
      </w:r>
    </w:p>
    <w:p>
      <w:pPr>
        <w:pStyle w:val="BodyText"/>
        <w:spacing w:line="300" w:lineRule="auto" w:before="13"/>
        <w:ind w:right="209" w:firstLine="360"/>
        <w:jc w:val="both"/>
      </w:pP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27</w:t>
      </w:r>
      <w:r>
        <w:rPr>
          <w:spacing w:val="-1"/>
        </w:rPr>
        <w:t>日，经中国证券监督管理委员会证监许可</w:t>
      </w:r>
      <w:r>
        <w:rPr>
          <w:rFonts w:ascii="Times New Roman" w:hAnsi="Times New Roman" w:cs="Times New Roman" w:eastAsia="Times New Roman" w:hint="default"/>
          <w:spacing w:val="-1"/>
        </w:rPr>
        <w:t>[2010]118</w:t>
      </w:r>
      <w:r>
        <w:rPr>
          <w:spacing w:val="-1"/>
        </w:rPr>
        <w:t>号文《关于核准深圳市卓翼科技股份有限公司首次公开</w:t>
      </w:r>
      <w:r>
        <w:rPr/>
        <w:t> </w:t>
      </w:r>
      <w:r>
        <w:rPr>
          <w:spacing w:val="-2"/>
        </w:rPr>
        <w:t>发行股票的批复》的核准，本公司于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w:t>
      </w:r>
      <w:r>
        <w:rPr>
          <w:spacing w:val="-2"/>
        </w:rPr>
        <w:t>日向社会公众投资者公开发行人民币普通股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)2,500.00</w:t>
      </w:r>
      <w:r>
        <w:rPr>
          <w:spacing w:val="-2"/>
        </w:rPr>
        <w:t>万股，每股面值人</w:t>
      </w:r>
      <w:r>
        <w:rPr>
          <w:spacing w:val="-31"/>
        </w:rPr>
        <w:t> </w:t>
      </w:r>
      <w:r>
        <w:rPr>
          <w:spacing w:val="-31"/>
        </w:rPr>
      </w:r>
      <w:r>
        <w:rPr/>
        <w:t>民币</w:t>
      </w:r>
      <w:r>
        <w:rPr>
          <w:rFonts w:ascii="Times New Roman" w:hAnsi="Times New Roman" w:cs="Times New Roman" w:eastAsia="Times New Roman" w:hint="default"/>
        </w:rPr>
        <w:t>1.00</w:t>
      </w:r>
      <w:r>
        <w:rPr/>
        <w:t>元，发行后本公司注册资本变更为人民币</w:t>
      </w:r>
      <w:r>
        <w:rPr>
          <w:rFonts w:ascii="Times New Roman" w:hAnsi="Times New Roman" w:cs="Times New Roman" w:eastAsia="Times New Roman" w:hint="default"/>
        </w:rPr>
        <w:t>10,000.00</w:t>
      </w:r>
      <w:r>
        <w:rPr/>
        <w:t>万元。</w:t>
      </w:r>
    </w:p>
    <w:p>
      <w:pPr>
        <w:pStyle w:val="BodyText"/>
        <w:spacing w:line="300" w:lineRule="auto" w:before="13"/>
        <w:ind w:right="117" w:firstLine="360"/>
        <w:jc w:val="both"/>
      </w:pPr>
      <w:r>
        <w:rPr>
          <w:spacing w:val="-2"/>
        </w:rPr>
        <w:t>根据</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11</w:t>
      </w:r>
      <w:r>
        <w:rPr>
          <w:spacing w:val="-2"/>
        </w:rPr>
        <w:t>日第二届董事会第四次会议、</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6</w:t>
      </w:r>
      <w:r>
        <w:rPr>
          <w:spacing w:val="-2"/>
        </w:rPr>
        <w:t>日召开的</w:t>
      </w:r>
      <w:r>
        <w:rPr>
          <w:rFonts w:ascii="Times New Roman" w:hAnsi="Times New Roman" w:cs="Times New Roman" w:eastAsia="Times New Roman" w:hint="default"/>
          <w:spacing w:val="-2"/>
        </w:rPr>
        <w:t>2010</w:t>
      </w:r>
      <w:r>
        <w:rPr>
          <w:spacing w:val="-2"/>
        </w:rPr>
        <w:t>年年度股东大会决议和修改后公司章程的规定，</w:t>
      </w:r>
      <w:r>
        <w:rPr/>
        <w:t> </w:t>
      </w:r>
      <w:r>
        <w:rPr>
          <w:spacing w:val="-2"/>
        </w:rPr>
        <w:t>本公司于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日以资本公积按每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股的比例转增股本，本次转增后，注册资本变更为人民币</w:t>
      </w:r>
      <w:r>
        <w:rPr>
          <w:rFonts w:ascii="Times New Roman" w:hAnsi="Times New Roman" w:cs="Times New Roman" w:eastAsia="Times New Roman" w:hint="default"/>
          <w:spacing w:val="-2"/>
        </w:rPr>
        <w:t>20,000.00</w:t>
      </w:r>
      <w:r>
        <w:rPr>
          <w:spacing w:val="-2"/>
        </w:rPr>
        <w:t>万元。</w:t>
      </w:r>
    </w:p>
    <w:p>
      <w:pPr>
        <w:pStyle w:val="BodyText"/>
        <w:spacing w:line="300" w:lineRule="auto" w:before="13"/>
        <w:ind w:right="209" w:firstLine="360"/>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w:t>
      </w:r>
      <w:r>
        <w:rPr>
          <w:spacing w:val="-1"/>
        </w:rPr>
        <w:t>日，经中国证券监督管理委员会证监许可</w:t>
      </w:r>
      <w:r>
        <w:rPr>
          <w:rFonts w:ascii="Times New Roman" w:hAnsi="Times New Roman" w:cs="Times New Roman" w:eastAsia="Times New Roman" w:hint="default"/>
          <w:spacing w:val="-1"/>
        </w:rPr>
        <w:t>[2012]1019</w:t>
      </w:r>
      <w:r>
        <w:rPr>
          <w:spacing w:val="-1"/>
        </w:rPr>
        <w:t>号文《关于核准深圳市卓翼科技股份有限公司非公开发</w:t>
      </w:r>
      <w:r>
        <w:rPr/>
        <w:t> 行股票的批复》的核准，本公司于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日向特定对象非公开发行人民币普通股</w:t>
      </w:r>
      <w:r>
        <w:rPr>
          <w:spacing w:val="-60"/>
        </w:rPr>
        <w:t> </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)4,000.00</w:t>
      </w:r>
      <w:r>
        <w:rPr/>
        <w:t>万股，每股面值人民币 </w:t>
      </w:r>
      <w:r>
        <w:rPr>
          <w:rFonts w:ascii="Times New Roman" w:hAnsi="Times New Roman" w:cs="Times New Roman" w:eastAsia="Times New Roman" w:hint="default"/>
        </w:rPr>
        <w:t>1.00</w:t>
      </w:r>
      <w:r>
        <w:rPr/>
        <w:t>元，发行后本公司注册资本变更为人民币</w:t>
      </w:r>
      <w:r>
        <w:rPr>
          <w:rFonts w:ascii="Times New Roman" w:hAnsi="Times New Roman" w:cs="Times New Roman" w:eastAsia="Times New Roman" w:hint="default"/>
        </w:rPr>
        <w:t>24,000.00</w:t>
      </w:r>
      <w:r>
        <w:rPr/>
        <w:t>万元。</w:t>
      </w:r>
    </w:p>
    <w:p>
      <w:pPr>
        <w:pStyle w:val="BodyText"/>
        <w:spacing w:line="240" w:lineRule="auto" w:before="13"/>
        <w:ind w:left="513" w:right="114"/>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2013</w:t>
      </w:r>
      <w:r>
        <w:rPr/>
        <w:t>年年度股东大会审议通过了《</w:t>
      </w:r>
      <w:r>
        <w:rPr>
          <w:rFonts w:ascii="Times New Roman" w:hAnsi="Times New Roman" w:cs="Times New Roman" w:eastAsia="Times New Roman" w:hint="default"/>
        </w:rPr>
        <w:t>2013</w:t>
      </w:r>
      <w:r>
        <w:rPr/>
        <w:t>年度利润分配及资本公积金转增股本的议案》</w:t>
      </w:r>
      <w:r>
        <w:rPr>
          <w:rFonts w:ascii="Times New Roman" w:hAnsi="Times New Roman" w:cs="Times New Roman" w:eastAsia="Times New Roman" w:hint="default"/>
        </w:rPr>
        <w:t>,</w:t>
      </w:r>
      <w:r>
        <w:rPr/>
        <w:t>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p>
    <w:p>
      <w:pPr>
        <w:pStyle w:val="BodyText"/>
        <w:spacing w:line="240" w:lineRule="auto" w:before="62"/>
        <w:ind w:right="0"/>
        <w:jc w:val="left"/>
      </w:pP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240,000,000</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股，合计转增股本</w:t>
      </w:r>
      <w:r>
        <w:rPr>
          <w:rFonts w:ascii="Times New Roman" w:hAnsi="Times New Roman" w:cs="Times New Roman" w:eastAsia="Times New Roman" w:hint="default"/>
        </w:rPr>
        <w:t>240,000,000</w:t>
      </w:r>
      <w:r>
        <w:rPr/>
        <w:t>股，转增后总股本为</w:t>
      </w:r>
    </w:p>
    <w:p>
      <w:pPr>
        <w:spacing w:after="0" w:line="240" w:lineRule="auto"/>
        <w:jc w:val="left"/>
        <w:sectPr>
          <w:pgSz w:w="11910" w:h="16840"/>
          <w:pgMar w:header="745" w:footer="980" w:top="1060" w:bottom="1160" w:left="980" w:right="920"/>
        </w:sectPr>
      </w:pPr>
    </w:p>
    <w:p>
      <w:pPr>
        <w:spacing w:line="240" w:lineRule="auto" w:before="9"/>
        <w:rPr>
          <w:rFonts w:ascii="宋体" w:hAnsi="宋体" w:cs="宋体" w:eastAsia="宋体" w:hint="default"/>
          <w:sz w:val="25"/>
          <w:szCs w:val="25"/>
        </w:rPr>
      </w:pPr>
    </w:p>
    <w:p>
      <w:pPr>
        <w:pStyle w:val="BodyText"/>
        <w:spacing w:line="300" w:lineRule="auto" w:before="44"/>
        <w:ind w:left="513" w:right="143" w:hanging="361"/>
        <w:jc w:val="left"/>
      </w:pPr>
      <w:r>
        <w:rPr>
          <w:rFonts w:ascii="Times New Roman" w:hAnsi="Times New Roman" w:cs="Times New Roman" w:eastAsia="Times New Roman" w:hint="default"/>
        </w:rPr>
        <w:t>480,000,000</w:t>
      </w:r>
      <w:r>
        <w:rPr/>
        <w:t>股，注册资本变更为</w:t>
      </w:r>
      <w:r>
        <w:rPr>
          <w:rFonts w:ascii="Times New Roman" w:hAnsi="Times New Roman" w:cs="Times New Roman" w:eastAsia="Times New Roman" w:hint="default"/>
        </w:rPr>
        <w:t>480,000,000.00</w:t>
      </w:r>
      <w:r>
        <w:rPr/>
        <w:t>元。 根据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日召开的</w:t>
      </w:r>
      <w:r>
        <w:rPr>
          <w:rFonts w:ascii="Times New Roman" w:hAnsi="Times New Roman" w:cs="Times New Roman" w:eastAsia="Times New Roman" w:hint="default"/>
        </w:rPr>
        <w:t>2014</w:t>
      </w:r>
      <w:r>
        <w:rPr/>
        <w:t>年第一次临时股东大会决议审议通过的《关于〈深圳市卓翼科技股份有限公司限制性股</w:t>
      </w:r>
    </w:p>
    <w:p>
      <w:pPr>
        <w:pStyle w:val="BodyText"/>
        <w:spacing w:line="304" w:lineRule="auto" w:before="13"/>
        <w:ind w:right="144"/>
        <w:jc w:val="left"/>
      </w:pPr>
      <w:r>
        <w:rPr/>
        <w:t>票激励计划（草案修订稿）〉及其摘要的议案》和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日召开的第三届董事会第八次会议审议通过的《关于对</w:t>
      </w:r>
      <w:r>
        <w:rPr>
          <w:rFonts w:ascii="Times New Roman" w:hAnsi="Times New Roman" w:cs="Times New Roman" w:eastAsia="Times New Roman" w:hint="default"/>
        </w:rPr>
        <w:t>&lt;</w:t>
      </w:r>
      <w:r>
        <w:rPr/>
        <w:t>深 </w:t>
      </w:r>
      <w:r>
        <w:rPr>
          <w:spacing w:val="-2"/>
        </w:rPr>
        <w:t>圳市卓翼科技股份有限公司限制性股票激励计划（草案修订稿）〉及其摘要激进行调整的议案》、《关于向激励对象授予限</w:t>
      </w:r>
      <w:r>
        <w:rPr>
          <w:spacing w:val="-67"/>
        </w:rPr>
        <w:t> </w:t>
      </w:r>
      <w:r>
        <w:rPr>
          <w:spacing w:val="-67"/>
        </w:rPr>
      </w:r>
      <w:r>
        <w:rPr/>
        <w:t>制性股票的议案》，首次授予的激励对象人数由</w:t>
      </w:r>
      <w:r>
        <w:rPr>
          <w:rFonts w:ascii="Times New Roman" w:hAnsi="Times New Roman" w:cs="Times New Roman" w:eastAsia="Times New Roman" w:hint="default"/>
        </w:rPr>
        <w:t>122</w:t>
      </w:r>
      <w:r>
        <w:rPr/>
        <w:t>人调整为</w:t>
      </w:r>
      <w:r>
        <w:rPr>
          <w:rFonts w:ascii="Times New Roman" w:hAnsi="Times New Roman" w:cs="Times New Roman" w:eastAsia="Times New Roman" w:hint="default"/>
        </w:rPr>
        <w:t>104</w:t>
      </w:r>
      <w:r>
        <w:rPr/>
        <w:t>人，本次激励计划授予数量由</w:t>
      </w:r>
      <w:r>
        <w:rPr>
          <w:rFonts w:ascii="Times New Roman" w:hAnsi="Times New Roman" w:cs="Times New Roman" w:eastAsia="Times New Roman" w:hint="default"/>
        </w:rPr>
        <w:t>1,477.80</w:t>
      </w:r>
      <w:r>
        <w:rPr/>
        <w:t>万股调整为</w:t>
      </w:r>
      <w:r>
        <w:rPr>
          <w:rFonts w:ascii="Times New Roman" w:hAnsi="Times New Roman" w:cs="Times New Roman" w:eastAsia="Times New Roman" w:hint="default"/>
        </w:rPr>
        <w:t>1,344.10 </w:t>
      </w:r>
      <w:r>
        <w:rPr/>
        <w:t>万股，其中首次授予股票数量为</w:t>
      </w:r>
      <w:r>
        <w:rPr>
          <w:rFonts w:ascii="Times New Roman" w:hAnsi="Times New Roman" w:cs="Times New Roman" w:eastAsia="Times New Roman" w:hint="default"/>
        </w:rPr>
        <w:t>1,198.10</w:t>
      </w:r>
      <w:r>
        <w:rPr/>
        <w:t>万股，预留部分为</w:t>
      </w:r>
      <w:r>
        <w:rPr>
          <w:rFonts w:ascii="Times New Roman" w:hAnsi="Times New Roman" w:cs="Times New Roman" w:eastAsia="Times New Roman" w:hint="default"/>
        </w:rPr>
        <w:t>146</w:t>
      </w:r>
      <w:r>
        <w:rPr/>
        <w:t>万股，最终向周诗红等</w:t>
      </w:r>
      <w:r>
        <w:rPr>
          <w:rFonts w:ascii="Times New Roman" w:hAnsi="Times New Roman" w:cs="Times New Roman" w:eastAsia="Times New Roman" w:hint="default"/>
        </w:rPr>
        <w:t>104</w:t>
      </w:r>
      <w:r>
        <w:rPr/>
        <w:t>位激励对象定向发行限制性股票共 计</w:t>
      </w:r>
      <w:r>
        <w:rPr>
          <w:rFonts w:ascii="Times New Roman" w:hAnsi="Times New Roman" w:cs="Times New Roman" w:eastAsia="Times New Roman" w:hint="default"/>
        </w:rPr>
        <w:t>1,198.10</w:t>
      </w:r>
      <w:r>
        <w:rPr/>
        <w:t>万股，由激励对象以</w:t>
      </w:r>
      <w:r>
        <w:rPr>
          <w:rFonts w:ascii="Times New Roman" w:hAnsi="Times New Roman" w:cs="Times New Roman" w:eastAsia="Times New Roman" w:hint="default"/>
        </w:rPr>
        <w:t>3.85</w:t>
      </w:r>
      <w:r>
        <w:rPr/>
        <w:t>元</w:t>
      </w:r>
      <w:r>
        <w:rPr>
          <w:rFonts w:ascii="Times New Roman" w:hAnsi="Times New Roman" w:cs="Times New Roman" w:eastAsia="Times New Roman" w:hint="default"/>
        </w:rPr>
        <w:t>/</w:t>
      </w:r>
      <w:r>
        <w:rPr/>
        <w:t>股的价格认购，增加股本人民币</w:t>
      </w:r>
      <w:r>
        <w:rPr>
          <w:rFonts w:ascii="Times New Roman" w:hAnsi="Times New Roman" w:cs="Times New Roman" w:eastAsia="Times New Roman" w:hint="default"/>
        </w:rPr>
        <w:t>11,981,000.00</w:t>
      </w:r>
      <w:r>
        <w:rPr/>
        <w:t>元，变更后的注册资本为人民币 </w:t>
      </w:r>
      <w:r>
        <w:rPr>
          <w:rFonts w:ascii="Times New Roman" w:hAnsi="Times New Roman" w:cs="Times New Roman" w:eastAsia="Times New Roman" w:hint="default"/>
        </w:rPr>
        <w:t>491,981,000.00</w:t>
      </w:r>
      <w:r>
        <w:rPr/>
        <w:t>元。</w:t>
      </w:r>
    </w:p>
    <w:p>
      <w:pPr>
        <w:pStyle w:val="BodyText"/>
        <w:spacing w:line="300" w:lineRule="auto" w:before="9"/>
        <w:ind w:right="0" w:firstLine="360"/>
        <w:jc w:val="left"/>
      </w:pPr>
      <w:r>
        <w:rPr>
          <w:spacing w:val="-2"/>
        </w:rPr>
        <w:t>根据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日第三届董事会第十二次会议决议，同意本公司回购注销未达到第一期解锁条件及部分已不符合激励条</w:t>
      </w:r>
      <w:r>
        <w:rPr/>
        <w:t> 件的激励对象已获授但未解锁的限制性股票</w:t>
      </w:r>
      <w:r>
        <w:rPr>
          <w:rFonts w:ascii="Times New Roman" w:hAnsi="Times New Roman" w:cs="Times New Roman" w:eastAsia="Times New Roman" w:hint="default"/>
        </w:rPr>
        <w:t>3,032,750</w:t>
      </w:r>
      <w:r>
        <w:rPr/>
        <w:t>股，变更后的股本</w:t>
      </w:r>
      <w:r>
        <w:rPr>
          <w:rFonts w:ascii="Times New Roman" w:hAnsi="Times New Roman" w:cs="Times New Roman" w:eastAsia="Times New Roman" w:hint="default"/>
        </w:rPr>
        <w:t>488,948,250.00</w:t>
      </w:r>
      <w:r>
        <w:rPr/>
        <w:t>元，注册资本为</w:t>
      </w:r>
      <w:r>
        <w:rPr>
          <w:rFonts w:ascii="Times New Roman" w:hAnsi="Times New Roman" w:cs="Times New Roman" w:eastAsia="Times New Roman" w:hint="default"/>
        </w:rPr>
        <w:t>488,948,250.00</w:t>
      </w:r>
      <w:r>
        <w:rPr/>
        <w:t>元。</w:t>
      </w:r>
    </w:p>
    <w:p>
      <w:pPr>
        <w:pStyle w:val="BodyText"/>
        <w:spacing w:line="300" w:lineRule="auto" w:before="13"/>
        <w:ind w:right="144" w:firstLine="360"/>
        <w:jc w:val="left"/>
      </w:pPr>
      <w:r>
        <w:rPr/>
        <w:t>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日第三届董事会第十六次会议决议，同意本公司回购注销已不符合激励条件的激励对象已获授但未解 锁的限制性股票</w:t>
      </w:r>
      <w:r>
        <w:rPr>
          <w:rFonts w:ascii="Times New Roman" w:hAnsi="Times New Roman" w:cs="Times New Roman" w:eastAsia="Times New Roman" w:hint="default"/>
        </w:rPr>
        <w:t>310,500</w:t>
      </w:r>
      <w:r>
        <w:rPr/>
        <w:t>股，变更后的股本</w:t>
      </w:r>
      <w:r>
        <w:rPr>
          <w:rFonts w:ascii="Times New Roman" w:hAnsi="Times New Roman" w:cs="Times New Roman" w:eastAsia="Times New Roman" w:hint="default"/>
        </w:rPr>
        <w:t>488,637,750.00</w:t>
      </w:r>
      <w:r>
        <w:rPr/>
        <w:t>元，注册资本为</w:t>
      </w:r>
      <w:r>
        <w:rPr>
          <w:rFonts w:ascii="Times New Roman" w:hAnsi="Times New Roman" w:cs="Times New Roman" w:eastAsia="Times New Roman" w:hint="default"/>
        </w:rPr>
        <w:t>488,637,750.00</w:t>
      </w:r>
      <w:r>
        <w:rPr/>
        <w:t>元。</w:t>
      </w:r>
    </w:p>
    <w:p>
      <w:pPr>
        <w:pStyle w:val="BodyText"/>
        <w:spacing w:line="240" w:lineRule="auto" w:before="13"/>
        <w:ind w:left="513" w:right="153"/>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日止，本公司累计股本总数</w:t>
      </w:r>
      <w:r>
        <w:rPr>
          <w:rFonts w:ascii="Times New Roman" w:hAnsi="Times New Roman" w:cs="Times New Roman" w:eastAsia="Times New Roman" w:hint="default"/>
        </w:rPr>
        <w:t>488,637,750</w:t>
      </w:r>
      <w:r>
        <w:rPr/>
        <w:t>股，注册资本为人民币</w:t>
      </w:r>
      <w:r>
        <w:rPr>
          <w:rFonts w:ascii="Times New Roman" w:hAnsi="Times New Roman" w:cs="Times New Roman" w:eastAsia="Times New Roman" w:hint="default"/>
        </w:rPr>
        <w:t>488,637,750.00</w:t>
      </w:r>
      <w:r>
        <w:rPr/>
        <w:t>元，营业执照注册号：</w:t>
      </w:r>
    </w:p>
    <w:p>
      <w:pPr>
        <w:pStyle w:val="BodyText"/>
        <w:spacing w:line="240" w:lineRule="auto" w:before="63"/>
        <w:ind w:right="153"/>
        <w:jc w:val="left"/>
      </w:pPr>
      <w:r>
        <w:rPr>
          <w:rFonts w:ascii="Times New Roman" w:hAnsi="Times New Roman" w:cs="Times New Roman" w:eastAsia="Times New Roman" w:hint="default"/>
        </w:rPr>
        <w:t>440301102730527</w:t>
      </w:r>
      <w:r>
        <w:rPr/>
        <w:t>，注册及总部地址：深圳市南山区西丽平山民企科技工业园</w:t>
      </w:r>
      <w:r>
        <w:rPr>
          <w:rFonts w:ascii="Times New Roman" w:hAnsi="Times New Roman" w:cs="Times New Roman" w:eastAsia="Times New Roman" w:hint="default"/>
        </w:rPr>
        <w:t>5</w:t>
      </w:r>
      <w:r>
        <w:rPr/>
        <w:t>栋。</w:t>
      </w:r>
    </w:p>
    <w:p>
      <w:pPr>
        <w:spacing w:line="240" w:lineRule="auto" w:before="13"/>
        <w:rPr>
          <w:rFonts w:ascii="宋体" w:hAnsi="宋体" w:cs="宋体" w:eastAsia="宋体" w:hint="default"/>
          <w:sz w:val="13"/>
          <w:szCs w:val="13"/>
        </w:rPr>
      </w:pPr>
    </w:p>
    <w:p>
      <w:pPr>
        <w:pStyle w:val="BodyText"/>
        <w:spacing w:line="300" w:lineRule="auto"/>
        <w:ind w:left="513" w:right="153"/>
        <w:jc w:val="left"/>
      </w:pPr>
      <w:r>
        <w:rPr>
          <w:rFonts w:ascii="Times New Roman" w:hAnsi="Times New Roman" w:cs="Times New Roman" w:eastAsia="Times New Roman" w:hint="default"/>
        </w:rPr>
        <w:t>2</w:t>
      </w:r>
      <w:r>
        <w:rPr/>
        <w:t>、公司业务性质和主要经营活动 </w:t>
      </w:r>
      <w:r>
        <w:rPr>
          <w:spacing w:val="-1"/>
        </w:rPr>
        <w:t>本公司所属行业是通讯及其相关设备制造业行业，主要产品为网络通讯类：</w:t>
      </w:r>
      <w:r>
        <w:rPr>
          <w:rFonts w:ascii="Times New Roman" w:hAnsi="Times New Roman" w:cs="Times New Roman" w:eastAsia="Times New Roman" w:hint="default"/>
          <w:spacing w:val="-1"/>
        </w:rPr>
        <w:t>XDSL</w:t>
      </w:r>
      <w:r>
        <w:rPr>
          <w:spacing w:val="-1"/>
        </w:rPr>
        <w:t>宽带接入设备、无线路由器、无线网</w:t>
      </w:r>
    </w:p>
    <w:p>
      <w:pPr>
        <w:pStyle w:val="BodyText"/>
        <w:spacing w:line="300" w:lineRule="auto" w:before="13"/>
        <w:ind w:right="150"/>
        <w:jc w:val="both"/>
      </w:pPr>
      <w:r>
        <w:rPr>
          <w:spacing w:val="-9"/>
          <w:w w:val="99"/>
        </w:rPr>
        <w:t>卡、</w:t>
      </w:r>
      <w:r>
        <w:rPr>
          <w:rFonts w:ascii="Times New Roman" w:hAnsi="Times New Roman" w:cs="Times New Roman" w:eastAsia="Times New Roman" w:hint="default"/>
          <w:spacing w:val="-9"/>
          <w:w w:val="99"/>
        </w:rPr>
        <w:t>3G</w:t>
      </w:r>
      <w:r>
        <w:rPr>
          <w:spacing w:val="-9"/>
          <w:w w:val="99"/>
        </w:rPr>
        <w:t>数据卡、以太网交换机及路由器、数字电视机顶盒、</w:t>
      </w:r>
      <w:r>
        <w:rPr>
          <w:rFonts w:ascii="Times New Roman" w:hAnsi="Times New Roman" w:cs="Times New Roman" w:eastAsia="Times New Roman" w:hint="default"/>
          <w:spacing w:val="-9"/>
          <w:w w:val="99"/>
        </w:rPr>
        <w:t>WiFi</w:t>
      </w:r>
      <w:r>
        <w:rPr>
          <w:spacing w:val="-9"/>
          <w:w w:val="99"/>
        </w:rPr>
        <w:t>电话等；消费电子类：音频产品</w:t>
      </w:r>
      <w:r>
        <w:rPr>
          <w:rFonts w:ascii="Times New Roman" w:hAnsi="Times New Roman" w:cs="Times New Roman" w:eastAsia="Times New Roman" w:hint="default"/>
          <w:spacing w:val="-9"/>
          <w:w w:val="99"/>
        </w:rPr>
        <w:t>(</w:t>
      </w:r>
      <w:r>
        <w:rPr>
          <w:spacing w:val="-9"/>
          <w:w w:val="99"/>
        </w:rPr>
        <w:t>包括</w:t>
      </w:r>
      <w:r>
        <w:rPr>
          <w:rFonts w:ascii="Times New Roman" w:hAnsi="Times New Roman" w:cs="Times New Roman" w:eastAsia="Times New Roman" w:hint="default"/>
          <w:spacing w:val="-9"/>
          <w:w w:val="99"/>
        </w:rPr>
        <w:t>for</w:t>
      </w:r>
      <w:r>
        <w:rPr>
          <w:rFonts w:ascii="Times New Roman" w:hAnsi="Times New Roman" w:cs="Times New Roman" w:eastAsia="Times New Roman" w:hint="default"/>
          <w:spacing w:val="-4"/>
          <w:w w:val="99"/>
        </w:rPr>
        <w:t> </w:t>
      </w:r>
      <w:r>
        <w:rPr>
          <w:rFonts w:ascii="Times New Roman" w:hAnsi="Times New Roman" w:cs="Times New Roman" w:eastAsia="Times New Roman" w:hint="default"/>
          <w:spacing w:val="-1"/>
          <w:w w:val="99"/>
        </w:rPr>
        <w:t>iPod&amp;works </w:t>
      </w:r>
      <w:r>
        <w:rPr>
          <w:rFonts w:ascii="Times New Roman" w:hAnsi="Times New Roman" w:cs="Times New Roman" w:eastAsia="Times New Roman" w:hint="default"/>
          <w:spacing w:val="-1"/>
          <w:w w:val="99"/>
        </w:rPr>
        <w:t>with</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w w:val="99"/>
        </w:rPr>
        <w:t>iPhone</w:t>
      </w:r>
      <w:r>
        <w:rPr>
          <w:rFonts w:ascii="Times New Roman" w:hAnsi="Times New Roman" w:cs="Times New Roman" w:eastAsia="Times New Roman" w:hint="default"/>
          <w:spacing w:val="-42"/>
          <w:w w:val="99"/>
        </w:rPr>
        <w:t> </w:t>
      </w:r>
      <w:r>
        <w:rPr>
          <w:rFonts w:ascii="Times New Roman" w:hAnsi="Times New Roman" w:cs="Times New Roman" w:eastAsia="Times New Roman" w:hint="default"/>
          <w:spacing w:val="-42"/>
          <w:w w:val="99"/>
        </w:rPr>
      </w:r>
      <w:r>
        <w:rPr/>
        <w:t>音频产品等</w:t>
      </w:r>
      <w:r>
        <w:rPr>
          <w:rFonts w:ascii="Times New Roman" w:hAnsi="Times New Roman" w:cs="Times New Roman" w:eastAsia="Times New Roman" w:hint="default"/>
        </w:rPr>
        <w:t>)</w:t>
      </w:r>
      <w:r>
        <w:rPr/>
        <w:t>、移动手持终端设备、存储产品；电子产品的购销及其他国内商业、物资供销业；机械设备租赁；计算机与通 讯设备租赁。</w:t>
      </w:r>
    </w:p>
    <w:p>
      <w:pPr>
        <w:pStyle w:val="BodyText"/>
        <w:spacing w:line="300" w:lineRule="auto" w:before="151"/>
        <w:ind w:left="513" w:right="4554"/>
        <w:jc w:val="left"/>
      </w:pPr>
      <w:r>
        <w:rPr>
          <w:rFonts w:ascii="Times New Roman" w:hAnsi="Times New Roman" w:cs="Times New Roman" w:eastAsia="Times New Roman" w:hint="default"/>
        </w:rPr>
        <w:t>3</w:t>
      </w:r>
      <w:r>
        <w:rPr/>
        <w:t>、</w:t>
      </w:r>
      <w:r>
        <w:rPr>
          <w:spacing w:val="-18"/>
        </w:rPr>
        <w:t> </w:t>
      </w:r>
      <w:r>
        <w:rPr/>
        <w:t>财务报表的批准报出</w:t>
      </w:r>
      <w:r>
        <w:rPr/>
        <w:t> 本财务报表业经公司董事会于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日批准报出。</w:t>
      </w:r>
    </w:p>
    <w:p>
      <w:pPr>
        <w:spacing w:line="240" w:lineRule="auto" w:before="11"/>
        <w:rPr>
          <w:rFonts w:ascii="宋体" w:hAnsi="宋体" w:cs="宋体" w:eastAsia="宋体" w:hint="default"/>
          <w:sz w:val="24"/>
          <w:szCs w:val="24"/>
        </w:rPr>
      </w:pPr>
    </w:p>
    <w:p>
      <w:pPr>
        <w:pStyle w:val="BodyText"/>
        <w:spacing w:line="240" w:lineRule="auto"/>
        <w:ind w:left="513" w:right="153"/>
        <w:jc w:val="left"/>
      </w:pPr>
      <w:r>
        <w:rPr/>
        <w:t>本期纳入合并财务报表范围的主体共</w:t>
      </w:r>
      <w:r>
        <w:rPr>
          <w:rFonts w:ascii="Times New Roman" w:hAnsi="Times New Roman" w:cs="Times New Roman" w:eastAsia="Times New Roman" w:hint="default"/>
        </w:rPr>
        <w:t>11</w:t>
      </w:r>
      <w:r>
        <w:rPr/>
        <w:t>户，具体包括：</w:t>
      </w:r>
    </w:p>
    <w:p>
      <w:pPr>
        <w:spacing w:line="240" w:lineRule="auto" w:before="5"/>
        <w:rPr>
          <w:rFonts w:ascii="宋体" w:hAnsi="宋体" w:cs="宋体" w:eastAsia="宋体" w:hint="default"/>
          <w:sz w:val="13"/>
          <w:szCs w:val="13"/>
        </w:rPr>
      </w:pPr>
    </w:p>
    <w:tbl>
      <w:tblPr>
        <w:tblW w:w="0" w:type="auto"/>
        <w:jc w:val="left"/>
        <w:tblInd w:w="145" w:type="dxa"/>
        <w:tblLayout w:type="fixed"/>
        <w:tblCellMar>
          <w:top w:w="0" w:type="dxa"/>
          <w:left w:w="0" w:type="dxa"/>
          <w:bottom w:w="0" w:type="dxa"/>
          <w:right w:w="0" w:type="dxa"/>
        </w:tblCellMar>
        <w:tblLook w:val="01E0"/>
      </w:tblPr>
      <w:tblGrid>
        <w:gridCol w:w="3371"/>
        <w:gridCol w:w="1702"/>
        <w:gridCol w:w="850"/>
        <w:gridCol w:w="1274"/>
        <w:gridCol w:w="1333"/>
      </w:tblGrid>
      <w:tr>
        <w:trPr>
          <w:trHeight w:val="355" w:hRule="exact"/>
        </w:trPr>
        <w:tc>
          <w:tcPr>
            <w:tcW w:w="33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391"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37" w:right="0"/>
              <w:jc w:val="left"/>
              <w:rPr>
                <w:rFonts w:ascii="宋体" w:hAnsi="宋体" w:cs="宋体" w:eastAsia="宋体" w:hint="default"/>
                <w:sz w:val="18"/>
                <w:szCs w:val="18"/>
              </w:rPr>
            </w:pPr>
            <w:r>
              <w:rPr>
                <w:rFonts w:ascii="宋体" w:hAnsi="宋体" w:cs="宋体" w:eastAsia="宋体" w:hint="default"/>
                <w:sz w:val="18"/>
                <w:szCs w:val="18"/>
              </w:rPr>
              <w:t>级次</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6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3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left="211" w:right="0"/>
              <w:jc w:val="left"/>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663" w:hRule="exact"/>
        </w:trPr>
        <w:tc>
          <w:tcPr>
            <w:tcW w:w="3371"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8"/>
              <w:ind w:left="4" w:right="1"/>
              <w:jc w:val="left"/>
              <w:rPr>
                <w:rFonts w:ascii="宋体" w:hAnsi="宋体" w:cs="宋体" w:eastAsia="宋体" w:hint="default"/>
                <w:sz w:val="18"/>
                <w:szCs w:val="18"/>
              </w:rPr>
            </w:pPr>
            <w:r>
              <w:rPr>
                <w:rFonts w:ascii="宋体" w:hAnsi="宋体" w:cs="宋体" w:eastAsia="宋体" w:hint="default"/>
                <w:spacing w:val="-1"/>
                <w:sz w:val="18"/>
                <w:szCs w:val="18"/>
              </w:rPr>
              <w:t>卓翼科技</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香港</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有限公司（以下简称卓翼香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港）</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100%</w:t>
            </w:r>
          </w:p>
        </w:tc>
        <w:tc>
          <w:tcPr>
            <w:tcW w:w="13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100%</w:t>
            </w:r>
          </w:p>
        </w:tc>
      </w:tr>
      <w:tr>
        <w:trPr>
          <w:trHeight w:val="353" w:hRule="exact"/>
        </w:trPr>
        <w:tc>
          <w:tcPr>
            <w:tcW w:w="3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深圳市卓大精密模具有限公司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100%</w:t>
            </w:r>
          </w:p>
        </w:tc>
        <w:tc>
          <w:tcPr>
            <w:tcW w:w="13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100%</w:t>
            </w:r>
          </w:p>
        </w:tc>
      </w:tr>
      <w:tr>
        <w:trPr>
          <w:trHeight w:val="665" w:hRule="exact"/>
        </w:trPr>
        <w:tc>
          <w:tcPr>
            <w:tcW w:w="337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
              <w:jc w:val="left"/>
              <w:rPr>
                <w:rFonts w:ascii="宋体" w:hAnsi="宋体" w:cs="宋体" w:eastAsia="宋体" w:hint="default"/>
                <w:sz w:val="18"/>
                <w:szCs w:val="18"/>
              </w:rPr>
            </w:pPr>
            <w:r>
              <w:rPr>
                <w:rFonts w:ascii="宋体" w:hAnsi="宋体" w:cs="宋体" w:eastAsia="宋体" w:hint="default"/>
                <w:spacing w:val="-4"/>
                <w:sz w:val="18"/>
                <w:szCs w:val="18"/>
              </w:rPr>
              <w:t>深圳市中广视讯科技发展有限公司（以下简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称中广视讯）</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100%</w:t>
            </w:r>
          </w:p>
        </w:tc>
        <w:tc>
          <w:tcPr>
            <w:tcW w:w="13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100%</w:t>
            </w:r>
          </w:p>
        </w:tc>
      </w:tr>
      <w:tr>
        <w:trPr>
          <w:trHeight w:val="350" w:hRule="exact"/>
        </w:trPr>
        <w:tc>
          <w:tcPr>
            <w:tcW w:w="3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中广互联（厦门）信息科技有限公司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全资子（孙）公司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100%</w:t>
            </w:r>
          </w:p>
        </w:tc>
        <w:tc>
          <w:tcPr>
            <w:tcW w:w="13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100%</w:t>
            </w:r>
          </w:p>
        </w:tc>
      </w:tr>
      <w:tr>
        <w:trPr>
          <w:trHeight w:val="353" w:hRule="exact"/>
        </w:trPr>
        <w:tc>
          <w:tcPr>
            <w:tcW w:w="3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卓翼营销有限公司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全资子（孙）公司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100%</w:t>
            </w:r>
          </w:p>
        </w:tc>
        <w:tc>
          <w:tcPr>
            <w:tcW w:w="13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100%</w:t>
            </w:r>
          </w:p>
        </w:tc>
      </w:tr>
      <w:tr>
        <w:trPr>
          <w:trHeight w:val="665" w:hRule="exact"/>
        </w:trPr>
        <w:tc>
          <w:tcPr>
            <w:tcW w:w="3371"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8"/>
              <w:ind w:left="4" w:right="200"/>
              <w:jc w:val="left"/>
              <w:rPr>
                <w:rFonts w:ascii="宋体" w:hAnsi="宋体" w:cs="宋体" w:eastAsia="宋体" w:hint="default"/>
                <w:sz w:val="18"/>
                <w:szCs w:val="18"/>
              </w:rPr>
            </w:pPr>
            <w:r>
              <w:rPr>
                <w:rFonts w:ascii="Times New Roman" w:hAnsi="Times New Roman" w:cs="Times New Roman" w:eastAsia="Times New Roman" w:hint="default"/>
                <w:sz w:val="18"/>
                <w:szCs w:val="18"/>
              </w:rPr>
              <w:t>Double Power Technology</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lnc.</w:t>
            </w:r>
            <w:r>
              <w:rPr>
                <w:rFonts w:ascii="宋体" w:hAnsi="宋体" w:cs="宋体" w:eastAsia="宋体" w:hint="default"/>
                <w:sz w:val="18"/>
                <w:szCs w:val="18"/>
              </w:rPr>
              <w:t>（以下简称 </w:t>
            </w:r>
            <w:r>
              <w:rPr>
                <w:rFonts w:ascii="Times New Roman" w:hAnsi="Times New Roman" w:cs="Times New Roman" w:eastAsia="Times New Roman" w:hint="default"/>
                <w:sz w:val="18"/>
                <w:szCs w:val="18"/>
              </w:rPr>
              <w:t>Double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Power</w:t>
            </w:r>
            <w:r>
              <w:rPr>
                <w:rFonts w:ascii="宋体" w:hAnsi="宋体" w:cs="宋体" w:eastAsia="宋体" w:hint="default"/>
                <w:sz w:val="18"/>
                <w:szCs w:val="18"/>
              </w:rPr>
              <w:t>）</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全资子（孙）公司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100%</w:t>
            </w:r>
          </w:p>
        </w:tc>
        <w:tc>
          <w:tcPr>
            <w:tcW w:w="13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100%</w:t>
            </w:r>
          </w:p>
        </w:tc>
      </w:tr>
      <w:tr>
        <w:trPr>
          <w:trHeight w:val="662" w:hRule="exact"/>
        </w:trPr>
        <w:tc>
          <w:tcPr>
            <w:tcW w:w="3371"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
              <w:jc w:val="left"/>
              <w:rPr>
                <w:rFonts w:ascii="宋体" w:hAnsi="宋体" w:cs="宋体" w:eastAsia="宋体" w:hint="default"/>
                <w:sz w:val="18"/>
                <w:szCs w:val="18"/>
              </w:rPr>
            </w:pPr>
            <w:r>
              <w:rPr>
                <w:rFonts w:ascii="宋体" w:hAnsi="宋体" w:cs="宋体" w:eastAsia="宋体" w:hint="default"/>
                <w:spacing w:val="-4"/>
                <w:sz w:val="18"/>
                <w:szCs w:val="18"/>
              </w:rPr>
              <w:t>天津卓达科技发展有限公司（以下简称天津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卓达）</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100%</w:t>
            </w:r>
          </w:p>
        </w:tc>
        <w:tc>
          <w:tcPr>
            <w:tcW w:w="13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100%</w:t>
            </w:r>
          </w:p>
        </w:tc>
      </w:tr>
      <w:tr>
        <w:trPr>
          <w:trHeight w:val="353" w:hRule="exact"/>
        </w:trPr>
        <w:tc>
          <w:tcPr>
            <w:tcW w:w="3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深圳市卓翼智造有限公司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3"/>
              <w:jc w:val="right"/>
              <w:rPr>
                <w:rFonts w:ascii="Times New Roman" w:hAnsi="Times New Roman" w:cs="Times New Roman" w:eastAsia="Times New Roman" w:hint="default"/>
                <w:sz w:val="18"/>
                <w:szCs w:val="18"/>
              </w:rPr>
            </w:pPr>
            <w:r>
              <w:rPr>
                <w:rFonts w:ascii="Times New Roman"/>
                <w:sz w:val="18"/>
              </w:rPr>
              <w:t>100%</w:t>
            </w:r>
          </w:p>
        </w:tc>
        <w:tc>
          <w:tcPr>
            <w:tcW w:w="13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3"/>
              <w:ind w:right="-3"/>
              <w:jc w:val="right"/>
              <w:rPr>
                <w:rFonts w:ascii="Times New Roman" w:hAnsi="Times New Roman" w:cs="Times New Roman" w:eastAsia="Times New Roman" w:hint="default"/>
                <w:sz w:val="18"/>
                <w:szCs w:val="18"/>
              </w:rPr>
            </w:pPr>
            <w:r>
              <w:rPr>
                <w:rFonts w:ascii="Times New Roman"/>
                <w:sz w:val="18"/>
              </w:rPr>
              <w:t>100%</w:t>
            </w:r>
          </w:p>
        </w:tc>
      </w:tr>
      <w:tr>
        <w:trPr>
          <w:trHeight w:val="353" w:hRule="exact"/>
        </w:trPr>
        <w:tc>
          <w:tcPr>
            <w:tcW w:w="3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深圳市翼飞投资有限公司</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100%</w:t>
            </w:r>
          </w:p>
        </w:tc>
        <w:tc>
          <w:tcPr>
            <w:tcW w:w="13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100%</w:t>
            </w:r>
          </w:p>
        </w:tc>
      </w:tr>
      <w:tr>
        <w:trPr>
          <w:trHeight w:val="662" w:hRule="exact"/>
        </w:trPr>
        <w:tc>
          <w:tcPr>
            <w:tcW w:w="3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Itasca Holding</w:t>
            </w:r>
            <w:r>
              <w:rPr>
                <w:rFonts w:ascii="Times New Roman"/>
                <w:spacing w:val="-4"/>
                <w:sz w:val="18"/>
              </w:rPr>
              <w:t> </w:t>
            </w:r>
            <w:r>
              <w:rPr>
                <w:rFonts w:ascii="Times New Roman"/>
                <w:sz w:val="18"/>
              </w:rPr>
              <w:t>Ltd.</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2" w:right="62"/>
              <w:jc w:val="left"/>
              <w:rPr>
                <w:rFonts w:ascii="宋体" w:hAnsi="宋体" w:cs="宋体" w:eastAsia="宋体" w:hint="default"/>
                <w:sz w:val="18"/>
                <w:szCs w:val="18"/>
              </w:rPr>
            </w:pPr>
            <w:r>
              <w:rPr>
                <w:rFonts w:ascii="宋体" w:hAnsi="宋体" w:cs="宋体" w:eastAsia="宋体" w:hint="default"/>
                <w:sz w:val="18"/>
                <w:szCs w:val="18"/>
              </w:rPr>
              <w:t>全资子公司之控股子 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四级</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60%</w:t>
            </w:r>
          </w:p>
        </w:tc>
        <w:tc>
          <w:tcPr>
            <w:tcW w:w="13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60%</w:t>
            </w:r>
          </w:p>
        </w:tc>
      </w:tr>
      <w:tr>
        <w:trPr>
          <w:trHeight w:val="665" w:hRule="exact"/>
        </w:trPr>
        <w:tc>
          <w:tcPr>
            <w:tcW w:w="3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Haxis Labs</w:t>
            </w:r>
            <w:r>
              <w:rPr>
                <w:rFonts w:ascii="Times New Roman"/>
                <w:spacing w:val="-5"/>
                <w:sz w:val="18"/>
              </w:rPr>
              <w:t> </w:t>
            </w:r>
            <w:r>
              <w:rPr>
                <w:rFonts w:ascii="Times New Roman"/>
                <w:sz w:val="18"/>
              </w:rPr>
              <w:t>Incorporated.</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62"/>
              <w:jc w:val="left"/>
              <w:rPr>
                <w:rFonts w:ascii="宋体" w:hAnsi="宋体" w:cs="宋体" w:eastAsia="宋体" w:hint="default"/>
                <w:sz w:val="18"/>
                <w:szCs w:val="18"/>
              </w:rPr>
            </w:pPr>
            <w:r>
              <w:rPr>
                <w:rFonts w:ascii="宋体" w:hAnsi="宋体" w:cs="宋体" w:eastAsia="宋体" w:hint="default"/>
                <w:sz w:val="18"/>
                <w:szCs w:val="18"/>
              </w:rPr>
              <w:t>全资子公司之控股子 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五级</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60%</w:t>
            </w:r>
          </w:p>
        </w:tc>
        <w:tc>
          <w:tcPr>
            <w:tcW w:w="133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513" w:right="153"/>
        <w:jc w:val="left"/>
      </w:pPr>
      <w:r>
        <w:rPr/>
        <w:t>本期纳入合并财务报表范围的主体较上期相比，增加</w:t>
      </w:r>
      <w:r>
        <w:rPr>
          <w:rFonts w:ascii="Times New Roman" w:hAnsi="Times New Roman" w:cs="Times New Roman" w:eastAsia="Times New Roman" w:hint="default"/>
        </w:rPr>
        <w:t>3</w:t>
      </w:r>
      <w:r>
        <w:rPr/>
        <w:t>户，其中：</w:t>
      </w:r>
    </w:p>
    <w:p>
      <w:pPr>
        <w:spacing w:line="240" w:lineRule="auto" w:before="5"/>
        <w:rPr>
          <w:rFonts w:ascii="宋体" w:hAnsi="宋体" w:cs="宋体" w:eastAsia="宋体" w:hint="default"/>
          <w:sz w:val="13"/>
          <w:szCs w:val="13"/>
        </w:rPr>
      </w:pPr>
    </w:p>
    <w:tbl>
      <w:tblPr>
        <w:tblW w:w="0" w:type="auto"/>
        <w:jc w:val="left"/>
        <w:tblInd w:w="145" w:type="dxa"/>
        <w:tblLayout w:type="fixed"/>
        <w:tblCellMar>
          <w:top w:w="0" w:type="dxa"/>
          <w:left w:w="0" w:type="dxa"/>
          <w:bottom w:w="0" w:type="dxa"/>
          <w:right w:w="0" w:type="dxa"/>
        </w:tblCellMar>
        <w:tblLook w:val="01E0"/>
      </w:tblPr>
      <w:tblGrid>
        <w:gridCol w:w="3371"/>
        <w:gridCol w:w="5159"/>
      </w:tblGrid>
      <w:tr>
        <w:trPr>
          <w:trHeight w:val="356" w:hRule="exact"/>
        </w:trPr>
        <w:tc>
          <w:tcPr>
            <w:tcW w:w="33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159"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8"/>
              <w:ind w:right="4"/>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0" w:hRule="exact"/>
        </w:trPr>
        <w:tc>
          <w:tcPr>
            <w:tcW w:w="3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深圳市翼飞投资有限公司</w:t>
            </w:r>
          </w:p>
        </w:tc>
        <w:tc>
          <w:tcPr>
            <w:tcW w:w="51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3" w:hRule="exact"/>
        </w:trPr>
        <w:tc>
          <w:tcPr>
            <w:tcW w:w="3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Itasca Holding</w:t>
            </w:r>
            <w:r>
              <w:rPr>
                <w:rFonts w:ascii="Times New Roman"/>
                <w:spacing w:val="-4"/>
                <w:sz w:val="18"/>
              </w:rPr>
              <w:t> </w:t>
            </w:r>
            <w:r>
              <w:rPr>
                <w:rFonts w:ascii="Times New Roman"/>
                <w:sz w:val="18"/>
              </w:rPr>
              <w:t>Ltd.</w:t>
            </w:r>
          </w:p>
        </w:tc>
        <w:tc>
          <w:tcPr>
            <w:tcW w:w="51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3" w:hRule="exact"/>
        </w:trPr>
        <w:tc>
          <w:tcPr>
            <w:tcW w:w="3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Haxis Labs</w:t>
            </w:r>
            <w:r>
              <w:rPr>
                <w:rFonts w:ascii="Times New Roman"/>
                <w:spacing w:val="-5"/>
                <w:sz w:val="18"/>
              </w:rPr>
              <w:t> </w:t>
            </w:r>
            <w:r>
              <w:rPr>
                <w:rFonts w:ascii="Times New Roman"/>
                <w:sz w:val="18"/>
              </w:rPr>
              <w:t>Incorporated.</w:t>
            </w:r>
          </w:p>
        </w:tc>
        <w:tc>
          <w:tcPr>
            <w:tcW w:w="51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投资新设</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153"/>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46" w:firstLine="288"/>
        <w:jc w:val="both"/>
      </w:pPr>
      <w:r>
        <w:rPr>
          <w:spacing w:val="-1"/>
        </w:rPr>
        <w:t>本公司根据实际发生的交易和事项，按照财政部颁布的《企业会计准则</w:t>
      </w:r>
      <w:r>
        <w:rPr>
          <w:rFonts w:ascii="Times New Roman" w:hAnsi="Times New Roman" w:cs="Times New Roman" w:eastAsia="Times New Roman" w:hint="default"/>
          <w:spacing w:val="-1"/>
        </w:rPr>
        <w:t>——</w:t>
      </w:r>
      <w:r>
        <w:rPr>
          <w:spacing w:val="-1"/>
        </w:rPr>
        <w:t>基本准则》和具体企业会计准则、企业会计</w:t>
      </w:r>
      <w:r>
        <w:rPr/>
        <w:t> 准则应用指南、企业会计准则解释及其他相关规定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进行确认和计量，在此基础上，结合中国证券 </w:t>
      </w:r>
      <w:r>
        <w:rPr>
          <w:spacing w:val="-1"/>
        </w:rPr>
        <w:t>监督管理委员会《公开发行证券的公司信息披露编报规则第</w:t>
      </w:r>
      <w:r>
        <w:rPr>
          <w:rFonts w:ascii="Times New Roman" w:hAnsi="Times New Roman" w:cs="Times New Roman" w:eastAsia="Times New Roman" w:hint="default"/>
          <w:spacing w:val="-1"/>
        </w:rPr>
        <w:t>15</w:t>
      </w:r>
      <w:r>
        <w:rPr>
          <w:spacing w:val="-1"/>
        </w:rPr>
        <w:t>号</w:t>
      </w:r>
      <w:r>
        <w:rPr>
          <w:rFonts w:ascii="Times New Roman" w:hAnsi="Times New Roman" w:cs="Times New Roman" w:eastAsia="Times New Roman" w:hint="default"/>
          <w:spacing w:val="-1"/>
        </w:rPr>
        <w:t>——</w:t>
      </w:r>
      <w:r>
        <w:rPr>
          <w:spacing w:val="-1"/>
        </w:rPr>
        <w:t>财务报告的一般规定》</w:t>
      </w:r>
      <w:r>
        <w:rPr>
          <w:rFonts w:ascii="Times New Roman" w:hAnsi="Times New Roman" w:cs="Times New Roman" w:eastAsia="Times New Roman" w:hint="default"/>
          <w:spacing w:val="-1"/>
        </w:rPr>
        <w:t>(2014</w:t>
      </w:r>
      <w:r>
        <w:rPr>
          <w:spacing w:val="-1"/>
        </w:rPr>
        <w:t>年修订</w:t>
      </w:r>
      <w:r>
        <w:rPr>
          <w:rFonts w:ascii="Times New Roman" w:hAnsi="Times New Roman" w:cs="Times New Roman" w:eastAsia="Times New Roman" w:hint="default"/>
          <w:spacing w:val="-1"/>
        </w:rPr>
        <w:t>)</w:t>
      </w:r>
      <w:r>
        <w:rPr>
          <w:spacing w:val="-1"/>
        </w:rPr>
        <w:t>的规定，编制财务</w:t>
      </w:r>
      <w:r>
        <w:rPr>
          <w:spacing w:val="-52"/>
        </w:rPr>
        <w:t> </w:t>
      </w:r>
      <w:r>
        <w:rPr>
          <w:spacing w:val="-52"/>
        </w:rPr>
      </w:r>
      <w:r>
        <w:rPr/>
        <w:t>报表。</w:t>
      </w:r>
    </w:p>
    <w:p>
      <w:pPr>
        <w:spacing w:line="240" w:lineRule="auto" w:before="10"/>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213" w:firstLine="216"/>
        <w:jc w:val="both"/>
      </w:pPr>
      <w:r>
        <w:rPr/>
        <w:t>本公司对报告期末起</w:t>
      </w:r>
      <w:r>
        <w:rPr>
          <w:rFonts w:ascii="Times New Roman" w:hAnsi="Times New Roman" w:cs="Times New Roman" w:eastAsia="Times New Roman" w:hint="default"/>
        </w:rPr>
        <w:t>12</w:t>
      </w:r>
      <w:r>
        <w:rPr/>
        <w:t>个月的持续经营能力进行了评价，未发现对持续经营能力产生重大怀疑的事项或情况。因此，本 财务报表系在持续经营假设的基础上编制。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6"/>
        <w:ind w:right="153"/>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114"/>
        <w:jc w:val="left"/>
      </w:pPr>
      <w:r>
        <w:rPr/>
        <w:t>具体会计政策和会计估计提示： 无</w:t>
      </w:r>
    </w:p>
    <w:p>
      <w:pPr>
        <w:spacing w:line="240" w:lineRule="auto" w:before="4"/>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215" w:firstLine="216"/>
        <w:jc w:val="both"/>
      </w:pPr>
      <w:r>
        <w:rPr/>
        <w:t>本公司所编制的财务报表符合企业会计准则的要求，真实、完整地反映了报告期公司的财务状况、经营成果、现金流量 等有关信息。</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53"/>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1673"/>
        <w:jc w:val="left"/>
      </w:pPr>
      <w:r>
        <w:rPr/>
        <w:t>采用人民币为记账本位币。 境外子公司以其经营所处的主要经济环境中的货币为记账本位币，编制财务报表时折算为人民币。</w:t>
      </w:r>
    </w:p>
    <w:p>
      <w:pPr>
        <w:spacing w:after="0" w:line="316"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9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5"/>
        <w:rPr>
          <w:rFonts w:ascii="宋体" w:hAnsi="宋体" w:cs="宋体" w:eastAsia="宋体" w:hint="default"/>
          <w:b/>
          <w:bCs/>
          <w:sz w:val="26"/>
          <w:szCs w:val="26"/>
        </w:rPr>
      </w:pPr>
    </w:p>
    <w:p>
      <w:pPr>
        <w:pStyle w:val="Heading4"/>
        <w:spacing w:line="316" w:lineRule="auto"/>
        <w:ind w:left="152" w:right="93" w:firstLine="360"/>
        <w:jc w:val="left"/>
        <w:rPr>
          <w:b w:val="0"/>
          <w:bCs w:val="0"/>
        </w:rPr>
      </w:pPr>
      <w:r>
        <w:rPr>
          <w:rFonts w:ascii="宋体" w:hAnsi="宋体" w:cs="宋体" w:eastAsia="宋体" w:hint="default"/>
          <w:w w:val="95"/>
        </w:rPr>
        <w:t>1</w:t>
      </w:r>
      <w:r>
        <w:rPr>
          <w:w w:val="95"/>
        </w:rPr>
        <w:t>、分步实现企业合并过程中的各项交易的条款、条件以及经济影响符合以下一种或多种情况，将多次交易事项作为一</w:t>
      </w:r>
      <w:r>
        <w:rPr>
          <w:spacing w:val="-17"/>
          <w:w w:val="95"/>
        </w:rPr>
        <w:t> </w:t>
      </w:r>
      <w:r>
        <w:rPr>
          <w:spacing w:val="-17"/>
          <w:w w:val="95"/>
        </w:rPr>
      </w:r>
      <w:r>
        <w:rPr/>
        <w:t>揽子交易进行会计处理：</w:t>
      </w:r>
      <w:r>
        <w:rPr>
          <w:b w:val="0"/>
          <w:bCs w:val="0"/>
        </w:rPr>
      </w:r>
    </w:p>
    <w:p>
      <w:pPr>
        <w:pStyle w:val="BodyText"/>
        <w:spacing w:line="240" w:lineRule="auto" w:before="19"/>
        <w:ind w:left="513" w:right="93"/>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63"/>
        <w:ind w:left="513" w:right="93"/>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63"/>
        <w:ind w:left="513" w:right="93"/>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63"/>
        <w:ind w:left="513" w:right="93"/>
        <w:jc w:val="left"/>
      </w:pPr>
      <w:r>
        <w:rPr/>
        <w:t>（</w:t>
      </w:r>
      <w:r>
        <w:rPr>
          <w:rFonts w:ascii="Times New Roman" w:hAnsi="Times New Roman" w:cs="Times New Roman" w:eastAsia="Times New Roman" w:hint="default"/>
        </w:rPr>
        <w:t>4</w:t>
      </w:r>
      <w:r>
        <w:rPr/>
        <w:t>）一项交易单独看是不经济的，但是和其他交易一并考虑时是经济的。</w:t>
      </w:r>
    </w:p>
    <w:p>
      <w:pPr>
        <w:pStyle w:val="BodyText"/>
        <w:spacing w:line="300" w:lineRule="auto" w:before="63"/>
        <w:ind w:left="513" w:right="93"/>
        <w:jc w:val="left"/>
      </w:pPr>
      <w:r>
        <w:rPr>
          <w:rFonts w:ascii="Times New Roman" w:hAnsi="Times New Roman" w:cs="Times New Roman" w:eastAsia="Times New Roman" w:hint="default"/>
          <w:b/>
          <w:bCs/>
        </w:rPr>
        <w:t>2</w:t>
      </w:r>
      <w:r>
        <w:rPr>
          <w:rFonts w:ascii="宋体" w:hAnsi="宋体" w:cs="宋体" w:eastAsia="宋体" w:hint="default"/>
          <w:b/>
          <w:bCs/>
        </w:rPr>
        <w:t>、同一控制下的企业合并</w:t>
      </w:r>
      <w:r>
        <w:rPr>
          <w:rFonts w:ascii="宋体" w:hAnsi="宋体" w:cs="宋体" w:eastAsia="宋体" w:hint="default"/>
          <w:b/>
          <w:bCs/>
          <w:w w:val="99"/>
        </w:rPr>
        <w:t> </w:t>
      </w:r>
      <w:r>
        <w:rPr>
          <w:spacing w:val="-2"/>
        </w:rPr>
        <w:t>本公司在企业合并中取得的资产和负债，按照合并日在被合并方资产、负债（包括最终控制方收购被合并方而形成的商</w:t>
      </w:r>
    </w:p>
    <w:p>
      <w:pPr>
        <w:pStyle w:val="BodyText"/>
        <w:spacing w:line="316" w:lineRule="auto" w:before="31"/>
        <w:ind w:right="190"/>
        <w:jc w:val="both"/>
      </w:pPr>
      <w:r>
        <w:rPr>
          <w:spacing w:val="-2"/>
        </w:rPr>
        <w:t>誉）在最终控制方合并财务报表中的账面价值计量。在合并中取得的净资产账面价值与支付的合并对价账面价值（或发行股</w:t>
      </w:r>
      <w:r>
        <w:rPr>
          <w:spacing w:val="-63"/>
        </w:rPr>
        <w:t> </w:t>
      </w:r>
      <w:r>
        <w:rPr>
          <w:spacing w:val="-63"/>
        </w:rPr>
      </w:r>
      <w:r>
        <w:rPr/>
        <w:t>份面值总额）的差额，调整资本公积中的股本溢价，资本公积中的股本溢价不足冲减的，调整留存收益。</w:t>
      </w:r>
    </w:p>
    <w:p>
      <w:pPr>
        <w:pStyle w:val="BodyText"/>
        <w:spacing w:line="319" w:lineRule="auto" w:before="19"/>
        <w:ind w:right="255" w:firstLine="379"/>
        <w:jc w:val="left"/>
      </w:pPr>
      <w:r>
        <w:rPr/>
        <w:t>如果存在或有对价并需要确认预计负债或资产，该预计负债或资产金额与后续或有对价结算金额的差额，调整资本公 积（资本溢价或股本溢价），资本公积不足的，调整留存收益。</w:t>
      </w:r>
    </w:p>
    <w:p>
      <w:pPr>
        <w:pStyle w:val="BodyText"/>
        <w:spacing w:line="316" w:lineRule="auto" w:before="17"/>
        <w:ind w:right="104" w:firstLine="360"/>
        <w:jc w:val="both"/>
      </w:pPr>
      <w:r>
        <w:rPr>
          <w:spacing w:val="-2"/>
        </w:rPr>
        <w:t>对于通过多次交易最终实现企业合并的，属于一揽子交易的，将各项交易作为一项取得控制权的交易进行会计处理；不</w:t>
      </w:r>
      <w:r>
        <w:rPr/>
        <w:t> </w:t>
      </w:r>
      <w:r>
        <w:rPr>
          <w:spacing w:val="-2"/>
        </w:rPr>
        <w:t>属于一揽子交易的，在取得控制权日，长期股权投资初始投资成本，与达到合并前的长期股权投资账面价值加上合并日进一</w:t>
      </w:r>
      <w:r>
        <w:rPr>
          <w:spacing w:val="-62"/>
        </w:rPr>
        <w:t> </w:t>
      </w:r>
      <w:r>
        <w:rPr>
          <w:spacing w:val="-62"/>
        </w:rPr>
      </w:r>
      <w:r>
        <w:rPr>
          <w:spacing w:val="-2"/>
        </w:rPr>
        <w:t>步取得股份新支付对价的账面价值之和的差额，调整资本公积；资本公积不足冲减的，调整留存收益。对于合并日之前持有</w:t>
      </w:r>
      <w:r>
        <w:rPr>
          <w:spacing w:val="-64"/>
        </w:rPr>
        <w:t> </w:t>
      </w:r>
      <w:r>
        <w:rPr>
          <w:spacing w:val="-64"/>
        </w:rPr>
      </w:r>
      <w:r>
        <w:rPr>
          <w:spacing w:val="-2"/>
        </w:rPr>
        <w:t>的股权投资，因采用权益法核算或金融工具确认和计量准则核算而确认的其他综合收益，暂不进行会计处理，直至处置该项</w:t>
      </w:r>
      <w:r>
        <w:rPr>
          <w:spacing w:val="-63"/>
        </w:rPr>
        <w:t> </w:t>
      </w:r>
      <w:r>
        <w:rPr>
          <w:spacing w:val="-63"/>
        </w:rPr>
      </w:r>
      <w:r>
        <w:rPr>
          <w:spacing w:val="-2"/>
        </w:rPr>
        <w:t>投资时采用与被投资单位直接处置相关资产或负债相同的基础进行会计处理；因采用权益法核算而确认的被投资单位净资产</w:t>
      </w:r>
      <w:r>
        <w:rPr>
          <w:spacing w:val="-64"/>
        </w:rPr>
        <w:t> </w:t>
      </w:r>
      <w:r>
        <w:rPr>
          <w:spacing w:val="-64"/>
        </w:rPr>
      </w:r>
      <w:r>
        <w:rPr>
          <w:spacing w:val="-4"/>
        </w:rPr>
        <w:t>中除净损益、其他综合收益和利润分配以外的所有者权益其他变动，暂不进行会计处理，直至处置该项投资时转入当期损益。</w:t>
      </w:r>
    </w:p>
    <w:p>
      <w:pPr>
        <w:spacing w:line="300" w:lineRule="auto" w:before="19"/>
        <w:ind w:left="532" w:right="254" w:firstLine="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、非同一控制下的企业合并</w:t>
      </w:r>
      <w:r>
        <w:rPr>
          <w:rFonts w:ascii="宋体" w:hAnsi="宋体" w:cs="宋体" w:eastAsia="宋体" w:hint="default"/>
          <w:b/>
          <w:bCs/>
          <w:w w:val="99"/>
          <w:sz w:val="18"/>
          <w:szCs w:val="18"/>
        </w:rPr>
        <w:t> </w:t>
      </w:r>
      <w:r>
        <w:rPr>
          <w:rFonts w:ascii="宋体" w:hAnsi="宋体" w:cs="宋体" w:eastAsia="宋体" w:hint="default"/>
          <w:sz w:val="18"/>
          <w:szCs w:val="18"/>
        </w:rPr>
        <w:t>本公司在购买日对作为企业合并对价付出的资产、发生或承担的负债按照公允价值计量，公允价值与其账面价值的差</w:t>
      </w:r>
    </w:p>
    <w:p>
      <w:pPr>
        <w:pStyle w:val="BodyText"/>
        <w:spacing w:line="316" w:lineRule="auto" w:before="31"/>
        <w:ind w:left="532" w:right="254" w:hanging="380"/>
        <w:jc w:val="left"/>
      </w:pPr>
      <w:r>
        <w:rPr/>
        <w:t>额，计入当期损益。 本公司对合并成本大于合并中取得的被购买方可辨认净资产公允价值份额的差额，确认为商誉；合并成本小于合并中</w:t>
      </w:r>
    </w:p>
    <w:p>
      <w:pPr>
        <w:pStyle w:val="BodyText"/>
        <w:spacing w:line="319" w:lineRule="auto" w:before="19"/>
        <w:ind w:left="496" w:right="93" w:hanging="344"/>
        <w:jc w:val="left"/>
      </w:pPr>
      <w:r>
        <w:rPr/>
        <w:t>取得的被购买方可辨认净资产公允价值份额的差额，经复核后，计入当期损益。 </w:t>
      </w:r>
      <w:r>
        <w:rPr>
          <w:spacing w:val="-2"/>
        </w:rPr>
        <w:t>通过多次交换交易分步实现的非同一控制下企业合并，属于一揽子交易的，将各项交易作为一项取得控制权的交易进行</w:t>
      </w:r>
    </w:p>
    <w:p>
      <w:pPr>
        <w:pStyle w:val="BodyText"/>
        <w:spacing w:line="316" w:lineRule="auto" w:before="17"/>
        <w:ind w:right="189"/>
        <w:jc w:val="both"/>
      </w:pPr>
      <w:r>
        <w:rPr>
          <w:spacing w:val="-2"/>
        </w:rPr>
        <w:t>会计处理；不属于一揽子交易的，合并日之前持有的股权投资采用权益法核算的，以购买日之前所持被购买方的股权投资的</w:t>
      </w:r>
      <w:r>
        <w:rPr>
          <w:spacing w:val="-62"/>
        </w:rPr>
        <w:t> </w:t>
      </w:r>
      <w:r>
        <w:rPr>
          <w:spacing w:val="-62"/>
        </w:rPr>
      </w:r>
      <w:r>
        <w:rPr>
          <w:spacing w:val="-2"/>
        </w:rPr>
        <w:t>账面价值与购买日新增投资成本之和，作为该项投资的初始投资成本；购买日之前持有的股权投资因采用权益法核算而确认</w:t>
      </w:r>
      <w:r>
        <w:rPr>
          <w:spacing w:val="-64"/>
        </w:rPr>
        <w:t> </w:t>
      </w:r>
      <w:r>
        <w:rPr>
          <w:spacing w:val="-64"/>
        </w:rPr>
      </w:r>
      <w:r>
        <w:rPr>
          <w:spacing w:val="-2"/>
        </w:rPr>
        <w:t>的其他综合收益，在处置该项投资时采用与被投资单位直接处置相关资产或负债相同的基础进行会计处理。合并日之前持有</w:t>
      </w:r>
      <w:r>
        <w:rPr>
          <w:spacing w:val="-64"/>
        </w:rPr>
        <w:t> </w:t>
      </w:r>
      <w:r>
        <w:rPr>
          <w:spacing w:val="-64"/>
        </w:rPr>
      </w:r>
      <w:r>
        <w:rPr>
          <w:spacing w:val="-2"/>
        </w:rPr>
        <w:t>的股权投资采用金融工具确认和计量准则核算的，以该股权投资在合并日的公允价值加上新增投资成本之和，作为合并日的</w:t>
      </w:r>
      <w:r>
        <w:rPr>
          <w:spacing w:val="-64"/>
        </w:rPr>
        <w:t> </w:t>
      </w:r>
      <w:r>
        <w:rPr>
          <w:spacing w:val="-64"/>
        </w:rPr>
      </w:r>
      <w:r>
        <w:rPr>
          <w:spacing w:val="-2"/>
        </w:rPr>
        <w:t>初始投资成本。原持有股权的公允价值与账面价值之间的差额以及原计入其他综合收益的累计公允价值变动应全部转入合并</w:t>
      </w:r>
      <w:r>
        <w:rPr>
          <w:spacing w:val="-64"/>
        </w:rPr>
        <w:t> </w:t>
      </w:r>
      <w:r>
        <w:rPr>
          <w:spacing w:val="-64"/>
        </w:rPr>
      </w:r>
      <w:r>
        <w:rPr/>
        <w:t>日当期的投资收益。</w:t>
      </w:r>
    </w:p>
    <w:p>
      <w:pPr>
        <w:pStyle w:val="BodyText"/>
        <w:spacing w:line="300" w:lineRule="auto" w:before="19"/>
        <w:ind w:left="513" w:right="93"/>
        <w:jc w:val="left"/>
      </w:pPr>
      <w:r>
        <w:rPr>
          <w:rFonts w:ascii="Times New Roman" w:hAnsi="Times New Roman" w:cs="Times New Roman" w:eastAsia="Times New Roman" w:hint="default"/>
          <w:b/>
          <w:bCs/>
        </w:rPr>
        <w:t>4</w:t>
      </w:r>
      <w:r>
        <w:rPr>
          <w:rFonts w:ascii="宋体" w:hAnsi="宋体" w:cs="宋体" w:eastAsia="宋体" w:hint="default"/>
          <w:b/>
          <w:bCs/>
        </w:rPr>
        <w:t>、为合并发生的相关费用</w:t>
      </w:r>
      <w:r>
        <w:rPr>
          <w:rFonts w:ascii="宋体" w:hAnsi="宋体" w:cs="宋体" w:eastAsia="宋体" w:hint="default"/>
          <w:b/>
          <w:bCs/>
          <w:w w:val="99"/>
        </w:rPr>
        <w:t> </w:t>
      </w:r>
      <w:r>
        <w:rPr>
          <w:spacing w:val="-2"/>
        </w:rPr>
        <w:t>为企业合并发生的审计、法律服务、评估咨询等中介费用以及其他直接相关费用，于发生时计入当期损益；为企业合并</w:t>
      </w:r>
    </w:p>
    <w:p>
      <w:pPr>
        <w:pStyle w:val="BodyText"/>
        <w:spacing w:line="240" w:lineRule="auto" w:before="31"/>
        <w:ind w:right="93"/>
        <w:jc w:val="left"/>
      </w:pPr>
      <w:r>
        <w:rPr/>
        <w:t>而发行权益性证券的交易费用，可直接归属于权益性交易的从权益中扣减。</w:t>
      </w:r>
    </w:p>
    <w:p>
      <w:pPr>
        <w:spacing w:line="240" w:lineRule="auto" w:before="0"/>
        <w:rPr>
          <w:rFonts w:ascii="宋体" w:hAnsi="宋体" w:cs="宋体" w:eastAsia="宋体" w:hint="default"/>
          <w:sz w:val="18"/>
          <w:szCs w:val="18"/>
        </w:rPr>
      </w:pPr>
    </w:p>
    <w:p>
      <w:pPr>
        <w:pStyle w:val="Heading3"/>
        <w:spacing w:line="240" w:lineRule="auto" w:before="118"/>
        <w:ind w:right="9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宋体" w:hAnsi="宋体" w:cs="宋体" w:eastAsia="宋体" w:hint="default"/>
          <w:b/>
          <w:bCs/>
          <w:sz w:val="26"/>
          <w:szCs w:val="26"/>
        </w:rPr>
      </w:pPr>
    </w:p>
    <w:p>
      <w:pPr>
        <w:pStyle w:val="BodyText"/>
        <w:spacing w:line="307" w:lineRule="auto"/>
        <w:ind w:left="513" w:right="93"/>
        <w:jc w:val="left"/>
      </w:pP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4"/>
        </w:rPr>
        <w:t>本公司合并财务报表的合并范围以控制为基础确定，所有子公司（包括本公司所控制的单独主体）均纳入合并财务报表。</w:t>
      </w:r>
      <w:r>
        <w:rPr>
          <w:spacing w:val="-52"/>
        </w:rPr>
        <w:t> </w:t>
      </w:r>
      <w:r>
        <w:rPr>
          <w:spacing w:val="-52"/>
        </w:rPr>
      </w: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t>本公司以自身和各子公司的财务报表为基础，根据其他有关资料，编制合并财务报表。本公司编制合并财务报表，将</w:t>
      </w:r>
    </w:p>
    <w:p>
      <w:pPr>
        <w:pStyle w:val="BodyText"/>
        <w:spacing w:line="316" w:lineRule="auto" w:before="26"/>
        <w:ind w:right="190"/>
        <w:jc w:val="both"/>
      </w:pPr>
      <w:r>
        <w:rPr>
          <w:spacing w:val="-2"/>
        </w:rPr>
        <w:t>整个企业集团视为一个会计主体，依据相关企业会计准则的确认、计量和列报要求，按照统一的会计政策，反映本企业集团</w:t>
      </w:r>
      <w:r>
        <w:rPr>
          <w:spacing w:val="-63"/>
        </w:rPr>
        <w:t> </w:t>
      </w:r>
      <w:r>
        <w:rPr>
          <w:spacing w:val="-63"/>
        </w:rPr>
      </w:r>
      <w:r>
        <w:rPr/>
        <w:t>整体财务状况、经营成果和现金流量。</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255" w:firstLine="379"/>
        <w:jc w:val="left"/>
      </w:pPr>
      <w:r>
        <w:rPr/>
        <w:t>所有纳入合并财务报表合并范围的子公司所采用的会计政策、会计期间与本公司一致，如子公司采用的会计政策、会 计期间与本公司不一致的，在编制合并财务报表时，按本公司的会计政策、会计期间进行必要的调整。</w:t>
      </w:r>
    </w:p>
    <w:p>
      <w:pPr>
        <w:pStyle w:val="BodyText"/>
        <w:spacing w:line="316" w:lineRule="auto" w:before="17"/>
        <w:ind w:right="93" w:firstLine="379"/>
        <w:jc w:val="left"/>
      </w:pPr>
      <w:r>
        <w:rPr/>
        <w:t>合并财务报表时抵销本公司与各子公司、各子公司相互之间发生的内部交易对合并资产负债表、合并利润表、合并现 </w:t>
      </w:r>
      <w:r>
        <w:rPr>
          <w:spacing w:val="-2"/>
        </w:rPr>
        <w:t>金流量表、合并股东权益变动表的影响。如果站在企业集团合并财务报表角度与以本公司或子公司为会计主体对同一交易的</w:t>
      </w:r>
      <w:r>
        <w:rPr>
          <w:spacing w:val="-64"/>
        </w:rPr>
        <w:t> </w:t>
      </w:r>
      <w:r>
        <w:rPr>
          <w:spacing w:val="-64"/>
        </w:rPr>
      </w:r>
      <w:r>
        <w:rPr/>
        <w:t>认定不同时，从企业集团的角度对该交易予以调整。</w:t>
      </w:r>
    </w:p>
    <w:p>
      <w:pPr>
        <w:pStyle w:val="BodyText"/>
        <w:spacing w:line="316" w:lineRule="auto" w:before="19"/>
        <w:ind w:right="93" w:firstLine="379"/>
        <w:jc w:val="left"/>
      </w:pPr>
      <w:r>
        <w:rPr/>
        <w:t>子公司所有者权益、当期净损益和当期综合收益中属于少数股东的份额分别在合并资产负债表中所有者权益项目下、 </w:t>
      </w:r>
      <w:r>
        <w:rPr>
          <w:spacing w:val="-2"/>
        </w:rPr>
        <w:t>合并利润表中净利润项目下和综合收益总额项目下单独列示。子公司少数股东分担的当期亏损超过了少数股东在该子公司期</w:t>
      </w:r>
      <w:r>
        <w:rPr>
          <w:spacing w:val="-64"/>
        </w:rPr>
        <w:t> </w:t>
      </w:r>
      <w:r>
        <w:rPr>
          <w:spacing w:val="-64"/>
        </w:rPr>
      </w:r>
      <w:r>
        <w:rPr/>
        <w:t>初所有者权益中所享有份额而形成的余额，冲减少数股东权益。</w:t>
      </w:r>
    </w:p>
    <w:p>
      <w:pPr>
        <w:pStyle w:val="BodyText"/>
        <w:spacing w:line="316" w:lineRule="auto" w:before="19"/>
        <w:ind w:right="255" w:firstLine="379"/>
        <w:jc w:val="left"/>
      </w:pPr>
      <w:r>
        <w:rPr/>
        <w:t>对于同一控制下企业合并取得的子公司，以其资产、负债（包括最终控制方收购该子公司而形成的商誉）在最终控制 方财务报表中的账面价值为基础对其财务报表进行调整。</w:t>
      </w:r>
    </w:p>
    <w:p>
      <w:pPr>
        <w:pStyle w:val="BodyText"/>
        <w:spacing w:line="240" w:lineRule="auto" w:before="19"/>
        <w:ind w:left="532" w:right="93"/>
        <w:jc w:val="left"/>
      </w:pPr>
      <w:r>
        <w:rPr/>
        <w:t>对于非同一控制下企业合并取得的子公司，以购买日可辨认净资产公允价值为基础对其财务报表进行调整</w:t>
      </w:r>
    </w:p>
    <w:p>
      <w:pPr>
        <w:pStyle w:val="BodyText"/>
        <w:spacing w:line="300" w:lineRule="auto" w:before="76"/>
        <w:ind w:left="513" w:right="93" w:hanging="53"/>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32"/>
        <w:ind w:right="93"/>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19"/>
        <w:ind w:right="191"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9"/>
        <w:ind w:right="190"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9" w:lineRule="auto" w:before="19"/>
        <w:ind w:right="192"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7"/>
        <w:ind w:left="441" w:right="93"/>
        <w:jc w:val="left"/>
      </w:pPr>
      <w:r>
        <w:rPr/>
        <w:t>（</w:t>
      </w:r>
      <w:r>
        <w:rPr>
          <w:rFonts w:ascii="Times New Roman" w:hAnsi="Times New Roman" w:cs="Times New Roman" w:eastAsia="Times New Roman" w:hint="default"/>
        </w:rPr>
        <w:t>2</w:t>
      </w:r>
      <w:r>
        <w:rPr/>
        <w:t>）处置子公司或业务</w:t>
      </w:r>
    </w:p>
    <w:p>
      <w:pPr>
        <w:pStyle w:val="BodyText"/>
        <w:spacing w:line="300" w:lineRule="auto" w:before="63"/>
        <w:ind w:left="441" w:right="93" w:firstLine="132"/>
        <w:jc w:val="left"/>
      </w:pPr>
      <w:r>
        <w:rPr>
          <w:rFonts w:ascii="Times New Roman" w:hAnsi="Times New Roman" w:cs="Times New Roman" w:eastAsia="Times New Roman" w:hint="default"/>
        </w:rPr>
        <w:t>1</w:t>
      </w:r>
      <w:r>
        <w:rPr/>
        <w:t>）一般处理方法 </w:t>
      </w:r>
      <w:r>
        <w:rPr>
          <w:spacing w:val="-1"/>
        </w:rPr>
        <w:t>在报告期内，本公司处置子公司或业务，则该子公司或业务期初至处置日的收入、费用、利润纳入合并利润表；该子公</w:t>
      </w:r>
    </w:p>
    <w:p>
      <w:pPr>
        <w:pStyle w:val="BodyText"/>
        <w:spacing w:line="316" w:lineRule="auto" w:before="31"/>
        <w:ind w:left="441" w:right="93" w:hanging="289"/>
        <w:jc w:val="left"/>
      </w:pPr>
      <w:r>
        <w:rPr/>
        <w:t>司或业务期初至处置日的现金流量纳入合并现金流量表。 </w:t>
      </w:r>
      <w:r>
        <w:rPr>
          <w:spacing w:val="-1"/>
        </w:rPr>
        <w:t>因处置部分股权投资或其他原因丧失了对被投资方控制权时，对于处置后的剩余股权投资，本公司按照其在丧失控制权</w:t>
      </w:r>
    </w:p>
    <w:p>
      <w:pPr>
        <w:pStyle w:val="BodyText"/>
        <w:spacing w:line="316" w:lineRule="auto" w:before="19"/>
        <w:ind w:right="94"/>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w:t>
      </w:r>
      <w:r>
        <w:rPr/>
        <w:t> 由于被投资方重新计量设定受益计划净负债或净资产变动而产生的其他综合收益除外。</w:t>
      </w:r>
    </w:p>
    <w:p>
      <w:pPr>
        <w:pStyle w:val="BodyText"/>
        <w:spacing w:line="300" w:lineRule="auto" w:before="19"/>
        <w:ind w:left="532" w:right="254" w:firstLine="40"/>
        <w:jc w:val="left"/>
      </w:pPr>
      <w:r>
        <w:rPr>
          <w:rFonts w:ascii="Times New Roman" w:hAnsi="Times New Roman" w:cs="Times New Roman" w:eastAsia="Times New Roman" w:hint="default"/>
        </w:rPr>
        <w:t>2</w:t>
      </w:r>
      <w:r>
        <w:rPr/>
        <w:t>）分步处置子公司 通过多次交易分步处置对子公司股权投资直至丧失控制权的，处置对子公司股权投资的各项交易的条款、条件以及经</w:t>
      </w:r>
    </w:p>
    <w:p>
      <w:pPr>
        <w:pStyle w:val="BodyText"/>
        <w:spacing w:line="316" w:lineRule="auto" w:before="32"/>
        <w:ind w:left="513" w:right="2434" w:hanging="361"/>
        <w:jc w:val="left"/>
      </w:pPr>
      <w:r>
        <w:rPr/>
        <w:t>济影响符合以下一种或多种情况，通常表明应将多次交易事项作为一揽子交易进行会计处理： </w:t>
      </w:r>
      <w:r>
        <w:rPr>
          <w:rFonts w:ascii="宋体" w:hAnsi="宋体" w:cs="宋体" w:eastAsia="宋体" w:hint="default"/>
        </w:rPr>
        <w:t>A</w:t>
      </w:r>
      <w:r>
        <w:rPr/>
        <w:t>、</w:t>
      </w:r>
      <w:r>
        <w:rPr>
          <w:spacing w:val="-1"/>
        </w:rPr>
        <w:t> </w:t>
      </w:r>
      <w:r>
        <w:rPr/>
        <w:t>这些交易是同时或者在考虑了彼此影响的情况下订立的；</w:t>
      </w:r>
    </w:p>
    <w:p>
      <w:pPr>
        <w:pStyle w:val="BodyText"/>
        <w:spacing w:line="240" w:lineRule="auto" w:before="19"/>
        <w:ind w:left="513" w:right="93"/>
        <w:jc w:val="left"/>
      </w:pPr>
      <w:r>
        <w:rPr>
          <w:rFonts w:ascii="宋体" w:hAnsi="宋体" w:cs="宋体" w:eastAsia="宋体" w:hint="default"/>
        </w:rPr>
        <w:t>B</w:t>
      </w:r>
      <w:r>
        <w:rPr/>
        <w:t>、</w:t>
      </w:r>
      <w:r>
        <w:rPr>
          <w:spacing w:val="-1"/>
        </w:rPr>
        <w:t> </w:t>
      </w:r>
      <w:r>
        <w:rPr/>
        <w:t>这些交易整体才能达成一项完整的商业结果；</w:t>
      </w:r>
    </w:p>
    <w:p>
      <w:pPr>
        <w:pStyle w:val="BodyText"/>
        <w:spacing w:line="240" w:lineRule="auto" w:before="76"/>
        <w:ind w:left="513" w:right="93"/>
        <w:jc w:val="left"/>
      </w:pPr>
      <w:r>
        <w:rPr>
          <w:rFonts w:ascii="宋体" w:hAnsi="宋体" w:cs="宋体" w:eastAsia="宋体" w:hint="default"/>
        </w:rPr>
        <w:t>C</w:t>
      </w:r>
      <w:r>
        <w:rPr/>
        <w:t>、</w:t>
      </w:r>
      <w:r>
        <w:rPr>
          <w:spacing w:val="-1"/>
        </w:rPr>
        <w:t> </w:t>
      </w:r>
      <w:r>
        <w:rPr/>
        <w:t>一项交易的发生取决于其他至少一项交易的发生；</w:t>
      </w:r>
    </w:p>
    <w:p>
      <w:pPr>
        <w:pStyle w:val="BodyText"/>
        <w:spacing w:line="316" w:lineRule="auto" w:before="76"/>
        <w:ind w:left="532" w:right="254" w:hanging="20"/>
        <w:jc w:val="left"/>
      </w:pPr>
      <w:r>
        <w:rPr>
          <w:rFonts w:ascii="宋体" w:hAnsi="宋体" w:cs="宋体" w:eastAsia="宋体" w:hint="default"/>
        </w:rPr>
        <w:t>D</w:t>
      </w:r>
      <w:r>
        <w:rPr/>
        <w:t>、</w:t>
      </w:r>
      <w:r>
        <w:rPr>
          <w:spacing w:val="70"/>
        </w:rPr>
        <w:t> </w:t>
      </w:r>
      <w:r>
        <w:rPr/>
        <w:t>一项交易单独看是不经济的，但是和其他交易一并考虑时是经济的。</w:t>
      </w:r>
      <w:r>
        <w:rPr/>
        <w:t> 处置对子公司股权投资直至丧失控制权的各项交易属于一揽子交易的，本公司将各项交易作为一项处置子公司并丧失</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4"/>
        <w:jc w:val="left"/>
      </w:pPr>
      <w:r>
        <w:rPr/>
        <w:t>控制权的交易进行会计处理；但是，在丧失控制权之前每一次处置价款与处置投资对应的享有该子公司净资产份额的差额， 在合并财务报表中确认为其他综合收益，在丧失控制权时一并转入丧失控制权当期的损益。</w:t>
      </w:r>
    </w:p>
    <w:p>
      <w:pPr>
        <w:pStyle w:val="BodyText"/>
        <w:spacing w:line="316" w:lineRule="auto" w:before="17"/>
        <w:ind w:right="255" w:firstLine="379"/>
        <w:jc w:val="left"/>
      </w:pPr>
      <w:r>
        <w:rPr/>
        <w:t>处置对子公司股权投资直至丧失控制权的各项交易不属于一揽子交易的，在丧失控制权之前，按不丧失控制权的情况 下部分处置对子公司的股权投资的相关政策进行会计处理；在丧失控制权时，按处置子公司一般处理方法进行会计处理。</w:t>
      </w:r>
    </w:p>
    <w:p>
      <w:pPr>
        <w:pStyle w:val="BodyText"/>
        <w:spacing w:line="300" w:lineRule="auto" w:before="19"/>
        <w:ind w:left="513" w:right="93" w:firstLine="19"/>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31"/>
        <w:ind w:right="93"/>
        <w:jc w:val="left"/>
      </w:pPr>
      <w:r>
        <w:rPr>
          <w:spacing w:val="-2"/>
        </w:rPr>
        <w:t>算的净资产份额之间的差额，调整合并资产负债表中的资本公积中的股本溢价，资本公积中的股本溢价不足冲减的，调整留</w:t>
      </w:r>
      <w:r>
        <w:rPr>
          <w:spacing w:val="-63"/>
        </w:rPr>
        <w:t> </w:t>
      </w:r>
      <w:r>
        <w:rPr>
          <w:spacing w:val="-63"/>
        </w:rPr>
      </w:r>
      <w:r>
        <w:rPr/>
        <w:t>存收益。</w:t>
      </w:r>
    </w:p>
    <w:p>
      <w:pPr>
        <w:pStyle w:val="BodyText"/>
        <w:spacing w:line="300" w:lineRule="auto" w:before="19"/>
        <w:ind w:left="532" w:right="254" w:hanging="92"/>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31"/>
        <w:ind w:right="93"/>
        <w:jc w:val="left"/>
      </w:pPr>
      <w:r>
        <w:rPr>
          <w:spacing w:val="-2"/>
        </w:rPr>
        <w:t>司自购买日或合并日开始持续计算的净资产份额之间的差额，调整合并资产负债表中的资本公积中的股本溢价，资本公积中</w:t>
      </w:r>
      <w:r>
        <w:rPr>
          <w:spacing w:val="-63"/>
        </w:rPr>
        <w:t> </w:t>
      </w:r>
      <w:r>
        <w:rPr>
          <w:spacing w:val="-63"/>
        </w:rPr>
      </w:r>
      <w:r>
        <w:rPr/>
        <w:t>的股本溢价不足冲减的，调整留存收益。</w:t>
      </w:r>
    </w:p>
    <w:p>
      <w:pPr>
        <w:spacing w:line="240" w:lineRule="auto" w:before="11"/>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3" w:firstLine="288"/>
        <w:jc w:val="left"/>
      </w:pPr>
      <w:r>
        <w:rPr>
          <w:spacing w:val="-1"/>
        </w:rPr>
        <w:t>在编制现金流量表时，将本公司库存现金以及可以随时用于支付的存款确认为现金。将同时具备期限短（一般从购买日</w:t>
      </w:r>
      <w:r>
        <w:rPr/>
        <w:t> 起，三个月内到期）、流动性强、易于转换为已知金额的现金、价值变动风险很小四个条件的投资，确定为现金等价物。</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32" w:right="2234" w:hanging="20"/>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外币业务交易在初始确认时，采用交易发生日的即期汇率作为折算汇率折合成人民币记账。</w:t>
      </w:r>
    </w:p>
    <w:p>
      <w:pPr>
        <w:pStyle w:val="BodyText"/>
        <w:spacing w:line="316" w:lineRule="auto" w:before="32"/>
        <w:ind w:right="93" w:firstLine="379"/>
        <w:jc w:val="left"/>
      </w:pPr>
      <w:r>
        <w:rPr/>
        <w:t>资产负债表日，外币货币性项目按资产负债表日即期汇率折算，由此产生的汇兑差额，除属于与购建符合资本化条件 </w:t>
      </w:r>
      <w:r>
        <w:rPr>
          <w:spacing w:val="-2"/>
        </w:rPr>
        <w:t>的资产相关的外币专门借款产生的汇兑差额按照借款费用资本化的原则处理外，均计入当期损益。以历史成本计量的外币非</w:t>
      </w:r>
      <w:r>
        <w:rPr>
          <w:spacing w:val="-64"/>
        </w:rPr>
        <w:t> </w:t>
      </w:r>
      <w:r>
        <w:rPr>
          <w:spacing w:val="-64"/>
        </w:rPr>
      </w:r>
      <w:r>
        <w:rPr/>
        <w:t>货币性项目，仍采用交易发生日的即期汇率折算，不改变其记账本位币金额。</w:t>
      </w:r>
    </w:p>
    <w:p>
      <w:pPr>
        <w:pStyle w:val="BodyText"/>
        <w:spacing w:line="316" w:lineRule="auto" w:before="19"/>
        <w:ind w:right="255" w:firstLine="379"/>
        <w:jc w:val="left"/>
      </w:pPr>
      <w:r>
        <w:rPr/>
        <w:t>以公允价值计量的外币非货币性项目，采用公允价值确定日的即期汇率折算，由此产生的汇兑差额作为公允价值变动 损益计入当期损益。如属于可供出售外币非货币性项目的，形成的汇兑差额计入其他综合收益。</w:t>
      </w:r>
    </w:p>
    <w:p>
      <w:pPr>
        <w:pStyle w:val="BodyText"/>
        <w:spacing w:line="300" w:lineRule="auto" w:before="19"/>
        <w:ind w:left="513" w:right="93"/>
        <w:jc w:val="left"/>
      </w:pP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316" w:lineRule="auto" w:before="13"/>
        <w:ind w:right="93"/>
        <w:jc w:val="left"/>
      </w:pPr>
      <w:r>
        <w:rPr>
          <w:spacing w:val="-2"/>
        </w:rPr>
        <w:t>目采用发生时的即期汇率折算。利润表中的收入和费用项目，采用当期平均汇率折算。按照上述折算产生的外币财务报表折</w:t>
      </w:r>
      <w:r>
        <w:rPr>
          <w:spacing w:val="-66"/>
        </w:rPr>
        <w:t> </w:t>
      </w:r>
      <w:r>
        <w:rPr>
          <w:spacing w:val="-66"/>
        </w:rPr>
      </w:r>
      <w:r>
        <w:rPr/>
        <w:t>算差额计入其他综合收益。</w:t>
      </w:r>
    </w:p>
    <w:p>
      <w:pPr>
        <w:pStyle w:val="BodyText"/>
        <w:spacing w:line="319" w:lineRule="auto" w:before="19"/>
        <w:ind w:right="93" w:firstLine="379"/>
        <w:jc w:val="left"/>
      </w:pPr>
      <w:r>
        <w:rPr/>
        <w:t>处置境外经营时，将资产负债表中其他综合收益项目中列示的、与该境外经营相关的外币财务报表折算差额，自其他 </w:t>
      </w:r>
      <w:r>
        <w:rPr>
          <w:spacing w:val="-2"/>
        </w:rPr>
        <w:t>综合收益项目转入处置当期损益；在处置部分股权投资或其他原因导致持有境外经营权益比例降低但不丧失对境外经营控制</w:t>
      </w:r>
      <w:r>
        <w:rPr>
          <w:spacing w:val="-64"/>
        </w:rPr>
        <w:t> </w:t>
      </w:r>
      <w:r>
        <w:rPr>
          <w:spacing w:val="-64"/>
        </w:rPr>
      </w:r>
      <w:r>
        <w:rPr>
          <w:spacing w:val="-2"/>
        </w:rPr>
        <w:t>权时，与该境外经营处置部分相关的外币报表折算差额将归属于少数股东权益，不转入当期损益。在处置境外经营为联营企</w:t>
      </w:r>
      <w:r>
        <w:rPr>
          <w:spacing w:val="-63"/>
        </w:rPr>
        <w:t> </w:t>
      </w:r>
      <w:r>
        <w:rPr>
          <w:spacing w:val="-63"/>
        </w:rPr>
      </w:r>
      <w:r>
        <w:rPr/>
        <w:t>业或合营企业的部分股权时，与该境外经营相关的外币报表折算差额，按处置该境外经营的比例转入处置当期损益。</w:t>
      </w:r>
    </w:p>
    <w:p>
      <w:pPr>
        <w:spacing w:line="240" w:lineRule="auto" w:before="9"/>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6"/>
          <w:szCs w:val="26"/>
        </w:rPr>
      </w:pPr>
    </w:p>
    <w:p>
      <w:pPr>
        <w:spacing w:line="316" w:lineRule="auto" w:before="0"/>
        <w:ind w:left="513" w:right="5700" w:hanging="27"/>
        <w:jc w:val="left"/>
        <w:rPr>
          <w:rFonts w:ascii="宋体" w:hAnsi="宋体" w:cs="宋体" w:eastAsia="宋体" w:hint="default"/>
          <w:sz w:val="18"/>
          <w:szCs w:val="18"/>
        </w:rPr>
      </w:pPr>
      <w:r>
        <w:rPr>
          <w:rFonts w:ascii="宋体" w:hAnsi="宋体" w:cs="宋体" w:eastAsia="宋体" w:hint="default"/>
          <w:sz w:val="18"/>
          <w:szCs w:val="18"/>
        </w:rPr>
        <w:t>金融工具包括金融资产、金融负债和权益工具。 </w:t>
      </w:r>
      <w:r>
        <w:rPr>
          <w:rFonts w:ascii="宋体" w:hAnsi="宋体" w:cs="宋体" w:eastAsia="宋体" w:hint="default"/>
          <w:b/>
          <w:bCs/>
          <w:sz w:val="18"/>
          <w:szCs w:val="18"/>
        </w:rPr>
        <w:t>1</w:t>
      </w:r>
      <w:r>
        <w:rPr>
          <w:rFonts w:ascii="宋体" w:hAnsi="宋体" w:cs="宋体" w:eastAsia="宋体" w:hint="default"/>
          <w:b/>
          <w:bCs/>
          <w:sz w:val="18"/>
          <w:szCs w:val="18"/>
        </w:rPr>
        <w:t>、</w:t>
      </w:r>
      <w:r>
        <w:rPr>
          <w:rFonts w:ascii="宋体" w:hAnsi="宋体" w:cs="宋体" w:eastAsia="宋体" w:hint="default"/>
          <w:b/>
          <w:bCs/>
          <w:spacing w:val="-4"/>
          <w:sz w:val="18"/>
          <w:szCs w:val="18"/>
        </w:rPr>
        <w:t> </w:t>
      </w:r>
      <w:r>
        <w:rPr>
          <w:rFonts w:ascii="宋体" w:hAnsi="宋体" w:cs="宋体" w:eastAsia="宋体" w:hint="default"/>
          <w:b/>
          <w:bCs/>
          <w:sz w:val="18"/>
          <w:szCs w:val="18"/>
        </w:rPr>
        <w:t>金融工具的分类</w:t>
      </w:r>
      <w:r>
        <w:rPr>
          <w:rFonts w:ascii="宋体" w:hAnsi="宋体" w:cs="宋体" w:eastAsia="宋体" w:hint="default"/>
          <w:sz w:val="18"/>
          <w:szCs w:val="18"/>
        </w:rPr>
      </w:r>
    </w:p>
    <w:p>
      <w:pPr>
        <w:pStyle w:val="BodyText"/>
        <w:spacing w:line="240" w:lineRule="auto" w:before="19"/>
        <w:ind w:left="513" w:right="93"/>
        <w:jc w:val="left"/>
      </w:pPr>
      <w:r>
        <w:rPr/>
        <w:t>管理层根据所发行金融工具的合同条款及其所反映的经济实质而非仅以法律形式</w:t>
      </w:r>
      <w:r>
        <w:rPr>
          <w:spacing w:val="-82"/>
        </w:rPr>
        <w:t>，</w:t>
      </w:r>
      <w:r>
        <w:rPr/>
        <w:t>结合取得持有金融资产和承担金融负</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2"/>
        <w:jc w:val="both"/>
      </w:pPr>
      <w:r>
        <w:rPr>
          <w:spacing w:val="-2"/>
        </w:rPr>
        <w:t>债的目的，将金融资产和金融负债分为不同类别：以公允价值计量且其变动计入当期损益的金融资产（或金融负债）；持有</w:t>
      </w:r>
      <w:r>
        <w:rPr>
          <w:spacing w:val="-65"/>
        </w:rPr>
        <w:t> </w:t>
      </w:r>
      <w:r>
        <w:rPr>
          <w:spacing w:val="-65"/>
        </w:rPr>
      </w:r>
      <w:r>
        <w:rPr/>
        <w:t>至到期投资；应收款项；可供出售金融资产；其他金融负债等。</w:t>
      </w:r>
    </w:p>
    <w:p>
      <w:pPr>
        <w:pStyle w:val="Heading4"/>
        <w:spacing w:line="240" w:lineRule="auto" w:before="17"/>
        <w:ind w:left="592" w:right="93"/>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BodyText"/>
        <w:spacing w:line="316" w:lineRule="auto" w:before="63"/>
        <w:ind w:left="513" w:right="93"/>
        <w:jc w:val="left"/>
      </w:pPr>
      <w:r>
        <w:rPr/>
        <w:t>（</w:t>
      </w:r>
      <w:r>
        <w:rPr>
          <w:rFonts w:ascii="宋体" w:hAnsi="宋体" w:cs="宋体" w:eastAsia="宋体" w:hint="default"/>
        </w:rPr>
        <w:t>1</w:t>
      </w:r>
      <w:r>
        <w:rPr/>
        <w:t>）以公允价值计量且其变动计入当期损益的金融资产（金融负债） </w:t>
      </w:r>
      <w:r>
        <w:rPr>
          <w:spacing w:val="-2"/>
        </w:rPr>
        <w:t>以公允价值计量且其变动计入当期损益的金融资产或金融负债，包括交易性金融资产或金融负债和直接指定为以公允价</w:t>
      </w:r>
    </w:p>
    <w:p>
      <w:pPr>
        <w:pStyle w:val="BodyText"/>
        <w:spacing w:line="316" w:lineRule="auto" w:before="19"/>
        <w:ind w:left="513" w:right="3513" w:hanging="361"/>
        <w:jc w:val="left"/>
      </w:pPr>
      <w:r>
        <w:rPr/>
        <w:t>值计量且其变动计入当期损益的金融资产或金融负债。 交易性金融资产或金融负债是指满足下列条件之一的金融资产或金融负债： </w:t>
      </w:r>
      <w:r>
        <w:rPr>
          <w:rFonts w:ascii="宋体" w:hAnsi="宋体" w:cs="宋体" w:eastAsia="宋体" w:hint="default"/>
        </w:rPr>
        <w:t>1</w:t>
      </w:r>
      <w:r>
        <w:rPr/>
        <w:t>）取得该金融资产或金融负债的目的是为了在短期内出售、回购或赎回；</w:t>
      </w:r>
    </w:p>
    <w:p>
      <w:pPr>
        <w:pStyle w:val="BodyText"/>
        <w:spacing w:line="316" w:lineRule="auto" w:before="19"/>
        <w:ind w:right="184" w:firstLine="360"/>
        <w:jc w:val="left"/>
      </w:pPr>
      <w:r>
        <w:rPr>
          <w:rFonts w:ascii="宋体" w:hAnsi="宋体" w:cs="宋体" w:eastAsia="宋体" w:hint="default"/>
        </w:rPr>
        <w:t>2</w:t>
      </w:r>
      <w:r>
        <w:rPr/>
        <w:t>）属于进行集中管理的可辨认金融工具组合的一部分，且有客观证据表明本公司近期采用短期获利方式对该组合进行 管理；</w:t>
      </w:r>
    </w:p>
    <w:p>
      <w:pPr>
        <w:pStyle w:val="BodyText"/>
        <w:spacing w:line="316" w:lineRule="auto" w:before="19"/>
        <w:ind w:right="184" w:firstLine="360"/>
        <w:jc w:val="left"/>
      </w:pPr>
      <w:r>
        <w:rPr>
          <w:rFonts w:ascii="宋体" w:hAnsi="宋体" w:cs="宋体" w:eastAsia="宋体" w:hint="default"/>
        </w:rPr>
        <w:t>3</w:t>
      </w:r>
      <w:r>
        <w:rPr/>
        <w:t>）属于衍生金融工具，但是被指定为有效套期工具的衍生工具、属于财务担保合同的衍生工具、与在活跃市场中没有 报价且其公允价值不能可靠计量的权益工具投资挂钩并须通过交付该权益工具结算的衍生工具除外。</w:t>
      </w:r>
    </w:p>
    <w:p>
      <w:pPr>
        <w:pStyle w:val="BodyText"/>
        <w:spacing w:line="319" w:lineRule="auto" w:before="19"/>
        <w:ind w:right="93" w:firstLine="360"/>
        <w:jc w:val="left"/>
      </w:pPr>
      <w:r>
        <w:rPr>
          <w:spacing w:val="-2"/>
        </w:rPr>
        <w:t>只有符合以下条件之一，金融资产或金融负债才可在初始计量时指定为以公允价值计量且其变动计入损益的金融资产或</w:t>
      </w:r>
      <w:r>
        <w:rPr/>
        <w:t> 金融负债：</w:t>
      </w:r>
    </w:p>
    <w:p>
      <w:pPr>
        <w:pStyle w:val="BodyText"/>
        <w:spacing w:line="316" w:lineRule="auto" w:before="17"/>
        <w:ind w:right="184" w:firstLine="360"/>
        <w:jc w:val="left"/>
      </w:pPr>
      <w:r>
        <w:rPr>
          <w:rFonts w:ascii="宋体" w:hAnsi="宋体" w:cs="宋体" w:eastAsia="宋体" w:hint="default"/>
        </w:rPr>
        <w:t>1</w:t>
      </w:r>
      <w:r>
        <w:rPr/>
        <w:t>）该项指定可以消除或明显减少由于金融资产或金融负债的计量基础不同所导致的相关利得或损失在确认或计量方面 不一致的情况；</w:t>
      </w:r>
    </w:p>
    <w:p>
      <w:pPr>
        <w:pStyle w:val="BodyText"/>
        <w:spacing w:line="316" w:lineRule="auto" w:before="19"/>
        <w:ind w:right="184" w:firstLine="360"/>
        <w:jc w:val="left"/>
      </w:pPr>
      <w:r>
        <w:rPr>
          <w:rFonts w:ascii="宋体" w:hAnsi="宋体" w:cs="宋体" w:eastAsia="宋体" w:hint="default"/>
        </w:rPr>
        <w:t>2</w:t>
      </w:r>
      <w:r>
        <w:rPr/>
        <w:t>）风险管理或投资策略的正式书面文件已载明，该金融资产组合、该金融负债组合、或该金融资产和金融负债组合， 以公允价值为基础进行管理、评价并向关键管理人员报告；</w:t>
      </w:r>
    </w:p>
    <w:p>
      <w:pPr>
        <w:pStyle w:val="BodyText"/>
        <w:spacing w:line="316" w:lineRule="auto" w:before="19"/>
        <w:ind w:right="184" w:firstLine="360"/>
        <w:jc w:val="left"/>
      </w:pPr>
      <w:r>
        <w:rPr>
          <w:rFonts w:ascii="宋体" w:hAnsi="宋体" w:cs="宋体" w:eastAsia="宋体" w:hint="default"/>
        </w:rPr>
        <w:t>3</w:t>
      </w:r>
      <w:r>
        <w:rPr/>
        <w:t>）包含一项或多项嵌入衍生工具的混合工具，除非嵌入衍生工具对混合工具的现金流量没有重大改变，或所嵌入的衍 生工具明显不应当从相关混合工具中分拆；</w:t>
      </w:r>
    </w:p>
    <w:p>
      <w:pPr>
        <w:pStyle w:val="BodyText"/>
        <w:spacing w:line="316" w:lineRule="auto" w:before="19"/>
        <w:ind w:left="513" w:right="93"/>
        <w:jc w:val="left"/>
      </w:pPr>
      <w:r>
        <w:rPr>
          <w:rFonts w:ascii="宋体" w:hAnsi="宋体" w:cs="宋体" w:eastAsia="宋体" w:hint="default"/>
        </w:rPr>
        <w:t>4</w:t>
      </w:r>
      <w:r>
        <w:rPr/>
        <w:t>）包含需要分拆但无法在取得时或后续的资产负债表日对其进行单独计量的嵌入衍生工具的混合工具。 </w:t>
      </w:r>
      <w:r>
        <w:rPr>
          <w:spacing w:val="-2"/>
        </w:rPr>
        <w:t>本公司对以公允价值计量且其变动计入当期损益的金融资产或金融负债，在取得时以公允价值（扣除已宣告但尚未发放</w:t>
      </w:r>
    </w:p>
    <w:p>
      <w:pPr>
        <w:pStyle w:val="BodyText"/>
        <w:spacing w:line="316" w:lineRule="auto" w:before="19"/>
        <w:ind w:right="189"/>
        <w:jc w:val="both"/>
      </w:pPr>
      <w:r>
        <w:rPr>
          <w:spacing w:val="-2"/>
        </w:rPr>
        <w:t>的现金股利或已到付息期但尚未领取的债券利息）作为初始确认金额，相关的交易费用计入当期损益。持有期间将取得的利</w:t>
      </w:r>
      <w:r>
        <w:rPr>
          <w:spacing w:val="-62"/>
        </w:rPr>
        <w:t> </w:t>
      </w:r>
      <w:r>
        <w:rPr>
          <w:spacing w:val="-62"/>
        </w:rPr>
      </w:r>
      <w:r>
        <w:rPr>
          <w:spacing w:val="-2"/>
        </w:rPr>
        <w:t>息或现金股利确认为投资收益，期末将公允价值变动计入当期损益。处置时，其公允价值与初始入账金额之间的差额确认为</w:t>
      </w:r>
      <w:r>
        <w:rPr>
          <w:spacing w:val="-66"/>
        </w:rPr>
        <w:t> </w:t>
      </w:r>
      <w:r>
        <w:rPr>
          <w:spacing w:val="-66"/>
        </w:rPr>
      </w:r>
      <w:r>
        <w:rPr/>
        <w:t>投资收益，同时调整公允价值变动损益。</w:t>
      </w:r>
    </w:p>
    <w:p>
      <w:pPr>
        <w:pStyle w:val="BodyText"/>
        <w:spacing w:line="300" w:lineRule="auto" w:before="19"/>
        <w:ind w:left="501" w:right="93" w:hanging="60"/>
        <w:jc w:val="left"/>
      </w:pPr>
      <w:r>
        <w:rPr/>
        <w:t>（</w:t>
      </w:r>
      <w:r>
        <w:rPr>
          <w:rFonts w:ascii="Times New Roman" w:hAnsi="Times New Roman" w:cs="Times New Roman" w:eastAsia="Times New Roman" w:hint="default"/>
        </w:rPr>
        <w:t>2</w:t>
      </w:r>
      <w:r>
        <w:rPr/>
        <w:t>）应收款项 </w:t>
      </w:r>
      <w:r>
        <w:rPr>
          <w:spacing w:val="-2"/>
        </w:rPr>
        <w:t>本公司对外销售商品或提供劳务形成的应收债权，以及公司持有的其他企业的不包括在活跃市场上有报价的债务工具的</w:t>
      </w:r>
    </w:p>
    <w:p>
      <w:pPr>
        <w:pStyle w:val="BodyText"/>
        <w:spacing w:line="316" w:lineRule="auto" w:before="31"/>
        <w:ind w:left="212" w:right="231"/>
        <w:jc w:val="both"/>
      </w:pPr>
      <w:r>
        <w:rPr/>
        <w:t>债权，包括应收票据、预付款项、应收账款、其他应收款等，以向购货方应收的合同或协议价款作为初始确认金额；具有 融资性质的，按其现值进行初始确认。</w:t>
      </w:r>
    </w:p>
    <w:p>
      <w:pPr>
        <w:pStyle w:val="BodyText"/>
        <w:spacing w:line="240" w:lineRule="auto" w:before="19"/>
        <w:ind w:left="513" w:right="93"/>
        <w:jc w:val="left"/>
      </w:pPr>
      <w:r>
        <w:rPr/>
        <w:t>收回或处置时，将取得的价款与该应收款项账面价值之间的差额计入当期损益。</w:t>
      </w:r>
    </w:p>
    <w:p>
      <w:pPr>
        <w:pStyle w:val="BodyText"/>
        <w:spacing w:line="309" w:lineRule="auto" w:before="76"/>
        <w:ind w:left="513" w:right="93" w:hanging="72"/>
        <w:jc w:val="left"/>
      </w:pPr>
      <w:r>
        <w:rPr/>
        <w:t>（</w:t>
      </w:r>
      <w:r>
        <w:rPr>
          <w:rFonts w:ascii="Times New Roman" w:hAnsi="Times New Roman" w:cs="Times New Roman" w:eastAsia="Times New Roman" w:hint="default"/>
        </w:rPr>
        <w:t>3</w:t>
      </w:r>
      <w:r>
        <w:rPr/>
        <w:t>）持有至到期投资 </w:t>
      </w:r>
      <w:r>
        <w:rPr>
          <w:spacing w:val="-4"/>
        </w:rPr>
        <w:t>持有至到期投资是指到期日固定、回收金额固定或可确定，且本公司有明确意图和能力持有至到期的非衍生性金融资产。</w:t>
      </w:r>
      <w:r>
        <w:rPr/>
        <w:t> 本公司对持有至到期投资，在取得时按公允价值（扣除已到付息期但尚未领取的债券利息）和相关交易费用之和作为</w:t>
      </w:r>
    </w:p>
    <w:p>
      <w:pPr>
        <w:pStyle w:val="BodyText"/>
        <w:spacing w:line="316" w:lineRule="auto" w:before="24"/>
        <w:ind w:right="191"/>
        <w:jc w:val="both"/>
      </w:pPr>
      <w:r>
        <w:rPr>
          <w:spacing w:val="-2"/>
        </w:rPr>
        <w:t>初始确认金额。持有期间按照摊余成本和实际利率计算确认利息收入，计入投资收益。实际利率在取得时确定，在该预期存</w:t>
      </w:r>
      <w:r>
        <w:rPr>
          <w:spacing w:val="-64"/>
        </w:rPr>
        <w:t> </w:t>
      </w:r>
      <w:r>
        <w:rPr>
          <w:spacing w:val="-64"/>
        </w:rPr>
      </w:r>
      <w:r>
        <w:rPr/>
        <w:t>续期间或适用的更短期间内保持不变。处置时，将所取得价款与该投资账面价值之间的差额计入投资收益。</w:t>
      </w:r>
    </w:p>
    <w:p>
      <w:pPr>
        <w:pStyle w:val="BodyText"/>
        <w:spacing w:line="319" w:lineRule="auto" w:before="19"/>
        <w:ind w:right="93" w:firstLine="379"/>
        <w:jc w:val="left"/>
      </w:pPr>
      <w:r>
        <w:rPr/>
        <w:t>如果持有至到期投资处置或重分类为其他类金融资产的金额，相对于本公司全部持有至到期投资在出售或重分类前的 </w:t>
      </w:r>
      <w:r>
        <w:rPr>
          <w:spacing w:val="-2"/>
        </w:rPr>
        <w:t>总额较大，在处置或重分类后应立即将其剩余的持有至到期投资重分类为可供出售金融资产；重分类日，该投资的账面价值</w:t>
      </w:r>
      <w:r>
        <w:rPr>
          <w:spacing w:val="-66"/>
        </w:rPr>
        <w:t> </w:t>
      </w:r>
      <w:r>
        <w:rPr>
          <w:spacing w:val="-66"/>
        </w:rPr>
      </w:r>
      <w:r>
        <w:rPr>
          <w:spacing w:val="-2"/>
        </w:rPr>
        <w:t>与其公允价值之间的差额计入其他综合收益，在该可供出售金融资产发生减值或终止确认时转出，计入当期损益。但是，遇</w:t>
      </w:r>
      <w:r>
        <w:rPr>
          <w:spacing w:val="-66"/>
        </w:rPr>
        <w:t> </w:t>
      </w:r>
      <w:r>
        <w:rPr>
          <w:spacing w:val="-66"/>
        </w:rPr>
      </w:r>
      <w:r>
        <w:rPr/>
        <w:t>到下列情况可以除外：</w:t>
      </w:r>
    </w:p>
    <w:p>
      <w:pPr>
        <w:pStyle w:val="BodyText"/>
        <w:spacing w:line="300" w:lineRule="auto" w:before="17"/>
        <w:ind w:right="244" w:firstLine="360"/>
        <w:jc w:val="left"/>
      </w:pPr>
      <w:r>
        <w:rPr>
          <w:rFonts w:ascii="Times New Roman" w:hAnsi="Times New Roman" w:cs="Times New Roman" w:eastAsia="Times New Roman" w:hint="default"/>
        </w:rPr>
        <w:t>1</w:t>
      </w:r>
      <w:r>
        <w:rPr/>
        <w:t>）出售日或重分类日距离该项投资到期日或赎回日较近</w:t>
      </w:r>
      <w:r>
        <w:rPr>
          <w:rFonts w:ascii="Times New Roman" w:hAnsi="Times New Roman" w:cs="Times New Roman" w:eastAsia="Times New Roman" w:hint="default"/>
        </w:rPr>
        <w:t>(</w:t>
      </w:r>
      <w:r>
        <w:rPr/>
        <w:t>如到期前三个月内</w:t>
      </w:r>
      <w:r>
        <w:rPr>
          <w:rFonts w:ascii="Times New Roman" w:hAnsi="Times New Roman" w:cs="Times New Roman" w:eastAsia="Times New Roman" w:hint="default"/>
        </w:rPr>
        <w:t>)</w:t>
      </w:r>
      <w:r>
        <w:rPr/>
        <w:t>，且市场利率变化对该项投资的公允价值 没有显著影响。</w:t>
      </w:r>
    </w:p>
    <w:p>
      <w:pPr>
        <w:pStyle w:val="BodyText"/>
        <w:spacing w:line="240" w:lineRule="auto" w:before="31"/>
        <w:ind w:left="513" w:right="93"/>
        <w:jc w:val="left"/>
      </w:pPr>
      <w:r>
        <w:rPr>
          <w:rFonts w:ascii="Times New Roman" w:hAnsi="Times New Roman" w:cs="Times New Roman" w:eastAsia="Times New Roman" w:hint="default"/>
        </w:rPr>
        <w:t>2</w:t>
      </w:r>
      <w:r>
        <w:rPr/>
        <w:t>）根据合同约定的偿付方式，企业已收回几乎所有初始本金。</w:t>
      </w:r>
    </w:p>
    <w:p>
      <w:pPr>
        <w:pStyle w:val="BodyText"/>
        <w:spacing w:line="240" w:lineRule="auto" w:before="63"/>
        <w:ind w:left="513" w:right="93"/>
        <w:jc w:val="left"/>
      </w:pPr>
      <w:r>
        <w:rPr>
          <w:rFonts w:ascii="Times New Roman" w:hAnsi="Times New Roman" w:cs="Times New Roman" w:eastAsia="Times New Roman" w:hint="default"/>
        </w:rPr>
        <w:t>3</w:t>
      </w:r>
      <w:r>
        <w:rPr/>
        <w:t>）出售或重分类是由于企业无法控制、预期不会重复发生且难以合理预计的独立事件所引起。</w:t>
      </w:r>
    </w:p>
    <w:p>
      <w:pPr>
        <w:pStyle w:val="BodyText"/>
        <w:spacing w:line="240" w:lineRule="auto" w:before="62"/>
        <w:ind w:left="441" w:right="93"/>
        <w:jc w:val="left"/>
      </w:pPr>
      <w:r>
        <w:rPr/>
        <w:t>（</w:t>
      </w:r>
      <w:r>
        <w:rPr>
          <w:rFonts w:ascii="Times New Roman" w:hAnsi="Times New Roman" w:cs="Times New Roman" w:eastAsia="Times New Roman" w:hint="default"/>
        </w:rPr>
        <w:t>4</w:t>
      </w:r>
      <w:r>
        <w:rPr/>
        <w:t>）可供出售金融资产</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532" w:right="93"/>
        <w:jc w:val="left"/>
      </w:pPr>
      <w:r>
        <w:rPr>
          <w:spacing w:val="-1"/>
        </w:rPr>
        <w:t>可供出售金融资产，是指初始确认时即指定为可供出售的非衍生金融资产，以及除其他金融资产类别以外的金融资产。</w:t>
      </w:r>
      <w:r>
        <w:rPr>
          <w:spacing w:val="-48"/>
        </w:rPr>
        <w:t> </w:t>
      </w:r>
      <w:r>
        <w:rPr>
          <w:spacing w:val="-48"/>
        </w:rPr>
      </w:r>
      <w:r>
        <w:rPr/>
        <w:t>本公司对可供出售金融资产，在取得时按公允价值（扣除已宣告但尚未发放的现金股利或已到付息期但尚未领取的债</w:t>
      </w:r>
    </w:p>
    <w:p>
      <w:pPr>
        <w:pStyle w:val="BodyText"/>
        <w:spacing w:line="316" w:lineRule="auto" w:before="17"/>
        <w:ind w:right="189"/>
        <w:jc w:val="both"/>
      </w:pPr>
      <w:r>
        <w:rPr>
          <w:spacing w:val="-2"/>
        </w:rPr>
        <w:t>券利息）和相关交易费用之和作为初始确认金额。持有期间将取得的利息或现金股利确认为投资收益。可供出售金融资产的</w:t>
      </w:r>
      <w:r>
        <w:rPr>
          <w:spacing w:val="-63"/>
        </w:rPr>
        <w:t> </w:t>
      </w:r>
      <w:r>
        <w:rPr>
          <w:spacing w:val="-63"/>
        </w:rPr>
      </w:r>
      <w:r>
        <w:rPr>
          <w:spacing w:val="-2"/>
        </w:rPr>
        <w:t>公允价值变动形成的利得或损失，除减值损失和外币货币性金融资产形成的汇兑差额外，直接计入其他综合收益。处置可供</w:t>
      </w:r>
      <w:r>
        <w:rPr>
          <w:spacing w:val="-62"/>
        </w:rPr>
        <w:t> </w:t>
      </w:r>
      <w:r>
        <w:rPr>
          <w:spacing w:val="-62"/>
        </w:rPr>
      </w:r>
      <w:r>
        <w:rPr>
          <w:spacing w:val="-2"/>
        </w:rPr>
        <w:t>出售金融资产时，将取得的价款与该金融资产账面价值之间的差额，计入投资损益；同时，将原直接计入其他综合收益的公</w:t>
      </w:r>
      <w:r>
        <w:rPr>
          <w:spacing w:val="-64"/>
        </w:rPr>
        <w:t> </w:t>
      </w:r>
      <w:r>
        <w:rPr>
          <w:spacing w:val="-64"/>
        </w:rPr>
      </w:r>
      <w:r>
        <w:rPr/>
        <w:t>允价值变动累计额对应处置部分的金额转出，计入投资损益。</w:t>
      </w:r>
    </w:p>
    <w:p>
      <w:pPr>
        <w:pStyle w:val="BodyText"/>
        <w:spacing w:line="316" w:lineRule="auto" w:before="19"/>
        <w:ind w:right="255" w:firstLine="379"/>
        <w:jc w:val="left"/>
      </w:pPr>
      <w:r>
        <w:rPr/>
        <w:t>本公司对在活跃市场中没有报价且其公允价值不能可靠计量的权益工具投资，以及与该权益工具挂钩并须通过交付该 权益工具结算的衍生金融资产，按照成本计量。</w:t>
      </w:r>
    </w:p>
    <w:p>
      <w:pPr>
        <w:spacing w:line="309" w:lineRule="auto" w:before="19"/>
        <w:ind w:left="513" w:right="2793" w:hanging="7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）其他金融负债 按其公允价值和相关交易费用之和作为初始确认金额。采用摊余成本进行后续计量。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w:t>
      </w:r>
      <w:r>
        <w:rPr>
          <w:rFonts w:ascii="宋体" w:hAnsi="宋体" w:cs="宋体" w:eastAsia="宋体" w:hint="default"/>
          <w:b/>
          <w:bCs/>
          <w:spacing w:val="-17"/>
          <w:sz w:val="18"/>
          <w:szCs w:val="18"/>
        </w:rPr>
        <w:t> </w:t>
      </w:r>
      <w:r>
        <w:rPr>
          <w:rFonts w:ascii="宋体" w:hAnsi="宋体" w:cs="宋体" w:eastAsia="宋体" w:hint="default"/>
          <w:b/>
          <w:bCs/>
          <w:sz w:val="18"/>
          <w:szCs w:val="18"/>
        </w:rPr>
        <w:t>金融资产转移的确认依据和计量方法</w:t>
      </w:r>
      <w:r>
        <w:rPr>
          <w:rFonts w:ascii="宋体" w:hAnsi="宋体" w:cs="宋体" w:eastAsia="宋体" w:hint="default"/>
          <w:sz w:val="18"/>
          <w:szCs w:val="18"/>
        </w:rPr>
      </w:r>
    </w:p>
    <w:p>
      <w:pPr>
        <w:pStyle w:val="BodyText"/>
        <w:spacing w:line="316" w:lineRule="auto" w:before="5"/>
        <w:ind w:right="255" w:firstLine="379"/>
        <w:jc w:val="left"/>
      </w:pPr>
      <w:r>
        <w:rPr/>
        <w:t>公司发生金融资产转移时，如已将金融资产所有权上几乎所有的风险和报酬转移给转入方，则终止确认该金融资产； 如保留了金融资产所有权上几乎所有的风险和报酬的，则不终止确认该金融资产。</w:t>
      </w:r>
    </w:p>
    <w:p>
      <w:pPr>
        <w:pStyle w:val="BodyText"/>
        <w:spacing w:line="316" w:lineRule="auto" w:before="19"/>
        <w:ind w:right="255" w:firstLine="379"/>
        <w:jc w:val="left"/>
      </w:pPr>
      <w:r>
        <w:rPr/>
        <w:t>在判断金融资产转移是否满足上述金融资产终止确认条件时，采用实质重于形式的原则。公司将金融资产转移区分为 金融资产整体转移和部分转移。金融资产整体转移满足终止确认条件的，将下列两项金额的差额计入当期损益：</w:t>
      </w:r>
    </w:p>
    <w:p>
      <w:pPr>
        <w:pStyle w:val="BodyText"/>
        <w:spacing w:line="240" w:lineRule="auto" w:before="19"/>
        <w:ind w:left="441" w:right="93"/>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63"/>
        <w:ind w:right="256" w:firstLine="288"/>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 产的情形）之和。</w:t>
      </w:r>
    </w:p>
    <w:p>
      <w:pPr>
        <w:pStyle w:val="BodyText"/>
        <w:spacing w:line="316" w:lineRule="auto" w:before="31"/>
        <w:ind w:right="93" w:firstLine="379"/>
        <w:jc w:val="left"/>
      </w:pPr>
      <w:r>
        <w:rPr>
          <w:spacing w:val="-1"/>
        </w:rPr>
        <w:t>金融资产部分转移满足终止确认条件的，将所转移金融资产整体的账面价值，在终止确认部分和未终止确认部分之间，</w:t>
      </w:r>
      <w:r>
        <w:rPr/>
        <w:t> 按照各自的相对公允价值进行分摊，并将下列两项金额的差额计入当期损益：</w:t>
      </w:r>
    </w:p>
    <w:p>
      <w:pPr>
        <w:pStyle w:val="BodyText"/>
        <w:spacing w:line="240" w:lineRule="auto" w:before="19"/>
        <w:ind w:left="441" w:right="93"/>
        <w:jc w:val="left"/>
      </w:pPr>
      <w:r>
        <w:rPr/>
        <w:t>（</w:t>
      </w:r>
      <w:r>
        <w:rPr>
          <w:rFonts w:ascii="Times New Roman" w:hAnsi="Times New Roman" w:cs="Times New Roman" w:eastAsia="Times New Roman" w:hint="default"/>
        </w:rPr>
        <w:t>1</w:t>
      </w:r>
      <w:r>
        <w:rPr/>
        <w:t>）终止确认部分的账面价值；</w:t>
      </w:r>
    </w:p>
    <w:p>
      <w:pPr>
        <w:pStyle w:val="BodyText"/>
        <w:spacing w:line="300" w:lineRule="auto" w:before="63"/>
        <w:ind w:right="256" w:firstLine="288"/>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309" w:lineRule="auto" w:before="31"/>
        <w:ind w:left="513" w:right="93" w:firstLine="52"/>
        <w:jc w:val="left"/>
      </w:pPr>
      <w:r>
        <w:rPr/>
        <w:t>金融资产转移不满足终止确认条件的，继续确认该金融资产，所收到的对价确认为一项金融负债。 </w:t>
      </w: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t>金融负债的现时义务全部或部分已经解除的，则终止确认该金融负债或其一部分；本公司若与债权人签定协议，以承</w:t>
      </w:r>
    </w:p>
    <w:p>
      <w:pPr>
        <w:pStyle w:val="BodyText"/>
        <w:spacing w:line="316" w:lineRule="auto" w:before="24"/>
        <w:ind w:right="111"/>
        <w:jc w:val="both"/>
      </w:pPr>
      <w:r>
        <w:rPr/>
        <w:t>担新金融负债方式替换现存金融负债，且新金融负债与现存金融负债的合同条款实质上不同的，则终止确认现存金融负债， 并同时确认新金融负债。</w:t>
      </w:r>
    </w:p>
    <w:p>
      <w:pPr>
        <w:pStyle w:val="BodyText"/>
        <w:spacing w:line="316" w:lineRule="auto" w:before="19"/>
        <w:ind w:right="255" w:firstLine="379"/>
        <w:jc w:val="left"/>
      </w:pPr>
      <w:r>
        <w:rPr/>
        <w:t>对现存金融负债全部或部分合同条款作出实质性修改的，则终止确认现存金融负债或其一部分，同时将修改条款后的 金融负债确认为一项新金融负债。</w:t>
      </w:r>
    </w:p>
    <w:p>
      <w:pPr>
        <w:pStyle w:val="BodyText"/>
        <w:spacing w:line="316" w:lineRule="auto" w:before="19"/>
        <w:ind w:right="255" w:firstLine="379"/>
        <w:jc w:val="left"/>
      </w:pPr>
      <w:r>
        <w:rPr/>
        <w:t>金融负债全部或部分终止确认时，终止确认的金融负债账面价值与支付对价（包括转出的非现金资产或承担的新金融 负债）之间的差额，计入当期损益。</w:t>
      </w:r>
    </w:p>
    <w:p>
      <w:pPr>
        <w:pStyle w:val="BodyText"/>
        <w:spacing w:line="316" w:lineRule="auto" w:before="19"/>
        <w:ind w:right="93" w:firstLine="379"/>
        <w:jc w:val="left"/>
      </w:pPr>
      <w:r>
        <w:rPr/>
        <w:t>本公司若回购部分金融负债的，在回购日按照继续确认部分与终止确认部分的相对公允价值，将该金融负债整体的账 </w:t>
      </w:r>
      <w:r>
        <w:rPr>
          <w:spacing w:val="-4"/>
        </w:rPr>
        <w:t>面价值进行分配。分配给终止确认部分的账面价值与支付的对价（包括转出的非现金资产或承担的新金融负债）之间的差额，</w:t>
      </w:r>
      <w:r>
        <w:rPr>
          <w:spacing w:val="-44"/>
        </w:rPr>
        <w:t> </w:t>
      </w:r>
      <w:r>
        <w:rPr>
          <w:spacing w:val="-44"/>
        </w:rPr>
      </w:r>
      <w:r>
        <w:rPr/>
        <w:t>计入当期损益。</w:t>
      </w:r>
    </w:p>
    <w:p>
      <w:pPr>
        <w:spacing w:line="300" w:lineRule="auto" w:before="19"/>
        <w:ind w:left="532" w:right="254" w:hanging="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、金融资产和金融负债公允价值的确定方法</w:t>
      </w:r>
      <w:r>
        <w:rPr>
          <w:rFonts w:ascii="宋体" w:hAnsi="宋体" w:cs="宋体" w:eastAsia="宋体" w:hint="default"/>
          <w:b/>
          <w:bCs/>
          <w:w w:val="99"/>
          <w:sz w:val="18"/>
          <w:szCs w:val="18"/>
        </w:rPr>
        <w:t> </w:t>
      </w:r>
      <w:r>
        <w:rPr>
          <w:rFonts w:ascii="宋体" w:hAnsi="宋体" w:cs="宋体" w:eastAsia="宋体" w:hint="default"/>
          <w:sz w:val="18"/>
          <w:szCs w:val="18"/>
        </w:rPr>
        <w:t>本公司采用公允价值计量的金融资产和金融负债存在活跃市场的金融资产或金融负债，以活跃市场的报价确定其公允</w:t>
      </w:r>
    </w:p>
    <w:p>
      <w:pPr>
        <w:pStyle w:val="BodyText"/>
        <w:spacing w:line="319" w:lineRule="auto" w:before="31"/>
        <w:ind w:right="189"/>
        <w:jc w:val="both"/>
      </w:pPr>
      <w:r>
        <w:rPr>
          <w:spacing w:val="-2"/>
        </w:rPr>
        <w:t>价值；初始取得或衍生的金融资产或承担的金融负债，以市场交易价格作为确定其公允价值的基础；不存在活跃市场的金融</w:t>
      </w:r>
      <w:r>
        <w:rPr>
          <w:spacing w:val="-62"/>
        </w:rPr>
        <w:t> </w:t>
      </w:r>
      <w:r>
        <w:rPr>
          <w:spacing w:val="-62"/>
        </w:rPr>
      </w:r>
      <w:r>
        <w:rPr>
          <w:spacing w:val="-2"/>
        </w:rPr>
        <w:t>资产或金融负债，采用估值技术确定其公允价值。在估值时，本公司采用在当前情况下适用并且有足够可利用数据和其他信</w:t>
      </w:r>
      <w:r>
        <w:rPr>
          <w:spacing w:val="-63"/>
        </w:rPr>
        <w:t> </w:t>
      </w:r>
      <w:r>
        <w:rPr>
          <w:spacing w:val="-63"/>
        </w:rPr>
      </w:r>
      <w:r>
        <w:rPr>
          <w:spacing w:val="-2"/>
        </w:rPr>
        <w:t>息支持的估值技术，选择与市场参与者在相关资产或负债的交易中所考虑的资产或负债特征相一致的输入值，并尽可能优先</w:t>
      </w:r>
      <w:r>
        <w:rPr>
          <w:spacing w:val="-64"/>
        </w:rPr>
        <w:t> </w:t>
      </w:r>
      <w:r>
        <w:rPr>
          <w:spacing w:val="-64"/>
        </w:rPr>
      </w:r>
      <w:r>
        <w:rPr/>
        <w:t>使用相关可观察输入值。在相关可观察输入值无法取得或取得不切实可行的情况下，使用不可观察输入值。</w:t>
      </w:r>
    </w:p>
    <w:p>
      <w:pPr>
        <w:spacing w:line="300" w:lineRule="auto" w:before="17"/>
        <w:ind w:left="611" w:right="175" w:hanging="9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、金融资产（不含应收款项）减值准备计提</w:t>
      </w:r>
      <w:r>
        <w:rPr>
          <w:rFonts w:ascii="宋体" w:hAnsi="宋体" w:cs="宋体" w:eastAsia="宋体" w:hint="default"/>
          <w:b/>
          <w:bCs/>
          <w:w w:val="99"/>
          <w:sz w:val="18"/>
          <w:szCs w:val="18"/>
        </w:rPr>
        <w:t> </w:t>
      </w:r>
      <w:r>
        <w:rPr>
          <w:rFonts w:ascii="宋体" w:hAnsi="宋体" w:cs="宋体" w:eastAsia="宋体" w:hint="default"/>
          <w:sz w:val="18"/>
          <w:szCs w:val="18"/>
        </w:rPr>
        <w:t>资产负债表日对以公允价值计量且其变动计入当期损益的金融资产以外的金融资产的账面价值进行检查，如有客观证</w:t>
      </w:r>
    </w:p>
    <w:p>
      <w:pPr>
        <w:pStyle w:val="BodyText"/>
        <w:spacing w:line="240" w:lineRule="auto" w:before="31"/>
        <w:ind w:left="212" w:right="0"/>
        <w:jc w:val="both"/>
      </w:pPr>
      <w:r>
        <w:rPr/>
        <w:t>据表明该金融资产发生减值的，计提减值准备。</w:t>
      </w:r>
    </w:p>
    <w:p>
      <w:pPr>
        <w:spacing w:after="0" w:line="240"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3" w:right="153"/>
        <w:jc w:val="left"/>
      </w:pPr>
      <w:r>
        <w:rPr/>
        <w:t>金融资产发生减值的客观证据，包括但不限于：</w:t>
      </w:r>
    </w:p>
    <w:p>
      <w:pPr>
        <w:pStyle w:val="BodyText"/>
        <w:spacing w:line="240" w:lineRule="auto" w:before="77"/>
        <w:ind w:left="441" w:right="153"/>
        <w:jc w:val="left"/>
      </w:pPr>
      <w:r>
        <w:rPr/>
        <w:t>（</w:t>
      </w:r>
      <w:r>
        <w:rPr>
          <w:rFonts w:ascii="Times New Roman" w:hAnsi="Times New Roman" w:cs="Times New Roman" w:eastAsia="Times New Roman" w:hint="default"/>
        </w:rPr>
        <w:t>1</w:t>
      </w:r>
      <w:r>
        <w:rPr/>
        <w:t>）发行方或债务人发生严重财务困难；</w:t>
      </w:r>
    </w:p>
    <w:p>
      <w:pPr>
        <w:pStyle w:val="BodyText"/>
        <w:spacing w:line="240" w:lineRule="auto" w:before="63"/>
        <w:ind w:left="441" w:right="153"/>
        <w:jc w:val="left"/>
      </w:pPr>
      <w:r>
        <w:rPr/>
        <w:t>（</w:t>
      </w:r>
      <w:r>
        <w:rPr>
          <w:rFonts w:ascii="Times New Roman" w:hAnsi="Times New Roman" w:cs="Times New Roman" w:eastAsia="Times New Roman" w:hint="default"/>
        </w:rPr>
        <w:t>2</w:t>
      </w:r>
      <w:r>
        <w:rPr/>
        <w:t>）债务人违反了合同条款，如偿付利息或本金发生违约或逾期等；</w:t>
      </w:r>
    </w:p>
    <w:p>
      <w:pPr>
        <w:pStyle w:val="BodyText"/>
        <w:spacing w:line="240" w:lineRule="auto" w:before="63"/>
        <w:ind w:left="441" w:right="153"/>
        <w:jc w:val="left"/>
      </w:pPr>
      <w:r>
        <w:rPr/>
        <w:t>（</w:t>
      </w:r>
      <w:r>
        <w:rPr>
          <w:rFonts w:ascii="Times New Roman" w:hAnsi="Times New Roman" w:cs="Times New Roman" w:eastAsia="Times New Roman" w:hint="default"/>
        </w:rPr>
        <w:t>3</w:t>
      </w:r>
      <w:r>
        <w:rPr/>
        <w:t>）债权人出于经济或法律等方面因素的考虑，对发生财务困难的债务人作出让步；</w:t>
      </w:r>
    </w:p>
    <w:p>
      <w:pPr>
        <w:pStyle w:val="BodyText"/>
        <w:spacing w:line="240" w:lineRule="auto" w:before="63"/>
        <w:ind w:left="441" w:right="153"/>
        <w:jc w:val="left"/>
      </w:pPr>
      <w:r>
        <w:rPr/>
        <w:t>（</w:t>
      </w:r>
      <w:r>
        <w:rPr>
          <w:rFonts w:ascii="Times New Roman" w:hAnsi="Times New Roman" w:cs="Times New Roman" w:eastAsia="Times New Roman" w:hint="default"/>
        </w:rPr>
        <w:t>4</w:t>
      </w:r>
      <w:r>
        <w:rPr/>
        <w:t>）债务人很可能倒闭或进行其他财务重组；</w:t>
      </w:r>
    </w:p>
    <w:p>
      <w:pPr>
        <w:pStyle w:val="BodyText"/>
        <w:spacing w:line="240" w:lineRule="auto" w:before="63"/>
        <w:ind w:left="424" w:right="153"/>
        <w:jc w:val="left"/>
      </w:pPr>
      <w:r>
        <w:rPr/>
        <w:t>（</w:t>
      </w:r>
      <w:r>
        <w:rPr>
          <w:rFonts w:ascii="Times New Roman" w:hAnsi="Times New Roman" w:cs="Times New Roman" w:eastAsia="Times New Roman" w:hint="default"/>
        </w:rPr>
        <w:t>5</w:t>
      </w:r>
      <w:r>
        <w:rPr/>
        <w:t>）因发行方发生重大财务困难，该金融资产无法在活跃市场继续交易；</w:t>
      </w:r>
    </w:p>
    <w:p>
      <w:pPr>
        <w:pStyle w:val="BodyText"/>
        <w:spacing w:line="309" w:lineRule="auto" w:before="63"/>
        <w:ind w:right="148" w:firstLine="271"/>
        <w:jc w:val="both"/>
      </w:pPr>
      <w:r>
        <w:rPr>
          <w:spacing w:val="-2"/>
        </w:rPr>
        <w:t>（</w:t>
      </w:r>
      <w:r>
        <w:rPr>
          <w:rFonts w:ascii="Times New Roman" w:hAnsi="Times New Roman" w:cs="Times New Roman" w:eastAsia="Times New Roman" w:hint="default"/>
          <w:spacing w:val="-2"/>
        </w:rPr>
        <w:t>6</w:t>
      </w:r>
      <w:r>
        <w:rPr>
          <w:spacing w:val="-2"/>
        </w:rPr>
        <w:t>）无法辨认一组金融资产中的某项资产的现金流量是否已经减少，但根据公开的数据对其进行总体评价后发现，该组</w:t>
      </w:r>
      <w:r>
        <w:rPr/>
        <w:t> </w:t>
      </w:r>
      <w:r>
        <w:rPr>
          <w:spacing w:val="-2"/>
        </w:rPr>
        <w:t>金融资产自初始确认以来的预计未来现金流量确已减少且可计量，如该组金融资产的债务人支付能力逐步恶化，或债务人所</w:t>
      </w:r>
      <w:r>
        <w:rPr>
          <w:spacing w:val="-64"/>
        </w:rPr>
        <w:t> </w:t>
      </w:r>
      <w:r>
        <w:rPr>
          <w:spacing w:val="-64"/>
        </w:rPr>
      </w:r>
      <w:r>
        <w:rPr/>
        <w:t>在国家或地区失业率提高、担保物在其所在地区的价格明显下降、所处行业不景气等；</w:t>
      </w:r>
    </w:p>
    <w:p>
      <w:pPr>
        <w:pStyle w:val="BodyText"/>
        <w:spacing w:line="300" w:lineRule="auto" w:before="24"/>
        <w:ind w:right="231" w:firstLine="288"/>
        <w:jc w:val="both"/>
      </w:pPr>
      <w:r>
        <w:rPr/>
        <w:t>（</w:t>
      </w:r>
      <w:r>
        <w:rPr>
          <w:rFonts w:ascii="Times New Roman" w:hAnsi="Times New Roman" w:cs="Times New Roman" w:eastAsia="Times New Roman" w:hint="default"/>
        </w:rPr>
        <w:t>7</w:t>
      </w:r>
      <w:r>
        <w:rPr/>
        <w:t>）权益工具发行方经营所处的技术、市场、经济或法律环境等发生重大不利变化，使权益工具投资人可能无法收回 投资成本；</w:t>
      </w:r>
    </w:p>
    <w:p>
      <w:pPr>
        <w:pStyle w:val="BodyText"/>
        <w:spacing w:line="300" w:lineRule="auto" w:before="31"/>
        <w:ind w:left="513" w:right="4895" w:hanging="72"/>
        <w:jc w:val="left"/>
      </w:pPr>
      <w:r>
        <w:rPr/>
        <w:t>（</w:t>
      </w:r>
      <w:r>
        <w:rPr>
          <w:rFonts w:ascii="Times New Roman" w:hAnsi="Times New Roman" w:cs="Times New Roman" w:eastAsia="Times New Roman" w:hint="default"/>
        </w:rPr>
        <w:t>8</w:t>
      </w:r>
      <w:r>
        <w:rPr/>
        <w:t>）权益工具投资的公允价值发生严重或非暂时性下跌； 金融资产的具体减值方法如下：</w:t>
      </w:r>
    </w:p>
    <w:p>
      <w:pPr>
        <w:pStyle w:val="BodyText"/>
        <w:spacing w:line="300" w:lineRule="auto" w:before="32"/>
        <w:ind w:left="592" w:right="154" w:hanging="80"/>
        <w:jc w:val="left"/>
      </w:pPr>
      <w:r>
        <w:rPr/>
        <w:t>（</w:t>
      </w:r>
      <w:r>
        <w:rPr>
          <w:rFonts w:ascii="Times New Roman" w:hAnsi="Times New Roman" w:cs="Times New Roman" w:eastAsia="Times New Roman" w:hint="default"/>
        </w:rPr>
        <w:t>1</w:t>
      </w:r>
      <w:r>
        <w:rPr/>
        <w:t>）可供出售金融资产的减值准备 本公司于资产负债表日对各项可供出售金融资产采用个别认定的方式评估减值损失，其中：表明可供出售权益工具投</w:t>
      </w:r>
    </w:p>
    <w:p>
      <w:pPr>
        <w:pStyle w:val="BodyText"/>
        <w:spacing w:line="316" w:lineRule="auto" w:before="31"/>
        <w:ind w:left="212" w:right="174"/>
        <w:jc w:val="left"/>
        <w:rPr>
          <w:rFonts w:ascii="Times New Roman" w:hAnsi="Times New Roman" w:cs="Times New Roman" w:eastAsia="Times New Roman" w:hint="default"/>
        </w:rPr>
      </w:pPr>
      <w:r>
        <w:rPr/>
        <w:t>资发生减值的客观证据包括权益工具投资的公允价值发生严重或非暂时性下跌，具体量化标准为：本公司于资产负债表日 对各项可供出售权益工具投资单独进行检查，若该权益工具投资于资产负债表日的公允价值低于其初始投资成本超过</w:t>
      </w:r>
      <w:r>
        <w:rPr>
          <w:rFonts w:ascii="Times New Roman" w:hAnsi="Times New Roman" w:cs="Times New Roman" w:eastAsia="Times New Roman" w:hint="default"/>
        </w:rPr>
        <w:t>50%</w:t>
      </w:r>
    </w:p>
    <w:p>
      <w:pPr>
        <w:pStyle w:val="BodyText"/>
        <w:spacing w:line="248" w:lineRule="exact"/>
        <w:ind w:left="212" w:right="153"/>
        <w:jc w:val="left"/>
      </w:pPr>
      <w:r>
        <w:rPr/>
        <w:t>（含</w:t>
      </w:r>
      <w:r>
        <w:rPr>
          <w:rFonts w:ascii="Times New Roman" w:hAnsi="Times New Roman" w:cs="Times New Roman" w:eastAsia="Times New Roman" w:hint="default"/>
        </w:rPr>
        <w:t>50%</w:t>
      </w:r>
      <w:r>
        <w:rPr/>
        <w:t>）或低于其初始投资成本持续时间超过</w:t>
      </w:r>
      <w:r>
        <w:rPr>
          <w:rFonts w:ascii="Times New Roman" w:hAnsi="Times New Roman" w:cs="Times New Roman" w:eastAsia="Times New Roman" w:hint="default"/>
        </w:rPr>
        <w:t>12</w:t>
      </w:r>
      <w:r>
        <w:rPr/>
        <w:t>个月（含</w:t>
      </w:r>
      <w:r>
        <w:rPr>
          <w:rFonts w:ascii="Times New Roman" w:hAnsi="Times New Roman" w:cs="Times New Roman" w:eastAsia="Times New Roman" w:hint="default"/>
        </w:rPr>
        <w:t>12</w:t>
      </w:r>
      <w:r>
        <w:rPr/>
        <w:t>个月）的，则表明其发生减值。</w:t>
      </w:r>
    </w:p>
    <w:p>
      <w:pPr>
        <w:spacing w:line="240" w:lineRule="auto" w:before="13"/>
        <w:rPr>
          <w:rFonts w:ascii="宋体" w:hAnsi="宋体" w:cs="宋体" w:eastAsia="宋体" w:hint="default"/>
          <w:sz w:val="13"/>
          <w:szCs w:val="13"/>
        </w:rPr>
      </w:pPr>
    </w:p>
    <w:p>
      <w:pPr>
        <w:pStyle w:val="BodyText"/>
        <w:spacing w:line="307" w:lineRule="auto"/>
        <w:ind w:right="152" w:firstLine="379"/>
        <w:jc w:val="both"/>
      </w:pPr>
      <w:r>
        <w:rPr>
          <w:spacing w:val="-2"/>
          <w:w w:val="100"/>
        </w:rPr>
        <w:t>上段所述</w:t>
      </w:r>
      <w:r>
        <w:rPr>
          <w:rFonts w:ascii="Times New Roman" w:hAnsi="Times New Roman" w:cs="Times New Roman" w:eastAsia="Times New Roman" w:hint="default"/>
          <w:spacing w:val="-2"/>
          <w:w w:val="100"/>
        </w:rPr>
        <w:t>“</w:t>
      </w:r>
      <w:r>
        <w:rPr>
          <w:spacing w:val="-2"/>
          <w:w w:val="100"/>
        </w:rPr>
        <w:t>成本</w:t>
      </w:r>
      <w:r>
        <w:rPr>
          <w:rFonts w:ascii="Times New Roman" w:hAnsi="Times New Roman" w:cs="Times New Roman" w:eastAsia="Times New Roman" w:hint="default"/>
          <w:spacing w:val="-2"/>
          <w:w w:val="100"/>
        </w:rPr>
        <w:t>”</w:t>
      </w:r>
      <w:r>
        <w:rPr>
          <w:spacing w:val="-2"/>
          <w:w w:val="100"/>
        </w:rPr>
        <w:t>按照可供出售权益工具投资的初始取得成本扣除已收回本金和已摊销金额、原已计入损益的减值损失确</w:t>
      </w:r>
      <w:r>
        <w:rPr/>
        <w:t> </w:t>
      </w:r>
      <w:r>
        <w:rPr>
          <w:spacing w:val="-2"/>
        </w:rPr>
        <w:t>定；</w:t>
      </w:r>
      <w:r>
        <w:rPr>
          <w:rFonts w:ascii="Times New Roman" w:hAnsi="Times New Roman" w:cs="Times New Roman" w:eastAsia="Times New Roman" w:hint="default"/>
          <w:spacing w:val="-2"/>
        </w:rPr>
        <w:t>“</w:t>
      </w:r>
      <w:r>
        <w:rPr>
          <w:spacing w:val="-2"/>
        </w:rPr>
        <w:t>公允价值</w:t>
      </w:r>
      <w:r>
        <w:rPr>
          <w:rFonts w:ascii="Times New Roman" w:hAnsi="Times New Roman" w:cs="Times New Roman" w:eastAsia="Times New Roman" w:hint="default"/>
          <w:spacing w:val="-2"/>
        </w:rPr>
        <w:t>”</w:t>
      </w:r>
      <w:r>
        <w:rPr>
          <w:spacing w:val="-2"/>
        </w:rPr>
        <w:t>根据证券交易所期末收盘价确定，除非该项可供出售权益工具投资存在限售期。对于存在限售期的可供出售</w:t>
      </w:r>
      <w:r>
        <w:rPr>
          <w:spacing w:val="-47"/>
        </w:rPr>
        <w:t> </w:t>
      </w:r>
      <w:r>
        <w:rPr>
          <w:spacing w:val="-47"/>
        </w:rPr>
      </w:r>
      <w:r>
        <w:rPr>
          <w:spacing w:val="-2"/>
        </w:rPr>
        <w:t>权益工具投资，按照证券交易所期末收盘价扣除市场参与者因承担指定期间内无法在公开市场上出售该权益工具的风险而要</w:t>
      </w:r>
      <w:r>
        <w:rPr>
          <w:spacing w:val="-64"/>
        </w:rPr>
        <w:t> </w:t>
      </w:r>
      <w:r>
        <w:rPr>
          <w:spacing w:val="-64"/>
        </w:rPr>
      </w:r>
      <w:r>
        <w:rPr/>
        <w:t>求获得的补偿金额后确定。</w:t>
      </w:r>
    </w:p>
    <w:p>
      <w:pPr>
        <w:pStyle w:val="BodyText"/>
        <w:spacing w:line="316" w:lineRule="auto" w:before="146"/>
        <w:ind w:right="152" w:firstLine="360"/>
        <w:jc w:val="both"/>
      </w:pPr>
      <w:r>
        <w:rPr>
          <w:spacing w:val="-2"/>
        </w:rPr>
        <w:t>可供出售金融资产发生减值时，即使该金融资产没有终止确认，本公司将原直接计入其他综合收益的因公允价值下降形</w:t>
      </w:r>
      <w:r>
        <w:rPr/>
        <w:t> </w:t>
      </w:r>
      <w:r>
        <w:rPr>
          <w:spacing w:val="-2"/>
        </w:rPr>
        <w:t>成的累计损失从其他综合收益转出，计入当期损益。该转出的累计损失，等于可供出售金融资产的初始取得成本扣除已收回</w:t>
      </w:r>
      <w:r>
        <w:rPr>
          <w:spacing w:val="-66"/>
        </w:rPr>
        <w:t> </w:t>
      </w:r>
      <w:r>
        <w:rPr>
          <w:spacing w:val="-66"/>
        </w:rPr>
      </w:r>
      <w:r>
        <w:rPr/>
        <w:t>本金和已摊余金额、当前公允价值和原已计入损益的减值损失后的余额。</w:t>
      </w:r>
    </w:p>
    <w:p>
      <w:pPr>
        <w:pStyle w:val="BodyText"/>
        <w:spacing w:line="316" w:lineRule="auto" w:before="19"/>
        <w:ind w:right="150" w:firstLine="360"/>
        <w:jc w:val="both"/>
      </w:pPr>
      <w:r>
        <w:rPr>
          <w:spacing w:val="-2"/>
        </w:rPr>
        <w:t>对于已确认减值损失的可供出售债务工具，在随后的会计期间公允价值已上升且客观上与确认原减值损失后发生的事项</w:t>
      </w:r>
      <w:r>
        <w:rPr/>
        <w:t> </w:t>
      </w:r>
      <w:r>
        <w:rPr>
          <w:spacing w:val="-2"/>
        </w:rPr>
        <w:t>有关的，原确认的减值损失予以转回计入当期损益；对于可供出售权益工具投资发生的减值损失，在该权益工具价值回升时</w:t>
      </w:r>
      <w:r>
        <w:rPr>
          <w:spacing w:val="-63"/>
        </w:rPr>
        <w:t> </w:t>
      </w:r>
      <w:r>
        <w:rPr>
          <w:spacing w:val="-63"/>
        </w:rPr>
      </w:r>
      <w:r>
        <w:rPr>
          <w:spacing w:val="-2"/>
        </w:rPr>
        <w:t>通过权益转回；但在活跃市场中没有报价且其公允价值不能可靠计量的权益工具投资，或与该权益工具挂钩并须通过交付该</w:t>
      </w:r>
      <w:r>
        <w:rPr>
          <w:spacing w:val="-64"/>
        </w:rPr>
        <w:t> </w:t>
      </w:r>
      <w:r>
        <w:rPr>
          <w:spacing w:val="-64"/>
        </w:rPr>
      </w:r>
      <w:r>
        <w:rPr/>
        <w:t>权益工具结算的衍生金融资产发生的减值损失，不得转回。</w:t>
      </w:r>
    </w:p>
    <w:p>
      <w:pPr>
        <w:pStyle w:val="BodyText"/>
        <w:spacing w:line="300" w:lineRule="auto" w:before="19"/>
        <w:ind w:left="592" w:right="154" w:hanging="164"/>
        <w:jc w:val="left"/>
      </w:pPr>
      <w:r>
        <w:rPr/>
        <w:t>（</w:t>
      </w:r>
      <w:r>
        <w:rPr>
          <w:rFonts w:ascii="Times New Roman" w:hAnsi="Times New Roman" w:cs="Times New Roman" w:eastAsia="Times New Roman" w:hint="default"/>
        </w:rPr>
        <w:t>2</w:t>
      </w:r>
      <w:r>
        <w:rPr/>
        <w:t>）持有至到期投资的减值准备 对于持有至到期投资，有客观证据表明其发生了减值的，根据其账面价值与预计未来现金流量现值之间差额计算确认</w:t>
      </w:r>
    </w:p>
    <w:p>
      <w:pPr>
        <w:pStyle w:val="BodyText"/>
        <w:spacing w:line="316" w:lineRule="auto" w:before="31"/>
        <w:ind w:left="212" w:right="174"/>
        <w:jc w:val="left"/>
      </w:pPr>
      <w:r>
        <w:rPr/>
        <w:t>减值损失；计提后如有证据表明其价值已恢复，原确认的减值损失可予以转回，记入当期损益，但该转回的账面价值不超 过假定不计提减值准备情况下该金融资产在转回日的摊余成本。</w:t>
      </w:r>
    </w:p>
    <w:p>
      <w:pPr>
        <w:spacing w:line="300" w:lineRule="auto" w:before="19"/>
        <w:ind w:left="513" w:right="15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、金融资产及金融负债的抵销</w:t>
      </w:r>
      <w:r>
        <w:rPr>
          <w:rFonts w:ascii="宋体" w:hAnsi="宋体" w:cs="宋体" w:eastAsia="宋体" w:hint="default"/>
          <w:b/>
          <w:bCs/>
          <w:w w:val="99"/>
          <w:sz w:val="18"/>
          <w:szCs w:val="18"/>
        </w:rPr>
        <w:t> </w:t>
      </w:r>
      <w:r>
        <w:rPr>
          <w:rFonts w:ascii="宋体" w:hAnsi="宋体" w:cs="宋体" w:eastAsia="宋体" w:hint="default"/>
          <w:spacing w:val="-2"/>
          <w:sz w:val="18"/>
          <w:szCs w:val="18"/>
        </w:rPr>
        <w:t>金融资产和金融负债在资产负债表内分别列示，没有相互抵销。但是，同时满足下列条件的，以相互抵销后的净额在资</w:t>
      </w:r>
    </w:p>
    <w:p>
      <w:pPr>
        <w:pStyle w:val="BodyText"/>
        <w:spacing w:line="240" w:lineRule="auto" w:before="31"/>
        <w:ind w:right="153"/>
        <w:jc w:val="left"/>
      </w:pPr>
      <w:r>
        <w:rPr/>
        <w:t>产负债表内列示：</w:t>
      </w:r>
    </w:p>
    <w:p>
      <w:pPr>
        <w:pStyle w:val="BodyText"/>
        <w:spacing w:line="240" w:lineRule="auto" w:before="76"/>
        <w:ind w:left="429" w:right="153"/>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63"/>
        <w:ind w:left="441" w:right="153"/>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应收账款单项金额重大是指人民币超过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万元；其他应收款</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单项金额重大是指人民币超过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应收集团内公司款项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153"/>
        <w:jc w:val="left"/>
      </w:pPr>
      <w:r>
        <w:rPr/>
        <w:t>组合中，采用账龄分析法计提坏账准备的：</w:t>
      </w:r>
    </w:p>
    <w:p>
      <w:pPr>
        <w:pStyle w:val="BodyText"/>
        <w:spacing w:line="240" w:lineRule="auto" w:before="115"/>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53"/>
        <w:jc w:val="left"/>
      </w:pPr>
      <w:r>
        <w:rPr/>
        <w:t>组合中，采用余额百分比法计提坏账准备的：</w:t>
      </w:r>
    </w:p>
    <w:p>
      <w:pPr>
        <w:pStyle w:val="BodyText"/>
        <w:spacing w:line="340" w:lineRule="auto" w:before="115"/>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after="0" w:line="316" w:lineRule="auto"/>
        <w:jc w:val="left"/>
        <w:rPr>
          <w:rFonts w:ascii="宋体" w:hAnsi="宋体" w:cs="宋体" w:eastAsia="宋体" w:hint="default"/>
          <w:sz w:val="18"/>
          <w:szCs w:val="18"/>
        </w:rPr>
        <w:sectPr>
          <w:footerReference w:type="default" r:id="rId16"/>
          <w:pgSz w:w="11910" w:h="16840"/>
          <w:pgMar w:footer="980" w:header="745"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93"/>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93"/>
        <w:jc w:val="left"/>
      </w:pPr>
      <w:r>
        <w:rPr>
          <w:rFonts w:ascii="宋体" w:hAnsi="宋体" w:cs="宋体" w:eastAsia="宋体"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2"/>
        </w:rPr>
        <w:t>存货是指本公司在日常活动中持有以备出售的产成品或商品、处在生产过程中的在产品、在生产过程或提供劳务过程中</w:t>
      </w:r>
    </w:p>
    <w:p>
      <w:pPr>
        <w:pStyle w:val="BodyText"/>
        <w:spacing w:line="316" w:lineRule="auto" w:before="19"/>
        <w:ind w:left="513" w:right="1714" w:hanging="361"/>
        <w:jc w:val="left"/>
        <w:rPr>
          <w:rFonts w:ascii="宋体" w:hAnsi="宋体" w:cs="宋体" w:eastAsia="宋体" w:hint="default"/>
        </w:rPr>
      </w:pPr>
      <w:r>
        <w:rPr/>
        <w:t>耗用的材料和物料等。主要包括原材料、周转材料、库存商品、在产品、发出商品、委托加工物资等。 </w:t>
      </w: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4"/>
        </w:rPr>
        <w:t> </w:t>
      </w:r>
      <w:r>
        <w:rPr>
          <w:rFonts w:ascii="宋体" w:hAnsi="宋体" w:cs="宋体" w:eastAsia="宋体" w:hint="default"/>
          <w:b/>
          <w:bCs/>
        </w:rPr>
        <w:t>存货的计价方法</w:t>
      </w:r>
      <w:r>
        <w:rPr>
          <w:rFonts w:ascii="宋体" w:hAnsi="宋体" w:cs="宋体" w:eastAsia="宋体" w:hint="default"/>
        </w:rPr>
      </w:r>
    </w:p>
    <w:p>
      <w:pPr>
        <w:spacing w:line="316" w:lineRule="auto" w:before="19"/>
        <w:ind w:left="513" w:right="93" w:firstLine="0"/>
        <w:jc w:val="left"/>
        <w:rPr>
          <w:rFonts w:ascii="宋体" w:hAnsi="宋体" w:cs="宋体" w:eastAsia="宋体" w:hint="default"/>
          <w:sz w:val="18"/>
          <w:szCs w:val="18"/>
        </w:rPr>
      </w:pPr>
      <w:r>
        <w:rPr>
          <w:rFonts w:ascii="宋体" w:hAnsi="宋体" w:cs="宋体" w:eastAsia="宋体" w:hint="default"/>
          <w:sz w:val="18"/>
          <w:szCs w:val="18"/>
        </w:rPr>
        <w:t>存货在取得时，按成本进行初始计量，包括采购成本、加工成本和其他成本。存货发出时按月末一次加权平均法计价。 </w:t>
      </w:r>
      <w:r>
        <w:rPr>
          <w:rFonts w:ascii="宋体" w:hAnsi="宋体" w:cs="宋体" w:eastAsia="宋体" w:hint="default"/>
          <w:b/>
          <w:bCs/>
          <w:sz w:val="18"/>
          <w:szCs w:val="18"/>
        </w:rPr>
        <w:t>3</w:t>
      </w:r>
      <w:r>
        <w:rPr>
          <w:rFonts w:ascii="宋体" w:hAnsi="宋体" w:cs="宋体" w:eastAsia="宋体" w:hint="default"/>
          <w:b/>
          <w:bCs/>
          <w:sz w:val="18"/>
          <w:szCs w:val="18"/>
        </w:rPr>
        <w:t>、</w:t>
      </w:r>
      <w:r>
        <w:rPr>
          <w:rFonts w:ascii="宋体" w:hAnsi="宋体" w:cs="宋体" w:eastAsia="宋体" w:hint="default"/>
          <w:b/>
          <w:bCs/>
          <w:spacing w:val="-3"/>
          <w:sz w:val="18"/>
          <w:szCs w:val="18"/>
        </w:rPr>
        <w:t> </w:t>
      </w:r>
      <w:r>
        <w:rPr>
          <w:rFonts w:ascii="宋体" w:hAnsi="宋体" w:cs="宋体" w:eastAsia="宋体" w:hint="default"/>
          <w:b/>
          <w:bCs/>
          <w:sz w:val="18"/>
          <w:szCs w:val="18"/>
        </w:rPr>
        <w:t>存货可变现净值的确定依据及存货跌价准备的计提方法</w:t>
      </w:r>
      <w:r>
        <w:rPr>
          <w:rFonts w:ascii="宋体" w:hAnsi="宋体" w:cs="宋体" w:eastAsia="宋体" w:hint="default"/>
          <w:b/>
          <w:bCs/>
          <w:w w:val="99"/>
          <w:sz w:val="18"/>
          <w:szCs w:val="18"/>
        </w:rPr>
        <w:t> </w:t>
      </w:r>
      <w:r>
        <w:rPr>
          <w:rFonts w:ascii="宋体" w:hAnsi="宋体" w:cs="宋体" w:eastAsia="宋体" w:hint="default"/>
          <w:spacing w:val="-2"/>
          <w:sz w:val="18"/>
          <w:szCs w:val="18"/>
        </w:rPr>
        <w:t>期末对存货进行全面清查后，按存货的成本与可变现净值孰低提取或调整存货跌价准备。产成品、库存商品和用于出售</w:t>
      </w:r>
    </w:p>
    <w:p>
      <w:pPr>
        <w:pStyle w:val="BodyText"/>
        <w:spacing w:line="319" w:lineRule="auto" w:before="19"/>
        <w:ind w:right="93"/>
        <w:jc w:val="left"/>
      </w:pPr>
      <w:r>
        <w:rPr>
          <w:spacing w:val="-4"/>
        </w:rPr>
        <w:t>的材料等直接用于出售的商品存货，在正常生产经营过程中，以该存货的估计售价减去估计的销售费用和相关税费后的金额，</w:t>
      </w:r>
      <w:r>
        <w:rPr>
          <w:spacing w:val="-44"/>
        </w:rPr>
        <w:t> </w:t>
      </w:r>
      <w:r>
        <w:rPr>
          <w:spacing w:val="-44"/>
        </w:rPr>
      </w:r>
      <w:r>
        <w:rPr>
          <w:spacing w:val="-2"/>
        </w:rPr>
        <w:t>确定其可变现净值；需要经过加工的材料存货，在正常生产经营过程中，以所生产的产成品的估计售价减去至完工时估计将</w:t>
      </w:r>
      <w:r>
        <w:rPr>
          <w:spacing w:val="-63"/>
        </w:rPr>
        <w:t> </w:t>
      </w:r>
      <w:r>
        <w:rPr>
          <w:spacing w:val="-63"/>
        </w:rPr>
      </w:r>
      <w:r>
        <w:rPr>
          <w:spacing w:val="-2"/>
        </w:rPr>
        <w:t>要发生的成本、估计的销售费用和相关税费后的金额，确定其可变现净值；为执行销售合同或者劳务合同而持有的存货，其</w:t>
      </w:r>
      <w:r>
        <w:rPr>
          <w:spacing w:val="-62"/>
        </w:rPr>
        <w:t> </w:t>
      </w:r>
      <w:r>
        <w:rPr>
          <w:spacing w:val="-62"/>
        </w:rPr>
      </w:r>
      <w:r>
        <w:rPr>
          <w:spacing w:val="-2"/>
        </w:rPr>
        <w:t>可变现净值以合同价格为基础计算，若持有存货的数量多于销售合同订购数量的，超出部分的存货的可变现净值以一般销售</w:t>
      </w:r>
      <w:r>
        <w:rPr>
          <w:spacing w:val="-64"/>
        </w:rPr>
        <w:t> </w:t>
      </w:r>
      <w:r>
        <w:rPr>
          <w:spacing w:val="-64"/>
        </w:rPr>
      </w:r>
      <w:r>
        <w:rPr/>
        <w:t>价格为基础计算。</w:t>
      </w:r>
    </w:p>
    <w:p>
      <w:pPr>
        <w:pStyle w:val="BodyText"/>
        <w:spacing w:line="316" w:lineRule="auto" w:before="17"/>
        <w:ind w:right="19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16" w:lineRule="auto" w:before="19"/>
        <w:ind w:right="190" w:firstLine="360"/>
        <w:jc w:val="both"/>
      </w:pPr>
      <w:r>
        <w:rPr>
          <w:spacing w:val="-2"/>
        </w:rPr>
        <w:t>以前减记存货价值的影响因素已经消失的，减记的金额予以恢复，并在原已计提的存货跌价准备金额内转回，转回的金</w:t>
      </w:r>
      <w:r>
        <w:rPr/>
        <w:t> 额计入当期损益。</w:t>
      </w:r>
    </w:p>
    <w:p>
      <w:pPr>
        <w:spacing w:line="316" w:lineRule="auto" w:before="19"/>
        <w:ind w:left="513" w:right="7830" w:firstLine="0"/>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w:t>
      </w:r>
      <w:r>
        <w:rPr>
          <w:rFonts w:ascii="宋体" w:hAnsi="宋体" w:cs="宋体" w:eastAsia="宋体" w:hint="default"/>
          <w:b/>
          <w:bCs/>
          <w:spacing w:val="-4"/>
          <w:sz w:val="18"/>
          <w:szCs w:val="18"/>
        </w:rPr>
        <w:t> </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w:t>
      </w:r>
    </w:p>
    <w:p>
      <w:pPr>
        <w:spacing w:line="316" w:lineRule="auto" w:before="19"/>
        <w:ind w:left="513" w:right="5493" w:firstLine="0"/>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w:t>
      </w:r>
      <w:r>
        <w:rPr>
          <w:rFonts w:ascii="宋体" w:hAnsi="宋体" w:cs="宋体" w:eastAsia="宋体" w:hint="default"/>
          <w:b/>
          <w:bCs/>
          <w:spacing w:val="-3"/>
          <w:sz w:val="18"/>
          <w:szCs w:val="18"/>
        </w:rPr>
        <w:t> </w:t>
      </w:r>
      <w:r>
        <w:rPr>
          <w:rFonts w:ascii="宋体" w:hAnsi="宋体" w:cs="宋体" w:eastAsia="宋体" w:hint="default"/>
          <w:b/>
          <w:bCs/>
          <w:sz w:val="18"/>
          <w:szCs w:val="18"/>
        </w:rPr>
        <w:t>低值易耗品和包装物的摊销方法</w:t>
      </w:r>
      <w:r>
        <w:rPr>
          <w:rFonts w:ascii="宋体" w:hAnsi="宋体" w:cs="宋体" w:eastAsia="宋体" w:hint="default"/>
          <w:b/>
          <w:bCs/>
          <w:w w:val="99"/>
          <w:sz w:val="18"/>
          <w:szCs w:val="18"/>
        </w:rPr>
        <w:t> </w:t>
      </w:r>
      <w:r>
        <w:rPr>
          <w:rFonts w:ascii="宋体" w:hAnsi="宋体" w:cs="宋体" w:eastAsia="宋体" w:hint="default"/>
          <w:sz w:val="18"/>
          <w:szCs w:val="18"/>
        </w:rPr>
        <w:t>低值易耗品、包装物和周转材料采用五五摊销法。</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Heading4"/>
        <w:spacing w:line="240" w:lineRule="auto"/>
        <w:ind w:left="537" w:right="93"/>
        <w:jc w:val="left"/>
        <w:rPr>
          <w:b w:val="0"/>
          <w:bCs w:val="0"/>
        </w:rPr>
      </w:pPr>
      <w:r>
        <w:rPr>
          <w:rFonts w:ascii="Times New Roman" w:hAnsi="Times New Roman" w:cs="Times New Roman" w:eastAsia="Times New Roman" w:hint="default"/>
        </w:rPr>
        <w:t>1</w:t>
      </w:r>
      <w:r>
        <w:rPr/>
        <w:t>、投资成本的确定</w:t>
      </w:r>
      <w:r>
        <w:rPr>
          <w:b w:val="0"/>
          <w:bCs w:val="0"/>
        </w:rPr>
      </w:r>
    </w:p>
    <w:p>
      <w:pPr>
        <w:pStyle w:val="BodyText"/>
        <w:spacing w:line="300" w:lineRule="auto" w:before="63"/>
        <w:ind w:right="199" w:firstLine="360"/>
        <w:jc w:val="both"/>
      </w:pPr>
      <w:r>
        <w:rPr/>
        <w:t>（</w:t>
      </w:r>
      <w:r>
        <w:rPr>
          <w:rFonts w:ascii="Times New Roman" w:hAnsi="Times New Roman" w:cs="Times New Roman" w:eastAsia="Times New Roman" w:hint="default"/>
        </w:rPr>
        <w:t>1</w:t>
      </w:r>
      <w:r>
        <w:rPr/>
        <w:t>）企业合并形成的长期股权投资，具体会计政策详见本附注四、（四）同一控制下和非同一控制下企业合并的会计 处理方法</w:t>
      </w:r>
    </w:p>
    <w:p>
      <w:pPr>
        <w:pStyle w:val="BodyText"/>
        <w:spacing w:line="300" w:lineRule="auto" w:before="31"/>
        <w:ind w:left="513" w:right="93"/>
        <w:jc w:val="left"/>
      </w:pPr>
      <w:r>
        <w:rPr/>
        <w:t>（</w:t>
      </w:r>
      <w:r>
        <w:rPr>
          <w:rFonts w:ascii="Times New Roman" w:hAnsi="Times New Roman" w:cs="Times New Roman" w:eastAsia="Times New Roman" w:hint="default"/>
        </w:rPr>
        <w:t>2</w:t>
      </w:r>
      <w:r>
        <w:rPr/>
        <w:t>）其他方式取得的长期股权投资 </w:t>
      </w:r>
      <w:r>
        <w:rPr>
          <w:spacing w:val="-2"/>
        </w:rPr>
        <w:t>以支付现金方式取得的长期股权投资，按照实际支付的购买价款作为初始投资成本。初始投资成本包括与取得长期股权</w:t>
      </w:r>
    </w:p>
    <w:p>
      <w:pPr>
        <w:pStyle w:val="BodyText"/>
        <w:spacing w:line="316" w:lineRule="auto" w:before="31"/>
        <w:ind w:left="513" w:right="93" w:hanging="361"/>
        <w:jc w:val="left"/>
      </w:pPr>
      <w:r>
        <w:rPr/>
        <w:t>投资直接相关的费用、税金及其他必要支出。 </w:t>
      </w:r>
      <w:r>
        <w:rPr>
          <w:spacing w:val="-2"/>
        </w:rPr>
        <w:t>以发行权益性证券取得的长期股权投资，按照发行权益性证券的公允价值作为初始投资成本；发行或取得自身权益工具</w:t>
      </w:r>
    </w:p>
    <w:p>
      <w:pPr>
        <w:pStyle w:val="BodyText"/>
        <w:spacing w:line="319" w:lineRule="auto" w:before="19"/>
        <w:ind w:left="513" w:right="93" w:hanging="361"/>
        <w:jc w:val="left"/>
      </w:pPr>
      <w:r>
        <w:rPr/>
        <w:t>时发生的交易费用，可直接归属于权益性交易的从权益中扣减。 </w:t>
      </w:r>
      <w:r>
        <w:rPr>
          <w:spacing w:val="-2"/>
        </w:rPr>
        <w:t>在非货币性资产交换具备商业实质和换入资产或换出资产的公允价值能够可靠计量的前提下，非货币性资产交换换入的</w:t>
      </w:r>
    </w:p>
    <w:p>
      <w:pPr>
        <w:pStyle w:val="BodyText"/>
        <w:spacing w:line="316" w:lineRule="auto" w:before="17"/>
        <w:ind w:right="93"/>
        <w:jc w:val="left"/>
      </w:pPr>
      <w:r>
        <w:rPr>
          <w:spacing w:val="-2"/>
        </w:rPr>
        <w:t>长期股权投资以换出资产的公允价值为基础确定其初始投资成本，除非有确凿证据表明换入资产的公允价值更加可靠；不满</w:t>
      </w:r>
      <w:r>
        <w:rPr>
          <w:spacing w:val="-64"/>
        </w:rPr>
        <w:t> </w:t>
      </w:r>
      <w:r>
        <w:rPr>
          <w:spacing w:val="-64"/>
        </w:rPr>
      </w:r>
      <w:r>
        <w:rPr/>
        <w:t>足上述前提的非货币性资产交换，以换出资产的账面价值和应支付的相关税费作为换入长期股权投资的初始投资成本。</w:t>
      </w:r>
    </w:p>
    <w:p>
      <w:pPr>
        <w:pStyle w:val="BodyText"/>
        <w:spacing w:line="240" w:lineRule="auto" w:before="19"/>
        <w:ind w:left="513" w:right="93"/>
        <w:jc w:val="left"/>
      </w:pPr>
      <w:r>
        <w:rPr/>
        <w:t>通过债务重组取得的长期股权投资，其初始投资成本按照公允价值为基础确定。</w:t>
      </w:r>
    </w:p>
    <w:p>
      <w:pPr>
        <w:pStyle w:val="Heading4"/>
        <w:spacing w:line="240" w:lineRule="auto" w:before="76"/>
        <w:ind w:left="537" w:right="93"/>
        <w:jc w:val="left"/>
        <w:rPr>
          <w:b w:val="0"/>
          <w:bCs w:val="0"/>
        </w:rPr>
      </w:pPr>
      <w:r>
        <w:rPr>
          <w:rFonts w:ascii="Times New Roman" w:hAnsi="Times New Roman" w:cs="Times New Roman" w:eastAsia="Times New Roman" w:hint="default"/>
        </w:rPr>
        <w:t>2</w:t>
      </w:r>
      <w:r>
        <w:rPr/>
        <w:t>、后续计量及损益确认</w:t>
      </w:r>
      <w:r>
        <w:rPr>
          <w:b w:val="0"/>
          <w:bCs w:val="0"/>
        </w:rPr>
      </w:r>
    </w:p>
    <w:p>
      <w:pPr>
        <w:pStyle w:val="BodyText"/>
        <w:spacing w:line="300" w:lineRule="auto" w:before="62"/>
        <w:ind w:left="513" w:right="93"/>
        <w:jc w:val="left"/>
      </w:pPr>
      <w:r>
        <w:rPr/>
        <w:t>（</w:t>
      </w:r>
      <w:r>
        <w:rPr>
          <w:rFonts w:ascii="Times New Roman" w:hAnsi="Times New Roman" w:cs="Times New Roman" w:eastAsia="Times New Roman" w:hint="default"/>
        </w:rPr>
        <w:t>1</w:t>
      </w:r>
      <w:r>
        <w:rPr/>
        <w:t>）成本法 </w:t>
      </w:r>
      <w:r>
        <w:rPr>
          <w:spacing w:val="-2"/>
        </w:rPr>
        <w:t>本公司能够对被投资单位实施控制的长期股权投资采用成本法核算，并按照初始投资成本计价，追加或收回投资调整长</w:t>
      </w:r>
    </w:p>
    <w:p>
      <w:pPr>
        <w:spacing w:after="0" w:line="300" w:lineRule="auto"/>
        <w:jc w:val="left"/>
        <w:sectPr>
          <w:footerReference w:type="default" r:id="rId17"/>
          <w:pgSz w:w="11910" w:h="16840"/>
          <w:pgMar w:footer="980" w:header="745" w:top="1060" w:bottom="1160" w:left="980" w:right="940"/>
          <w:pgNumType w:start="101"/>
        </w:sectPr>
      </w:pPr>
    </w:p>
    <w:p>
      <w:pPr>
        <w:spacing w:line="240" w:lineRule="auto" w:before="9"/>
        <w:rPr>
          <w:rFonts w:ascii="宋体" w:hAnsi="宋体" w:cs="宋体" w:eastAsia="宋体" w:hint="default"/>
          <w:sz w:val="25"/>
          <w:szCs w:val="25"/>
        </w:rPr>
      </w:pPr>
    </w:p>
    <w:p>
      <w:pPr>
        <w:pStyle w:val="BodyText"/>
        <w:spacing w:line="319" w:lineRule="auto" w:before="44"/>
        <w:ind w:left="513" w:right="93" w:hanging="361"/>
        <w:jc w:val="left"/>
      </w:pPr>
      <w:r>
        <w:rPr/>
        <w:t>期股权投资的成本。 </w:t>
      </w:r>
      <w:r>
        <w:rPr>
          <w:spacing w:val="-2"/>
        </w:rPr>
        <w:t>除取得投资时实际支付的价款或对价中包含的已宣告但尚未发放的现金股利或利润外，本公司按照享有被投资单位宣告</w:t>
      </w:r>
    </w:p>
    <w:p>
      <w:pPr>
        <w:pStyle w:val="BodyText"/>
        <w:spacing w:line="240" w:lineRule="auto" w:before="17"/>
        <w:ind w:right="93"/>
        <w:jc w:val="left"/>
      </w:pPr>
      <w:r>
        <w:rPr/>
        <w:t>分派的现金股利或利润确认为当期投资收益。</w:t>
      </w:r>
    </w:p>
    <w:p>
      <w:pPr>
        <w:pStyle w:val="BodyText"/>
        <w:spacing w:line="300" w:lineRule="auto" w:before="76"/>
        <w:ind w:left="513" w:right="93"/>
        <w:jc w:val="left"/>
      </w:pPr>
      <w:r>
        <w:rPr/>
        <w:t>（</w:t>
      </w:r>
      <w:r>
        <w:rPr>
          <w:rFonts w:ascii="Times New Roman" w:hAnsi="Times New Roman" w:cs="Times New Roman" w:eastAsia="Times New Roman" w:hint="default"/>
        </w:rPr>
        <w:t>2</w:t>
      </w:r>
      <w:r>
        <w:rPr/>
        <w:t>）权益法 </w:t>
      </w:r>
      <w:r>
        <w:rPr>
          <w:spacing w:val="-2"/>
        </w:rPr>
        <w:t>本公司对联营企业和合营企业的长期股权投资采用权益法核算；对于其中一部分通过风险投资机构、共同基金、信托公</w:t>
      </w:r>
    </w:p>
    <w:p>
      <w:pPr>
        <w:pStyle w:val="BodyText"/>
        <w:spacing w:line="316" w:lineRule="auto" w:before="31"/>
        <w:ind w:left="513" w:right="93" w:hanging="361"/>
        <w:jc w:val="left"/>
      </w:pPr>
      <w:r>
        <w:rPr/>
        <w:t>司或包括投连险基金在内的类似主体间接持有的联营企业的权益性投资，采用公允价值计量且其变动计入损益。 </w:t>
      </w:r>
      <w:r>
        <w:rPr>
          <w:spacing w:val="-2"/>
        </w:rPr>
        <w:t>长期股权投资的初始投资成本大于投资时应享有被投资单位可辨认净资产公允价值份额的差额，不调整长期股权投资的</w:t>
      </w:r>
    </w:p>
    <w:p>
      <w:pPr>
        <w:pStyle w:val="BodyText"/>
        <w:spacing w:line="316" w:lineRule="auto" w:before="19"/>
        <w:ind w:left="513" w:right="93" w:hanging="361"/>
        <w:jc w:val="left"/>
      </w:pPr>
      <w:r>
        <w:rPr/>
        <w:t>初始投资成本；初始投资成本小于投资时应享有被投资单位可辨认净资产公允价值份额的差额，计入当期损益。 </w:t>
      </w:r>
      <w:r>
        <w:rPr>
          <w:spacing w:val="-2"/>
        </w:rPr>
        <w:t>本公司取得长期股权投资后，按照应享有或应分担的被投资单位实现的净损益和其他综合收益的份额，分别确认投资收</w:t>
      </w:r>
    </w:p>
    <w:p>
      <w:pPr>
        <w:pStyle w:val="BodyText"/>
        <w:spacing w:line="316" w:lineRule="auto" w:before="19"/>
        <w:ind w:right="94"/>
        <w:jc w:val="left"/>
      </w:pPr>
      <w:r>
        <w:rPr/>
        <w:t>益和其他综合收益，同时调整长期股权投资的账面价值；并按照被投资单位宣告分派的利润或现金股利计算应享有的部分， </w:t>
      </w:r>
      <w:r>
        <w:rPr>
          <w:spacing w:val="-2"/>
        </w:rPr>
        <w:t>相应减少长期股权投资的账面价值；对于被投资单位除净损益、其他综合收益和利润分配以外所有者权益的其他变动，调整</w:t>
      </w:r>
      <w:r>
        <w:rPr>
          <w:spacing w:val="-62"/>
        </w:rPr>
        <w:t> </w:t>
      </w:r>
      <w:r>
        <w:rPr>
          <w:spacing w:val="-62"/>
        </w:rPr>
      </w:r>
      <w:r>
        <w:rPr/>
        <w:t>长期股权投资的账面价值并计入所有者权益。</w:t>
      </w:r>
    </w:p>
    <w:p>
      <w:pPr>
        <w:pStyle w:val="BodyText"/>
        <w:spacing w:line="319" w:lineRule="auto" w:before="19"/>
        <w:ind w:right="192" w:firstLine="360"/>
        <w:jc w:val="both"/>
      </w:pPr>
      <w:r>
        <w:rPr>
          <w:spacing w:val="-2"/>
        </w:rPr>
        <w:t>本公司在确认应享有被投资单位净损益的份额时，以取得投资时被投资单位各项可辨认资产等的公允价值为基础，对被</w:t>
      </w:r>
      <w:r>
        <w:rPr/>
        <w:t> </w:t>
      </w:r>
      <w:r>
        <w:rPr>
          <w:spacing w:val="-2"/>
        </w:rPr>
        <w:t>投资单位的净利润进行调整后确认。本公司与联营企业、合营企业之间发生的未实现内部交易损益按照应享有的比例计算归</w:t>
      </w:r>
      <w:r>
        <w:rPr>
          <w:spacing w:val="-64"/>
        </w:rPr>
        <w:t> </w:t>
      </w:r>
      <w:r>
        <w:rPr>
          <w:spacing w:val="-64"/>
        </w:rPr>
      </w:r>
      <w:r>
        <w:rPr/>
        <w:t>属于本公司的部分予以抵销，在此基础上确认投资损益。</w:t>
      </w:r>
    </w:p>
    <w:p>
      <w:pPr>
        <w:pStyle w:val="BodyText"/>
        <w:spacing w:line="316" w:lineRule="auto" w:before="17"/>
        <w:ind w:right="94" w:firstLine="360"/>
        <w:jc w:val="left"/>
      </w:pPr>
      <w:r>
        <w:rPr>
          <w:spacing w:val="-2"/>
        </w:rPr>
        <w:t>本公司确认应分担被投资单位发生的亏损时，按照以下顺序进行处理：首先，冲减长期股权投资的账面价值。其次，长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16" w:lineRule="auto" w:before="19"/>
        <w:ind w:right="93" w:firstLine="360"/>
        <w:jc w:val="left"/>
      </w:pPr>
      <w:r>
        <w:rPr>
          <w:spacing w:val="-2"/>
        </w:rPr>
        <w:t>被投资单位以后期间实现盈利的，公司在扣除未确认的亏损分担额后，按与上述相反的顺序处理，减记已确认预计负债</w:t>
      </w:r>
      <w:r>
        <w:rPr/>
        <w:t> 的账面余额、恢复其他实质上构成对被投资单位净投资的长期权益及长期股权投资的账面价值后，恢复确认投资收益。</w:t>
      </w:r>
    </w:p>
    <w:p>
      <w:pPr>
        <w:pStyle w:val="Heading4"/>
        <w:spacing w:line="240" w:lineRule="auto" w:before="19"/>
        <w:ind w:left="460" w:right="93"/>
        <w:jc w:val="left"/>
        <w:rPr>
          <w:b w:val="0"/>
          <w:bCs w:val="0"/>
        </w:rPr>
      </w:pPr>
      <w:r>
        <w:rPr>
          <w:rFonts w:ascii="Times New Roman" w:hAnsi="Times New Roman" w:cs="Times New Roman" w:eastAsia="Times New Roman" w:hint="default"/>
        </w:rPr>
        <w:t>3</w:t>
      </w:r>
      <w:r>
        <w:rPr/>
        <w:t>、长期股权投资核算方法的转换</w:t>
      </w:r>
      <w:r>
        <w:rPr>
          <w:b w:val="0"/>
          <w:bCs w:val="0"/>
        </w:rPr>
      </w:r>
    </w:p>
    <w:p>
      <w:pPr>
        <w:pStyle w:val="BodyText"/>
        <w:spacing w:line="300" w:lineRule="auto" w:before="63"/>
        <w:ind w:left="513" w:right="93" w:hanging="72"/>
        <w:jc w:val="left"/>
      </w:pPr>
      <w:r>
        <w:rPr/>
        <w:t>（</w:t>
      </w:r>
      <w:r>
        <w:rPr>
          <w:rFonts w:ascii="Times New Roman" w:hAnsi="Times New Roman" w:cs="Times New Roman" w:eastAsia="Times New Roman" w:hint="default"/>
        </w:rPr>
        <w:t>1</w:t>
      </w:r>
      <w:r>
        <w:rPr/>
        <w:t>）公允价值计量转权益法核算 </w:t>
      </w:r>
      <w:r>
        <w:rPr>
          <w:spacing w:val="-2"/>
        </w:rPr>
        <w:t>本公司原持有的对被投资单位不具有控制、共同控制或重大影响的按金融工具确认和计量准则进行会计处理的权益性投</w:t>
      </w:r>
    </w:p>
    <w:p>
      <w:pPr>
        <w:pStyle w:val="BodyText"/>
        <w:spacing w:line="300" w:lineRule="auto" w:before="31"/>
        <w:ind w:right="93"/>
        <w:jc w:val="left"/>
      </w:pPr>
      <w:r>
        <w:rPr>
          <w:spacing w:val="-2"/>
        </w:rPr>
        <w:t>资，因追加投资等原因能够对被投资单位施加重大影响或实施共同控制但不构成控制的，按照《企业会计准则第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w:t>
      </w:r>
      <w:r>
        <w:rPr>
          <w:spacing w:val="-60"/>
        </w:rPr>
        <w:t> </w:t>
      </w:r>
      <w:r>
        <w:rPr/>
        <w:t>融工具确认和计量》确定的原持有的股权投资的公允价值加上新增投资成本之和，作为改按权益法核算的初始投资成本。</w:t>
      </w:r>
    </w:p>
    <w:p>
      <w:pPr>
        <w:pStyle w:val="BodyText"/>
        <w:spacing w:line="316" w:lineRule="auto" w:before="31"/>
        <w:ind w:right="93" w:firstLine="360"/>
        <w:jc w:val="left"/>
      </w:pPr>
      <w:r>
        <w:rPr>
          <w:spacing w:val="-2"/>
        </w:rPr>
        <w:t>原持有的股权投资分类为可供出售金融资产的，其公允价值与账面价值之间的差额，以及原计入其他综合收益的累计公</w:t>
      </w:r>
      <w:r>
        <w:rPr/>
        <w:t> 允价值变动转入改按权益法核算的当期损益。</w:t>
      </w:r>
    </w:p>
    <w:p>
      <w:pPr>
        <w:pStyle w:val="BodyText"/>
        <w:spacing w:line="316" w:lineRule="auto" w:before="19"/>
        <w:ind w:right="274" w:firstLine="360"/>
        <w:jc w:val="left"/>
      </w:pPr>
      <w:r>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BodyText"/>
        <w:spacing w:line="300" w:lineRule="auto" w:before="19"/>
        <w:ind w:left="513" w:right="93" w:hanging="72"/>
        <w:jc w:val="left"/>
      </w:pPr>
      <w:r>
        <w:rPr/>
        <w:t>（</w:t>
      </w:r>
      <w:r>
        <w:rPr>
          <w:rFonts w:ascii="Times New Roman" w:hAnsi="Times New Roman" w:cs="Times New Roman" w:eastAsia="Times New Roman" w:hint="default"/>
        </w:rPr>
        <w:t>2</w:t>
      </w:r>
      <w:r>
        <w:rPr/>
        <w:t>）公允价值计量或权益法核算转成本法核算 </w:t>
      </w:r>
      <w:r>
        <w:rPr>
          <w:spacing w:val="-2"/>
        </w:rPr>
        <w:t>本公司原持有的对被投资单位不具有控制、共同控制或重大影响的按金融工具确认和计量准则进行会计处理的权益性投</w:t>
      </w:r>
    </w:p>
    <w:p>
      <w:pPr>
        <w:pStyle w:val="BodyText"/>
        <w:spacing w:line="316" w:lineRule="auto" w:before="31"/>
        <w:ind w:right="93"/>
        <w:jc w:val="left"/>
      </w:pPr>
      <w:r>
        <w:rPr>
          <w:spacing w:val="-2"/>
        </w:rPr>
        <w:t>资，或原持有对联营企业、合营企业的长期股权投资，因追加投资等原因能够对非同一控制下的被投资单位实施控制的，在</w:t>
      </w:r>
      <w:r>
        <w:rPr>
          <w:spacing w:val="-66"/>
        </w:rPr>
        <w:t> </w:t>
      </w:r>
      <w:r>
        <w:rPr>
          <w:spacing w:val="-66"/>
        </w:rPr>
      </w:r>
      <w:r>
        <w:rPr/>
        <w:t>编制个别财务报表时，按照原持有的股权投资账面价值加上新增投资成本之和，作为改按成本法核算的初始投资成本。</w:t>
      </w:r>
    </w:p>
    <w:p>
      <w:pPr>
        <w:pStyle w:val="BodyText"/>
        <w:spacing w:line="316" w:lineRule="auto" w:before="19"/>
        <w:ind w:right="93" w:firstLine="360"/>
        <w:jc w:val="left"/>
      </w:pPr>
      <w:r>
        <w:rPr>
          <w:spacing w:val="-2"/>
        </w:rPr>
        <w:t>购买日之前持有的股权投资因采用权益法核算而确认的其他综合收益，在处置该项投资时采用与被投资单位直接处置相</w:t>
      </w:r>
      <w:r>
        <w:rPr/>
        <w:t> 关资产或负债相同的基础进行会计处理。</w:t>
      </w:r>
    </w:p>
    <w:p>
      <w:pPr>
        <w:pStyle w:val="BodyText"/>
        <w:spacing w:line="300" w:lineRule="auto" w:before="19"/>
        <w:ind w:right="93" w:firstLine="360"/>
        <w:jc w:val="left"/>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金融工具确认和计量》的有关规定进行会计处理的，原计入</w:t>
      </w:r>
      <w:r>
        <w:rPr/>
        <w:t> 其他综合收益的累计公允价值变动在改按成本法核算时转入当期损益。</w:t>
      </w:r>
    </w:p>
    <w:p>
      <w:pPr>
        <w:pStyle w:val="BodyText"/>
        <w:spacing w:line="300" w:lineRule="auto" w:before="32"/>
        <w:ind w:left="513" w:right="93" w:hanging="72"/>
        <w:jc w:val="left"/>
      </w:pPr>
      <w:r>
        <w:rPr/>
        <w:t>（</w:t>
      </w:r>
      <w:r>
        <w:rPr>
          <w:rFonts w:ascii="Times New Roman" w:hAnsi="Times New Roman" w:cs="Times New Roman" w:eastAsia="Times New Roman" w:hint="default"/>
        </w:rPr>
        <w:t>3</w:t>
      </w:r>
      <w:r>
        <w:rPr/>
        <w:t>）权益法核算转公允价值计量 </w:t>
      </w:r>
      <w:r>
        <w:rPr>
          <w:spacing w:val="-2"/>
        </w:rPr>
        <w:t>本公司因处置部分股权投资等原因丧失了对被投资单位的共同控制或重大影响的，处置后的剩余股权改按《企业会计准</w:t>
      </w:r>
    </w:p>
    <w:p>
      <w:pPr>
        <w:pStyle w:val="BodyText"/>
        <w:spacing w:line="300" w:lineRule="auto" w:before="31"/>
        <w:ind w:right="93"/>
        <w:jc w:val="left"/>
      </w:pPr>
      <w:r>
        <w:rPr>
          <w:spacing w:val="-2"/>
        </w:rPr>
        <w:t>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金融工具确认和计量》核算，其在丧失共同控制或重大影响之日的公允价值与账面价值之间的差额计入当期损</w:t>
      </w:r>
      <w:r>
        <w:rPr>
          <w:spacing w:val="-63"/>
        </w:rPr>
        <w:t> </w:t>
      </w:r>
      <w:r>
        <w:rPr>
          <w:spacing w:val="-63"/>
        </w:rPr>
      </w:r>
      <w:r>
        <w:rPr/>
        <w:t>益。</w:t>
      </w:r>
    </w:p>
    <w:p>
      <w:pPr>
        <w:pStyle w:val="BodyText"/>
        <w:spacing w:line="316" w:lineRule="auto" w:before="31"/>
        <w:ind w:right="93" w:firstLine="360"/>
        <w:jc w:val="left"/>
      </w:pPr>
      <w:r>
        <w:rPr>
          <w:spacing w:val="-2"/>
        </w:rPr>
        <w:t>原股权投资因采用权益法核算而确认的其他综合收益，在终止采用权益法核算时采用与被投资单位直接处置相关资产或</w:t>
      </w:r>
      <w:r>
        <w:rPr/>
        <w:t> 负债相同的基础进行会计处理。</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left="513" w:right="93" w:hanging="72"/>
        <w:jc w:val="left"/>
      </w:pPr>
      <w:r>
        <w:rPr/>
        <w:t>（</w:t>
      </w:r>
      <w:r>
        <w:rPr>
          <w:rFonts w:ascii="Times New Roman" w:hAnsi="Times New Roman" w:cs="Times New Roman" w:eastAsia="Times New Roman" w:hint="default"/>
        </w:rPr>
        <w:t>4</w:t>
      </w:r>
      <w:r>
        <w:rPr/>
        <w:t>）成本法转权益法 </w:t>
      </w:r>
      <w:r>
        <w:rPr>
          <w:spacing w:val="-2"/>
        </w:rPr>
        <w:t>本公司因处置部分权益性投资等原因丧失了对被投资单位的控制的，在编制个别财务报表时，处置后的剩余股权能够对</w:t>
      </w:r>
    </w:p>
    <w:p>
      <w:pPr>
        <w:pStyle w:val="BodyText"/>
        <w:spacing w:line="240" w:lineRule="auto" w:before="31"/>
        <w:ind w:right="0"/>
        <w:jc w:val="left"/>
      </w:pPr>
      <w:r>
        <w:rPr/>
        <w:t>被投资单位实施共同控制或施加重大影响的，改按权益法核算，并对该剩余股权视同自取得时即采用权益法核算进行调整。</w:t>
      </w:r>
    </w:p>
    <w:p>
      <w:pPr>
        <w:pStyle w:val="BodyText"/>
        <w:spacing w:line="300" w:lineRule="auto" w:before="76"/>
        <w:ind w:left="513" w:right="93" w:hanging="72"/>
        <w:jc w:val="left"/>
      </w:pPr>
      <w:r>
        <w:rPr/>
        <w:t>（</w:t>
      </w:r>
      <w:r>
        <w:rPr>
          <w:rFonts w:ascii="Times New Roman" w:hAnsi="Times New Roman" w:cs="Times New Roman" w:eastAsia="Times New Roman" w:hint="default"/>
        </w:rPr>
        <w:t>5</w:t>
      </w:r>
      <w:r>
        <w:rPr/>
        <w:t>）成本法转公允价值计量 </w:t>
      </w:r>
      <w:r>
        <w:rPr>
          <w:spacing w:val="-2"/>
        </w:rPr>
        <w:t>本公司因处置部分权益性投资等原因丧失了对被投资单位的控制的，在编制个别财务报表时，处置后的剩余股权不能对</w:t>
      </w:r>
    </w:p>
    <w:p>
      <w:pPr>
        <w:pStyle w:val="BodyText"/>
        <w:spacing w:line="300" w:lineRule="auto" w:before="31"/>
        <w:ind w:right="93"/>
        <w:jc w:val="left"/>
      </w:pPr>
      <w:r>
        <w:rPr>
          <w:spacing w:val="-2"/>
        </w:rPr>
        <w:t>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w:t>
      </w:r>
      <w:r>
        <w:rPr>
          <w:spacing w:val="-64"/>
        </w:rPr>
        <w:t> </w:t>
      </w:r>
      <w:r>
        <w:rPr>
          <w:spacing w:val="-64"/>
        </w:rPr>
      </w:r>
      <w:r>
        <w:rPr/>
        <w:t>理，其在丧失控制之日的公允价值与账面价值间的差额计入当期损益。</w:t>
      </w:r>
    </w:p>
    <w:p>
      <w:pPr>
        <w:pStyle w:val="BodyText"/>
        <w:spacing w:line="300" w:lineRule="auto" w:before="31"/>
        <w:ind w:left="513" w:right="93"/>
        <w:jc w:val="left"/>
      </w:pPr>
      <w:r>
        <w:rPr>
          <w:rFonts w:ascii="Times New Roman" w:hAnsi="Times New Roman" w:cs="Times New Roman" w:eastAsia="Times New Roman" w:hint="default"/>
          <w:b/>
          <w:bCs/>
        </w:rPr>
        <w:t>4</w:t>
      </w:r>
      <w:r>
        <w:rPr>
          <w:rFonts w:ascii="宋体" w:hAnsi="宋体" w:cs="宋体" w:eastAsia="宋体" w:hint="default"/>
          <w:b/>
          <w:bCs/>
        </w:rPr>
        <w:t>、长期股权投资的处置</w:t>
      </w:r>
      <w:r>
        <w:rPr>
          <w:rFonts w:ascii="宋体" w:hAnsi="宋体" w:cs="宋体" w:eastAsia="宋体" w:hint="default"/>
          <w:b/>
          <w:bCs/>
          <w:w w:val="99"/>
        </w:rPr>
        <w:t> </w:t>
      </w:r>
      <w:r>
        <w:rPr>
          <w:spacing w:val="-2"/>
        </w:rPr>
        <w:t>处置长期股权投资，其账面价值与实际取得价款之间的差额，应当计入当期损益。采用权益法核算的长期股权投资，在</w:t>
      </w:r>
    </w:p>
    <w:p>
      <w:pPr>
        <w:pStyle w:val="BodyText"/>
        <w:spacing w:line="316" w:lineRule="auto" w:before="31"/>
        <w:ind w:right="93"/>
        <w:jc w:val="left"/>
      </w:pPr>
      <w:r>
        <w:rPr>
          <w:spacing w:val="-2"/>
        </w:rPr>
        <w:t>处置该项投资时，采用与被投资单位直接处置相关资产或负债相同的基础，按相应比例对原计入其他综合收益的部分进行会</w:t>
      </w:r>
      <w:r>
        <w:rPr>
          <w:spacing w:val="-64"/>
        </w:rPr>
        <w:t> </w:t>
      </w:r>
      <w:r>
        <w:rPr>
          <w:spacing w:val="-64"/>
        </w:rPr>
      </w:r>
      <w:r>
        <w:rPr/>
        <w:t>计处理。</w:t>
      </w:r>
    </w:p>
    <w:p>
      <w:pPr>
        <w:pStyle w:val="BodyText"/>
        <w:spacing w:line="316" w:lineRule="auto" w:before="19"/>
        <w:ind w:right="191" w:firstLine="360"/>
        <w:jc w:val="both"/>
      </w:pPr>
      <w:r>
        <w:rPr>
          <w:spacing w:val="-2"/>
        </w:rPr>
        <w:t>处置对子公司股权投资的各项交易的条款、条件以及经济影响符合以下一种或多种情况，将多次交易事项作为一揽子交</w:t>
      </w:r>
      <w:r>
        <w:rPr/>
        <w:t> 易进行会计处理：</w:t>
      </w:r>
    </w:p>
    <w:p>
      <w:pPr>
        <w:pStyle w:val="BodyText"/>
        <w:spacing w:line="240" w:lineRule="auto" w:before="19"/>
        <w:ind w:left="441" w:right="93"/>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63"/>
        <w:ind w:left="441" w:right="93"/>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63"/>
        <w:ind w:left="441" w:right="93"/>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300" w:lineRule="auto" w:before="63"/>
        <w:ind w:left="513" w:right="93" w:hanging="72"/>
        <w:jc w:val="left"/>
      </w:pPr>
      <w:r>
        <w:rPr/>
        <w:t>（</w:t>
      </w:r>
      <w:r>
        <w:rPr>
          <w:rFonts w:ascii="Times New Roman" w:hAnsi="Times New Roman" w:cs="Times New Roman" w:eastAsia="Times New Roman" w:hint="default"/>
        </w:rPr>
        <w:t>4</w:t>
      </w:r>
      <w:r>
        <w:rPr/>
        <w:t>）一项交易单独看是不经济的，但是和其他交易一并考虑时是经济的。 </w:t>
      </w:r>
      <w:r>
        <w:rPr>
          <w:spacing w:val="-2"/>
        </w:rPr>
        <w:t>因处置部分股权投资或其他原因丧失了对原有子公司控制权的，不属于一揽子交易的，区分个别财务报表和合并财务报</w:t>
      </w:r>
    </w:p>
    <w:p>
      <w:pPr>
        <w:pStyle w:val="BodyText"/>
        <w:spacing w:line="240" w:lineRule="auto" w:before="31"/>
        <w:ind w:right="93"/>
        <w:jc w:val="left"/>
      </w:pPr>
      <w:r>
        <w:rPr/>
        <w:t>表进行相关会计处理：</w:t>
      </w:r>
    </w:p>
    <w:p>
      <w:pPr>
        <w:pStyle w:val="BodyText"/>
        <w:spacing w:line="307" w:lineRule="auto" w:before="76"/>
        <w:ind w:right="191" w:firstLine="360"/>
        <w:jc w:val="both"/>
      </w:pPr>
      <w:r>
        <w:rPr/>
        <w:t>（</w:t>
      </w:r>
      <w:r>
        <w:rPr>
          <w:rFonts w:ascii="Times New Roman" w:hAnsi="Times New Roman" w:cs="Times New Roman" w:eastAsia="Times New Roman" w:hint="default"/>
        </w:rPr>
        <w:t>1</w:t>
      </w:r>
      <w:r>
        <w:rPr/>
        <w:t>）在个别财务报表中，对于处置的股权，其账面价值与实际取得价款之间的差额计入当期损益。处置后的剩余股权 </w:t>
      </w:r>
      <w:r>
        <w:rPr>
          <w:spacing w:val="-2"/>
        </w:rPr>
        <w:t>能够对被投资单位实施共同控制或施加重大影响的，改按权益法核算，并对该剩余股权视同自取得时即采用权益法核算进行</w:t>
      </w:r>
      <w:r>
        <w:rPr>
          <w:spacing w:val="-64"/>
        </w:rPr>
        <w:t> </w:t>
      </w:r>
      <w:r>
        <w:rPr>
          <w:spacing w:val="-64"/>
        </w:rPr>
      </w:r>
      <w:r>
        <w:rPr>
          <w:spacing w:val="-2"/>
        </w:rPr>
        <w:t>调整；处置后的剩余股权不能对被投资单位实施共同控制或施加重大影响的，改按《企业会计准则第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w:t>
      </w:r>
      <w:r>
        <w:rPr>
          <w:spacing w:val="-64"/>
        </w:rPr>
        <w:t> </w:t>
      </w:r>
      <w:r>
        <w:rPr>
          <w:spacing w:val="-64"/>
        </w:rPr>
      </w:r>
      <w:r>
        <w:rPr/>
        <w:t>和计量》的有关规定进行会计处理，其在丧失控制之日的公允价值与账面价值间的差额计入当期损益。</w:t>
      </w:r>
    </w:p>
    <w:p>
      <w:pPr>
        <w:pStyle w:val="BodyText"/>
        <w:spacing w:line="314" w:lineRule="auto" w:before="26"/>
        <w:ind w:right="190" w:firstLine="360"/>
        <w:jc w:val="both"/>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）在合并财务报表中，对于在丧失对子公司控制权以前的各项交易，处置价款与处置长期股权投资相应对享有子公 </w:t>
      </w:r>
      <w:r>
        <w:rPr>
          <w:spacing w:val="-2"/>
        </w:rPr>
        <w:t>司自购买日或合并日开始持续计算的净资产份额之间的差额，调整资本公积（股本溢价），资本公积不足冲减的，调整留存</w:t>
      </w:r>
      <w:r>
        <w:rPr>
          <w:spacing w:val="-65"/>
        </w:rPr>
        <w:t> </w:t>
      </w:r>
      <w:r>
        <w:rPr>
          <w:spacing w:val="-65"/>
        </w:rPr>
      </w:r>
      <w:r>
        <w:rPr>
          <w:spacing w:val="-2"/>
        </w:rPr>
        <w:t>收益；在丧失对子公司控制权时，对于剩余股权，按照其在丧失控制权日的公允价值进行重新计量。处置股权取得的对价与</w:t>
      </w:r>
      <w:r>
        <w:rPr>
          <w:spacing w:val="-64"/>
        </w:rPr>
        <w:t> </w:t>
      </w:r>
      <w:r>
        <w:rPr>
          <w:spacing w:val="-64"/>
        </w:rPr>
      </w:r>
      <w:r>
        <w:rPr>
          <w:spacing w:val="-2"/>
        </w:rPr>
        <w:t>剩余股权公允价值之和，减去按原持股比例计算应享有原有子公司自购买日开始持续计算的净资产的份额之间的差额，计入</w:t>
      </w:r>
      <w:r>
        <w:rPr>
          <w:spacing w:val="-64"/>
        </w:rPr>
        <w:t> </w:t>
      </w:r>
      <w:r>
        <w:rPr>
          <w:spacing w:val="-64"/>
        </w:rPr>
      </w:r>
      <w:r>
        <w:rPr>
          <w:spacing w:val="-2"/>
        </w:rPr>
        <w:t>丧失控制权当期的投资收益，同时冲减商誉。与原有子公司股权投资相关的其他综合收益等，在丧失控制权时转为当期投资</w:t>
      </w:r>
      <w:r>
        <w:rPr>
          <w:spacing w:val="-63"/>
        </w:rPr>
        <w:t> </w:t>
      </w:r>
      <w:r>
        <w:rPr>
          <w:spacing w:val="-63"/>
        </w:rPr>
      </w:r>
      <w:r>
        <w:rPr/>
        <w:t>收益。</w:t>
      </w:r>
    </w:p>
    <w:p>
      <w:pPr>
        <w:pStyle w:val="BodyText"/>
        <w:spacing w:line="316" w:lineRule="auto" w:before="20"/>
        <w:ind w:right="192" w:firstLine="360"/>
        <w:jc w:val="both"/>
      </w:pPr>
      <w:r>
        <w:rPr>
          <w:spacing w:val="-2"/>
        </w:rPr>
        <w:t>处置对子公司股权投资直至丧失控制权的各项交易属于一揽子交易的，将各项交易作为一项处置子公司股权投资并丧失</w:t>
      </w:r>
      <w:r>
        <w:rPr/>
        <w:t> 控制权的交易进行会计处理，区分个别财务报表和合并财务报表进行相关会计处理：</w:t>
      </w:r>
    </w:p>
    <w:p>
      <w:pPr>
        <w:pStyle w:val="BodyText"/>
        <w:spacing w:line="300" w:lineRule="auto" w:before="19"/>
        <w:ind w:right="199" w:firstLine="360"/>
        <w:jc w:val="both"/>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）在个别财务报表中，在丧失控制权之前每一次处置价款与处置的股权对应的长期股权投资账面价值之间的差额， 确认为其他综合收益，在丧失控制权时一并转入丧失控制权当期的损益。</w:t>
      </w:r>
    </w:p>
    <w:p>
      <w:pPr>
        <w:pStyle w:val="BodyText"/>
        <w:spacing w:line="300" w:lineRule="auto" w:before="31"/>
        <w:ind w:right="199" w:firstLine="360"/>
        <w:jc w:val="both"/>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）在合并财务报表中，在丧失控制权之前每一次处置价款与处置投资对应的享有该子公司净资产份额的差额，确认 为其他综合收益，在丧失控制权时一并转入丧失控制权当期的损益。</w:t>
      </w:r>
    </w:p>
    <w:p>
      <w:pPr>
        <w:spacing w:line="300" w:lineRule="auto" w:before="31"/>
        <w:ind w:left="513" w:right="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如果本公司按照相关约定与其他参与方集体控制某项安排，并且对该安排回报具有重大影响的活动决策，需要经过分享</w:t>
      </w:r>
    </w:p>
    <w:p>
      <w:pPr>
        <w:pStyle w:val="BodyText"/>
        <w:spacing w:line="319" w:lineRule="auto" w:before="31"/>
        <w:ind w:left="513" w:right="93" w:hanging="361"/>
        <w:jc w:val="left"/>
      </w:pPr>
      <w:r>
        <w:rPr/>
        <w:t>控制权的参与方一致同意时才存在，则视为本公司与其他参与方共同控制某项安排，该安排即属于合营安排。 </w:t>
      </w:r>
      <w:r>
        <w:rPr>
          <w:spacing w:val="-2"/>
        </w:rPr>
        <w:t>合营安排通过单独主体达成的，根据相关约定判断本公司对该单独主体的净资产享有权利时，将该单独主体作为合营企</w:t>
      </w:r>
    </w:p>
    <w:p>
      <w:pPr>
        <w:pStyle w:val="BodyText"/>
        <w:spacing w:line="316" w:lineRule="auto" w:before="17"/>
        <w:ind w:right="93"/>
        <w:jc w:val="left"/>
      </w:pPr>
      <w:r>
        <w:rPr>
          <w:spacing w:val="-2"/>
        </w:rPr>
        <w:t>业，采用权益法核算。若根据相关约定判断本公司并非对该单独主体的净资产享有权利时，该单独主体作为共同经营，本公</w:t>
      </w:r>
      <w:r>
        <w:rPr>
          <w:spacing w:val="-66"/>
        </w:rPr>
        <w:t> </w:t>
      </w:r>
      <w:r>
        <w:rPr>
          <w:spacing w:val="-66"/>
        </w:rPr>
      </w:r>
      <w:r>
        <w:rPr/>
        <w:t>司确认与共同经营利益份额相关的项目，并按照相关企业会计准则的规定进行会计处理。</w:t>
      </w:r>
    </w:p>
    <w:p>
      <w:pPr>
        <w:pStyle w:val="BodyText"/>
        <w:spacing w:line="316" w:lineRule="auto" w:before="19"/>
        <w:ind w:right="192" w:firstLine="360"/>
        <w:jc w:val="both"/>
      </w:pPr>
      <w:r>
        <w:rPr>
          <w:spacing w:val="-2"/>
        </w:rPr>
        <w:t>重大影响，是指投资方对被投资单位的财务和经营政策有参与决策的权力，但并不能够控制或者与其他方一起共同控制</w:t>
      </w:r>
      <w:r>
        <w:rPr/>
        <w:t> 这些政策的制定。本公司通过以下一种或多种情形，并综合考虑所有事实和情况后，判断对被投资单位具有重大影响。</w:t>
      </w:r>
    </w:p>
    <w:p>
      <w:pPr>
        <w:pStyle w:val="BodyText"/>
        <w:spacing w:line="240" w:lineRule="auto" w:before="18"/>
        <w:ind w:left="513" w:right="93"/>
        <w:jc w:val="left"/>
      </w:pPr>
      <w:r>
        <w:rPr/>
        <w:t>（</w:t>
      </w:r>
      <w:r>
        <w:rPr>
          <w:rFonts w:ascii="Times New Roman" w:hAnsi="Times New Roman" w:cs="Times New Roman" w:eastAsia="Times New Roman" w:hint="default"/>
        </w:rPr>
        <w:t>1</w:t>
      </w:r>
      <w:r>
        <w:rPr/>
        <w:t>）在被投资单位的董事会或类似权力机构中派有代表；（</w:t>
      </w:r>
      <w:r>
        <w:rPr>
          <w:rFonts w:ascii="Times New Roman" w:hAnsi="Times New Roman" w:cs="Times New Roman" w:eastAsia="Times New Roman" w:hint="default"/>
        </w:rPr>
        <w:t>2</w:t>
      </w:r>
      <w:r>
        <w:rPr/>
        <w:t>）参与被投资单位财务和经营政策制定过程；（</w:t>
      </w:r>
      <w:r>
        <w:rPr>
          <w:rFonts w:ascii="Times New Roman" w:hAnsi="Times New Roman" w:cs="Times New Roman" w:eastAsia="Times New Roman" w:hint="default"/>
        </w:rPr>
        <w:t>3</w:t>
      </w:r>
      <w:r>
        <w:rPr/>
        <w:t>）与被</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3"/>
        <w:jc w:val="left"/>
      </w:pPr>
      <w:r>
        <w:rPr/>
        <w:t>投资单位之间发生重要交易；（</w:t>
      </w:r>
      <w:r>
        <w:rPr>
          <w:rFonts w:ascii="Times New Roman" w:hAnsi="Times New Roman" w:cs="Times New Roman" w:eastAsia="Times New Roman" w:hint="default"/>
        </w:rPr>
        <w:t>4</w:t>
      </w:r>
      <w:r>
        <w:rPr/>
        <w:t>）向被投资单位派出管理人员；（</w:t>
      </w:r>
      <w:r>
        <w:rPr>
          <w:rFonts w:ascii="Times New Roman" w:hAnsi="Times New Roman" w:cs="Times New Roman" w:eastAsia="Times New Roman" w:hint="default"/>
        </w:rPr>
        <w:t>5</w:t>
      </w:r>
      <w:r>
        <w:rPr/>
        <w:t>）向被投资单位提供关键技术资料。</w:t>
      </w:r>
    </w:p>
    <w:p>
      <w:pPr>
        <w:spacing w:line="240" w:lineRule="auto" w:before="2"/>
        <w:rPr>
          <w:rFonts w:ascii="宋体" w:hAnsi="宋体" w:cs="宋体" w:eastAsia="宋体" w:hint="default"/>
          <w:sz w:val="26"/>
          <w:szCs w:val="26"/>
        </w:rPr>
      </w:pPr>
    </w:p>
    <w:p>
      <w:pPr>
        <w:pStyle w:val="Heading3"/>
        <w:spacing w:line="240" w:lineRule="auto"/>
        <w:ind w:right="93"/>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014"/>
        <w:jc w:val="left"/>
      </w:pPr>
      <w:r>
        <w:rPr/>
        <w:t>投资性房地产计量模式 不适用</w:t>
      </w:r>
    </w:p>
    <w:p>
      <w:pPr>
        <w:spacing w:line="240" w:lineRule="auto" w:before="6"/>
        <w:rPr>
          <w:rFonts w:ascii="宋体" w:hAnsi="宋体" w:cs="宋体" w:eastAsia="宋体" w:hint="default"/>
          <w:sz w:val="20"/>
          <w:szCs w:val="20"/>
        </w:rPr>
      </w:pPr>
    </w:p>
    <w:p>
      <w:pPr>
        <w:pStyle w:val="Heading3"/>
        <w:spacing w:line="240" w:lineRule="auto"/>
        <w:ind w:right="93"/>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3" w:firstLine="360"/>
        <w:jc w:val="left"/>
      </w:pPr>
      <w:r>
        <w:rPr>
          <w:spacing w:val="-2"/>
        </w:rPr>
        <w:t>固定资产指为生产商品、提供劳务、出租或经营管理而持有，并且使用寿命超过一个会计年度的有形资产。固定资产在</w:t>
      </w:r>
      <w:r>
        <w:rPr/>
        <w:t> </w:t>
      </w:r>
      <w:r>
        <w:rPr>
          <w:spacing w:val="-7"/>
        </w:rPr>
        <w:t>同时满足下列条件时予以确认：（</w:t>
      </w:r>
      <w:r>
        <w:rPr>
          <w:rFonts w:ascii="Times New Roman" w:hAnsi="Times New Roman" w:cs="Times New Roman" w:eastAsia="Times New Roman" w:hint="default"/>
          <w:spacing w:val="-7"/>
        </w:rPr>
        <w:t>1</w:t>
      </w:r>
      <w:r>
        <w:rPr>
          <w:spacing w:val="-7"/>
        </w:rPr>
        <w:t>）与该固定资产有关的经济利益很可能流入企业；（</w:t>
      </w:r>
      <w:r>
        <w:rPr>
          <w:rFonts w:ascii="Times New Roman" w:hAnsi="Times New Roman" w:cs="Times New Roman" w:eastAsia="Times New Roman" w:hint="default"/>
          <w:spacing w:val="-7"/>
        </w:rPr>
        <w:t>2</w:t>
      </w:r>
      <w:r>
        <w:rPr>
          <w:spacing w:val="-7"/>
        </w:rPr>
        <w:t>）该固定资产的成本能够可靠地计量。</w:t>
      </w:r>
    </w:p>
    <w:p>
      <w:pPr>
        <w:spacing w:line="240" w:lineRule="auto" w:before="4"/>
        <w:rPr>
          <w:rFonts w:ascii="宋体" w:hAnsi="宋体" w:cs="宋体" w:eastAsia="宋体" w:hint="default"/>
          <w:sz w:val="21"/>
          <w:szCs w:val="21"/>
        </w:rPr>
      </w:pPr>
    </w:p>
    <w:p>
      <w:pPr>
        <w:pStyle w:val="Heading3"/>
        <w:spacing w:line="240" w:lineRule="auto"/>
        <w:ind w:right="9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11.875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pStyle w:val="BodyText"/>
        <w:spacing w:line="240" w:lineRule="auto" w:before="8"/>
        <w:ind w:right="9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3"/>
        <w:jc w:val="left"/>
      </w:pPr>
      <w:r>
        <w:rPr/>
        <w:t>当本公司租入的固定资产符合下列一项或数项标准时，确认为融资租入固定资产：</w:t>
      </w:r>
    </w:p>
    <w:p>
      <w:pPr>
        <w:pStyle w:val="BodyText"/>
        <w:spacing w:line="240" w:lineRule="auto" w:before="117"/>
        <w:ind w:left="513" w:right="93"/>
        <w:jc w:val="left"/>
      </w:pPr>
      <w:r>
        <w:rPr/>
        <w:t>（</w:t>
      </w:r>
      <w:r>
        <w:rPr>
          <w:rFonts w:ascii="Times New Roman" w:hAnsi="Times New Roman" w:cs="Times New Roman" w:eastAsia="Times New Roman" w:hint="default"/>
        </w:rPr>
        <w:t>1</w:t>
      </w:r>
      <w:r>
        <w:rPr/>
        <w:t>）在租赁期届满时，租赁资产的所有权转移给本公司。</w:t>
      </w:r>
    </w:p>
    <w:p>
      <w:pPr>
        <w:pStyle w:val="BodyText"/>
        <w:spacing w:line="300" w:lineRule="auto" w:before="101"/>
        <w:ind w:right="184" w:firstLine="360"/>
        <w:jc w:val="left"/>
      </w:pPr>
      <w:r>
        <w:rPr/>
        <w:t>（</w:t>
      </w:r>
      <w:r>
        <w:rPr>
          <w:rFonts w:ascii="Times New Roman" w:hAnsi="Times New Roman" w:cs="Times New Roman" w:eastAsia="Times New Roman" w:hint="default"/>
        </w:rPr>
        <w:t>2</w:t>
      </w:r>
      <w:r>
        <w:rPr/>
        <w:t>）本公司有购买租赁资产的选择权，所订立的购买价款预计将远低于行使选择权时租赁资产的公允价值，因而在租 赁开始日就可以合理确定本公司将会行使这种选择权。</w:t>
      </w:r>
    </w:p>
    <w:p>
      <w:pPr>
        <w:pStyle w:val="BodyText"/>
        <w:spacing w:line="240" w:lineRule="auto" w:before="72"/>
        <w:ind w:left="513" w:right="93"/>
        <w:jc w:val="left"/>
      </w:pPr>
      <w:r>
        <w:rPr/>
        <w:t>（</w:t>
      </w:r>
      <w:r>
        <w:rPr>
          <w:rFonts w:ascii="Times New Roman" w:hAnsi="Times New Roman" w:cs="Times New Roman" w:eastAsia="Times New Roman" w:hint="default"/>
        </w:rPr>
        <w:t>3</w:t>
      </w:r>
      <w:r>
        <w:rPr/>
        <w:t>）即使资产的所有权不转移，但租赁期占租赁资产使用寿命的大部分。</w:t>
      </w:r>
    </w:p>
    <w:p>
      <w:pPr>
        <w:pStyle w:val="BodyText"/>
        <w:spacing w:line="240" w:lineRule="auto" w:before="103"/>
        <w:ind w:left="513" w:right="93"/>
        <w:jc w:val="left"/>
      </w:pPr>
      <w:r>
        <w:rPr/>
        <w:t>（</w:t>
      </w:r>
      <w:r>
        <w:rPr>
          <w:rFonts w:ascii="Times New Roman" w:hAnsi="Times New Roman" w:cs="Times New Roman" w:eastAsia="Times New Roman" w:hint="default"/>
        </w:rPr>
        <w:t>4</w:t>
      </w:r>
      <w:r>
        <w:rPr/>
        <w:t>）本公司在租赁开始日的最低租赁付款额现值，几乎相当于租赁开始日租赁资产公允价值。</w:t>
      </w:r>
    </w:p>
    <w:p>
      <w:pPr>
        <w:pStyle w:val="BodyText"/>
        <w:spacing w:line="314" w:lineRule="auto" w:before="101"/>
        <w:ind w:right="190" w:firstLine="360"/>
        <w:jc w:val="both"/>
      </w:pPr>
      <w:r>
        <w:rPr/>
        <w:t>（</w:t>
      </w:r>
      <w:r>
        <w:rPr>
          <w:rFonts w:ascii="Times New Roman" w:hAnsi="Times New Roman" w:cs="Times New Roman" w:eastAsia="Times New Roman" w:hint="default"/>
        </w:rPr>
        <w:t>5</w:t>
      </w:r>
      <w:r>
        <w:rPr/>
        <w:t>）租赁资产性质特殊，如果不作较大改造，只有本公司才能使用。融资租赁租入的固定资产，按租赁开始日租赁资 </w:t>
      </w:r>
      <w:r>
        <w:rPr>
          <w:spacing w:val="-2"/>
        </w:rPr>
        <w:t>产公允价值与最低租赁付款额的现值两者中较低者，作为入账价值。最低租赁付款额作为长期应付款的入账价值，其差额作</w:t>
      </w:r>
      <w:r>
        <w:rPr>
          <w:spacing w:val="-63"/>
        </w:rPr>
        <w:t> </w:t>
      </w:r>
      <w:r>
        <w:rPr>
          <w:spacing w:val="-63"/>
        </w:rPr>
      </w:r>
      <w:r>
        <w:rPr>
          <w:spacing w:val="-2"/>
        </w:rPr>
        <w:t>为未确认融资费用。在租赁谈判和签订租赁合同过程中发生的，可归属于租赁项目的手续费、律师费、差旅费、印花税等初</w:t>
      </w:r>
      <w:r>
        <w:rPr>
          <w:spacing w:val="-65"/>
        </w:rPr>
        <w:t> </w:t>
      </w:r>
      <w:r>
        <w:rPr>
          <w:spacing w:val="-65"/>
        </w:rPr>
      </w:r>
      <w:r>
        <w:rPr>
          <w:spacing w:val="-2"/>
        </w:rPr>
        <w:t>始直接费用，计入租入资产价值。未确认融资费用在租赁期内各个期间采用实际利率法进行分摊。本公司采用与自有固定资</w:t>
      </w:r>
      <w:r>
        <w:rPr>
          <w:spacing w:val="-63"/>
        </w:rPr>
        <w:t> </w:t>
      </w:r>
      <w:r>
        <w:rPr>
          <w:spacing w:val="-63"/>
        </w:rPr>
      </w:r>
      <w:r>
        <w:rPr>
          <w:spacing w:val="-2"/>
        </w:rPr>
        <w:t>产相一致的折旧政策计提融资租入固定资产折旧。能够合理确定租赁期届满时取得租赁资产所有权的，在租赁资产使用寿命</w:t>
      </w:r>
      <w:r>
        <w:rPr>
          <w:spacing w:val="-64"/>
        </w:rPr>
        <w:t> </w:t>
      </w:r>
      <w:r>
        <w:rPr>
          <w:spacing w:val="-64"/>
        </w:rPr>
      </w:r>
      <w:r>
        <w:rPr>
          <w:spacing w:val="-2"/>
        </w:rPr>
        <w:t>内计提折旧。无法合理确定租赁期届满时能够取得租赁资产所有权的，在租赁期与租赁资产使用寿命两者中较短的期间内计</w:t>
      </w:r>
      <w:r>
        <w:rPr>
          <w:spacing w:val="-63"/>
        </w:rPr>
        <w:t> </w:t>
      </w:r>
      <w:r>
        <w:rPr>
          <w:spacing w:val="-63"/>
        </w:rPr>
      </w:r>
      <w:r>
        <w:rPr/>
        <w:t>提折旧。</w:t>
      </w:r>
    </w:p>
    <w:p>
      <w:pPr>
        <w:spacing w:after="0" w:line="314" w:lineRule="auto"/>
        <w:jc w:val="both"/>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93"/>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513" w:right="93"/>
        <w:jc w:val="left"/>
      </w:pPr>
      <w:r>
        <w:rPr>
          <w:rFonts w:ascii="Times New Roman" w:hAnsi="Times New Roman" w:cs="Times New Roman" w:eastAsia="Times New Roman" w:hint="default"/>
          <w:b/>
          <w:bCs/>
        </w:rPr>
        <w:t>1</w:t>
      </w:r>
      <w:r>
        <w:rPr>
          <w:rFonts w:ascii="宋体" w:hAnsi="宋体" w:cs="宋体" w:eastAsia="宋体" w:hint="default"/>
          <w:b/>
          <w:bCs/>
        </w:rPr>
        <w:t>、在建工程的类别</w:t>
      </w:r>
      <w:r>
        <w:rPr>
          <w:rFonts w:ascii="宋体" w:hAnsi="宋体" w:cs="宋体" w:eastAsia="宋体" w:hint="default"/>
          <w:b/>
          <w:bCs/>
          <w:w w:val="99"/>
        </w:rPr>
        <w:t> </w:t>
      </w:r>
      <w:r>
        <w:rPr/>
        <w:t>本公司自行建造的在建工程按实际成本计价，实际成本由建造该项资产达到预定可使用状态前所发生的必要支出构成，</w:t>
      </w:r>
    </w:p>
    <w:p>
      <w:pPr>
        <w:pStyle w:val="BodyText"/>
        <w:spacing w:line="316" w:lineRule="auto" w:before="31"/>
        <w:ind w:right="93"/>
        <w:jc w:val="left"/>
      </w:pPr>
      <w:r>
        <w:rPr>
          <w:spacing w:val="-2"/>
        </w:rPr>
        <w:t>包括工程用物资成本、人工成本、交纳的相关税费、应予资本化的借款费用以及应分摊的间接费用等。本公司的在建工程以</w:t>
      </w:r>
      <w:r>
        <w:rPr>
          <w:spacing w:val="-64"/>
        </w:rPr>
        <w:t> </w:t>
      </w:r>
      <w:r>
        <w:rPr>
          <w:spacing w:val="-64"/>
        </w:rPr>
      </w:r>
      <w:r>
        <w:rPr/>
        <w:t>项目分类核算。</w:t>
      </w:r>
    </w:p>
    <w:p>
      <w:pPr>
        <w:spacing w:line="300" w:lineRule="auto" w:before="19"/>
        <w:ind w:left="513" w:right="93" w:firstLine="3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、在建工程结转为固定资产的标准和时点</w:t>
      </w:r>
      <w:r>
        <w:rPr>
          <w:rFonts w:ascii="宋体" w:hAnsi="宋体" w:cs="宋体" w:eastAsia="宋体" w:hint="default"/>
          <w:b/>
          <w:bCs/>
          <w:w w:val="99"/>
          <w:sz w:val="18"/>
          <w:szCs w:val="18"/>
        </w:rPr>
        <w:t> </w:t>
      </w:r>
      <w:r>
        <w:rPr>
          <w:rFonts w:ascii="宋体" w:hAnsi="宋体" w:cs="宋体" w:eastAsia="宋体" w:hint="default"/>
          <w:spacing w:val="-2"/>
          <w:sz w:val="18"/>
          <w:szCs w:val="18"/>
        </w:rPr>
        <w:t>在建工程项目按建造该项资产达到预定可使用状态前所发生的全部支出，作为固定资产的入账价值。所建造的固定资产</w:t>
      </w:r>
    </w:p>
    <w:p>
      <w:pPr>
        <w:pStyle w:val="BodyText"/>
        <w:spacing w:line="316" w:lineRule="auto" w:before="31"/>
        <w:ind w:right="191"/>
        <w:jc w:val="both"/>
      </w:pPr>
      <w:r>
        <w:rPr>
          <w:spacing w:val="-2"/>
        </w:rPr>
        <w:t>在建工程已达到预定可使用状态，但尚未办理竣工决算的，自达到预定可使用状态之日起，根据工程预算、造价或者工程实</w:t>
      </w:r>
      <w:r>
        <w:rPr>
          <w:spacing w:val="-66"/>
        </w:rPr>
        <w:t> </w:t>
      </w:r>
      <w:r>
        <w:rPr>
          <w:spacing w:val="-66"/>
        </w:rPr>
      </w:r>
      <w:r>
        <w:rPr>
          <w:spacing w:val="-2"/>
        </w:rPr>
        <w:t>际成本等，按估计的价值转入固定资产，并按本公司固定资产折旧政策计提固定资产的折旧，待办理竣工决算后，再按实际</w:t>
      </w:r>
      <w:r>
        <w:rPr>
          <w:spacing w:val="-64"/>
        </w:rPr>
        <w:t> </w:t>
      </w:r>
      <w:r>
        <w:rPr>
          <w:spacing w:val="-64"/>
        </w:rPr>
      </w:r>
      <w:r>
        <w:rPr/>
        <w:t>成本调整原来的暂估价值，但不调整原已计提的折旧额。</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2"/>
        <w:rPr>
          <w:rFonts w:ascii="宋体" w:hAnsi="宋体" w:cs="宋体" w:eastAsia="宋体" w:hint="default"/>
          <w:b/>
          <w:bCs/>
          <w:sz w:val="26"/>
          <w:szCs w:val="26"/>
        </w:rPr>
      </w:pPr>
    </w:p>
    <w:p>
      <w:pPr>
        <w:spacing w:line="300" w:lineRule="auto" w:before="0"/>
        <w:ind w:left="513" w:right="93" w:firstLine="3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pacing w:val="-4"/>
          <w:sz w:val="18"/>
          <w:szCs w:val="18"/>
        </w:rPr>
        <w:t>公司发生的借款费用，可直接归属于符合资本化条件的资产的购建或者生产的，在符合资本化条件的情况下开始资本化，</w:t>
      </w:r>
    </w:p>
    <w:p>
      <w:pPr>
        <w:pStyle w:val="BodyText"/>
        <w:spacing w:line="316" w:lineRule="auto" w:before="31"/>
        <w:ind w:left="513" w:right="273" w:hanging="361"/>
        <w:jc w:val="left"/>
      </w:pPr>
      <w:r>
        <w:rPr/>
        <w:t>计入相关资产成本；其他借款费用，在发生时根据其发生额确认为费用，计入当期损益。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9"/>
        <w:ind w:left="513" w:right="6033" w:hanging="361"/>
        <w:jc w:val="left"/>
      </w:pPr>
      <w:r>
        <w:rPr/>
        <w:t>产、投资性房地产和存货等资产。 借款费用同时满足下列条件时开始资本化：</w:t>
      </w:r>
    </w:p>
    <w:p>
      <w:pPr>
        <w:pStyle w:val="BodyText"/>
        <w:spacing w:line="300" w:lineRule="auto" w:before="19"/>
        <w:ind w:right="184" w:firstLine="36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31"/>
        <w:ind w:left="513" w:right="93"/>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left="513" w:right="93"/>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14" w:lineRule="auto" w:before="63"/>
        <w:ind w:left="513" w:right="93" w:firstLine="38"/>
        <w:jc w:val="left"/>
      </w:pP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20"/>
        <w:ind w:right="93"/>
        <w:jc w:val="left"/>
      </w:pPr>
      <w:r>
        <w:rPr/>
        <w:t>款费用资本化。</w:t>
      </w:r>
    </w:p>
    <w:p>
      <w:pPr>
        <w:pStyle w:val="BodyText"/>
        <w:spacing w:line="300" w:lineRule="auto" w:before="76"/>
        <w:ind w:left="513" w:right="93" w:firstLine="38"/>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316" w:lineRule="auto" w:before="13"/>
        <w:ind w:right="93"/>
        <w:jc w:val="left"/>
      </w:pPr>
      <w:r>
        <w:rPr>
          <w:spacing w:val="-2"/>
        </w:rPr>
        <w:t>该项中断如是所购建或生产的符合资本化条件的资产达到预定可使用状态或者可销售状态必要的程序，则借款费用继续资本</w:t>
      </w:r>
      <w:r>
        <w:rPr>
          <w:spacing w:val="-63"/>
        </w:rPr>
        <w:t> </w:t>
      </w:r>
      <w:r>
        <w:rPr>
          <w:spacing w:val="-63"/>
        </w:rPr>
      </w:r>
      <w:r>
        <w:rPr/>
        <w:t>化。在中断期间发生的借款费用确认为当期损益，直至资产的购建或者生产活动重新开始后借款费用继续资本化。</w:t>
      </w:r>
    </w:p>
    <w:p>
      <w:pPr>
        <w:spacing w:line="300" w:lineRule="auto" w:before="19"/>
        <w:ind w:left="513" w:right="93" w:firstLine="3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、借款费用资本化金额的计算方法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专门借款的利息费用（扣除尚未动用的借款资金存入银行取得的利息收入或者进行暂时性投资取得的投资收益）及其辅</w:t>
      </w:r>
    </w:p>
    <w:p>
      <w:pPr>
        <w:pStyle w:val="BodyText"/>
        <w:spacing w:line="316" w:lineRule="auto" w:before="31"/>
        <w:ind w:left="513" w:right="93" w:hanging="361"/>
        <w:jc w:val="left"/>
      </w:pPr>
      <w:r>
        <w:rPr/>
        <w:t>助费用在所购建或者生产的符合资本化条件的资产达到预定可使用或者可销售状态前，予以资本化。 </w:t>
      </w:r>
      <w:r>
        <w:rPr>
          <w:spacing w:val="-2"/>
        </w:rPr>
        <w:t>根据累计资产支出超过专门借款部分的资产支出按月加权平均数乘以所占用一般借款的资本化率，计算确定一般借款应</w:t>
      </w:r>
    </w:p>
    <w:p>
      <w:pPr>
        <w:pStyle w:val="BodyText"/>
        <w:spacing w:line="316" w:lineRule="auto" w:before="19"/>
        <w:ind w:right="994"/>
        <w:jc w:val="left"/>
      </w:pPr>
      <w:r>
        <w:rPr/>
        <w:t>予资本化的利息金额。资本化率根据一般借款加权平均利率计算确定。 借款存在折价或者溢价的，按照实际利率法确定每一会计期间应摊销的折价或者溢价金额，调整每期利息金额。</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t>无</w:t>
      </w:r>
    </w:p>
    <w:p>
      <w:pPr>
        <w:spacing w:after="0" w:line="2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93"/>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513" w:right="0"/>
        <w:jc w:val="left"/>
      </w:pPr>
      <w:r>
        <w:rPr/>
        <w:t>无形资产是指本公司拥有或者控制的没有实物形态的可辨认非货币性资产，包括土地使用权、生产经营用软件及商标权</w:t>
      </w:r>
    </w:p>
    <w:p>
      <w:pPr>
        <w:pStyle w:val="BodyText"/>
        <w:spacing w:line="240" w:lineRule="auto" w:before="76"/>
        <w:ind w:right="93"/>
        <w:jc w:val="left"/>
      </w:pPr>
      <w:r>
        <w:rPr/>
        <w:t>等。</w:t>
      </w:r>
    </w:p>
    <w:p>
      <w:pPr>
        <w:pStyle w:val="BodyText"/>
        <w:spacing w:line="316" w:lineRule="auto" w:before="76"/>
        <w:ind w:left="513" w:right="93"/>
        <w:jc w:val="left"/>
      </w:pPr>
      <w:r>
        <w:rPr>
          <w:rFonts w:ascii="宋体" w:hAnsi="宋体" w:cs="宋体" w:eastAsia="宋体" w:hint="default"/>
          <w:b/>
          <w:bCs/>
        </w:rPr>
        <w:t>1</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无形资产的初始计量</w:t>
      </w:r>
      <w:r>
        <w:rPr>
          <w:rFonts w:ascii="宋体" w:hAnsi="宋体" w:cs="宋体" w:eastAsia="宋体" w:hint="default"/>
          <w:b/>
          <w:bCs/>
          <w:w w:val="99"/>
        </w:rPr>
        <w:t> </w:t>
      </w:r>
      <w:r>
        <w:rPr>
          <w:spacing w:val="-2"/>
        </w:rPr>
        <w:t>外购无形资产的成本，包括购买价款、相关税费以及直接归属于使该项资产达到预定用途所发生的其他支出。购买无形</w:t>
      </w:r>
    </w:p>
    <w:p>
      <w:pPr>
        <w:pStyle w:val="BodyText"/>
        <w:spacing w:line="319" w:lineRule="auto" w:before="19"/>
        <w:ind w:left="513" w:right="93" w:hanging="361"/>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16" w:lineRule="auto" w:before="17"/>
        <w:ind w:left="513" w:right="93" w:hanging="361"/>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6" w:lineRule="auto" w:before="19"/>
        <w:ind w:right="93"/>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16" w:lineRule="auto" w:before="19"/>
        <w:ind w:right="93" w:firstLine="360"/>
        <w:jc w:val="left"/>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pStyle w:val="BodyText"/>
        <w:spacing w:line="316" w:lineRule="auto" w:before="19"/>
        <w:ind w:right="93" w:firstLine="360"/>
        <w:jc w:val="left"/>
      </w:pPr>
      <w:r>
        <w:rPr>
          <w:spacing w:val="-2"/>
        </w:rPr>
        <w:t>内部自行开发的无形资产，其成本包括：开发该无形资产时耗用的材料、劳务成本、注册费、在开发过程中使用的其他</w:t>
      </w:r>
      <w:r>
        <w:rPr/>
        <w:t> 专利权和特许权的摊销以及满足资本化条件的利息费用，以及为使该无形资产达到预定用途前所发生的其他直接费用。</w:t>
      </w:r>
    </w:p>
    <w:p>
      <w:pPr>
        <w:spacing w:line="316" w:lineRule="auto" w:before="19"/>
        <w:ind w:left="513" w:right="1533"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无形资产的后续计量</w:t>
      </w:r>
      <w:r>
        <w:rPr>
          <w:rFonts w:ascii="宋体" w:hAnsi="宋体" w:cs="宋体" w:eastAsia="宋体" w:hint="default"/>
          <w:b/>
          <w:bCs/>
          <w:w w:val="99"/>
          <w:sz w:val="18"/>
          <w:szCs w:val="18"/>
        </w:rPr>
        <w:t> </w:t>
      </w:r>
      <w:r>
        <w:rPr>
          <w:rFonts w:ascii="宋体" w:hAnsi="宋体" w:cs="宋体" w:eastAsia="宋体" w:hint="default"/>
          <w:sz w:val="18"/>
          <w:szCs w:val="18"/>
        </w:rPr>
        <w:t>本公司在取得无形资产时分析判断其使用寿命，划分为使用寿命有限和使用寿命不确定的无形资产。</w:t>
      </w:r>
    </w:p>
    <w:p>
      <w:pPr>
        <w:pStyle w:val="BodyText"/>
        <w:spacing w:line="300" w:lineRule="auto" w:before="19"/>
        <w:ind w:left="513" w:right="93" w:hanging="72"/>
        <w:jc w:val="left"/>
      </w:pPr>
      <w:r>
        <w:rPr/>
        <w:t>（</w:t>
      </w:r>
      <w:r>
        <w:rPr>
          <w:rFonts w:ascii="Times New Roman" w:hAnsi="Times New Roman" w:cs="Times New Roman" w:eastAsia="Times New Roman" w:hint="default"/>
        </w:rPr>
        <w:t>1</w:t>
      </w:r>
      <w:r>
        <w:rPr/>
        <w:t>）使用寿命有限的无形资产 </w:t>
      </w:r>
      <w:r>
        <w:rPr>
          <w:spacing w:val="-2"/>
        </w:rPr>
        <w:t>对于使用寿命有限的无形资产，在为企业带来经济利益的期限内按直线法摊销。使用寿命有限的无形资产预计寿命及依</w:t>
      </w:r>
    </w:p>
    <w:p>
      <w:pPr>
        <w:pStyle w:val="BodyText"/>
        <w:spacing w:line="240" w:lineRule="auto" w:before="32"/>
        <w:ind w:right="93"/>
        <w:jc w:val="left"/>
      </w:pPr>
      <w:r>
        <w:rPr/>
        <w:t>据如下：</w:t>
      </w:r>
    </w:p>
    <w:p>
      <w:pPr>
        <w:spacing w:line="240" w:lineRule="auto" w:before="3"/>
        <w:rPr>
          <w:rFonts w:ascii="宋体" w:hAnsi="宋体" w:cs="宋体" w:eastAsia="宋体" w:hint="default"/>
          <w:sz w:val="5"/>
          <w:szCs w:val="5"/>
        </w:rPr>
      </w:pPr>
    </w:p>
    <w:tbl>
      <w:tblPr>
        <w:tblW w:w="0" w:type="auto"/>
        <w:jc w:val="left"/>
        <w:tblInd w:w="755" w:type="dxa"/>
        <w:tblLayout w:type="fixed"/>
        <w:tblCellMar>
          <w:top w:w="0" w:type="dxa"/>
          <w:left w:w="0" w:type="dxa"/>
          <w:bottom w:w="0" w:type="dxa"/>
          <w:right w:w="0" w:type="dxa"/>
        </w:tblCellMar>
        <w:tblLook w:val="01E0"/>
      </w:tblPr>
      <w:tblGrid>
        <w:gridCol w:w="2806"/>
        <w:gridCol w:w="1872"/>
        <w:gridCol w:w="3743"/>
      </w:tblGrid>
      <w:tr>
        <w:trPr>
          <w:trHeight w:val="353" w:hRule="exact"/>
        </w:trPr>
        <w:tc>
          <w:tcPr>
            <w:tcW w:w="28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74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依</w:t>
            </w:r>
            <w:r>
              <w:rPr>
                <w:rFonts w:ascii="宋体" w:hAnsi="宋体" w:cs="宋体" w:eastAsia="宋体" w:hint="default"/>
                <w:spacing w:val="54"/>
                <w:sz w:val="18"/>
                <w:szCs w:val="18"/>
              </w:rPr>
              <w:t> </w:t>
            </w:r>
            <w:r>
              <w:rPr>
                <w:rFonts w:ascii="宋体" w:hAnsi="宋体" w:cs="宋体" w:eastAsia="宋体" w:hint="default"/>
                <w:sz w:val="18"/>
                <w:szCs w:val="18"/>
              </w:rPr>
              <w:t>据</w:t>
            </w:r>
          </w:p>
        </w:tc>
      </w:tr>
      <w:tr>
        <w:trPr>
          <w:trHeight w:val="353"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7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相关法律规定使用年限</w:t>
            </w:r>
          </w:p>
        </w:tc>
      </w:tr>
      <w:tr>
        <w:trPr>
          <w:trHeight w:val="353"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生产经营用软件</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7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53"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7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line="240" w:lineRule="auto" w:before="5"/>
        <w:rPr>
          <w:rFonts w:ascii="宋体" w:hAnsi="宋体" w:cs="宋体" w:eastAsia="宋体" w:hint="default"/>
          <w:sz w:val="6"/>
          <w:szCs w:val="6"/>
        </w:rPr>
      </w:pPr>
    </w:p>
    <w:p>
      <w:pPr>
        <w:pStyle w:val="BodyText"/>
        <w:spacing w:line="316" w:lineRule="auto" w:before="44"/>
        <w:ind w:left="513" w:right="93"/>
        <w:jc w:val="left"/>
      </w:pPr>
      <w:r>
        <w:rPr/>
        <w:t>每期末，对使用寿命有限的无形资产的使用寿命及摊销方法进行复核，如与原先估计数存在差异的，进行相应的调整。 经复核，本期期末无形资产的使用寿命及摊销方法与以前估计未有不同。</w:t>
      </w:r>
    </w:p>
    <w:p>
      <w:pPr>
        <w:pStyle w:val="BodyText"/>
        <w:spacing w:line="300" w:lineRule="auto" w:before="19"/>
        <w:ind w:left="513" w:right="2973" w:hanging="72"/>
        <w:jc w:val="left"/>
      </w:pPr>
      <w:r>
        <w:rPr/>
        <w:t>（</w:t>
      </w:r>
      <w:r>
        <w:rPr>
          <w:rFonts w:ascii="Times New Roman" w:hAnsi="Times New Roman" w:cs="Times New Roman" w:eastAsia="Times New Roman" w:hint="default"/>
        </w:rPr>
        <w:t>2</w:t>
      </w:r>
      <w:r>
        <w:rPr/>
        <w:t>）使用寿命不确定的无形资产 无法预见无形资产为企业带来经济利益期限的，视为使用寿命不确定的无形资产。</w:t>
      </w:r>
    </w:p>
    <w:p>
      <w:pPr>
        <w:pStyle w:val="BodyText"/>
        <w:spacing w:line="316" w:lineRule="auto" w:before="31"/>
        <w:ind w:right="93" w:firstLine="360"/>
        <w:jc w:val="left"/>
      </w:pPr>
      <w:r>
        <w:rPr>
          <w:spacing w:val="-2"/>
        </w:rPr>
        <w:t>对于使用寿命不确定的无形资产，在持有期间内不摊销，每期末对无形资产的寿命进行复核。如果期末重新复核后仍为</w:t>
      </w:r>
      <w:r>
        <w:rPr/>
        <w:t> 不确定的，在每个会计期间继续进行减值测试。</w:t>
      </w:r>
    </w:p>
    <w:p>
      <w:pPr>
        <w:pStyle w:val="BodyText"/>
        <w:spacing w:line="240" w:lineRule="auto" w:before="19"/>
        <w:ind w:left="513" w:right="93"/>
        <w:jc w:val="left"/>
      </w:pPr>
      <w:r>
        <w:rPr/>
        <w:t>经复核，本公司无使用寿命不确定的无形资产。</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t>（</w:t>
      </w:r>
      <w:r>
        <w:rPr>
          <w:rFonts w:ascii="Times New Roman" w:hAnsi="Times New Roman" w:cs="Times New Roman" w:eastAsia="Times New Roman" w:hint="default"/>
        </w:rPr>
        <w:t>2</w:t>
      </w:r>
      <w:r>
        <w:rPr/>
        <w:t>）</w:t>
      </w:r>
      <w:r>
        <w:rPr>
          <w:spacing w:val="84"/>
        </w:rPr>
        <w:t> </w:t>
      </w:r>
      <w:r>
        <w:rPr/>
        <w:t>内部研究开发支出会计政策</w:t>
      </w:r>
      <w:r>
        <w:rPr>
          <w:b w:val="0"/>
          <w:bCs w:val="0"/>
        </w:rPr>
      </w:r>
    </w:p>
    <w:p>
      <w:pPr>
        <w:spacing w:line="240" w:lineRule="auto" w:before="2"/>
        <w:rPr>
          <w:rFonts w:ascii="宋体" w:hAnsi="宋体" w:cs="宋体" w:eastAsia="宋体" w:hint="default"/>
          <w:b/>
          <w:bCs/>
          <w:sz w:val="26"/>
          <w:szCs w:val="26"/>
        </w:rPr>
      </w:pPr>
    </w:p>
    <w:p>
      <w:pPr>
        <w:spacing w:line="316" w:lineRule="auto" w:before="0"/>
        <w:ind w:left="513" w:right="93"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、划分公司内部研究开发项目的研究阶段和开发阶段具体标准</w:t>
      </w:r>
      <w:r>
        <w:rPr>
          <w:rFonts w:ascii="宋体" w:hAnsi="宋体" w:cs="宋体" w:eastAsia="宋体" w:hint="default"/>
          <w:b/>
          <w:bCs/>
          <w:w w:val="99"/>
          <w:sz w:val="18"/>
          <w:szCs w:val="18"/>
        </w:rPr>
        <w:t> </w:t>
      </w:r>
      <w:r>
        <w:rPr>
          <w:rFonts w:ascii="宋体" w:hAnsi="宋体" w:cs="宋体" w:eastAsia="宋体" w:hint="default"/>
          <w:sz w:val="18"/>
          <w:szCs w:val="18"/>
        </w:rPr>
        <w:t>研究阶段：为获取并理解新的科学或技术知识等而进行的独创性的有计划调查、研究活动的阶段。 </w:t>
      </w:r>
      <w:r>
        <w:rPr>
          <w:rFonts w:ascii="宋体" w:hAnsi="宋体" w:cs="宋体" w:eastAsia="宋体" w:hint="default"/>
          <w:spacing w:val="-2"/>
          <w:sz w:val="18"/>
          <w:szCs w:val="18"/>
        </w:rPr>
        <w:t>开发阶段：在进行商业性生产或使用前，将研究成果或其他知识应用于某项计划或设计，以生产出新的或具有实质性改</w:t>
      </w:r>
    </w:p>
    <w:p>
      <w:pPr>
        <w:spacing w:after="0" w:line="316" w:lineRule="auto"/>
        <w:jc w:val="left"/>
        <w:rPr>
          <w:rFonts w:ascii="宋体" w:hAnsi="宋体" w:cs="宋体" w:eastAsia="宋体" w:hint="default"/>
          <w:sz w:val="18"/>
          <w:szCs w:val="18"/>
        </w:rPr>
        <w:sectPr>
          <w:footerReference w:type="default" r:id="rId18"/>
          <w:pgSz w:w="11910" w:h="16840"/>
          <w:pgMar w:footer="980" w:header="745" w:top="1060" w:bottom="1160" w:left="980" w:right="940"/>
          <w:pgNumType w:start="106"/>
        </w:sectPr>
      </w:pPr>
    </w:p>
    <w:p>
      <w:pPr>
        <w:spacing w:line="240" w:lineRule="auto" w:before="9"/>
        <w:rPr>
          <w:rFonts w:ascii="宋体" w:hAnsi="宋体" w:cs="宋体" w:eastAsia="宋体" w:hint="default"/>
          <w:sz w:val="25"/>
          <w:szCs w:val="25"/>
        </w:rPr>
      </w:pPr>
    </w:p>
    <w:p>
      <w:pPr>
        <w:spacing w:line="319" w:lineRule="auto" w:before="44"/>
        <w:ind w:left="513" w:right="4593" w:hanging="361"/>
        <w:jc w:val="left"/>
        <w:rPr>
          <w:rFonts w:ascii="宋体" w:hAnsi="宋体" w:cs="宋体" w:eastAsia="宋体" w:hint="default"/>
          <w:sz w:val="18"/>
          <w:szCs w:val="18"/>
        </w:rPr>
      </w:pPr>
      <w:r>
        <w:rPr>
          <w:rFonts w:ascii="宋体" w:hAnsi="宋体" w:cs="宋体" w:eastAsia="宋体" w:hint="default"/>
          <w:sz w:val="18"/>
          <w:szCs w:val="18"/>
        </w:rPr>
        <w:t>进的材料、装置、产品等活动的阶段。 内部研究开发项目研究阶段的支出，在发生时计入当期损益。 </w:t>
      </w:r>
      <w:r>
        <w:rPr>
          <w:rFonts w:ascii="宋体" w:hAnsi="宋体" w:cs="宋体" w:eastAsia="宋体" w:hint="default"/>
          <w:b/>
          <w:bCs/>
          <w:sz w:val="18"/>
          <w:szCs w:val="18"/>
        </w:rPr>
        <w:t>2</w:t>
      </w:r>
      <w:r>
        <w:rPr>
          <w:rFonts w:ascii="宋体" w:hAnsi="宋体" w:cs="宋体" w:eastAsia="宋体" w:hint="default"/>
          <w:b/>
          <w:bCs/>
          <w:sz w:val="18"/>
          <w:szCs w:val="18"/>
        </w:rPr>
        <w:t>、</w:t>
      </w:r>
      <w:r>
        <w:rPr>
          <w:rFonts w:ascii="宋体" w:hAnsi="宋体" w:cs="宋体" w:eastAsia="宋体" w:hint="default"/>
          <w:b/>
          <w:bCs/>
          <w:spacing w:val="-4"/>
          <w:sz w:val="18"/>
          <w:szCs w:val="18"/>
        </w:rPr>
        <w:t> </w:t>
      </w:r>
      <w:r>
        <w:rPr>
          <w:rFonts w:ascii="宋体" w:hAnsi="宋体" w:cs="宋体" w:eastAsia="宋体" w:hint="default"/>
          <w:b/>
          <w:bCs/>
          <w:sz w:val="18"/>
          <w:szCs w:val="18"/>
        </w:rPr>
        <w:t>开发阶段支出符合资本化的具体标准</w:t>
      </w:r>
      <w:r>
        <w:rPr>
          <w:rFonts w:ascii="宋体" w:hAnsi="宋体" w:cs="宋体" w:eastAsia="宋体" w:hint="default"/>
          <w:sz w:val="18"/>
          <w:szCs w:val="18"/>
        </w:rPr>
      </w:r>
    </w:p>
    <w:p>
      <w:pPr>
        <w:pStyle w:val="BodyText"/>
        <w:spacing w:line="240" w:lineRule="auto" w:before="17"/>
        <w:ind w:left="513" w:right="93"/>
        <w:jc w:val="left"/>
      </w:pPr>
      <w:r>
        <w:rPr/>
        <w:t>内部研究开发项目开发阶段的支出，同时满足下列条件时确认为无形资产：</w:t>
      </w:r>
    </w:p>
    <w:p>
      <w:pPr>
        <w:pStyle w:val="BodyText"/>
        <w:spacing w:line="240" w:lineRule="auto" w:before="76"/>
        <w:ind w:left="513" w:right="93"/>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left="513" w:right="93"/>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right="184" w:firstLine="36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31"/>
        <w:ind w:left="513" w:right="93"/>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00" w:lineRule="auto" w:before="63"/>
        <w:ind w:left="441" w:right="93" w:firstLine="72"/>
        <w:jc w:val="left"/>
      </w:pPr>
      <w:r>
        <w:rPr/>
        <w:t>（</w:t>
      </w:r>
      <w:r>
        <w:rPr>
          <w:rFonts w:ascii="Times New Roman" w:hAnsi="Times New Roman" w:cs="Times New Roman" w:eastAsia="Times New Roman" w:hint="default"/>
        </w:rPr>
        <w:t>5</w:t>
      </w:r>
      <w:r>
        <w:rPr/>
        <w:t>）归属于该无形资产开发阶段的支出能够可靠地计量。 </w:t>
      </w:r>
      <w:r>
        <w:rPr>
          <w:spacing w:val="-1"/>
        </w:rPr>
        <w:t>不满足上述条件的开发阶段的支出，于发生时计入当期损益。以前期间已计入损益的开发支出不在以后期间重新确认为</w:t>
      </w:r>
    </w:p>
    <w:p>
      <w:pPr>
        <w:pStyle w:val="BodyText"/>
        <w:spacing w:line="240" w:lineRule="auto" w:before="31"/>
        <w:ind w:right="93"/>
        <w:jc w:val="left"/>
      </w:pPr>
      <w:r>
        <w:rPr/>
        <w:t>资产。已资本化的开发阶段的支出在资产负债表上列示为开发支出，自该项目达到预定用途之日起转为无形资产。</w:t>
      </w:r>
    </w:p>
    <w:p>
      <w:pPr>
        <w:spacing w:line="240" w:lineRule="auto" w:before="0"/>
        <w:rPr>
          <w:rFonts w:ascii="宋体" w:hAnsi="宋体" w:cs="宋体" w:eastAsia="宋体" w:hint="default"/>
          <w:sz w:val="18"/>
          <w:szCs w:val="18"/>
        </w:rPr>
      </w:pPr>
    </w:p>
    <w:p>
      <w:pPr>
        <w:pStyle w:val="Heading3"/>
        <w:spacing w:line="240" w:lineRule="auto" w:before="121"/>
        <w:ind w:right="93"/>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3" w:firstLine="360"/>
        <w:jc w:val="left"/>
      </w:pPr>
      <w:r>
        <w:rPr>
          <w:spacing w:val="-2"/>
        </w:rPr>
        <w:t>本公司在资产负债表日判断长期资产是否存在可能发生减值的迹象。如果长期资产存在减值迹象的，以单项资产为基础</w:t>
      </w:r>
      <w:r>
        <w:rPr/>
        <w:t> 估计其可收回金额；难以对单项资产的可收回金额进行估计的，以该资产所属的资产组为基础确定资产组的可收回金额。</w:t>
      </w:r>
    </w:p>
    <w:p>
      <w:pPr>
        <w:pStyle w:val="BodyText"/>
        <w:spacing w:line="316" w:lineRule="auto" w:before="19"/>
        <w:ind w:left="513" w:right="93"/>
        <w:jc w:val="left"/>
      </w:pPr>
      <w:r>
        <w:rPr/>
        <w:t>资产可收回金额的估计，根据其公允价值减去处置费用后的净额与资产预计未来现金流量的现值两者之间较高者确定。 </w:t>
      </w:r>
      <w:r>
        <w:rPr>
          <w:spacing w:val="-2"/>
        </w:rPr>
        <w:t>可收回金额的计量结果表明，长期资产的可收回金额低于其账面价值的，将长期资产的账面价值减记至可收回金额，减</w:t>
      </w:r>
    </w:p>
    <w:p>
      <w:pPr>
        <w:pStyle w:val="BodyText"/>
        <w:spacing w:line="316" w:lineRule="auto" w:before="19"/>
        <w:ind w:right="93"/>
        <w:jc w:val="left"/>
      </w:pPr>
      <w:r>
        <w:rPr>
          <w:spacing w:val="-2"/>
        </w:rPr>
        <w:t>记的金额确认为资产减值损失，计入当期损益，同时计提相应的资产减值准备。资产减值损失一经确认，在以后会计期间不</w:t>
      </w:r>
      <w:r>
        <w:rPr>
          <w:spacing w:val="-64"/>
        </w:rPr>
        <w:t> </w:t>
      </w:r>
      <w:r>
        <w:rPr>
          <w:spacing w:val="-64"/>
        </w:rPr>
      </w:r>
      <w:r>
        <w:rPr/>
        <w:t>得转回。</w:t>
      </w:r>
    </w:p>
    <w:p>
      <w:pPr>
        <w:pStyle w:val="BodyText"/>
        <w:spacing w:line="316" w:lineRule="auto" w:before="19"/>
        <w:ind w:right="93" w:firstLine="360"/>
        <w:jc w:val="left"/>
      </w:pPr>
      <w:r>
        <w:rPr>
          <w:spacing w:val="-2"/>
        </w:rPr>
        <w:t>资产减值损失确认后，减值资产的折旧或者摊销费用在未来期间作相应调整，以使该资产在剩余使用寿命内，系统地分</w:t>
      </w:r>
      <w:r>
        <w:rPr/>
        <w:t> 摊调整后的资产账面价值（扣除预计净残值）。</w:t>
      </w:r>
    </w:p>
    <w:p>
      <w:pPr>
        <w:pStyle w:val="BodyText"/>
        <w:spacing w:line="316" w:lineRule="auto" w:before="19"/>
        <w:ind w:right="93" w:firstLine="360"/>
        <w:jc w:val="left"/>
      </w:pPr>
      <w:r>
        <w:rPr/>
        <w:t>因企业合并所形成的商誉和使用寿命不确定的无形资产，无论是否存在减值迹象，每年都进行减值测试。 </w:t>
      </w:r>
      <w:r>
        <w:rPr>
          <w:spacing w:val="-2"/>
        </w:rPr>
        <w:t>商誉结合与其相关的资产组或者资产组组合进行减值测试。在对包含商誉的相关资产组或者资产组组合进行减值测试时，如</w:t>
      </w:r>
      <w:r>
        <w:rPr>
          <w:spacing w:val="-64"/>
        </w:rPr>
        <w:t> </w:t>
      </w:r>
      <w:r>
        <w:rPr>
          <w:spacing w:val="-64"/>
        </w:rPr>
      </w:r>
      <w:r>
        <w:rPr>
          <w:spacing w:val="-2"/>
        </w:rPr>
        <w:t>与商誉相关的资产组或者资产组组合存在减值迹象的，先对不包含商誉的资产组或者资产组组合进行减值测试，计算可收回</w:t>
      </w:r>
      <w:r>
        <w:rPr>
          <w:spacing w:val="-64"/>
        </w:rPr>
        <w:t> </w:t>
      </w:r>
      <w:r>
        <w:rPr>
          <w:spacing w:val="-64"/>
        </w:rPr>
      </w:r>
      <w:r>
        <w:rPr>
          <w:spacing w:val="-2"/>
        </w:rPr>
        <w:t>金额，并与相关账面价值相比较，确认相应的减值损失。再对包含商誉的资产组或者资产组组合进行减值测试，比较这些相</w:t>
      </w:r>
      <w:r>
        <w:rPr>
          <w:spacing w:val="-64"/>
        </w:rPr>
        <w:t> </w:t>
      </w:r>
      <w:r>
        <w:rPr>
          <w:spacing w:val="-64"/>
        </w:rPr>
      </w:r>
      <w:r>
        <w:rPr>
          <w:spacing w:val="-2"/>
        </w:rPr>
        <w:t>关资产组或者资产组组合的账面价值（包括所分摊的商誉的账面价值部分）与其可收回金额，如相关资产组或者资产组组合</w:t>
      </w:r>
      <w:r>
        <w:rPr>
          <w:spacing w:val="-62"/>
        </w:rPr>
        <w:t> </w:t>
      </w:r>
      <w:r>
        <w:rPr>
          <w:spacing w:val="-62"/>
        </w:rPr>
      </w:r>
      <w:r>
        <w:rPr/>
        <w:t>的可收回金额低于其账面价值的，确认商誉的减值损失。</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183"/>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4"/>
        </w:rPr>
        <w:t> </w:t>
      </w:r>
      <w:r>
        <w:rPr>
          <w:rFonts w:ascii="宋体" w:hAnsi="宋体" w:cs="宋体" w:eastAsia="宋体" w:hint="default"/>
          <w:b/>
          <w:bCs/>
        </w:rPr>
        <w:t>摊销方法</w:t>
      </w:r>
      <w:r>
        <w:rPr>
          <w:rFonts w:ascii="宋体" w:hAnsi="宋体" w:cs="宋体" w:eastAsia="宋体" w:hint="default"/>
          <w:b/>
          <w:bCs/>
          <w:w w:val="99"/>
        </w:rPr>
        <w:t> </w:t>
      </w: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年以上的各项费用。长期待摊费用在受</w:t>
      </w:r>
    </w:p>
    <w:p>
      <w:pPr>
        <w:pStyle w:val="BodyText"/>
        <w:spacing w:line="240" w:lineRule="auto" w:before="13"/>
        <w:ind w:right="93"/>
        <w:jc w:val="left"/>
      </w:pPr>
      <w:r>
        <w:rPr/>
        <w:t>益期内按直线法分期摊销。</w:t>
      </w:r>
    </w:p>
    <w:p>
      <w:pPr>
        <w:pStyle w:val="Heading4"/>
        <w:spacing w:line="240" w:lineRule="auto" w:before="76"/>
        <w:ind w:right="93"/>
        <w:jc w:val="left"/>
        <w:rPr>
          <w:b w:val="0"/>
          <w:bCs w:val="0"/>
        </w:rPr>
      </w:pPr>
      <w:r>
        <w:rPr>
          <w:rFonts w:ascii="Times New Roman" w:hAnsi="Times New Roman" w:cs="Times New Roman" w:eastAsia="Times New Roman" w:hint="default"/>
        </w:rPr>
        <w:t>2</w:t>
      </w:r>
      <w:r>
        <w:rPr/>
        <w:t>、摊销年限</w:t>
      </w:r>
      <w:r>
        <w:rPr>
          <w:b w:val="0"/>
          <w:bCs w:val="0"/>
        </w:rPr>
      </w:r>
    </w:p>
    <w:p>
      <w:pPr>
        <w:spacing w:line="240" w:lineRule="auto" w:before="2"/>
        <w:rPr>
          <w:rFonts w:ascii="宋体" w:hAnsi="宋体" w:cs="宋体" w:eastAsia="宋体" w:hint="default"/>
          <w:b/>
          <w:bCs/>
          <w:sz w:val="4"/>
          <w:szCs w:val="4"/>
        </w:rPr>
      </w:pPr>
    </w:p>
    <w:tbl>
      <w:tblPr>
        <w:tblW w:w="0" w:type="auto"/>
        <w:jc w:val="left"/>
        <w:tblInd w:w="136" w:type="dxa"/>
        <w:tblLayout w:type="fixed"/>
        <w:tblCellMar>
          <w:top w:w="0" w:type="dxa"/>
          <w:left w:w="0" w:type="dxa"/>
          <w:bottom w:w="0" w:type="dxa"/>
          <w:right w:w="0" w:type="dxa"/>
        </w:tblCellMar>
        <w:tblLook w:val="01E0"/>
      </w:tblPr>
      <w:tblGrid>
        <w:gridCol w:w="2843"/>
        <w:gridCol w:w="2844"/>
        <w:gridCol w:w="2842"/>
      </w:tblGrid>
      <w:tr>
        <w:trPr>
          <w:trHeight w:val="355" w:hRule="exact"/>
        </w:trPr>
        <w:tc>
          <w:tcPr>
            <w:tcW w:w="2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摊销年限</w:t>
            </w:r>
          </w:p>
        </w:tc>
        <w:tc>
          <w:tcPr>
            <w:tcW w:w="284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1" w:hRule="exact"/>
        </w:trPr>
        <w:tc>
          <w:tcPr>
            <w:tcW w:w="2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72" w:right="0"/>
              <w:jc w:val="left"/>
              <w:rPr>
                <w:rFonts w:ascii="宋体" w:hAnsi="宋体" w:cs="宋体" w:eastAsia="宋体" w:hint="default"/>
                <w:sz w:val="18"/>
                <w:szCs w:val="18"/>
              </w:rPr>
            </w:pPr>
            <w:r>
              <w:rPr>
                <w:rFonts w:ascii="宋体" w:hAnsi="宋体" w:cs="宋体" w:eastAsia="宋体" w:hint="default"/>
                <w:sz w:val="18"/>
                <w:szCs w:val="18"/>
              </w:rPr>
              <w:t>租入固定资产改良</w:t>
            </w:r>
          </w:p>
        </w:tc>
        <w:tc>
          <w:tcPr>
            <w:tcW w:w="2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72"/>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53" w:hRule="exact"/>
        </w:trPr>
        <w:tc>
          <w:tcPr>
            <w:tcW w:w="2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2" w:right="0"/>
              <w:jc w:val="left"/>
              <w:rPr>
                <w:rFonts w:ascii="宋体" w:hAnsi="宋体" w:cs="宋体" w:eastAsia="宋体" w:hint="default"/>
                <w:sz w:val="18"/>
                <w:szCs w:val="18"/>
              </w:rPr>
            </w:pPr>
            <w:r>
              <w:rPr>
                <w:rFonts w:ascii="宋体" w:hAnsi="宋体" w:cs="宋体" w:eastAsia="宋体" w:hint="default"/>
                <w:sz w:val="18"/>
                <w:szCs w:val="18"/>
              </w:rPr>
              <w:t>用电增容费</w:t>
            </w:r>
          </w:p>
        </w:tc>
        <w:tc>
          <w:tcPr>
            <w:tcW w:w="2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72"/>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53" w:hRule="exact"/>
        </w:trPr>
        <w:tc>
          <w:tcPr>
            <w:tcW w:w="2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72" w:right="0"/>
              <w:jc w:val="left"/>
              <w:rPr>
                <w:rFonts w:ascii="宋体" w:hAnsi="宋体" w:cs="宋体" w:eastAsia="宋体" w:hint="default"/>
                <w:sz w:val="18"/>
                <w:szCs w:val="18"/>
              </w:rPr>
            </w:pPr>
            <w:r>
              <w:rPr>
                <w:rFonts w:ascii="宋体" w:hAnsi="宋体" w:cs="宋体" w:eastAsia="宋体" w:hint="default"/>
                <w:sz w:val="18"/>
                <w:szCs w:val="18"/>
              </w:rPr>
              <w:t>生产用模具</w:t>
            </w:r>
          </w:p>
        </w:tc>
        <w:tc>
          <w:tcPr>
            <w:tcW w:w="2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71"/>
              <w:jc w:val="righ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2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53" w:hRule="exact"/>
        </w:trPr>
        <w:tc>
          <w:tcPr>
            <w:tcW w:w="2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72" w:right="0"/>
              <w:jc w:val="left"/>
              <w:rPr>
                <w:rFonts w:ascii="宋体" w:hAnsi="宋体" w:cs="宋体" w:eastAsia="宋体" w:hint="default"/>
                <w:sz w:val="18"/>
                <w:szCs w:val="18"/>
              </w:rPr>
            </w:pPr>
            <w:r>
              <w:rPr>
                <w:rFonts w:ascii="宋体" w:hAnsi="宋体" w:cs="宋体" w:eastAsia="宋体" w:hint="default"/>
                <w:sz w:val="18"/>
                <w:szCs w:val="18"/>
              </w:rPr>
              <w:t>生产用工、夹具</w:t>
            </w:r>
          </w:p>
        </w:tc>
        <w:tc>
          <w:tcPr>
            <w:tcW w:w="2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72"/>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10"/>
        <w:rPr>
          <w:rFonts w:ascii="宋体" w:hAnsi="宋体" w:cs="宋体" w:eastAsia="宋体" w:hint="default"/>
          <w:b/>
          <w:bCs/>
          <w:sz w:val="24"/>
          <w:szCs w:val="24"/>
        </w:rPr>
      </w:pPr>
    </w:p>
    <w:p>
      <w:pPr>
        <w:pStyle w:val="Heading3"/>
        <w:spacing w:line="240" w:lineRule="auto" w:before="36"/>
        <w:ind w:right="93"/>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0" w:firstLine="360"/>
        <w:jc w:val="both"/>
      </w:pPr>
      <w:r>
        <w:rPr>
          <w:spacing w:val="-2"/>
        </w:rPr>
        <w:t>短期薪酬是指本公司在职工提供相关服务的年度报告期间结束后十二个月内需要全部予以支付的职工薪酬，离职后福利</w:t>
      </w:r>
      <w:r>
        <w:rPr/>
        <w:t> </w:t>
      </w:r>
      <w:r>
        <w:rPr>
          <w:spacing w:val="-2"/>
        </w:rPr>
        <w:t>和辞退福利除外。本公司在职工提供服务的会计期间，将应付的短期薪酬确认为负债，并根据职工提供服务的受益对象计入</w:t>
      </w:r>
      <w:r>
        <w:rPr>
          <w:spacing w:val="-63"/>
        </w:rPr>
        <w:t> </w:t>
      </w:r>
      <w:r>
        <w:rPr>
          <w:spacing w:val="-63"/>
        </w:rPr>
      </w:r>
      <w:r>
        <w:rPr/>
        <w:t>相关资产成本和费用。</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t>离职后福利是指本公司为获得职工提供的服务而在职工退休或与企业解除劳动关系后，提供的各种形式的报酬和福利， 短期薪酬和辞退福利除外。</w:t>
      </w:r>
    </w:p>
    <w:p>
      <w:pPr>
        <w:pStyle w:val="BodyText"/>
        <w:spacing w:line="319" w:lineRule="auto" w:before="19"/>
        <w:ind w:left="513" w:right="93"/>
        <w:jc w:val="left"/>
      </w:pPr>
      <w:r>
        <w:rPr/>
        <w:t>本公司的离职后福利计划分类为设定提存计划和设定受益计划。 </w:t>
      </w:r>
      <w:r>
        <w:rPr>
          <w:spacing w:val="-2"/>
        </w:rPr>
        <w:t>离职后福利设定提存计划主要为参加由各地劳动及社会保障机构组织实施的社会基本养老保险、失业保险等；在职工为</w:t>
      </w:r>
    </w:p>
    <w:p>
      <w:pPr>
        <w:pStyle w:val="BodyText"/>
        <w:spacing w:line="316" w:lineRule="auto" w:before="17"/>
        <w:ind w:left="513" w:right="634" w:hanging="361"/>
        <w:jc w:val="left"/>
      </w:pPr>
      <w:r>
        <w:rPr/>
        <w:t>本公司提供服务的会计期间，将根据设定提存计划计算的应缴存金额确认为负债，并计入当期损益或相关资产成本。 本公司按照国家规定的标准定期缴付上述款项后，不再有其他的支付义务。</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3" w:firstLine="360"/>
        <w:jc w:val="left"/>
      </w:pPr>
      <w:r>
        <w:rPr/>
        <w:t>辞退福利是指本公司在职工劳动合同到期之前解除与职工的劳动关系，或者为鼓励职工自愿接受裁减而给予职工的补 </w:t>
      </w:r>
      <w:r>
        <w:rPr>
          <w:spacing w:val="-2"/>
        </w:rPr>
        <w:t>偿，在本公司不能单方面撤回解除劳动关系计划或裁减建议时和确认与涉及支付辞退福利的重组相关的成本费用时两者孰早</w:t>
      </w:r>
      <w:r>
        <w:rPr>
          <w:spacing w:val="-64"/>
        </w:rPr>
        <w:t> </w:t>
      </w:r>
      <w:r>
        <w:rPr>
          <w:spacing w:val="-64"/>
        </w:rPr>
      </w:r>
      <w:r>
        <w:rPr/>
        <w:t>日，确认因解除与职工的劳动关系给予补偿而产生的负债，同时计入当期损益。</w:t>
      </w:r>
    </w:p>
    <w:p>
      <w:pPr>
        <w:pStyle w:val="BodyText"/>
        <w:spacing w:line="319" w:lineRule="auto" w:before="19"/>
        <w:ind w:right="93" w:firstLine="360"/>
        <w:jc w:val="left"/>
      </w:pPr>
      <w:r>
        <w:rPr>
          <w:spacing w:val="-2"/>
        </w:rPr>
        <w:t>本公司向接受内部退休安排的职工提供内退福利。内退福利是指，向未达到国家规定的退休年龄、经本公司管理层批准</w:t>
      </w:r>
      <w:r>
        <w:rPr/>
        <w:t> </w:t>
      </w:r>
      <w:r>
        <w:rPr>
          <w:spacing w:val="-2"/>
        </w:rPr>
        <w:t>自愿退出工作岗位的职工支付的工资及为其缴纳的社会保险费等。本公司自内部退休安排开始之日起至职工达到正常退休年</w:t>
      </w:r>
      <w:r>
        <w:rPr>
          <w:spacing w:val="-64"/>
        </w:rPr>
        <w:t> </w:t>
      </w:r>
      <w:r>
        <w:rPr>
          <w:spacing w:val="-64"/>
        </w:rPr>
      </w:r>
      <w:r>
        <w:rPr>
          <w:spacing w:val="-4"/>
        </w:rPr>
        <w:t>龄止，向内退职工支付内部退养福利。对于内退福利，本公司比照辞退福利进行会计处理，在符合辞退福利相关确认条件时，</w:t>
      </w:r>
      <w:r>
        <w:rPr>
          <w:spacing w:val="-46"/>
        </w:rPr>
        <w:t> </w:t>
      </w:r>
      <w:r>
        <w:rPr>
          <w:spacing w:val="-46"/>
        </w:rPr>
      </w:r>
      <w:r>
        <w:rPr>
          <w:spacing w:val="-2"/>
        </w:rPr>
        <w:t>将自职工停止提供服务日至正常退休日期间拟支付的内退职工工资和缴纳的社会保险费等，确认为负债，一次性计入当期损</w:t>
      </w:r>
      <w:r>
        <w:rPr>
          <w:spacing w:val="-64"/>
        </w:rPr>
        <w:t> </w:t>
      </w:r>
      <w:r>
        <w:rPr>
          <w:spacing w:val="-64"/>
        </w:rPr>
      </w:r>
      <w:r>
        <w:rPr/>
        <w:t>益。内退福利的精算假设变化及福利标准调整引起的差异于发生时计入当期损益。</w:t>
      </w:r>
    </w:p>
    <w:p>
      <w:pPr>
        <w:spacing w:line="240" w:lineRule="auto" w:before="9"/>
        <w:rPr>
          <w:rFonts w:ascii="宋体" w:hAnsi="宋体" w:cs="宋体" w:eastAsia="宋体" w:hint="default"/>
          <w:sz w:val="22"/>
          <w:szCs w:val="22"/>
        </w:rPr>
      </w:pPr>
    </w:p>
    <w:p>
      <w:pPr>
        <w:pStyle w:val="Heading3"/>
        <w:spacing w:line="240" w:lineRule="auto"/>
        <w:ind w:right="9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93"/>
        <w:jc w:val="left"/>
      </w:pPr>
      <w:r>
        <w:rPr/>
        <w:t>其他长期职工福利是指除短期薪酬、离职后福利、辞退福利之外的其他所有职工福利。 </w:t>
      </w:r>
      <w:r>
        <w:rPr>
          <w:spacing w:val="-2"/>
        </w:rPr>
        <w:t>对符合设定提存计划条件的其他长期职工福利，在职工为本公司提供服务的会计期间，将应缴存金额确认为负债，并计</w:t>
      </w:r>
    </w:p>
    <w:p>
      <w:pPr>
        <w:pStyle w:val="BodyText"/>
        <w:spacing w:line="316" w:lineRule="auto" w:before="19"/>
        <w:ind w:right="93"/>
        <w:jc w:val="left"/>
      </w:pPr>
      <w:r>
        <w:rPr>
          <w:spacing w:val="-2"/>
        </w:rPr>
        <w:t>入当期损益或相关资产成本；除上述情形外的其他长期职工福利，在资产负债表日使用预期累计福利单位法进行精算，将设</w:t>
      </w:r>
      <w:r>
        <w:rPr>
          <w:spacing w:val="-63"/>
        </w:rPr>
        <w:t> </w:t>
      </w:r>
      <w:r>
        <w:rPr>
          <w:spacing w:val="-63"/>
        </w:rPr>
      </w:r>
      <w:r>
        <w:rPr/>
        <w:t>定受益计划产生的福利义务归属于职工提供服务的期间，并计入当期损益或相关资产成本。</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314" w:lineRule="auto"/>
        <w:ind w:left="513" w:right="3873"/>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t>与或有事项相关的义务同时满足下列条件时，本公司确认为预计负债： 该义务是本公司承担的现时义务； 履行该义务很可能导致经济利益流出本公司； 该义务的金额能够可靠地计量。</w:t>
      </w:r>
    </w:p>
    <w:p>
      <w:pPr>
        <w:spacing w:line="300" w:lineRule="auto" w:before="20"/>
        <w:ind w:left="513" w:right="3333" w:firstLine="3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、预计负债的计量方法</w:t>
      </w:r>
      <w:r>
        <w:rPr>
          <w:rFonts w:ascii="宋体" w:hAnsi="宋体" w:cs="宋体" w:eastAsia="宋体" w:hint="default"/>
          <w:b/>
          <w:bCs/>
          <w:w w:val="99"/>
          <w:sz w:val="18"/>
          <w:szCs w:val="18"/>
        </w:rPr>
        <w:t> </w:t>
      </w:r>
      <w:r>
        <w:rPr>
          <w:rFonts w:ascii="宋体" w:hAnsi="宋体" w:cs="宋体" w:eastAsia="宋体" w:hint="default"/>
          <w:sz w:val="18"/>
          <w:szCs w:val="18"/>
        </w:rPr>
        <w:t>本公司预计负债按履行相关现时义务所需的支出的最佳估计数进行初始计量。</w:t>
      </w:r>
    </w:p>
    <w:p>
      <w:pPr>
        <w:pStyle w:val="BodyText"/>
        <w:spacing w:line="240" w:lineRule="auto" w:before="31"/>
        <w:ind w:left="513" w:right="0"/>
        <w:jc w:val="left"/>
      </w:pPr>
      <w:r>
        <w:rPr/>
        <w:t>本公司在确定最佳估计数时，综合考虑与或有事项有关的风险、不确定性和货币时间价值等因素。对于货币时间价值影</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513" w:right="4594" w:hanging="361"/>
        <w:jc w:val="left"/>
      </w:pPr>
      <w:r>
        <w:rPr/>
        <w:t>响重大的，通过对相关未来现金流出进行折现后确定最佳估计数。 最佳估计数分别以下情况处理：</w:t>
      </w:r>
    </w:p>
    <w:p>
      <w:pPr>
        <w:pStyle w:val="BodyText"/>
        <w:spacing w:line="316" w:lineRule="auto" w:before="17"/>
        <w:ind w:right="191" w:firstLine="360"/>
        <w:jc w:val="both"/>
      </w:pPr>
      <w:r>
        <w:rPr>
          <w:spacing w:val="-2"/>
        </w:rPr>
        <w:t>所需支出存在一个连续范围（或区间），且该范围内各种结果发生的可能性相同的，则最佳估计数按照该范围的中间值</w:t>
      </w:r>
      <w:r>
        <w:rPr/>
        <w:t> 即上下限金额的平均数确定。</w:t>
      </w:r>
    </w:p>
    <w:p>
      <w:pPr>
        <w:pStyle w:val="BodyText"/>
        <w:spacing w:line="316" w:lineRule="auto" w:before="19"/>
        <w:ind w:right="190" w:firstLine="360"/>
        <w:jc w:val="both"/>
      </w:pPr>
      <w:r>
        <w:rPr>
          <w:spacing w:val="-2"/>
        </w:rPr>
        <w:t>所需支出不存在一个连续范围（或区间），或虽然存在一个连续范围但该范围内各种结果发生的可能性不相同的，如或</w:t>
      </w:r>
      <w:r>
        <w:rPr/>
        <w:t> </w:t>
      </w:r>
      <w:r>
        <w:rPr>
          <w:spacing w:val="-2"/>
        </w:rPr>
        <w:t>有事项涉及单个项目的，则最佳估计数按照最可能发生金额确定；如或有事项涉及多个项目的，则最佳估计数按各种可能结</w:t>
      </w:r>
      <w:r>
        <w:rPr>
          <w:spacing w:val="-63"/>
        </w:rPr>
        <w:t> </w:t>
      </w:r>
      <w:r>
        <w:rPr>
          <w:spacing w:val="-63"/>
        </w:rPr>
      </w:r>
      <w:r>
        <w:rPr/>
        <w:t>果及相关概率计算确定。</w:t>
      </w:r>
    </w:p>
    <w:p>
      <w:pPr>
        <w:pStyle w:val="BodyText"/>
        <w:spacing w:line="316" w:lineRule="auto" w:before="19"/>
        <w:ind w:right="111" w:firstLine="360"/>
        <w:jc w:val="both"/>
      </w:pPr>
      <w:r>
        <w:rPr/>
        <w:t>本公司清偿预计负债所需支出全部或部分预期由第三方补偿的，补偿金额在基本确定能够收到时，作为资产单独确认， 确认的补偿金额不超过预计负债的账面价值。</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4"/>
        <w:rPr>
          <w:rFonts w:ascii="宋体" w:hAnsi="宋体" w:cs="宋体" w:eastAsia="宋体" w:hint="default"/>
          <w:b/>
          <w:bCs/>
          <w:sz w:val="26"/>
          <w:szCs w:val="26"/>
        </w:rPr>
      </w:pPr>
    </w:p>
    <w:p>
      <w:pPr>
        <w:spacing w:line="319" w:lineRule="auto" w:before="0"/>
        <w:ind w:left="513" w:right="3693"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、股份支付的种类</w:t>
      </w:r>
      <w:r>
        <w:rPr>
          <w:rFonts w:ascii="宋体" w:hAnsi="宋体" w:cs="宋体" w:eastAsia="宋体" w:hint="default"/>
          <w:b/>
          <w:bCs/>
          <w:w w:val="99"/>
          <w:sz w:val="18"/>
          <w:szCs w:val="18"/>
        </w:rPr>
        <w:t> </w:t>
      </w:r>
      <w:r>
        <w:rPr>
          <w:rFonts w:ascii="宋体" w:hAnsi="宋体" w:cs="宋体" w:eastAsia="宋体" w:hint="default"/>
          <w:sz w:val="18"/>
          <w:szCs w:val="18"/>
        </w:rPr>
        <w:t>本公司的股份支付分为以权益结算的股份支付和以现金结算的股份支付。 </w:t>
      </w:r>
      <w:r>
        <w:rPr>
          <w:rFonts w:ascii="宋体" w:hAnsi="宋体" w:cs="宋体" w:eastAsia="宋体" w:hint="default"/>
          <w:b/>
          <w:bCs/>
          <w:sz w:val="18"/>
          <w:szCs w:val="18"/>
        </w:rPr>
        <w:t>2</w:t>
      </w:r>
      <w:r>
        <w:rPr>
          <w:rFonts w:ascii="宋体" w:hAnsi="宋体" w:cs="宋体" w:eastAsia="宋体" w:hint="default"/>
          <w:b/>
          <w:bCs/>
          <w:sz w:val="18"/>
          <w:szCs w:val="18"/>
        </w:rPr>
        <w:t>、</w:t>
      </w:r>
      <w:r>
        <w:rPr>
          <w:rFonts w:ascii="宋体" w:hAnsi="宋体" w:cs="宋体" w:eastAsia="宋体" w:hint="default"/>
          <w:b/>
          <w:bCs/>
          <w:spacing w:val="-4"/>
          <w:sz w:val="18"/>
          <w:szCs w:val="18"/>
        </w:rPr>
        <w:t> </w:t>
      </w:r>
      <w:r>
        <w:rPr>
          <w:rFonts w:ascii="宋体" w:hAnsi="宋体" w:cs="宋体" w:eastAsia="宋体" w:hint="default"/>
          <w:b/>
          <w:bCs/>
          <w:sz w:val="18"/>
          <w:szCs w:val="18"/>
        </w:rPr>
        <w:t>权益工具公允价值的确定方法</w:t>
      </w:r>
      <w:r>
        <w:rPr>
          <w:rFonts w:ascii="宋体" w:hAnsi="宋体" w:cs="宋体" w:eastAsia="宋体" w:hint="default"/>
          <w:sz w:val="18"/>
          <w:szCs w:val="18"/>
        </w:rPr>
      </w:r>
    </w:p>
    <w:p>
      <w:pPr>
        <w:pStyle w:val="BodyText"/>
        <w:spacing w:line="309" w:lineRule="auto" w:before="17"/>
        <w:ind w:right="100" w:firstLine="360"/>
        <w:jc w:val="both"/>
      </w:pPr>
      <w:r>
        <w:rPr>
          <w:spacing w:val="-2"/>
        </w:rPr>
        <w:t>对于授予的存在活跃市场的期权等权益工具，按照活跃市场中的报价确定其公允价值。对于授予的不存在活跃市场的期</w:t>
      </w:r>
      <w:r>
        <w:rPr/>
        <w:t> </w:t>
      </w:r>
      <w:r>
        <w:rPr>
          <w:spacing w:val="-2"/>
        </w:rPr>
        <w:t>权等权益工具，采用期权定价模型等确定其公允价值，选用的期权定价模型考虑以下因素：（</w:t>
      </w:r>
      <w:r>
        <w:rPr>
          <w:rFonts w:ascii="Times New Roman" w:hAnsi="Times New Roman" w:cs="Times New Roman" w:eastAsia="Times New Roman" w:hint="default"/>
          <w:spacing w:val="-2"/>
        </w:rPr>
        <w:t>1</w:t>
      </w:r>
      <w:r>
        <w:rPr>
          <w:spacing w:val="-2"/>
        </w:rPr>
        <w:t>）期权的行权价格；（</w:t>
      </w:r>
      <w:r>
        <w:rPr>
          <w:rFonts w:ascii="Times New Roman" w:hAnsi="Times New Roman" w:cs="Times New Roman" w:eastAsia="Times New Roman" w:hint="default"/>
          <w:spacing w:val="-2"/>
        </w:rPr>
        <w:t>2</w:t>
      </w:r>
      <w:r>
        <w:rPr>
          <w:spacing w:val="-2"/>
        </w:rPr>
        <w:t>）期</w:t>
      </w:r>
      <w:r>
        <w:rPr>
          <w:spacing w:val="-73"/>
        </w:rPr>
        <w:t> </w:t>
      </w:r>
      <w:r>
        <w:rPr>
          <w:spacing w:val="-4"/>
        </w:rPr>
        <w:t>权的有效期；（</w:t>
      </w:r>
      <w:r>
        <w:rPr>
          <w:rFonts w:ascii="Times New Roman" w:hAnsi="Times New Roman" w:cs="Times New Roman" w:eastAsia="Times New Roman" w:hint="default"/>
          <w:spacing w:val="-4"/>
        </w:rPr>
        <w:t>3</w:t>
      </w:r>
      <w:r>
        <w:rPr>
          <w:spacing w:val="-4"/>
        </w:rPr>
        <w:t>）标的股份的现行价格；（</w:t>
      </w:r>
      <w:r>
        <w:rPr>
          <w:rFonts w:ascii="Times New Roman" w:hAnsi="Times New Roman" w:cs="Times New Roman" w:eastAsia="Times New Roman" w:hint="default"/>
          <w:spacing w:val="-4"/>
        </w:rPr>
        <w:t>4</w:t>
      </w:r>
      <w:r>
        <w:rPr>
          <w:spacing w:val="-4"/>
        </w:rPr>
        <w:t>）股价预计波动率；（</w:t>
      </w:r>
      <w:r>
        <w:rPr>
          <w:rFonts w:ascii="Times New Roman" w:hAnsi="Times New Roman" w:cs="Times New Roman" w:eastAsia="Times New Roman" w:hint="default"/>
          <w:spacing w:val="-4"/>
        </w:rPr>
        <w:t>5</w:t>
      </w:r>
      <w:r>
        <w:rPr>
          <w:spacing w:val="-4"/>
        </w:rPr>
        <w:t>）股份的预计股利；（</w:t>
      </w:r>
      <w:r>
        <w:rPr>
          <w:rFonts w:ascii="Times New Roman" w:hAnsi="Times New Roman" w:cs="Times New Roman" w:eastAsia="Times New Roman" w:hint="default"/>
          <w:spacing w:val="-4"/>
        </w:rPr>
        <w:t>6</w:t>
      </w:r>
      <w:r>
        <w:rPr>
          <w:spacing w:val="-4"/>
        </w:rPr>
        <w:t>）期权有效期内的无风险利率。</w:t>
      </w:r>
    </w:p>
    <w:p>
      <w:pPr>
        <w:pStyle w:val="BodyText"/>
        <w:spacing w:line="316" w:lineRule="auto" w:before="5"/>
        <w:ind w:right="190" w:firstLine="360"/>
        <w:jc w:val="both"/>
      </w:pPr>
      <w:r>
        <w:rPr>
          <w:spacing w:val="-2"/>
        </w:rPr>
        <w:t>在确定权益工具授予日的公允价值时，考虑股份支付协议规定的可行权条件中的市场条件和非可行权条件的影响。股份</w:t>
      </w:r>
      <w:r>
        <w:rPr/>
        <w:t> </w:t>
      </w:r>
      <w:r>
        <w:rPr>
          <w:spacing w:val="-2"/>
        </w:rPr>
        <w:t>支付存在非可行权条件的，只要职工或其他方满足了所有可行权条件中的非市场条件（如服务期限等），即确认已得到服务</w:t>
      </w:r>
      <w:r>
        <w:rPr>
          <w:spacing w:val="-63"/>
        </w:rPr>
        <w:t> </w:t>
      </w:r>
      <w:r>
        <w:rPr>
          <w:spacing w:val="-63"/>
        </w:rPr>
      </w:r>
      <w:r>
        <w:rPr/>
        <w:t>相对应的成本费用。</w:t>
      </w:r>
    </w:p>
    <w:p>
      <w:pPr>
        <w:spacing w:line="316" w:lineRule="auto" w:before="19"/>
        <w:ind w:left="513" w:right="93"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确定可行权权益工具最佳估计的依据</w:t>
      </w:r>
      <w:r>
        <w:rPr>
          <w:rFonts w:ascii="宋体" w:hAnsi="宋体" w:cs="宋体" w:eastAsia="宋体" w:hint="default"/>
          <w:b/>
          <w:bCs/>
          <w:w w:val="99"/>
          <w:sz w:val="18"/>
          <w:szCs w:val="18"/>
        </w:rPr>
        <w:t> </w:t>
      </w:r>
      <w:r>
        <w:rPr>
          <w:rFonts w:ascii="宋体" w:hAnsi="宋体" w:cs="宋体" w:eastAsia="宋体" w:hint="default"/>
          <w:spacing w:val="-2"/>
          <w:sz w:val="18"/>
          <w:szCs w:val="18"/>
        </w:rPr>
        <w:t>等待期内每个资产负债表日，根据最新取得的可行权职工人数变动等后续信息作出最佳估计，修正预计可行权的权益工</w:t>
      </w:r>
    </w:p>
    <w:p>
      <w:pPr>
        <w:spacing w:line="316" w:lineRule="auto" w:before="19"/>
        <w:ind w:left="513" w:right="3514" w:hanging="361"/>
        <w:jc w:val="left"/>
        <w:rPr>
          <w:rFonts w:ascii="宋体" w:hAnsi="宋体" w:cs="宋体" w:eastAsia="宋体" w:hint="default"/>
          <w:sz w:val="18"/>
          <w:szCs w:val="18"/>
        </w:rPr>
      </w:pPr>
      <w:r>
        <w:rPr>
          <w:rFonts w:ascii="宋体" w:hAnsi="宋体" w:cs="宋体" w:eastAsia="宋体" w:hint="default"/>
          <w:sz w:val="18"/>
          <w:szCs w:val="18"/>
        </w:rPr>
        <w:t>具数量。在可行权日，最终预计可行权权益工具的数量与实际可行权数量一致。 </w:t>
      </w:r>
      <w:r>
        <w:rPr>
          <w:rFonts w:ascii="宋体" w:hAnsi="宋体" w:cs="宋体" w:eastAsia="宋体" w:hint="default"/>
          <w:b/>
          <w:bCs/>
          <w:sz w:val="18"/>
          <w:szCs w:val="18"/>
        </w:rPr>
        <w:t>4</w:t>
      </w:r>
      <w:r>
        <w:rPr>
          <w:rFonts w:ascii="宋体" w:hAnsi="宋体" w:cs="宋体" w:eastAsia="宋体" w:hint="default"/>
          <w:b/>
          <w:bCs/>
          <w:sz w:val="18"/>
          <w:szCs w:val="18"/>
        </w:rPr>
        <w:t>、</w:t>
      </w:r>
      <w:r>
        <w:rPr>
          <w:rFonts w:ascii="宋体" w:hAnsi="宋体" w:cs="宋体" w:eastAsia="宋体" w:hint="default"/>
          <w:b/>
          <w:bCs/>
          <w:spacing w:val="-6"/>
          <w:sz w:val="18"/>
          <w:szCs w:val="18"/>
        </w:rPr>
        <w:t> </w:t>
      </w:r>
      <w:r>
        <w:rPr>
          <w:rFonts w:ascii="宋体" w:hAnsi="宋体" w:cs="宋体" w:eastAsia="宋体" w:hint="default"/>
          <w:b/>
          <w:bCs/>
          <w:sz w:val="18"/>
          <w:szCs w:val="18"/>
        </w:rPr>
        <w:t>实施、修改、终止股份支付计划的相关会计处理</w:t>
      </w:r>
      <w:r>
        <w:rPr>
          <w:rFonts w:ascii="宋体" w:hAnsi="宋体" w:cs="宋体" w:eastAsia="宋体" w:hint="default"/>
          <w:sz w:val="18"/>
          <w:szCs w:val="18"/>
        </w:rPr>
      </w:r>
    </w:p>
    <w:p>
      <w:pPr>
        <w:pStyle w:val="BodyText"/>
        <w:spacing w:line="316" w:lineRule="auto" w:before="19"/>
        <w:ind w:right="189" w:firstLine="360"/>
        <w:jc w:val="both"/>
      </w:pPr>
      <w:r>
        <w:rPr>
          <w:spacing w:val="-2"/>
        </w:rPr>
        <w:t>以权益结算的股份支付，按授予职工权益工具的公允价值计量。授予后立即可行权的，在授予日按照权益工具的公允价</w:t>
      </w:r>
      <w:r>
        <w:rPr/>
        <w:t> </w:t>
      </w:r>
      <w:r>
        <w:rPr>
          <w:spacing w:val="-2"/>
        </w:rPr>
        <w:t>值计入相关成本或费用，相应增加资本公积。在完成等待期内的服务或达到规定业绩条件才可行权的，在等待期内的每个资</w:t>
      </w:r>
      <w:r>
        <w:rPr>
          <w:spacing w:val="-62"/>
        </w:rPr>
        <w:t> </w:t>
      </w:r>
      <w:r>
        <w:rPr>
          <w:spacing w:val="-62"/>
        </w:rPr>
      </w:r>
      <w:r>
        <w:rPr>
          <w:spacing w:val="-2"/>
        </w:rPr>
        <w:t>产负债表日，以对可行权权益工具数量的最佳估计为基础，按照权益工具授予日的公允价值，将当期取得的服务计入相关成</w:t>
      </w:r>
      <w:r>
        <w:rPr>
          <w:spacing w:val="-63"/>
        </w:rPr>
        <w:t> </w:t>
      </w:r>
      <w:r>
        <w:rPr>
          <w:spacing w:val="-63"/>
        </w:rPr>
      </w:r>
      <w:r>
        <w:rPr/>
        <w:t>本或费用和资本公积。在可行权日之后不再对已确认的相关成本或费用和所有者权益总额进行调整。</w:t>
      </w:r>
    </w:p>
    <w:p>
      <w:pPr>
        <w:pStyle w:val="BodyText"/>
        <w:spacing w:line="316" w:lineRule="auto" w:before="19"/>
        <w:ind w:right="189" w:firstLine="360"/>
        <w:jc w:val="both"/>
      </w:pPr>
      <w:r>
        <w:rPr>
          <w:spacing w:val="-2"/>
        </w:rPr>
        <w:t>以现金结算的股份支付，按照本公司承担的以股份或其他权益工具为基础计算确定的负债的公允价值计量。授予后立即</w:t>
      </w:r>
      <w:r>
        <w:rPr/>
        <w:t> </w:t>
      </w:r>
      <w:r>
        <w:rPr>
          <w:spacing w:val="-2"/>
        </w:rPr>
        <w:t>可行权的，在授予日以本公司承担负债的公允价值计入相关成本或费用，相应增加负债。在完成等待期内的服务或达到规定</w:t>
      </w:r>
      <w:r>
        <w:rPr>
          <w:spacing w:val="-65"/>
        </w:rPr>
        <w:t> </w:t>
      </w:r>
      <w:r>
        <w:rPr>
          <w:spacing w:val="-65"/>
        </w:rPr>
      </w:r>
      <w:r>
        <w:rPr>
          <w:spacing w:val="-2"/>
        </w:rPr>
        <w:t>业绩条件以后才可行权的以现金结算的股份支付，在等待期内的每个资产负债表日，以对可行权情况的最佳估计为基础，按</w:t>
      </w:r>
      <w:r>
        <w:rPr>
          <w:spacing w:val="-62"/>
        </w:rPr>
        <w:t> </w:t>
      </w:r>
      <w:r>
        <w:rPr>
          <w:spacing w:val="-62"/>
        </w:rPr>
      </w:r>
      <w:r>
        <w:rPr>
          <w:spacing w:val="-2"/>
        </w:rPr>
        <w:t>照本公司承担负债的公允价值金额，将当期取得的服务计入成本或费用和相应的负债。在相关负债结算前的每个资产负债表</w:t>
      </w:r>
      <w:r>
        <w:rPr>
          <w:spacing w:val="-64"/>
        </w:rPr>
        <w:t> </w:t>
      </w:r>
      <w:r>
        <w:rPr>
          <w:spacing w:val="-64"/>
        </w:rPr>
      </w:r>
      <w:r>
        <w:rPr/>
        <w:t>日以及结算日，对负债的公允价值重新计量，其变动计入当期损益。</w:t>
      </w:r>
    </w:p>
    <w:p>
      <w:pPr>
        <w:spacing w:line="316" w:lineRule="auto" w:before="19"/>
        <w:ind w:left="441" w:right="93" w:firstLine="72"/>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w:t>
      </w:r>
      <w:r>
        <w:rPr>
          <w:rFonts w:ascii="宋体" w:hAnsi="宋体" w:cs="宋体" w:eastAsia="宋体" w:hint="default"/>
          <w:b/>
          <w:bCs/>
          <w:spacing w:val="-3"/>
          <w:sz w:val="18"/>
          <w:szCs w:val="18"/>
        </w:rPr>
        <w:t> </w:t>
      </w:r>
      <w:r>
        <w:rPr>
          <w:rFonts w:ascii="宋体" w:hAnsi="宋体" w:cs="宋体" w:eastAsia="宋体" w:hint="default"/>
          <w:b/>
          <w:bCs/>
          <w:sz w:val="18"/>
          <w:szCs w:val="18"/>
        </w:rPr>
        <w:t>对于存在修改条款和条件的情况的，本期的修改情况及相关会计处理</w:t>
      </w:r>
      <w:r>
        <w:rPr>
          <w:rFonts w:ascii="宋体" w:hAnsi="宋体" w:cs="宋体" w:eastAsia="宋体" w:hint="default"/>
          <w:b/>
          <w:bCs/>
          <w:w w:val="99"/>
          <w:sz w:val="18"/>
          <w:szCs w:val="18"/>
        </w:rPr>
        <w:t> </w:t>
      </w:r>
      <w:r>
        <w:rPr>
          <w:rFonts w:ascii="宋体" w:hAnsi="宋体" w:cs="宋体" w:eastAsia="宋体" w:hint="default"/>
          <w:spacing w:val="-1"/>
          <w:sz w:val="18"/>
          <w:szCs w:val="18"/>
        </w:rPr>
        <w:t>若在等待期内取消了授予的权益工具，本公司对取消所授予的权益性工具作为加速行权处理，将剩余等待期内应确认的</w:t>
      </w:r>
    </w:p>
    <w:p>
      <w:pPr>
        <w:pStyle w:val="BodyText"/>
        <w:spacing w:line="316" w:lineRule="auto" w:before="16"/>
        <w:ind w:right="93"/>
        <w:jc w:val="left"/>
      </w:pPr>
      <w:r>
        <w:rPr>
          <w:spacing w:val="-2"/>
        </w:rPr>
        <w:t>金额立即计入当期损益，同时确认资本公积。职工或其他方能够选择满足非可行权条件但在等待期内未满足的，本公司将其</w:t>
      </w:r>
      <w:r>
        <w:rPr>
          <w:spacing w:val="-63"/>
        </w:rPr>
        <w:t> </w:t>
      </w:r>
      <w:r>
        <w:rPr>
          <w:spacing w:val="-63"/>
        </w:rPr>
      </w:r>
      <w:r>
        <w:rPr/>
        <w:t>作为授予权益工具的取消处理。</w:t>
      </w:r>
    </w:p>
    <w:p>
      <w:pPr>
        <w:spacing w:line="240" w:lineRule="auto" w:before="11"/>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t>无</w:t>
      </w:r>
    </w:p>
    <w:p>
      <w:pPr>
        <w:spacing w:after="0" w:line="2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93"/>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5"/>
        <w:rPr>
          <w:rFonts w:ascii="宋体" w:hAnsi="宋体" w:cs="宋体" w:eastAsia="宋体" w:hint="default"/>
          <w:b/>
          <w:bCs/>
          <w:sz w:val="26"/>
          <w:szCs w:val="26"/>
        </w:rPr>
      </w:pPr>
    </w:p>
    <w:p>
      <w:pPr>
        <w:spacing w:line="300" w:lineRule="auto" w:before="0"/>
        <w:ind w:left="513" w:right="93" w:firstLine="3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、销售商品收入确认时间的具体判断标准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公司已将商品所有权上的主要风险和报酬转移给购买方；公司既没有保留与所有权相联系的继续管理权，也没有对已售</w:t>
      </w:r>
    </w:p>
    <w:p>
      <w:pPr>
        <w:pStyle w:val="BodyText"/>
        <w:spacing w:line="316" w:lineRule="auto" w:before="31"/>
        <w:ind w:right="93"/>
        <w:jc w:val="left"/>
      </w:pPr>
      <w:r>
        <w:rPr>
          <w:spacing w:val="-2"/>
        </w:rPr>
        <w:t>出的商品实施有效控制；收入的金额能够可靠地计量；相关的经济利益很可能流入企业；相关的已发生或将发生的成本能够</w:t>
      </w:r>
      <w:r>
        <w:rPr>
          <w:spacing w:val="-63"/>
        </w:rPr>
        <w:t> </w:t>
      </w:r>
      <w:r>
        <w:rPr>
          <w:spacing w:val="-63"/>
        </w:rPr>
      </w:r>
      <w:r>
        <w:rPr/>
        <w:t>可靠地计量时，确认商品销售收入实现。</w:t>
      </w:r>
    </w:p>
    <w:p>
      <w:pPr>
        <w:pStyle w:val="BodyText"/>
        <w:spacing w:line="316" w:lineRule="auto" w:before="19"/>
        <w:ind w:right="93" w:firstLine="360"/>
        <w:jc w:val="left"/>
      </w:pPr>
      <w:r>
        <w:rPr>
          <w:spacing w:val="-2"/>
        </w:rPr>
        <w:t>本公司确认商品销售收入的具体方式：本公司国内销售业务以商品发出，客户验收合格时作为收入确认时点；国外销售</w:t>
      </w:r>
      <w:r>
        <w:rPr/>
        <w:t> 业务以商品发出，完成报关时作为收入确认时点。</w:t>
      </w:r>
    </w:p>
    <w:p>
      <w:pPr>
        <w:spacing w:line="300" w:lineRule="auto" w:before="19"/>
        <w:ind w:left="513" w:right="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、确认让渡资产使用权收入的依据</w:t>
      </w:r>
      <w:r>
        <w:rPr>
          <w:rFonts w:ascii="宋体" w:hAnsi="宋体" w:cs="宋体" w:eastAsia="宋体" w:hint="default"/>
          <w:b/>
          <w:bCs/>
          <w:w w:val="99"/>
          <w:sz w:val="18"/>
          <w:szCs w:val="18"/>
        </w:rPr>
        <w:t> </w:t>
      </w:r>
      <w:r>
        <w:rPr>
          <w:rFonts w:ascii="宋体" w:hAnsi="宋体" w:cs="宋体" w:eastAsia="宋体" w:hint="default"/>
          <w:sz w:val="18"/>
          <w:szCs w:val="18"/>
        </w:rPr>
        <w:t>与交易相关的经济利益很可能流入企业，收入的金额能够可靠地计量时，分别下列情况确定让渡资产使用权收入金额：</w:t>
      </w:r>
    </w:p>
    <w:p>
      <w:pPr>
        <w:pStyle w:val="BodyText"/>
        <w:spacing w:line="240" w:lineRule="auto" w:before="31"/>
        <w:ind w:left="513" w:right="93"/>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63"/>
        <w:ind w:left="513" w:right="93"/>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300" w:lineRule="auto" w:before="63"/>
        <w:ind w:left="513" w:right="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、提供劳务收入的确认依据和方法</w:t>
      </w:r>
      <w:r>
        <w:rPr>
          <w:rFonts w:ascii="宋体" w:hAnsi="宋体" w:cs="宋体" w:eastAsia="宋体" w:hint="default"/>
          <w:b/>
          <w:bCs/>
          <w:w w:val="99"/>
          <w:sz w:val="18"/>
          <w:szCs w:val="18"/>
        </w:rPr>
        <w:t> </w:t>
      </w:r>
      <w:r>
        <w:rPr>
          <w:rFonts w:ascii="宋体" w:hAnsi="宋体" w:cs="宋体" w:eastAsia="宋体" w:hint="default"/>
          <w:spacing w:val="-4"/>
          <w:sz w:val="18"/>
          <w:szCs w:val="18"/>
        </w:rPr>
        <w:t>在资产负债表日提供劳务交易的结果能够可靠估计的，采用完工百分比法确认提供劳务收入。提供劳务交易的完工进度，</w:t>
      </w:r>
    </w:p>
    <w:p>
      <w:pPr>
        <w:pStyle w:val="BodyText"/>
        <w:spacing w:line="316" w:lineRule="auto" w:before="31"/>
        <w:ind w:left="513" w:right="4593" w:hanging="361"/>
        <w:jc w:val="left"/>
      </w:pPr>
      <w:r>
        <w:rPr/>
        <w:t>依据已完工作的测量确定。 提供劳务交易的结果能够可靠估计，是指同时满足下列条件：</w:t>
      </w:r>
    </w:p>
    <w:p>
      <w:pPr>
        <w:pStyle w:val="BodyText"/>
        <w:spacing w:line="240" w:lineRule="auto" w:before="19"/>
        <w:ind w:left="513" w:right="93"/>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63"/>
        <w:ind w:left="513" w:right="93"/>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63"/>
        <w:ind w:left="513" w:right="93"/>
        <w:jc w:val="left"/>
      </w:pPr>
      <w:r>
        <w:rPr/>
        <w:t>（</w:t>
      </w:r>
      <w:r>
        <w:rPr>
          <w:rFonts w:ascii="Times New Roman" w:hAnsi="Times New Roman" w:cs="Times New Roman" w:eastAsia="Times New Roman" w:hint="default"/>
        </w:rPr>
        <w:t>3</w:t>
      </w:r>
      <w:r>
        <w:rPr/>
        <w:t>）交易的完工进度能够可靠地确定；</w:t>
      </w:r>
    </w:p>
    <w:p>
      <w:pPr>
        <w:pStyle w:val="BodyText"/>
        <w:spacing w:line="300" w:lineRule="auto" w:before="63"/>
        <w:ind w:left="513" w:right="93"/>
        <w:jc w:val="left"/>
      </w:pPr>
      <w:r>
        <w:rPr/>
        <w:t>（</w:t>
      </w:r>
      <w:r>
        <w:rPr>
          <w:rFonts w:ascii="Times New Roman" w:hAnsi="Times New Roman" w:cs="Times New Roman" w:eastAsia="Times New Roman" w:hint="default"/>
        </w:rPr>
        <w:t>4</w:t>
      </w:r>
      <w:r>
        <w:rPr/>
        <w:t>）交易中已发生和将发生的成本能够可靠地计量。 </w:t>
      </w:r>
      <w:r>
        <w:rPr>
          <w:spacing w:val="-2"/>
        </w:rPr>
        <w:t>按照已收或应收的合同或协议价款确定提供劳务收入总额，但已收或应收的合同或协议价款不公允的除外。资产负债表</w:t>
      </w:r>
    </w:p>
    <w:p>
      <w:pPr>
        <w:pStyle w:val="BodyText"/>
        <w:spacing w:line="316" w:lineRule="auto" w:before="31"/>
        <w:ind w:right="93"/>
        <w:jc w:val="left"/>
      </w:pPr>
      <w:r>
        <w:rPr>
          <w:spacing w:val="-4"/>
        </w:rPr>
        <w:t>日按照提供劳务收入总额乘以完工进度扣除以前会计期间累计已确认提供劳务收入后的金额，确认当期提供劳务收入；同时，</w:t>
      </w:r>
      <w:r>
        <w:rPr>
          <w:spacing w:val="-44"/>
        </w:rPr>
        <w:t> </w:t>
      </w:r>
      <w:r>
        <w:rPr>
          <w:spacing w:val="-44"/>
        </w:rPr>
      </w:r>
      <w:r>
        <w:rPr/>
        <w:t>按照提供劳务估计总成本乘以完工进度扣除以前会计期间累计已确认劳务成本后的金额，结转当期劳务成本。</w:t>
      </w:r>
    </w:p>
    <w:p>
      <w:pPr>
        <w:pStyle w:val="BodyText"/>
        <w:spacing w:line="240" w:lineRule="auto" w:before="19"/>
        <w:ind w:left="513" w:right="93"/>
        <w:jc w:val="left"/>
      </w:pPr>
      <w:r>
        <w:rPr/>
        <w:t>在资产负债表日提供劳务交易结果不能够可靠估计的，分别下列情况处理：</w:t>
      </w:r>
    </w:p>
    <w:p>
      <w:pPr>
        <w:pStyle w:val="BodyText"/>
        <w:spacing w:line="300" w:lineRule="auto" w:before="76"/>
        <w:ind w:right="184" w:firstLine="360"/>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）已经发生的劳务成本预计能够得到补偿的，按照已经发生的劳务成本金额确认提供劳务收入，并按相同金额结转 劳务成本。</w:t>
      </w:r>
    </w:p>
    <w:p>
      <w:pPr>
        <w:pStyle w:val="BodyText"/>
        <w:spacing w:line="300" w:lineRule="auto" w:before="31"/>
        <w:ind w:left="532" w:right="254" w:hanging="20"/>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）已经发生的劳务成本预计不能够得到补偿的，将已经发生的劳务成本计入当期损益，不确认提供劳务收入。 本公司与其他企业签订的合同或协议包括销售商品和提供劳务时，销售商品部分和提供劳务部分能够区分且能够单独</w:t>
      </w:r>
    </w:p>
    <w:p>
      <w:pPr>
        <w:pStyle w:val="BodyText"/>
        <w:spacing w:line="316" w:lineRule="auto" w:before="31"/>
        <w:ind w:right="93"/>
        <w:jc w:val="left"/>
      </w:pPr>
      <w:r>
        <w:rPr>
          <w:spacing w:val="-2"/>
        </w:rPr>
        <w:t>计量的，将销售商品的部分作为销售商品处理，将提供劳务的部分作为提供劳务处理。销售商品部分和提供劳务部分不能够</w:t>
      </w:r>
      <w:r>
        <w:rPr>
          <w:spacing w:val="-63"/>
        </w:rPr>
        <w:t> </w:t>
      </w:r>
      <w:r>
        <w:rPr>
          <w:spacing w:val="-63"/>
        </w:rPr>
      </w:r>
      <w:r>
        <w:rPr/>
        <w:t>区分，或虽能区分但不能够单独计量的，将销售商品部分和提供劳务部分全部作为销售商品处理。</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3"/>
        <w:jc w:val="left"/>
      </w:pPr>
      <w:r>
        <w:rPr>
          <w:rFonts w:ascii="Times New Roman" w:hAnsi="Times New Roman" w:cs="Times New Roman" w:eastAsia="Times New Roman" w:hint="default"/>
        </w:rPr>
        <w:t>1)</w:t>
      </w:r>
      <w:r>
        <w:rPr/>
        <w:t>与资产相关的政府补助，是指本公司取得的、用于购建或以其他方式形成长期资产的政府补助。</w:t>
      </w:r>
    </w:p>
    <w:p>
      <w:pPr>
        <w:pStyle w:val="BodyText"/>
        <w:spacing w:line="309" w:lineRule="auto" w:before="63"/>
        <w:ind w:right="94" w:firstLine="360"/>
        <w:jc w:val="left"/>
      </w:pPr>
      <w:r>
        <w:rPr>
          <w:rFonts w:ascii="Times New Roman" w:hAnsi="Times New Roman" w:cs="Times New Roman" w:eastAsia="Times New Roman" w:hint="default"/>
        </w:rPr>
        <w:t>2)</w:t>
      </w:r>
      <w:r>
        <w:rPr/>
        <w:t>与资产相关的政府补助，确认为递延收益，按照所建造或购买的资产使用年限分期计入营业外收入；已确认的政府补</w:t>
      </w:r>
      <w:r>
        <w:rPr>
          <w:w w:val="99"/>
        </w:rPr>
        <w:t> </w:t>
      </w:r>
      <w:r>
        <w:rPr/>
        <w:t>助需要返还时，存在相关递延收益余额的，冲减相关递延收益账面余额，超出部分计入当期损益；不存在相关递延收益的，</w:t>
      </w:r>
      <w:r>
        <w:rPr>
          <w:w w:val="99"/>
        </w:rPr>
        <w:t> </w:t>
      </w:r>
      <w:r>
        <w:rPr/>
        <w:t>直接计入当期损益。</w:t>
      </w:r>
    </w:p>
    <w:p>
      <w:pPr>
        <w:spacing w:line="240" w:lineRule="auto" w:before="3"/>
        <w:rPr>
          <w:rFonts w:ascii="宋体" w:hAnsi="宋体" w:cs="宋体" w:eastAsia="宋体" w:hint="default"/>
          <w:sz w:val="23"/>
          <w:szCs w:val="23"/>
        </w:rPr>
      </w:pPr>
    </w:p>
    <w:p>
      <w:pPr>
        <w:pStyle w:val="Heading3"/>
        <w:spacing w:line="240" w:lineRule="auto"/>
        <w:ind w:right="93"/>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3"/>
        <w:jc w:val="left"/>
      </w:pPr>
      <w:r>
        <w:rPr>
          <w:rFonts w:ascii="Times New Roman" w:hAnsi="Times New Roman" w:cs="Times New Roman" w:eastAsia="Times New Roman" w:hint="default"/>
        </w:rPr>
        <w:t>1)</w:t>
      </w:r>
      <w:r>
        <w:rPr/>
        <w:t>与收益相关的政府补助，是指除与资产相关的政府补助之外的政府补助。</w:t>
      </w:r>
    </w:p>
    <w:p>
      <w:pPr>
        <w:pStyle w:val="BodyText"/>
        <w:spacing w:line="300" w:lineRule="auto" w:before="62"/>
        <w:ind w:right="177" w:firstLine="360"/>
        <w:jc w:val="left"/>
      </w:pPr>
      <w:r>
        <w:rPr>
          <w:rFonts w:ascii="Times New Roman" w:hAnsi="Times New Roman" w:cs="Times New Roman" w:eastAsia="Times New Roman" w:hint="default"/>
          <w:spacing w:val="-1"/>
        </w:rPr>
        <w:t>2)</w:t>
      </w:r>
      <w:r>
        <w:rPr>
          <w:spacing w:val="-1"/>
        </w:rPr>
        <w:t>与收益相关的政府补助，用于补偿企业以后期间的相关费用或损失的，确认为递延收益，在确认相关费用的期间计入</w:t>
      </w:r>
      <w:r>
        <w:rPr>
          <w:w w:val="99"/>
        </w:rPr>
        <w:t> </w:t>
      </w:r>
      <w:r>
        <w:rPr>
          <w:spacing w:val="-2"/>
        </w:rPr>
        <w:t>当期营业外收入；用于补偿企业已发生的相关费用或损失的，取得时直接计入当期营业外收入。已确认的政府补助需要返还</w:t>
      </w:r>
    </w:p>
    <w:p>
      <w:pPr>
        <w:spacing w:after="0" w:line="300" w:lineRule="auto"/>
        <w:jc w:val="left"/>
        <w:sectPr>
          <w:footerReference w:type="default" r:id="rId19"/>
          <w:pgSz w:w="11910" w:h="16840"/>
          <w:pgMar w:footer="980" w:header="745" w:top="1060" w:bottom="1160" w:left="980" w:right="940"/>
          <w:pgNumType w:start="110"/>
        </w:sectPr>
      </w:pPr>
    </w:p>
    <w:p>
      <w:pPr>
        <w:spacing w:line="240" w:lineRule="auto" w:before="9"/>
        <w:rPr>
          <w:rFonts w:ascii="宋体" w:hAnsi="宋体" w:cs="宋体" w:eastAsia="宋体" w:hint="default"/>
          <w:sz w:val="25"/>
          <w:szCs w:val="25"/>
        </w:rPr>
      </w:pPr>
    </w:p>
    <w:p>
      <w:pPr>
        <w:pStyle w:val="BodyText"/>
        <w:spacing w:line="319" w:lineRule="auto" w:before="44"/>
        <w:ind w:right="93"/>
        <w:jc w:val="left"/>
      </w:pPr>
      <w:r>
        <w:rPr>
          <w:spacing w:val="-2"/>
        </w:rPr>
        <w:t>时，存在相关递延收益余额的，冲减相关递延收益账面余额，超出部分计入当期损益；不存在相关递延收益的，直接计入当</w:t>
      </w:r>
      <w:r>
        <w:rPr>
          <w:spacing w:val="-67"/>
        </w:rPr>
        <w:t> </w:t>
      </w:r>
      <w:r>
        <w:rPr>
          <w:spacing w:val="-67"/>
        </w:rPr>
      </w:r>
      <w:r>
        <w:rPr/>
        <w:t>期损益。</w:t>
      </w:r>
    </w:p>
    <w:p>
      <w:pPr>
        <w:spacing w:line="240" w:lineRule="auto" w:before="9"/>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91" w:firstLine="360"/>
        <w:jc w:val="both"/>
      </w:pPr>
      <w:r>
        <w:rPr>
          <w:spacing w:val="-1"/>
        </w:rPr>
        <w:t>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计算确认。于资产负债</w:t>
      </w:r>
      <w:r>
        <w:rPr/>
        <w:t> 表日，递延所得税资产和递延所得税负债，按照预期收回该资产或清偿该负债期间的适用税率计量。</w:t>
      </w:r>
    </w:p>
    <w:p>
      <w:pPr>
        <w:spacing w:line="316" w:lineRule="auto" w:before="31"/>
        <w:ind w:left="513" w:right="93"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确认递延所得税资产的依据</w:t>
      </w:r>
      <w:r>
        <w:rPr>
          <w:rFonts w:ascii="宋体" w:hAnsi="宋体" w:cs="宋体" w:eastAsia="宋体" w:hint="default"/>
          <w:b/>
          <w:bCs/>
          <w:w w:val="99"/>
          <w:sz w:val="18"/>
          <w:szCs w:val="18"/>
        </w:rPr>
        <w:t> </w:t>
      </w:r>
      <w:r>
        <w:rPr>
          <w:rFonts w:ascii="宋体" w:hAnsi="宋体" w:cs="宋体" w:eastAsia="宋体" w:hint="default"/>
          <w:spacing w:val="-2"/>
          <w:sz w:val="18"/>
          <w:szCs w:val="18"/>
        </w:rPr>
        <w:t>本公司以很可能取得用来抵扣可抵扣暂时性差异、能够结转以后年度的可抵扣亏损和税款抵减的应纳税所得额为限，确</w:t>
      </w:r>
    </w:p>
    <w:p>
      <w:pPr>
        <w:pStyle w:val="BodyText"/>
        <w:spacing w:line="316" w:lineRule="auto" w:before="19"/>
        <w:ind w:right="94"/>
        <w:jc w:val="left"/>
      </w:pPr>
      <w:r>
        <w:rPr>
          <w:spacing w:val="-2"/>
        </w:rPr>
        <w:t>认由可抵扣暂时性差异产生的递延所得税资产。但是，同时具有下列特征的交易中因资产或负债的初始确认所产生的递延所</w:t>
      </w:r>
      <w:r>
        <w:rPr>
          <w:spacing w:val="-64"/>
        </w:rPr>
        <w:t> </w:t>
      </w:r>
      <w:r>
        <w:rPr>
          <w:spacing w:val="-64"/>
        </w:rPr>
      </w:r>
      <w:r>
        <w:rPr/>
        <w:t>得税资产不予确认：（</w:t>
      </w:r>
      <w:r>
        <w:rPr>
          <w:rFonts w:ascii="Times New Roman" w:hAnsi="Times New Roman" w:cs="Times New Roman" w:eastAsia="Times New Roman" w:hint="default"/>
        </w:rPr>
        <w:t>1</w:t>
      </w:r>
      <w:r>
        <w:rPr/>
        <w:t>）该交易不是企业合并；（</w:t>
      </w:r>
      <w:r>
        <w:rPr>
          <w:rFonts w:ascii="Times New Roman" w:hAnsi="Times New Roman" w:cs="Times New Roman" w:eastAsia="Times New Roman" w:hint="default"/>
        </w:rPr>
        <w:t>2</w:t>
      </w:r>
      <w:r>
        <w:rPr/>
        <w:t>）交易发生时既不影响会计利润也不影响应纳税所得额或可抵扣亏损。</w:t>
      </w:r>
    </w:p>
    <w:p>
      <w:pPr>
        <w:pStyle w:val="BodyText"/>
        <w:spacing w:line="316" w:lineRule="auto"/>
        <w:ind w:right="189" w:firstLine="360"/>
        <w:jc w:val="both"/>
      </w:pPr>
      <w:r>
        <w:rPr>
          <w:spacing w:val="-2"/>
        </w:rPr>
        <w:t>对于与联营企业投资相关的可抵扣暂时性差异，同时满足下列条件的，确认相应的递延所得税资产：暂时性差异在可预</w:t>
      </w:r>
      <w:r>
        <w:rPr/>
        <w:t> 见的未来很可能转回，且未来很可能获得用来抵扣可抵扣暂时性差异的应纳税所得额。</w:t>
      </w:r>
    </w:p>
    <w:p>
      <w:pPr>
        <w:spacing w:line="300" w:lineRule="auto" w:before="19"/>
        <w:ind w:left="513" w:right="2433" w:firstLine="7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、确认递延所得税负债的依据</w:t>
      </w:r>
      <w:r>
        <w:rPr>
          <w:rFonts w:ascii="宋体" w:hAnsi="宋体" w:cs="宋体" w:eastAsia="宋体" w:hint="default"/>
          <w:b/>
          <w:bCs/>
          <w:w w:val="99"/>
          <w:sz w:val="18"/>
          <w:szCs w:val="18"/>
        </w:rPr>
        <w:t> </w:t>
      </w:r>
      <w:r>
        <w:rPr>
          <w:rFonts w:ascii="宋体" w:hAnsi="宋体" w:cs="宋体" w:eastAsia="宋体" w:hint="default"/>
          <w:sz w:val="18"/>
          <w:szCs w:val="18"/>
        </w:rPr>
        <w:t>公司将当期与以前期间应交未交的应纳税暂时性差异确认为递延所得税负债。但不包括：</w:t>
      </w:r>
    </w:p>
    <w:p>
      <w:pPr>
        <w:pStyle w:val="BodyText"/>
        <w:spacing w:line="240" w:lineRule="auto" w:before="31"/>
        <w:ind w:left="513" w:right="93"/>
        <w:jc w:val="left"/>
      </w:pPr>
      <w:r>
        <w:rPr/>
        <w:t>（</w:t>
      </w:r>
      <w:r>
        <w:rPr>
          <w:rFonts w:ascii="Times New Roman" w:hAnsi="Times New Roman" w:cs="Times New Roman" w:eastAsia="Times New Roman" w:hint="default"/>
        </w:rPr>
        <w:t>1</w:t>
      </w:r>
      <w:r>
        <w:rPr/>
        <w:t>）商誉的初始确认所形成的暂时性差异；</w:t>
      </w:r>
    </w:p>
    <w:p>
      <w:pPr>
        <w:pStyle w:val="BodyText"/>
        <w:spacing w:line="300" w:lineRule="auto" w:before="63"/>
        <w:ind w:right="199" w:firstLine="360"/>
        <w:jc w:val="both"/>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）非企业合并形成的交易或事项，且该交易或事项发生时既不影响会计利润，也不影响应纳税所得额（或可抵扣亏 损）所形成的暂时性差异；</w:t>
      </w:r>
    </w:p>
    <w:p>
      <w:pPr>
        <w:pStyle w:val="BodyText"/>
        <w:spacing w:line="300" w:lineRule="auto" w:before="31"/>
        <w:ind w:right="199" w:firstLine="360"/>
        <w:jc w:val="both"/>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）对于与子公司、联营企业投资相关的应纳税暂时性差异，该暂时性差异转回的时间能够控制并且该暂时性差异在 可预见的未来很可能不会转回。</w:t>
      </w:r>
    </w:p>
    <w:p>
      <w:pPr>
        <w:pStyle w:val="Heading4"/>
        <w:spacing w:line="240" w:lineRule="auto" w:before="31"/>
        <w:ind w:left="590" w:right="93"/>
        <w:jc w:val="left"/>
        <w:rPr>
          <w:b w:val="0"/>
          <w:bCs w:val="0"/>
        </w:rPr>
      </w:pPr>
      <w:r>
        <w:rPr>
          <w:rFonts w:ascii="Times New Roman" w:hAnsi="Times New Roman" w:cs="Times New Roman" w:eastAsia="Times New Roman" w:hint="default"/>
        </w:rPr>
        <w:t>3</w:t>
      </w:r>
      <w:r>
        <w:rPr/>
        <w:t>、同时满足下列条件时，将递延所得税资产及递延所得税负债以抵销后的净额列示</w:t>
      </w:r>
      <w:r>
        <w:rPr>
          <w:b w:val="0"/>
          <w:bCs w:val="0"/>
        </w:rPr>
      </w:r>
    </w:p>
    <w:p>
      <w:pPr>
        <w:pStyle w:val="BodyText"/>
        <w:spacing w:line="240" w:lineRule="auto" w:before="63"/>
        <w:ind w:left="513" w:right="93"/>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309" w:lineRule="auto" w:before="63"/>
        <w:ind w:right="193" w:firstLine="365"/>
        <w:jc w:val="both"/>
      </w:pPr>
      <w:r>
        <w:rPr/>
        <w:t>（</w:t>
      </w:r>
      <w:r>
        <w:rPr>
          <w:rFonts w:ascii="Times New Roman" w:hAnsi="Times New Roman" w:cs="Times New Roman" w:eastAsia="Times New Roman" w:hint="default"/>
        </w:rPr>
        <w:t>2</w:t>
      </w:r>
      <w:r>
        <w:rPr/>
        <w:t>）递延所得税资产和递延所得税负债是与同一税收征管部门对同一纳税主体征收的所得税相关或者对不同的纳税主 </w:t>
      </w:r>
      <w:r>
        <w:rPr>
          <w:spacing w:val="-2"/>
        </w:rPr>
        <w:t>体相关，但在未来每一具有重要性的递延所得税资产和递延所得税负债转回的期间内，涉及的纳税主体体意图以净额结算当</w:t>
      </w:r>
      <w:r>
        <w:rPr>
          <w:spacing w:val="-64"/>
        </w:rPr>
        <w:t> </w:t>
      </w:r>
      <w:r>
        <w:rPr>
          <w:spacing w:val="-64"/>
        </w:rPr>
      </w:r>
      <w:r>
        <w:rPr/>
        <w:t>期所得税资产及当期所得税负债或是同时取得资产、清偿债务。</w:t>
      </w:r>
    </w:p>
    <w:p>
      <w:pPr>
        <w:spacing w:line="240" w:lineRule="auto" w:before="3"/>
        <w:rPr>
          <w:rFonts w:ascii="宋体" w:hAnsi="宋体" w:cs="宋体" w:eastAsia="宋体" w:hint="default"/>
          <w:sz w:val="23"/>
          <w:szCs w:val="23"/>
        </w:rPr>
      </w:pPr>
    </w:p>
    <w:p>
      <w:pPr>
        <w:pStyle w:val="Heading3"/>
        <w:spacing w:line="240" w:lineRule="auto"/>
        <w:ind w:right="93"/>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99" w:firstLine="360"/>
        <w:jc w:val="both"/>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）公司租入资产所支付的租赁费，在不扣除免租期的整个租赁期内，按直线法进行分摊，计入当期费用。公司支付 的与租赁交易相关的初始直接费用，计入当期费用。</w:t>
      </w:r>
    </w:p>
    <w:p>
      <w:pPr>
        <w:pStyle w:val="BodyText"/>
        <w:spacing w:line="316" w:lineRule="auto" w:before="31"/>
        <w:ind w:right="192" w:firstLine="360"/>
        <w:jc w:val="both"/>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09" w:lineRule="auto" w:before="19"/>
        <w:ind w:right="193" w:firstLine="360"/>
        <w:jc w:val="both"/>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）公司出租资产所收取的租赁费，在不扣除免租期的整个租赁期内，按直线法进行分摊，确认为租赁收入。公司支 </w:t>
      </w:r>
      <w:r>
        <w:rPr>
          <w:spacing w:val="-2"/>
        </w:rPr>
        <w:t>付的与租赁交易相关的初始直接费用，计入当期费用；如金额较大的，则予以资本化，在整个租赁期间内按照与租赁收入确</w:t>
      </w:r>
      <w:r>
        <w:rPr>
          <w:spacing w:val="-66"/>
        </w:rPr>
        <w:t> </w:t>
      </w:r>
      <w:r>
        <w:rPr>
          <w:spacing w:val="-66"/>
        </w:rPr>
      </w:r>
      <w:r>
        <w:rPr/>
        <w:t>认相同的基础分期计入当期收益。</w:t>
      </w:r>
    </w:p>
    <w:p>
      <w:pPr>
        <w:pStyle w:val="BodyText"/>
        <w:spacing w:line="319" w:lineRule="auto" w:before="24"/>
        <w:ind w:right="192" w:firstLine="360"/>
        <w:jc w:val="both"/>
      </w:pPr>
      <w:r>
        <w:rPr>
          <w:spacing w:val="-2"/>
        </w:rPr>
        <w:t>公司承担了应由承租方承担的与租赁相关的费用时，公司将该部分费用从租金收入总额中扣除，按扣除后的租金费用在</w:t>
      </w:r>
      <w:r>
        <w:rPr/>
        <w:t> 租赁期内分配。</w:t>
      </w:r>
    </w:p>
    <w:p>
      <w:pPr>
        <w:spacing w:line="240" w:lineRule="auto" w:before="9"/>
        <w:rPr>
          <w:rFonts w:ascii="宋体" w:hAnsi="宋体" w:cs="宋体" w:eastAsia="宋体" w:hint="default"/>
          <w:sz w:val="22"/>
          <w:szCs w:val="22"/>
        </w:rPr>
      </w:pPr>
    </w:p>
    <w:p>
      <w:pPr>
        <w:pStyle w:val="Heading3"/>
        <w:spacing w:line="240" w:lineRule="auto"/>
        <w:ind w:right="9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99" w:firstLine="360"/>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 账价值，将最低租赁付款额作为长期应付款的入账价值，其差额作为未确认的融资费用。</w:t>
      </w:r>
    </w:p>
    <w:p>
      <w:pPr>
        <w:pStyle w:val="BodyText"/>
        <w:spacing w:line="240" w:lineRule="auto" w:before="31"/>
        <w:ind w:left="513" w:right="93"/>
        <w:jc w:val="left"/>
      </w:pPr>
      <w:r>
        <w:rPr/>
        <w:t>公司采用实际利率法对未确认的融资费用，在资产租赁期间内摊销，计入财务费用。</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9" w:lineRule="auto" w:before="44"/>
        <w:ind w:right="93" w:firstLine="288"/>
        <w:jc w:val="left"/>
      </w:pPr>
      <w:r>
        <w:rPr>
          <w:spacing w:val="-1"/>
        </w:rPr>
        <w:t>（</w:t>
      </w:r>
      <w:r>
        <w:rPr>
          <w:rFonts w:ascii="Times New Roman" w:hAnsi="Times New Roman" w:cs="Times New Roman" w:eastAsia="Times New Roman" w:hint="default"/>
          <w:spacing w:val="-1"/>
        </w:rPr>
        <w:t>2</w:t>
      </w:r>
      <w:r>
        <w:rPr>
          <w:spacing w:val="-1"/>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3"/>
        <w:rPr>
          <w:rFonts w:ascii="宋体" w:hAnsi="宋体" w:cs="宋体" w:eastAsia="宋体" w:hint="default"/>
          <w:sz w:val="23"/>
          <w:szCs w:val="23"/>
        </w:rPr>
      </w:pPr>
    </w:p>
    <w:p>
      <w:pPr>
        <w:pStyle w:val="Heading3"/>
        <w:spacing w:line="240" w:lineRule="auto"/>
        <w:ind w:right="93"/>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9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3"/>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t>无</w:t>
      </w:r>
    </w:p>
    <w:p>
      <w:pPr>
        <w:spacing w:line="240" w:lineRule="auto" w:before="3"/>
        <w:rPr>
          <w:rFonts w:ascii="宋体" w:hAnsi="宋体" w:cs="宋体" w:eastAsia="宋体" w:hint="default"/>
          <w:sz w:val="25"/>
          <w:szCs w:val="25"/>
        </w:rPr>
      </w:pPr>
    </w:p>
    <w:p>
      <w:pPr>
        <w:pStyle w:val="Heading2"/>
        <w:spacing w:line="240" w:lineRule="auto"/>
        <w:ind w:right="93"/>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产品或劳务收入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房屋租赁收入、工程劳务收入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8.7%</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15%-39%</w:t>
            </w:r>
            <w:r>
              <w:rPr>
                <w:rFonts w:ascii="宋体" w:hAnsi="宋体" w:cs="宋体" w:eastAsia="宋体" w:hint="default"/>
                <w:sz w:val="18"/>
                <w:szCs w:val="18"/>
              </w:rPr>
              <w:t>超</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额累进税率</w:t>
            </w:r>
          </w:p>
        </w:tc>
      </w:tr>
      <w:tr>
        <w:trPr>
          <w:trHeight w:val="394"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93"/>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卓翼香港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深圳市卓大精密模具有限公司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中广视讯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卓翼营销有限公司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天津卓达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Double</w:t>
            </w:r>
            <w:r>
              <w:rPr>
                <w:rFonts w:ascii="Times New Roman"/>
                <w:spacing w:val="-5"/>
                <w:sz w:val="18"/>
              </w:rPr>
              <w:t> </w:t>
            </w:r>
            <w:r>
              <w:rPr>
                <w:rFonts w:ascii="Times New Roman"/>
                <w:sz w:val="18"/>
              </w:rPr>
              <w:t>Power</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15%-39%</w:t>
            </w:r>
            <w:r>
              <w:rPr>
                <w:rFonts w:ascii="宋体" w:hAnsi="宋体" w:cs="宋体" w:eastAsia="宋体" w:hint="default"/>
                <w:sz w:val="18"/>
                <w:szCs w:val="18"/>
              </w:rPr>
              <w:t>超额累进税率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中广互联（厦门）信息科技有限公司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深圳市卓翼智造有限公司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深圳市翼飞投资有限公司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Itasca Holding</w:t>
            </w:r>
            <w:r>
              <w:rPr>
                <w:rFonts w:ascii="Times New Roman"/>
                <w:spacing w:val="-4"/>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Haxis GP</w:t>
            </w:r>
            <w:r>
              <w:rPr>
                <w:rFonts w:ascii="Times New Roman"/>
                <w:spacing w:val="-12"/>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Haxis Fund I</w:t>
            </w:r>
            <w:r>
              <w:rPr>
                <w:rFonts w:ascii="Times New Roman"/>
                <w:spacing w:val="-6"/>
                <w:sz w:val="18"/>
              </w:rPr>
              <w:t> </w:t>
            </w:r>
            <w:r>
              <w:rPr>
                <w:rFonts w:ascii="Times New Roman"/>
                <w:sz w:val="18"/>
              </w:rPr>
              <w:t>LP</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Haxis Labs</w:t>
            </w:r>
            <w:r>
              <w:rPr>
                <w:rFonts w:ascii="Times New Roman"/>
                <w:spacing w:val="-5"/>
                <w:sz w:val="18"/>
              </w:rPr>
              <w:t> </w:t>
            </w:r>
            <w:r>
              <w:rPr>
                <w:rFonts w:ascii="Times New Roman"/>
                <w:sz w:val="18"/>
              </w:rPr>
              <w:t>Incorporated.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8.7%</w:t>
            </w:r>
          </w:p>
        </w:tc>
      </w:tr>
    </w:tbl>
    <w:p>
      <w:pPr>
        <w:spacing w:line="240" w:lineRule="auto" w:before="3"/>
        <w:rPr>
          <w:rFonts w:ascii="宋体" w:hAnsi="宋体" w:cs="宋体" w:eastAsia="宋体" w:hint="default"/>
          <w:sz w:val="19"/>
          <w:szCs w:val="19"/>
        </w:rPr>
      </w:pPr>
    </w:p>
    <w:p>
      <w:pPr>
        <w:pStyle w:val="Heading3"/>
        <w:spacing w:line="240" w:lineRule="auto" w:before="36"/>
        <w:ind w:right="9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98"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日本公司通过深圳市科技工贸和信息化委员会、深圳市财政委员会、深圳市国家税务局、深圳市地方 税务局联合的高新技术企业的复审，并取得证书编号为</w:t>
      </w:r>
      <w:r>
        <w:rPr>
          <w:rFonts w:ascii="Times New Roman" w:hAnsi="Times New Roman" w:cs="Times New Roman" w:eastAsia="Times New Roman" w:hint="default"/>
        </w:rPr>
        <w:t>GR201444201623</w:t>
      </w:r>
      <w:r>
        <w:rPr/>
        <w:t>号高新技术企业证书，有效期为三年。根据相关税 </w:t>
      </w:r>
      <w:r>
        <w:rPr>
          <w:spacing w:val="-3"/>
        </w:rPr>
        <w:t>收规定，公司将自</w:t>
      </w:r>
      <w:r>
        <w:rPr>
          <w:rFonts w:ascii="Times New Roman" w:hAnsi="Times New Roman" w:cs="Times New Roman" w:eastAsia="Times New Roman" w:hint="default"/>
          <w:spacing w:val="-3"/>
        </w:rPr>
        <w:t>2014</w:t>
      </w:r>
      <w:r>
        <w:rPr>
          <w:spacing w:val="-3"/>
        </w:rPr>
        <w:t>年起连续三年享受高新技术企业的相关税收优惠政策，</w:t>
      </w:r>
      <w:r>
        <w:rPr>
          <w:rFonts w:ascii="Times New Roman" w:hAnsi="Times New Roman" w:cs="Times New Roman" w:eastAsia="Times New Roman" w:hint="default"/>
          <w:spacing w:val="-3"/>
        </w:rPr>
        <w:t>2014</w:t>
      </w:r>
      <w:r>
        <w:rPr>
          <w:spacing w:val="-3"/>
        </w:rPr>
        <w:t>年至</w:t>
      </w:r>
      <w:r>
        <w:rPr>
          <w:rFonts w:ascii="Times New Roman" w:hAnsi="Times New Roman" w:cs="Times New Roman" w:eastAsia="Times New Roman" w:hint="default"/>
          <w:spacing w:val="-3"/>
        </w:rPr>
        <w:t>2016</w:t>
      </w:r>
      <w:r>
        <w:rPr>
          <w:spacing w:val="-3"/>
        </w:rPr>
        <w:t>年按</w:t>
      </w:r>
      <w:r>
        <w:rPr>
          <w:rFonts w:ascii="Times New Roman" w:hAnsi="Times New Roman" w:cs="Times New Roman" w:eastAsia="Times New Roman" w:hint="default"/>
          <w:spacing w:val="-3"/>
        </w:rPr>
        <w:t>15%</w:t>
      </w:r>
      <w:r>
        <w:rPr>
          <w:spacing w:val="-3"/>
        </w:rPr>
        <w:t>的税率计缴企业所得税。</w:t>
      </w:r>
    </w:p>
    <w:p>
      <w:pPr>
        <w:pStyle w:val="BodyText"/>
        <w:spacing w:line="309" w:lineRule="auto" w:before="133"/>
        <w:ind w:right="93" w:firstLine="360"/>
        <w:jc w:val="left"/>
      </w:pPr>
      <w:r>
        <w:rPr>
          <w:rFonts w:ascii="Times New Roman" w:hAnsi="Times New Roman" w:cs="Times New Roman" w:eastAsia="Times New Roman" w:hint="default"/>
        </w:rPr>
        <w:t>2</w:t>
      </w:r>
      <w:r>
        <w:rPr/>
        <w:t>、本公司下属全资子公司卓翼香港的公司利得税税率为</w:t>
      </w:r>
      <w:r>
        <w:rPr>
          <w:rFonts w:ascii="Times New Roman" w:hAnsi="Times New Roman" w:cs="Times New Roman" w:eastAsia="Times New Roman" w:hint="default"/>
        </w:rPr>
        <w:t>16.5%</w:t>
      </w:r>
      <w:r>
        <w:rPr/>
        <w:t>，根据香港税则的规定，仅对来自香港或者在香港产生 </w:t>
      </w:r>
      <w:r>
        <w:rPr>
          <w:spacing w:val="-2"/>
        </w:rPr>
        <w:t>的利润才需要缴纳公司利得税，卓翼香港全部利润均来源于香港以外的地区，已经香港税务主管部门认定通过，卓翼香港不</w:t>
      </w:r>
      <w:r>
        <w:rPr>
          <w:spacing w:val="-63"/>
        </w:rPr>
        <w:t> </w:t>
      </w:r>
      <w:r>
        <w:rPr>
          <w:spacing w:val="-63"/>
        </w:rPr>
      </w:r>
      <w:r>
        <w:rPr/>
        <w:t>需缴纳公司利得税。</w:t>
      </w:r>
    </w:p>
    <w:p>
      <w:pPr>
        <w:pStyle w:val="BodyText"/>
        <w:spacing w:line="300" w:lineRule="auto" w:before="24"/>
        <w:ind w:right="169" w:firstLine="360"/>
        <w:jc w:val="both"/>
      </w:pPr>
      <w:r>
        <w:rPr>
          <w:rFonts w:ascii="Times New Roman" w:hAnsi="Times New Roman" w:cs="Times New Roman" w:eastAsia="Times New Roman" w:hint="default"/>
          <w:spacing w:val="-1"/>
        </w:rPr>
        <w:t>3</w:t>
      </w:r>
      <w:r>
        <w:rPr>
          <w:spacing w:val="-1"/>
        </w:rPr>
        <w:t>、本公司下属全资子公司中广视讯于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24</w:t>
      </w:r>
      <w:r>
        <w:rPr>
          <w:spacing w:val="-1"/>
        </w:rPr>
        <w:t>日取得深圳市国家税务局深国税南减免备案</w:t>
      </w:r>
      <w:r>
        <w:rPr>
          <w:rFonts w:ascii="Times New Roman" w:hAnsi="Times New Roman" w:cs="Times New Roman" w:eastAsia="Times New Roman" w:hint="default"/>
          <w:spacing w:val="-1"/>
        </w:rPr>
        <w:t>[2014]738</w:t>
      </w:r>
      <w:r>
        <w:rPr>
          <w:spacing w:val="-1"/>
        </w:rPr>
        <w:t>号通知书，可</w:t>
      </w:r>
      <w:r>
        <w:rPr/>
        <w:t> 根据《财政部国家税务总局关于进一步鼓励软件产业和集成电路产业发展企业得税政策的通知》（财税</w:t>
      </w:r>
      <w:r>
        <w:rPr>
          <w:rFonts w:ascii="Times New Roman" w:hAnsi="Times New Roman" w:cs="Times New Roman" w:eastAsia="Times New Roman" w:hint="default"/>
        </w:rPr>
        <w:t>[2012]27</w:t>
      </w:r>
      <w:r>
        <w:rPr/>
        <w:t>号）规定， 从开始获利年度起，享受两免三减半的企业所得税优惠政策，截止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日，中广视讯尚未盈利。</w:t>
      </w:r>
    </w:p>
    <w:p>
      <w:pPr>
        <w:pStyle w:val="BodyText"/>
        <w:spacing w:line="300" w:lineRule="auto" w:before="13"/>
        <w:ind w:right="93" w:firstLine="288"/>
        <w:jc w:val="left"/>
      </w:pPr>
      <w:r>
        <w:rPr>
          <w:rFonts w:ascii="Times New Roman" w:hAnsi="Times New Roman" w:cs="Times New Roman" w:eastAsia="Times New Roman" w:hint="default"/>
          <w:spacing w:val="-1"/>
        </w:rPr>
        <w:t>4</w:t>
      </w:r>
      <w:r>
        <w:rPr>
          <w:spacing w:val="-1"/>
        </w:rPr>
        <w:t>、本公司下属全资子公司天津卓达于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11</w:t>
      </w:r>
      <w:r>
        <w:rPr>
          <w:spacing w:val="-1"/>
        </w:rPr>
        <w:t>日取得天津市科学技术委员会、天津市财政局、天津市国家税务局、</w:t>
      </w:r>
      <w:r>
        <w:rPr/>
        <w:t> 天津市地方税务局颁发的证书编号为</w:t>
      </w:r>
      <w:r>
        <w:rPr>
          <w:rFonts w:ascii="Times New Roman" w:hAnsi="Times New Roman" w:cs="Times New Roman" w:eastAsia="Times New Roman" w:hint="default"/>
        </w:rPr>
        <w:t>GR201312000246</w:t>
      </w:r>
      <w:r>
        <w:rPr/>
        <w:t>的高新技术企业证书，有效期为三年。天津卓达将自</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年起连续三 年享受关于高新技术企业的相关税收优惠政策，按照</w:t>
      </w:r>
      <w:r>
        <w:rPr>
          <w:rFonts w:ascii="Times New Roman" w:hAnsi="Times New Roman" w:cs="Times New Roman" w:eastAsia="Times New Roman" w:hint="default"/>
        </w:rPr>
        <w:t>15%</w:t>
      </w:r>
      <w:r>
        <w:rPr/>
        <w:t>的优惠税率征收企业所得税。本年度天津卓达实际执行的企业所得 税率为</w:t>
      </w:r>
      <w:r>
        <w:rPr>
          <w:rFonts w:ascii="Times New Roman" w:hAnsi="Times New Roman" w:cs="Times New Roman" w:eastAsia="Times New Roman" w:hint="default"/>
        </w:rPr>
        <w:t>15%</w:t>
      </w:r>
      <w:r>
        <w:rPr/>
        <w:t>。</w:t>
      </w:r>
    </w:p>
    <w:p>
      <w:pPr>
        <w:spacing w:line="240" w:lineRule="auto" w:before="4"/>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t>无</w:t>
      </w:r>
    </w:p>
    <w:p>
      <w:pPr>
        <w:spacing w:line="240" w:lineRule="auto" w:before="3"/>
        <w:rPr>
          <w:rFonts w:ascii="宋体" w:hAnsi="宋体" w:cs="宋体" w:eastAsia="宋体" w:hint="default"/>
          <w:sz w:val="25"/>
          <w:szCs w:val="25"/>
        </w:rPr>
      </w:pPr>
    </w:p>
    <w:p>
      <w:pPr>
        <w:pStyle w:val="Heading2"/>
        <w:spacing w:line="240" w:lineRule="auto"/>
        <w:ind w:right="93"/>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199,730.75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349,176.04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138,551,708.79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181,519,385.57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218,153,206.09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591,746,936.26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356,904,645.63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773,615,497.87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79,829,366.54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73,525,847.54</w:t>
            </w:r>
          </w:p>
        </w:tc>
      </w:tr>
    </w:tbl>
    <w:p>
      <w:pPr>
        <w:pStyle w:val="BodyText"/>
        <w:spacing w:line="240" w:lineRule="auto" w:before="49"/>
        <w:ind w:right="93"/>
        <w:jc w:val="left"/>
      </w:pPr>
      <w:r>
        <w:rPr/>
        <w:t>其他说明</w:t>
      </w:r>
    </w:p>
    <w:p>
      <w:pPr>
        <w:pStyle w:val="BodyText"/>
        <w:spacing w:line="240" w:lineRule="auto" w:before="115"/>
        <w:ind w:left="513" w:right="93"/>
        <w:jc w:val="left"/>
      </w:pPr>
      <w:r>
        <w:rPr/>
        <w:t>其中受限制的货币资金明细如下：</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654"/>
        <w:gridCol w:w="2439"/>
        <w:gridCol w:w="2437"/>
      </w:tblGrid>
      <w:tr>
        <w:trPr>
          <w:trHeight w:val="355" w:hRule="exact"/>
        </w:trPr>
        <w:tc>
          <w:tcPr>
            <w:tcW w:w="36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637"/>
              <w:jc w:val="right"/>
              <w:rPr>
                <w:rFonts w:ascii="宋体" w:hAnsi="宋体" w:cs="宋体" w:eastAsia="宋体" w:hint="default"/>
                <w:sz w:val="18"/>
                <w:szCs w:val="18"/>
              </w:rPr>
            </w:pPr>
            <w:r>
              <w:rPr>
                <w:rFonts w:ascii="宋体" w:hAnsi="宋体" w:cs="宋体" w:eastAsia="宋体" w:hint="default"/>
                <w:sz w:val="18"/>
                <w:szCs w:val="18"/>
              </w:rPr>
              <w:t>项目</w:t>
            </w:r>
          </w:p>
        </w:tc>
        <w:tc>
          <w:tcPr>
            <w:tcW w:w="24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37"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68,719,239.19</w:t>
            </w:r>
          </w:p>
        </w:tc>
        <w:tc>
          <w:tcPr>
            <w:tcW w:w="243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75,749,740.80</w:t>
            </w:r>
          </w:p>
        </w:tc>
      </w:tr>
      <w:tr>
        <w:trPr>
          <w:trHeight w:val="353" w:hRule="exact"/>
        </w:trPr>
        <w:tc>
          <w:tcPr>
            <w:tcW w:w="3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43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18,370,059.29</w:t>
            </w:r>
          </w:p>
        </w:tc>
      </w:tr>
      <w:tr>
        <w:trPr>
          <w:trHeight w:val="353" w:hRule="exact"/>
        </w:trPr>
        <w:tc>
          <w:tcPr>
            <w:tcW w:w="3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19,915,569.39</w:t>
            </w:r>
          </w:p>
        </w:tc>
        <w:tc>
          <w:tcPr>
            <w:tcW w:w="243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2,487,118.06</w:t>
            </w:r>
          </w:p>
        </w:tc>
      </w:tr>
      <w:tr>
        <w:trPr>
          <w:trHeight w:val="350" w:hRule="exact"/>
        </w:trPr>
        <w:tc>
          <w:tcPr>
            <w:tcW w:w="3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借款保证金</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129,518,397.51</w:t>
            </w:r>
          </w:p>
        </w:tc>
        <w:tc>
          <w:tcPr>
            <w:tcW w:w="243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495,122,435.96</w:t>
            </w:r>
          </w:p>
        </w:tc>
      </w:tr>
      <w:tr>
        <w:trPr>
          <w:trHeight w:val="353" w:hRule="exact"/>
        </w:trPr>
        <w:tc>
          <w:tcPr>
            <w:tcW w:w="3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637"/>
              <w:jc w:val="right"/>
              <w:rPr>
                <w:rFonts w:ascii="宋体" w:hAnsi="宋体" w:cs="宋体" w:eastAsia="宋体" w:hint="default"/>
                <w:sz w:val="18"/>
                <w:szCs w:val="18"/>
              </w:rPr>
            </w:pPr>
            <w:r>
              <w:rPr>
                <w:rFonts w:ascii="宋体" w:hAnsi="宋体" w:cs="宋体" w:eastAsia="宋体" w:hint="default"/>
                <w:sz w:val="18"/>
                <w:szCs w:val="18"/>
              </w:rPr>
              <w:t>合计</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218,153,206.09</w:t>
            </w:r>
          </w:p>
        </w:tc>
        <w:tc>
          <w:tcPr>
            <w:tcW w:w="243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591,729,354.11</w:t>
            </w:r>
          </w:p>
        </w:tc>
      </w:tr>
    </w:tbl>
    <w:p>
      <w:pPr>
        <w:spacing w:line="240" w:lineRule="auto" w:before="5"/>
        <w:rPr>
          <w:rFonts w:ascii="宋体" w:hAnsi="宋体" w:cs="宋体" w:eastAsia="宋体" w:hint="default"/>
          <w:sz w:val="6"/>
          <w:szCs w:val="6"/>
        </w:rPr>
      </w:pPr>
    </w:p>
    <w:p>
      <w:pPr>
        <w:pStyle w:val="BodyText"/>
        <w:spacing w:line="240" w:lineRule="auto" w:before="44"/>
        <w:ind w:left="0" w:right="103"/>
        <w:jc w:val="right"/>
      </w:pPr>
      <w:r>
        <w:rPr>
          <w:spacing w:val="-3"/>
        </w:rPr>
        <w:t>货币资金期末余额较期初减少</w:t>
      </w:r>
      <w:r>
        <w:rPr>
          <w:rFonts w:ascii="Times New Roman" w:hAnsi="Times New Roman" w:cs="Times New Roman" w:eastAsia="Times New Roman" w:hint="default"/>
          <w:spacing w:val="-3"/>
        </w:rPr>
        <w:t>416,710,852.24</w:t>
      </w:r>
      <w:r>
        <w:rPr>
          <w:spacing w:val="-3"/>
        </w:rPr>
        <w:t>元，减少比例为</w:t>
      </w:r>
      <w:r>
        <w:rPr>
          <w:rFonts w:ascii="Times New Roman" w:hAnsi="Times New Roman" w:cs="Times New Roman" w:eastAsia="Times New Roman" w:hint="default"/>
          <w:spacing w:val="-3"/>
        </w:rPr>
        <w:t>53.87%</w:t>
      </w:r>
      <w:r>
        <w:rPr>
          <w:spacing w:val="-3"/>
        </w:rPr>
        <w:t>，主要原因包括：</w:t>
      </w:r>
      <w:r>
        <w:rPr>
          <w:rFonts w:ascii="Times New Roman" w:hAnsi="Times New Roman" w:cs="Times New Roman" w:eastAsia="Times New Roman" w:hint="default"/>
          <w:spacing w:val="-3"/>
        </w:rPr>
        <w:t>1</w:t>
      </w:r>
      <w:r>
        <w:rPr>
          <w:spacing w:val="-3"/>
        </w:rPr>
        <w:t>）其他货币资金保证金存款减少；</w:t>
      </w:r>
    </w:p>
    <w:p>
      <w:pPr>
        <w:pStyle w:val="BodyText"/>
        <w:spacing w:line="240" w:lineRule="auto" w:before="63"/>
        <w:ind w:right="93"/>
        <w:jc w:val="left"/>
      </w:pPr>
      <w:r>
        <w:rPr>
          <w:rFonts w:ascii="Times New Roman" w:hAnsi="Times New Roman" w:cs="Times New Roman" w:eastAsia="Times New Roman" w:hint="default"/>
        </w:rPr>
        <w:t>2</w:t>
      </w:r>
      <w:r>
        <w:rPr/>
        <w:t>）贷款减少带来的货币资金余额减少。</w:t>
      </w:r>
    </w:p>
    <w:p>
      <w:pPr>
        <w:spacing w:line="240" w:lineRule="auto" w:before="3"/>
        <w:rPr>
          <w:rFonts w:ascii="宋体" w:hAnsi="宋体" w:cs="宋体" w:eastAsia="宋体" w:hint="default"/>
          <w:sz w:val="26"/>
          <w:szCs w:val="26"/>
        </w:rPr>
      </w:pPr>
    </w:p>
    <w:p>
      <w:pPr>
        <w:pStyle w:val="Heading3"/>
        <w:spacing w:line="240" w:lineRule="auto"/>
        <w:ind w:right="93"/>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46,583.63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43"/>
              <w:jc w:val="righ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43"/>
              <w:jc w:val="right"/>
              <w:rPr>
                <w:rFonts w:ascii="宋体" w:hAnsi="宋体" w:cs="宋体" w:eastAsia="宋体" w:hint="default"/>
                <w:sz w:val="18"/>
                <w:szCs w:val="18"/>
              </w:rPr>
            </w:pPr>
            <w:r>
              <w:rPr>
                <w:rFonts w:ascii="宋体" w:hAnsi="宋体" w:cs="宋体" w:eastAsia="宋体" w:hint="default"/>
                <w:sz w:val="18"/>
                <w:szCs w:val="18"/>
              </w:rPr>
              <w:t>权益工具投资</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46,583.63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43"/>
              <w:jc w:val="right"/>
              <w:rPr>
                <w:rFonts w:ascii="宋体" w:hAnsi="宋体" w:cs="宋体" w:eastAsia="宋体" w:hint="default"/>
                <w:sz w:val="18"/>
                <w:szCs w:val="18"/>
              </w:rPr>
            </w:pPr>
            <w:r>
              <w:rPr>
                <w:rFonts w:ascii="宋体" w:hAnsi="宋体" w:cs="宋体" w:eastAsia="宋体" w:hint="default"/>
                <w:sz w:val="18"/>
                <w:szCs w:val="18"/>
              </w:rPr>
              <w:t>衍生金融资产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43"/>
              <w:jc w:val="righ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43"/>
              <w:jc w:val="right"/>
              <w:rPr>
                <w:rFonts w:ascii="宋体" w:hAnsi="宋体" w:cs="宋体" w:eastAsia="宋体" w:hint="default"/>
                <w:sz w:val="18"/>
                <w:szCs w:val="18"/>
              </w:rPr>
            </w:pPr>
            <w:r>
              <w:rPr>
                <w:rFonts w:ascii="宋体" w:hAnsi="宋体" w:cs="宋体" w:eastAsia="宋体" w:hint="default"/>
                <w:sz w:val="18"/>
                <w:szCs w:val="18"/>
              </w:rPr>
              <w:t>权益工具投资</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46,583.63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9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93"/>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111,398,002.87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57,792,031.42</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19,666,747.75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58,254,955.06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131,064,750.62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116,046,986.48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55,416,747.05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17,524,747.76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72,941,494.81</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307,330,241.60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307,330,241.60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643,075,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8" w:right="0"/>
              <w:jc w:val="left"/>
              <w:rPr>
                <w:rFonts w:ascii="Times New Roman" w:hAnsi="Times New Roman" w:cs="Times New Roman" w:eastAsia="Times New Roman" w:hint="default"/>
                <w:sz w:val="18"/>
                <w:szCs w:val="18"/>
              </w:rPr>
            </w:pPr>
            <w:r>
              <w:rPr>
                <w:rFonts w:ascii="Times New Roman"/>
                <w:sz w:val="18"/>
              </w:rPr>
              <w:t>32,439,4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6" w:right="0"/>
              <w:jc w:val="left"/>
              <w:rPr>
                <w:rFonts w:ascii="Times New Roman" w:hAnsi="Times New Roman" w:cs="Times New Roman" w:eastAsia="Times New Roman" w:hint="default"/>
                <w:sz w:val="18"/>
                <w:szCs w:val="18"/>
              </w:rPr>
            </w:pPr>
            <w:r>
              <w:rPr>
                <w:rFonts w:ascii="Times New Roman"/>
                <w:sz w:val="18"/>
              </w:rPr>
              <w:t>5.04%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5" w:right="0"/>
              <w:jc w:val="left"/>
              <w:rPr>
                <w:rFonts w:ascii="Times New Roman" w:hAnsi="Times New Roman" w:cs="Times New Roman" w:eastAsia="Times New Roman" w:hint="default"/>
                <w:sz w:val="18"/>
                <w:szCs w:val="18"/>
              </w:rPr>
            </w:pPr>
            <w:r>
              <w:rPr>
                <w:rFonts w:ascii="Times New Roman"/>
                <w:sz w:val="18"/>
              </w:rPr>
              <w:t>610,635,6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524,745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27,141,83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497,603,56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67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59"/>
              <w:jc w:val="left"/>
              <w:rPr>
                <w:rFonts w:ascii="宋体" w:hAnsi="宋体" w:cs="宋体" w:eastAsia="宋体" w:hint="default"/>
                <w:sz w:val="18"/>
                <w:szCs w:val="18"/>
              </w:rPr>
            </w:pPr>
            <w:r>
              <w:rPr>
                <w:rFonts w:ascii="宋体" w:hAnsi="宋体" w:cs="宋体" w:eastAsia="宋体" w:hint="default"/>
                <w:sz w:val="18"/>
                <w:szCs w:val="18"/>
              </w:rPr>
              <w:t>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7" w:right="0"/>
              <w:jc w:val="left"/>
              <w:rPr>
                <w:rFonts w:ascii="Times New Roman" w:hAnsi="Times New Roman" w:cs="Times New Roman" w:eastAsia="Times New Roman" w:hint="default"/>
                <w:sz w:val="18"/>
                <w:szCs w:val="18"/>
              </w:rPr>
            </w:pPr>
            <w:r>
              <w:rPr>
                <w:rFonts w:ascii="Times New Roman"/>
                <w:sz w:val="18"/>
              </w:rPr>
              <w:t>053.27</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3" w:right="0"/>
              <w:jc w:val="left"/>
              <w:rPr>
                <w:rFonts w:ascii="Times New Roman" w:hAnsi="Times New Roman" w:cs="Times New Roman" w:eastAsia="Times New Roman" w:hint="default"/>
                <w:sz w:val="18"/>
                <w:szCs w:val="18"/>
              </w:rPr>
            </w:pPr>
            <w:r>
              <w:rPr>
                <w:rFonts w:ascii="Times New Roman"/>
                <w:sz w:val="18"/>
              </w:rPr>
              <w:t>35.42</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17.85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,397.14</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4.08</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3.06</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643,075,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053.27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32,439,4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35.42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5.04%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610,635,6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17.85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524,745</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,397.14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27,141,83</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4.08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497,603,56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3.06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3"/>
        <w:gridCol w:w="2393"/>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184"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641,716,193.72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32,085,809.69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402,488.16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40,248.82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918,563.55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275,569.07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37,807.84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37,807.84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643,075,053.27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32,439,435.42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5.04%</w:t>
            </w:r>
          </w:p>
        </w:tc>
      </w:tr>
    </w:tbl>
    <w:p>
      <w:pPr>
        <w:pStyle w:val="BodyText"/>
        <w:spacing w:line="357" w:lineRule="auto" w:before="49"/>
        <w:ind w:left="345" w:right="5621" w:hanging="193"/>
        <w:jc w:val="left"/>
      </w:pPr>
      <w:r>
        <w:rPr/>
        <w:t>确定该组合依据的说明： 组合中，按账龄分析法计提坏账准备的应收账款。</w:t>
      </w:r>
    </w:p>
    <w:p>
      <w:pPr>
        <w:pStyle w:val="BodyText"/>
        <w:spacing w:line="240" w:lineRule="auto" w:before="29"/>
        <w:ind w:right="153"/>
        <w:jc w:val="left"/>
      </w:pPr>
      <w:r>
        <w:rPr/>
        <w:t>组合中，采用余额百分比法计提坏账准备的应收账款：</w:t>
      </w:r>
    </w:p>
    <w:p>
      <w:pPr>
        <w:pStyle w:val="BodyText"/>
        <w:spacing w:line="348" w:lineRule="auto" w:before="117"/>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无</w:t>
      </w:r>
    </w:p>
    <w:p>
      <w:pPr>
        <w:spacing w:line="240" w:lineRule="auto" w:before="0"/>
        <w:rPr>
          <w:rFonts w:ascii="宋体" w:hAnsi="宋体" w:cs="宋体" w:eastAsia="宋体" w:hint="default"/>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pStyle w:val="BodyText"/>
        <w:spacing w:line="338" w:lineRule="auto" w:before="44"/>
        <w:ind w:right="-8"/>
        <w:jc w:val="left"/>
      </w:pPr>
      <w:r>
        <w:rPr/>
        <w:t>本期计提坏账准备金额</w:t>
      </w:r>
      <w:r>
        <w:rPr>
          <w:spacing w:val="-47"/>
        </w:rPr>
        <w:t> </w:t>
      </w:r>
      <w:r>
        <w:rPr>
          <w:rFonts w:ascii="Times New Roman" w:hAnsi="Times New Roman" w:cs="Times New Roman" w:eastAsia="Times New Roman" w:hint="default"/>
        </w:rPr>
        <w:t>6,102,036.61 </w:t>
      </w:r>
      <w:r>
        <w:rPr/>
        <w:t>元；本期收回或转回坏账准备金额</w:t>
      </w:r>
      <w:r>
        <w:rPr>
          <w:spacing w:val="-48"/>
        </w:rPr>
        <w:t> </w:t>
      </w:r>
      <w:r>
        <w:rPr>
          <w:rFonts w:ascii="Times New Roman" w:hAnsi="Times New Roman" w:cs="Times New Roman" w:eastAsia="Times New Roman" w:hint="default"/>
        </w:rPr>
        <w:t>804,435.27</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954" w:space="1875"/>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深圳市云科世纪通信技术有限责任公司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2,292,704.75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云科通信（香港）有限公司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1,963,316.09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4,256,020.84</w:t>
            </w:r>
          </w:p>
        </w:tc>
      </w:tr>
    </w:tbl>
    <w:p>
      <w:pPr>
        <w:pStyle w:val="BodyText"/>
        <w:spacing w:line="240" w:lineRule="auto" w:before="49"/>
        <w:ind w:right="153"/>
        <w:jc w:val="left"/>
      </w:pPr>
      <w:r>
        <w:rPr/>
        <w:t>其中重要的应收账款核销情况：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深圳市云科世纪通 信技术有限责任公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2,292,704.75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0"/>
                <w:sz w:val="18"/>
                <w:szCs w:val="18"/>
              </w:rPr>
              <w:t>云科通信（香港）有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1,963,316.09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4,256,020.84</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应收账款核销说明：无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943"/>
        <w:gridCol w:w="1985"/>
        <w:gridCol w:w="1733"/>
        <w:gridCol w:w="2057"/>
      </w:tblGrid>
      <w:tr>
        <w:trPr>
          <w:trHeight w:val="658"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590" w:right="46" w:hanging="541"/>
              <w:jc w:val="left"/>
              <w:rPr>
                <w:rFonts w:ascii="宋体" w:hAnsi="宋体" w:cs="宋体" w:eastAsia="宋体" w:hint="default"/>
                <w:sz w:val="18"/>
                <w:szCs w:val="18"/>
              </w:rPr>
            </w:pPr>
            <w:r>
              <w:rPr>
                <w:rFonts w:ascii="宋体" w:hAnsi="宋体" w:cs="宋体" w:eastAsia="宋体" w:hint="default"/>
                <w:sz w:val="18"/>
                <w:szCs w:val="18"/>
              </w:rPr>
              <w:t>占应收账款期末余额 的比例</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91"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48"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172,300,305.10</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26.79</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6" w:right="0"/>
              <w:jc w:val="left"/>
              <w:rPr>
                <w:rFonts w:ascii="Times New Roman" w:hAnsi="Times New Roman" w:cs="Times New Roman" w:eastAsia="Times New Roman" w:hint="default"/>
                <w:sz w:val="18"/>
                <w:szCs w:val="18"/>
              </w:rPr>
            </w:pPr>
            <w:r>
              <w:rPr>
                <w:rFonts w:ascii="Times New Roman"/>
                <w:sz w:val="18"/>
              </w:rPr>
              <w:t>8,615,015.26</w:t>
            </w:r>
          </w:p>
        </w:tc>
      </w:tr>
      <w:tr>
        <w:trPr>
          <w:trHeight w:val="346"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0" w:right="0"/>
              <w:jc w:val="left"/>
              <w:rPr>
                <w:rFonts w:ascii="Times New Roman" w:hAnsi="Times New Roman" w:cs="Times New Roman" w:eastAsia="Times New Roman" w:hint="default"/>
                <w:sz w:val="18"/>
                <w:szCs w:val="18"/>
              </w:rPr>
            </w:pPr>
            <w:r>
              <w:rPr>
                <w:rFonts w:ascii="Times New Roman"/>
                <w:sz w:val="18"/>
              </w:rPr>
              <w:t>69,552,029.52</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10.82</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4" w:right="0"/>
              <w:jc w:val="left"/>
              <w:rPr>
                <w:rFonts w:ascii="Times New Roman" w:hAnsi="Times New Roman" w:cs="Times New Roman" w:eastAsia="Times New Roman" w:hint="default"/>
                <w:sz w:val="18"/>
                <w:szCs w:val="18"/>
              </w:rPr>
            </w:pPr>
            <w:r>
              <w:rPr>
                <w:rFonts w:ascii="Times New Roman"/>
                <w:sz w:val="18"/>
              </w:rPr>
              <w:t>3,477,601.48</w:t>
            </w:r>
          </w:p>
        </w:tc>
      </w:tr>
      <w:tr>
        <w:trPr>
          <w:trHeight w:val="348"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6" w:right="0"/>
              <w:jc w:val="left"/>
              <w:rPr>
                <w:rFonts w:ascii="Times New Roman" w:hAnsi="Times New Roman" w:cs="Times New Roman" w:eastAsia="Times New Roman" w:hint="default"/>
                <w:sz w:val="18"/>
                <w:szCs w:val="18"/>
              </w:rPr>
            </w:pPr>
            <w:r>
              <w:rPr>
                <w:rFonts w:ascii="Times New Roman"/>
                <w:sz w:val="18"/>
              </w:rPr>
              <w:t>44,283,553.91</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6.89</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6" w:right="0"/>
              <w:jc w:val="left"/>
              <w:rPr>
                <w:rFonts w:ascii="Times New Roman" w:hAnsi="Times New Roman" w:cs="Times New Roman" w:eastAsia="Times New Roman" w:hint="default"/>
                <w:sz w:val="18"/>
                <w:szCs w:val="18"/>
              </w:rPr>
            </w:pPr>
            <w:r>
              <w:rPr>
                <w:rFonts w:ascii="Times New Roman"/>
                <w:sz w:val="18"/>
              </w:rPr>
              <w:t>2,214,177.70</w:t>
            </w:r>
          </w:p>
        </w:tc>
      </w:tr>
      <w:tr>
        <w:trPr>
          <w:trHeight w:val="346"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6" w:right="0"/>
              <w:jc w:val="left"/>
              <w:rPr>
                <w:rFonts w:ascii="Times New Roman" w:hAnsi="Times New Roman" w:cs="Times New Roman" w:eastAsia="Times New Roman" w:hint="default"/>
                <w:sz w:val="18"/>
                <w:szCs w:val="18"/>
              </w:rPr>
            </w:pPr>
            <w:r>
              <w:rPr>
                <w:rFonts w:ascii="Times New Roman"/>
                <w:sz w:val="18"/>
              </w:rPr>
              <w:t>43,520,286.37</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6.77</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6" w:right="0"/>
              <w:jc w:val="left"/>
              <w:rPr>
                <w:rFonts w:ascii="Times New Roman" w:hAnsi="Times New Roman" w:cs="Times New Roman" w:eastAsia="Times New Roman" w:hint="default"/>
                <w:sz w:val="18"/>
                <w:szCs w:val="18"/>
              </w:rPr>
            </w:pPr>
            <w:r>
              <w:rPr>
                <w:rFonts w:ascii="Times New Roman"/>
                <w:sz w:val="18"/>
              </w:rPr>
              <w:t>2,176,014.32</w:t>
            </w:r>
          </w:p>
        </w:tc>
      </w:tr>
      <w:tr>
        <w:trPr>
          <w:trHeight w:val="348"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6" w:right="0"/>
              <w:jc w:val="left"/>
              <w:rPr>
                <w:rFonts w:ascii="Times New Roman" w:hAnsi="Times New Roman" w:cs="Times New Roman" w:eastAsia="Times New Roman" w:hint="default"/>
                <w:sz w:val="18"/>
                <w:szCs w:val="18"/>
              </w:rPr>
            </w:pPr>
            <w:r>
              <w:rPr>
                <w:rFonts w:ascii="Times New Roman"/>
                <w:sz w:val="18"/>
              </w:rPr>
              <w:t>38,313,521.51</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5.96</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6" w:right="0"/>
              <w:jc w:val="left"/>
              <w:rPr>
                <w:rFonts w:ascii="Times New Roman" w:hAnsi="Times New Roman" w:cs="Times New Roman" w:eastAsia="Times New Roman" w:hint="default"/>
                <w:sz w:val="18"/>
                <w:szCs w:val="18"/>
              </w:rPr>
            </w:pPr>
            <w:r>
              <w:rPr>
                <w:rFonts w:ascii="Times New Roman"/>
                <w:sz w:val="18"/>
              </w:rPr>
              <w:t>1,915,676.08</w:t>
            </w:r>
          </w:p>
        </w:tc>
      </w:tr>
      <w:tr>
        <w:trPr>
          <w:trHeight w:val="348"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24" w:right="0"/>
              <w:jc w:val="center"/>
              <w:rPr>
                <w:rFonts w:ascii="MS Gothic" w:hAnsi="MS Gothic" w:cs="MS Gothic" w:eastAsia="MS Gothic" w:hint="default"/>
                <w:sz w:val="18"/>
                <w:szCs w:val="18"/>
              </w:rPr>
            </w:pPr>
            <w:r>
              <w:rPr>
                <w:rFonts w:ascii="MS Gothic" w:hAnsi="MS Gothic" w:cs="MS Gothic" w:eastAsia="MS Gothic" w:hint="default"/>
                <w:sz w:val="18"/>
                <w:szCs w:val="18"/>
              </w:rPr>
              <w:t>ｺｼ</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367,969,696.41</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57.23</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18,398,484.84</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554"/>
        <w:jc w:val="left"/>
      </w:pPr>
      <w:r>
        <w:rPr/>
        <w:t>无 其他说明：无</w:t>
      </w:r>
    </w:p>
    <w:p>
      <w:pPr>
        <w:spacing w:line="240" w:lineRule="auto" w:before="2"/>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18,584,310.48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17,467,179.53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96.56%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1,539,747.96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621,967.36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20,124,058.44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18,089,146.89</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年且金额重要的预付款项未及时结算原因的说明：无</w:t>
      </w:r>
    </w:p>
    <w:p>
      <w:pPr>
        <w:spacing w:line="240" w:lineRule="auto" w:before="13"/>
        <w:rPr>
          <w:rFonts w:ascii="宋体" w:hAnsi="宋体" w:cs="宋体" w:eastAsia="宋体" w:hint="default"/>
          <w:sz w:val="25"/>
          <w:szCs w:val="25"/>
        </w:rPr>
      </w:pPr>
    </w:p>
    <w:p>
      <w:pPr>
        <w:pStyle w:val="Heading3"/>
        <w:spacing w:line="240" w:lineRule="auto"/>
        <w:ind w:right="9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458"/>
        <w:gridCol w:w="1762"/>
        <w:gridCol w:w="991"/>
        <w:gridCol w:w="1277"/>
        <w:gridCol w:w="2041"/>
      </w:tblGrid>
      <w:tr>
        <w:trPr>
          <w:trHeight w:val="65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14"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0" w:right="35"/>
              <w:jc w:val="left"/>
              <w:rPr>
                <w:rFonts w:ascii="宋体" w:hAnsi="宋体" w:cs="宋体" w:eastAsia="宋体" w:hint="default"/>
                <w:sz w:val="18"/>
                <w:szCs w:val="18"/>
              </w:rPr>
            </w:pPr>
            <w:r>
              <w:rPr>
                <w:rFonts w:ascii="宋体" w:hAnsi="宋体" w:cs="宋体" w:eastAsia="宋体" w:hint="default"/>
                <w:sz w:val="18"/>
                <w:szCs w:val="18"/>
              </w:rPr>
              <w:t>占预付款项 总额的比例</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4" w:right="0"/>
              <w:jc w:val="left"/>
              <w:rPr>
                <w:rFonts w:ascii="Times New Roman" w:hAnsi="Times New Roman" w:cs="Times New Roman" w:eastAsia="Times New Roman" w:hint="default"/>
                <w:sz w:val="18"/>
                <w:szCs w:val="18"/>
              </w:rPr>
            </w:pPr>
            <w:r>
              <w:rPr>
                <w:rFonts w:ascii="Times New Roman"/>
                <w:sz w:val="18"/>
              </w:rPr>
              <w:t>10,129,567.94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50.34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34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6" w:right="0"/>
              <w:jc w:val="left"/>
              <w:rPr>
                <w:rFonts w:ascii="Times New Roman" w:hAnsi="Times New Roman" w:cs="Times New Roman" w:eastAsia="Times New Roman" w:hint="default"/>
                <w:sz w:val="18"/>
                <w:szCs w:val="18"/>
              </w:rPr>
            </w:pPr>
            <w:r>
              <w:rPr>
                <w:rFonts w:ascii="Times New Roman"/>
                <w:sz w:val="18"/>
              </w:rPr>
              <w:t>3,582,560.06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17.80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346"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6" w:right="0"/>
              <w:jc w:val="left"/>
              <w:rPr>
                <w:rFonts w:ascii="Times New Roman" w:hAnsi="Times New Roman" w:cs="Times New Roman" w:eastAsia="Times New Roman" w:hint="default"/>
                <w:sz w:val="18"/>
                <w:szCs w:val="18"/>
              </w:rPr>
            </w:pPr>
            <w:r>
              <w:rPr>
                <w:rFonts w:ascii="Times New Roman"/>
                <w:sz w:val="18"/>
              </w:rPr>
              <w:t>2,123,218.11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10.55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34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6" w:right="0"/>
              <w:jc w:val="left"/>
              <w:rPr>
                <w:rFonts w:ascii="Times New Roman" w:hAnsi="Times New Roman" w:cs="Times New Roman" w:eastAsia="Times New Roman" w:hint="default"/>
                <w:sz w:val="18"/>
                <w:szCs w:val="18"/>
              </w:rPr>
            </w:pPr>
            <w:r>
              <w:rPr>
                <w:rFonts w:ascii="Times New Roman"/>
                <w:sz w:val="18"/>
              </w:rPr>
              <w:t>339,910.16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1.69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346"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4" w:right="0"/>
              <w:jc w:val="left"/>
              <w:rPr>
                <w:rFonts w:ascii="Times New Roman" w:hAnsi="Times New Roman" w:cs="Times New Roman" w:eastAsia="Times New Roman" w:hint="default"/>
                <w:sz w:val="18"/>
                <w:szCs w:val="18"/>
              </w:rPr>
            </w:pPr>
            <w:r>
              <w:rPr>
                <w:rFonts w:ascii="Times New Roman"/>
                <w:sz w:val="18"/>
              </w:rPr>
              <w:t>300,383.71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1.49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348" w:hRule="exact"/>
        </w:trPr>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16,475,639.98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81.87</w:t>
            </w:r>
          </w:p>
        </w:tc>
        <w:tc>
          <w:tcPr>
            <w:tcW w:w="1277" w:type="dxa"/>
            <w:tcBorders>
              <w:top w:val="single" w:sz="6" w:space="0" w:color="000000"/>
              <w:left w:val="single" w:sz="6" w:space="0" w:color="000000"/>
              <w:bottom w:val="single" w:sz="6" w:space="0" w:color="000000"/>
              <w:right w:val="single" w:sz="6" w:space="0" w:color="000000"/>
            </w:tcBorders>
          </w:tcPr>
          <w:p>
            <w:pPr/>
          </w:p>
        </w:tc>
        <w:tc>
          <w:tcPr>
            <w:tcW w:w="204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9"/>
        <w:ind w:right="93"/>
        <w:jc w:val="left"/>
      </w:pPr>
      <w:r>
        <w:rPr/>
        <w:t>其他说明：</w:t>
      </w:r>
    </w:p>
    <w:p>
      <w:pPr>
        <w:spacing w:line="240" w:lineRule="auto" w:before="3"/>
        <w:rPr>
          <w:rFonts w:ascii="宋体" w:hAnsi="宋体" w:cs="宋体" w:eastAsia="宋体" w:hint="default"/>
          <w:sz w:val="15"/>
          <w:szCs w:val="15"/>
        </w:rPr>
      </w:pPr>
    </w:p>
    <w:p>
      <w:pPr>
        <w:pStyle w:val="BodyText"/>
        <w:spacing w:line="240" w:lineRule="auto"/>
        <w:ind w:left="561" w:right="93"/>
        <w:jc w:val="left"/>
      </w:pPr>
      <w:r>
        <w:rPr/>
        <w:t>期末预付款项中无预付持本公司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表决权股份的股东单位及其他关联方的款项。</w:t>
      </w:r>
    </w:p>
    <w:p>
      <w:pPr>
        <w:spacing w:line="240" w:lineRule="auto" w:before="13"/>
        <w:rPr>
          <w:rFonts w:ascii="宋体" w:hAnsi="宋体" w:cs="宋体" w:eastAsia="宋体" w:hint="default"/>
          <w:sz w:val="25"/>
          <w:szCs w:val="25"/>
        </w:rPr>
      </w:pPr>
    </w:p>
    <w:p>
      <w:pPr>
        <w:pStyle w:val="Heading3"/>
        <w:spacing w:line="240" w:lineRule="auto"/>
        <w:ind w:right="93"/>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贷款保证金利息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9,392,063.41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15,760,778.43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9,392,063.41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15,760,778.43</w:t>
            </w:r>
          </w:p>
        </w:tc>
      </w:tr>
    </w:tbl>
    <w:p>
      <w:pPr>
        <w:spacing w:line="240" w:lineRule="auto" w:before="3"/>
        <w:rPr>
          <w:rFonts w:ascii="宋体" w:hAnsi="宋体" w:cs="宋体" w:eastAsia="宋体" w:hint="default"/>
          <w:sz w:val="19"/>
          <w:szCs w:val="19"/>
        </w:rPr>
      </w:pPr>
    </w:p>
    <w:p>
      <w:pPr>
        <w:pStyle w:val="Heading3"/>
        <w:spacing w:line="240" w:lineRule="auto" w:before="36"/>
        <w:ind w:right="93"/>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3"/>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13" w:right="0"/>
        <w:jc w:val="left"/>
      </w:pPr>
      <w:r>
        <w:rPr/>
        <w:t>应收利息期末余额较期初减少</w:t>
      </w:r>
      <w:r>
        <w:rPr>
          <w:rFonts w:ascii="Times New Roman" w:hAnsi="Times New Roman" w:cs="Times New Roman" w:eastAsia="Times New Roman" w:hint="default"/>
        </w:rPr>
        <w:t>6,368,715.02</w:t>
      </w:r>
      <w:r>
        <w:rPr/>
        <w:t>元，减少比例为</w:t>
      </w:r>
      <w:r>
        <w:rPr>
          <w:rFonts w:ascii="Times New Roman" w:hAnsi="Times New Roman" w:cs="Times New Roman" w:eastAsia="Times New Roman" w:hint="default"/>
        </w:rPr>
        <w:t>40.41%</w:t>
      </w:r>
      <w:r>
        <w:rPr/>
        <w:t>，主要系其他货币资金存款减少，利息收入减少所致。</w:t>
      </w:r>
    </w:p>
    <w:p>
      <w:pPr>
        <w:spacing w:after="0" w:line="2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46,879,2</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07.45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1,698,02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3.62%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45,181,18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7.35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47,250,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076.75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809,088.8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46,440,987.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46,879,2</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07.45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1,698,02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0.10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3.62%</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45,181,18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7.35</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47,250,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076.75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809,088.8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1.71%</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46,440,987.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期末单项金额重大并单项计提坏账准备的其他应收款：</w:t>
      </w:r>
    </w:p>
    <w:p>
      <w:pPr>
        <w:pStyle w:val="BodyText"/>
        <w:spacing w:line="340" w:lineRule="auto" w:before="115"/>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spacing w:after="0" w:line="3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6"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9"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5,786,688.94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289,334.45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1,022,495.23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102,249.53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3,318,138.23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995,441.48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91,408.00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219,586.64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219,586.64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10,461,169.04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1,698,020.10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16.23%</w:t>
            </w:r>
          </w:p>
        </w:tc>
      </w:tr>
    </w:tbl>
    <w:p>
      <w:pPr>
        <w:pStyle w:val="BodyText"/>
        <w:spacing w:line="357" w:lineRule="auto" w:before="49"/>
        <w:ind w:right="5274"/>
        <w:jc w:val="left"/>
      </w:pPr>
      <w:r>
        <w:rPr/>
        <w:t>确定该组合依据的说明：无 组合中，采用余额百分比法计提坏账准备的其他应收款：</w:t>
      </w:r>
    </w:p>
    <w:p>
      <w:pPr>
        <w:pStyle w:val="BodyText"/>
        <w:spacing w:line="340"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20"/>
          <w:pgSz w:w="11910" w:h="16840"/>
          <w:pgMar w:footer="980" w:header="745" w:top="1060" w:bottom="1160" w:left="980" w:right="980"/>
          <w:pgNumType w:start="120"/>
        </w:sectPr>
      </w:pPr>
    </w:p>
    <w:p>
      <w:pPr>
        <w:pStyle w:val="BodyText"/>
        <w:spacing w:line="340" w:lineRule="auto" w:before="44"/>
        <w:ind w:right="-11"/>
        <w:jc w:val="left"/>
      </w:pPr>
      <w:r>
        <w:rPr/>
        <w:t>本期计提坏账准备金额</w:t>
      </w:r>
      <w:r>
        <w:rPr>
          <w:spacing w:val="-46"/>
        </w:rPr>
        <w:t> </w:t>
      </w:r>
      <w:r>
        <w:rPr>
          <w:rFonts w:ascii="Times New Roman" w:hAnsi="Times New Roman" w:cs="Times New Roman" w:eastAsia="Times New Roman" w:hint="default"/>
        </w:rPr>
        <w:t>888,931.20 </w:t>
      </w:r>
      <w:r>
        <w:rPr/>
        <w:t>元；本期收回或转回坏账准备金额</w:t>
      </w:r>
      <w:r>
        <w:rPr>
          <w:spacing w:val="-46"/>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325" w:space="2504"/>
            <w:col w:w="1121"/>
          </w:cols>
        </w:sectPr>
      </w:pP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其中重要的其他应收款核销情况：</w:t>
      </w:r>
    </w:p>
    <w:p>
      <w:pPr>
        <w:pStyle w:val="BodyText"/>
        <w:spacing w:line="240" w:lineRule="auto" w:before="118"/>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7"/>
      </w:tblGrid>
      <w:tr>
        <w:trPr>
          <w:trHeight w:val="71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其他应收款核销说明：无</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5,691,774.93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4,834,083.04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36,418,038.41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38,296,864.86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281,134.20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548,204.23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3,945,044.59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2,604,070.45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543,215.32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966,854.17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46,879,207.45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47,250,076.75</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出口退税额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36,418,038.41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77.68%</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深圳英特利投资有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租房押金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代垫员工社保费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1,964,256.72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98,212.84</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天津经济开发区建 设管理中心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建设押金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深圳市平山实业股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租房押金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370,454.80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111,136.44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41,252,749.93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959,349.28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0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41"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153"/>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无</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8694"/>
        <w:jc w:val="left"/>
      </w:pPr>
      <w:r>
        <w:rPr/>
        <w:t>无 其他说明：无</w:t>
      </w:r>
    </w:p>
    <w:p>
      <w:pPr>
        <w:spacing w:line="240" w:lineRule="auto" w:before="2"/>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58"/>
        <w:gridCol w:w="1379"/>
        <w:gridCol w:w="1369"/>
        <w:gridCol w:w="1366"/>
        <w:gridCol w:w="1368"/>
        <w:gridCol w:w="1366"/>
        <w:gridCol w:w="1368"/>
      </w:tblGrid>
      <w:tr>
        <w:trPr>
          <w:trHeight w:val="206"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147,716,870.65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4,338,896.78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143,377,973.87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155,710,161.16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4,034,575.01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151,675,586.15</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177,705,824.44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177,705,824.44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118,045,036.77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118,045,036.77</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71,885,811.22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9,170,191.55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62,715,619.67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88,633,655.15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7,571,524.03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81,062,131.12</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3,392,227.52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3,392,227.52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4,915,939.86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4,915,939.86</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79"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委托加工物质</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10,101,641.17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10,101,641.17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6,759,900.04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6,759,900.04</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6,306,602.73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6,306,602.73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13,197,726.93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13,197,726.93</w:t>
            </w:r>
          </w:p>
        </w:tc>
      </w:tr>
      <w:tr>
        <w:trPr>
          <w:trHeight w:val="404"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417,108,977.73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13,509,088.33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403,599,889.40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387,262,419.91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11,606,099.04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375,656,320.87</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9"/>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4,034,575.01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304,321.77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4,338,896.78</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7,571,524.03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4,467,257.50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2,868,589.98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9,170,191.55</w:t>
            </w: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11,606,099.04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4,771,579.27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2,868,589.98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13,509,088.33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left="513" w:right="0"/>
        <w:jc w:val="left"/>
      </w:pPr>
      <w:r>
        <w:rPr/>
        <w:t>存货跌价准备说明： </w:t>
      </w:r>
      <w:r>
        <w:rPr>
          <w:spacing w:val="-2"/>
        </w:rPr>
        <w:t>库存商品和用于出售的材料等直接用于出售的商品存货，在正常生产经营过程中，以该存货的估计售价减去估计的销售</w:t>
      </w:r>
    </w:p>
    <w:p>
      <w:pPr>
        <w:pStyle w:val="BodyText"/>
        <w:spacing w:line="316" w:lineRule="auto" w:before="17"/>
        <w:ind w:right="149"/>
        <w:jc w:val="both"/>
      </w:pPr>
      <w:r>
        <w:rPr>
          <w:spacing w:val="-2"/>
        </w:rPr>
        <w:t>费用和相关税费后的金额，确定其可变现净值；需要经过加工的材料存货，在正常生产经营过程中，以所生产的产成品的估</w:t>
      </w:r>
      <w:r>
        <w:rPr>
          <w:spacing w:val="-63"/>
        </w:rPr>
        <w:t> </w:t>
      </w:r>
      <w:r>
        <w:rPr>
          <w:spacing w:val="-63"/>
        </w:rPr>
      </w:r>
      <w:r>
        <w:rPr>
          <w:spacing w:val="-2"/>
        </w:rPr>
        <w:t>计售价减去至完工时估计将要发生的成本、估计的销售费用和相关税费后的金额，确定其可变现净值；为执行销售合同或者</w:t>
      </w:r>
      <w:r>
        <w:rPr>
          <w:spacing w:val="-63"/>
        </w:rPr>
        <w:t> </w:t>
      </w:r>
      <w:r>
        <w:rPr>
          <w:spacing w:val="-63"/>
        </w:rPr>
      </w:r>
      <w:r>
        <w:rPr/>
        <w:t>劳务合同而持有的存货，其可变现净值以合同价格为基础计算。</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减：预计损失</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11</w:t>
      </w:r>
      <w:r>
        <w:rPr/>
        <w:t>、划分为持有待售的资产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3"/>
        <w:gridCol w:w="1916"/>
        <w:gridCol w:w="1913"/>
        <w:gridCol w:w="1918"/>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1"/>
        <w:ind w:right="153"/>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增值税留抵扣额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81,155,461.51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121,280,196.26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151,720,000.00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预缴其他税金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2,865,444.98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1,306,620.58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235,740,906.49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122,586,816.84</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78" w:right="153"/>
        <w:jc w:val="left"/>
      </w:pPr>
      <w:r>
        <w:rPr>
          <w:rFonts w:ascii="Times New Roman" w:hAnsi="Times New Roman" w:cs="Times New Roman" w:eastAsia="Times New Roman" w:hint="default"/>
        </w:rPr>
        <w:t>1</w:t>
      </w:r>
      <w:r>
        <w:rPr/>
        <w:t>、理财产品中包含</w:t>
      </w:r>
      <w:r>
        <w:rPr>
          <w:rFonts w:ascii="Times New Roman" w:hAnsi="Times New Roman" w:cs="Times New Roman" w:eastAsia="Times New Roman" w:hint="default"/>
        </w:rPr>
        <w:t>124,300,000.00</w:t>
      </w:r>
      <w:r>
        <w:rPr/>
        <w:t>元受限制的理财产品。</w:t>
      </w:r>
    </w:p>
    <w:p>
      <w:pPr>
        <w:spacing w:line="240" w:lineRule="auto" w:before="13"/>
        <w:rPr>
          <w:rFonts w:ascii="宋体" w:hAnsi="宋体" w:cs="宋体" w:eastAsia="宋体" w:hint="default"/>
          <w:sz w:val="13"/>
          <w:szCs w:val="13"/>
        </w:rPr>
      </w:pPr>
    </w:p>
    <w:p>
      <w:pPr>
        <w:pStyle w:val="BodyText"/>
        <w:spacing w:line="240" w:lineRule="auto"/>
        <w:ind w:left="570" w:right="153"/>
        <w:jc w:val="left"/>
      </w:pPr>
      <w:r>
        <w:rPr>
          <w:rFonts w:ascii="Times New Roman" w:hAnsi="Times New Roman" w:cs="Times New Roman" w:eastAsia="Times New Roman" w:hint="default"/>
        </w:rPr>
        <w:t>2</w:t>
      </w:r>
      <w:r>
        <w:rPr/>
        <w:t>、其他流动资产期末余额较期初增加</w:t>
      </w:r>
      <w:r>
        <w:rPr>
          <w:rFonts w:ascii="Times New Roman" w:hAnsi="Times New Roman" w:cs="Times New Roman" w:eastAsia="Times New Roman" w:hint="default"/>
        </w:rPr>
        <w:t>113,154,089.65</w:t>
      </w:r>
      <w:r>
        <w:rPr/>
        <w:t>元，增加比例为</w:t>
      </w:r>
      <w:r>
        <w:rPr>
          <w:rFonts w:ascii="Times New Roman" w:hAnsi="Times New Roman" w:cs="Times New Roman" w:eastAsia="Times New Roman" w:hint="default"/>
        </w:rPr>
        <w:t>92.31%</w:t>
      </w:r>
      <w:r>
        <w:rPr/>
        <w:t>，主要系本期购买理财产品所致。</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8"/>
        <w:gridCol w:w="1196"/>
        <w:gridCol w:w="1248"/>
        <w:gridCol w:w="1369"/>
        <w:gridCol w:w="1366"/>
      </w:tblGrid>
      <w:tr>
        <w:trPr>
          <w:trHeight w:val="204"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6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3"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00"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13" w:space="0" w:color="D2D2D2"/>
              <w:bottom w:val="single" w:sz="4" w:space="0" w:color="000000"/>
              <w:right w:val="single" w:sz="13" w:space="0" w:color="D2D2D2"/>
            </w:tcBorders>
            <w:shd w:val="clear" w:color="auto" w:fill="E0FFFF"/>
          </w:tcPr>
          <w:p>
            <w:pPr/>
          </w:p>
        </w:tc>
        <w:tc>
          <w:tcPr>
            <w:tcW w:w="1916"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7"/>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2"/>
        <w:gridCol w:w="869"/>
        <w:gridCol w:w="871"/>
        <w:gridCol w:w="869"/>
        <w:gridCol w:w="871"/>
      </w:tblGrid>
      <w:tr>
        <w:trPr>
          <w:trHeight w:val="401"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5"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深圳市格 兰莫尔寝 具用品有 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5.00%</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866"/>
        <w:gridCol w:w="869"/>
        <w:gridCol w:w="871"/>
        <w:gridCol w:w="869"/>
        <w:gridCol w:w="871"/>
        <w:gridCol w:w="869"/>
        <w:gridCol w:w="872"/>
        <w:gridCol w:w="869"/>
        <w:gridCol w:w="871"/>
        <w:gridCol w:w="869"/>
        <w:gridCol w:w="871"/>
      </w:tblGrid>
      <w:tr>
        <w:trPr>
          <w:trHeight w:val="716"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13" w:space="0" w:color="D2D2D2"/>
              <w:bottom w:val="single" w:sz="4" w:space="0" w:color="000000"/>
              <w:right w:val="single" w:sz="13" w:space="0" w:color="D2D2D2"/>
            </w:tcBorders>
            <w:shd w:val="clear" w:color="auto" w:fill="E0FFFF"/>
          </w:tcPr>
          <w:p>
            <w:pPr/>
          </w:p>
        </w:tc>
        <w:tc>
          <w:tcPr>
            <w:tcW w:w="1916"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9"/>
              <w:jc w:val="left"/>
              <w:rPr>
                <w:rFonts w:ascii="宋体" w:hAnsi="宋体" w:cs="宋体" w:eastAsia="宋体" w:hint="default"/>
                <w:sz w:val="18"/>
                <w:szCs w:val="18"/>
              </w:rPr>
            </w:pPr>
            <w:r>
              <w:rPr>
                <w:rFonts w:ascii="宋体" w:hAnsi="宋体" w:cs="宋体" w:eastAsia="宋体" w:hint="default"/>
                <w:sz w:val="18"/>
                <w:szCs w:val="18"/>
              </w:rPr>
              <w:t>其中：从其他综合收益 转入</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9"/>
              <w:jc w:val="left"/>
              <w:rPr>
                <w:rFonts w:ascii="宋体" w:hAnsi="宋体" w:cs="宋体" w:eastAsia="宋体" w:hint="default"/>
                <w:sz w:val="18"/>
                <w:szCs w:val="18"/>
              </w:rPr>
            </w:pPr>
            <w:r>
              <w:rPr>
                <w:rFonts w:ascii="宋体" w:hAnsi="宋体" w:cs="宋体" w:eastAsia="宋体" w:hint="default"/>
                <w:sz w:val="18"/>
                <w:szCs w:val="18"/>
              </w:rPr>
              <w:t>其中：期后公允价值回 升转回</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6" w:hanging="361"/>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6"/>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8" w:right="0"/>
              <w:jc w:val="lef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其他说明</w:t>
      </w:r>
    </w:p>
    <w:p>
      <w:pPr>
        <w:pStyle w:val="BodyText"/>
        <w:spacing w:line="300" w:lineRule="auto" w:before="117"/>
        <w:ind w:right="219" w:firstLine="360"/>
        <w:jc w:val="left"/>
      </w:pPr>
      <w:r>
        <w:rPr/>
        <w:t>可供出售金融资产期末余额较期初增加</w:t>
      </w:r>
      <w:r>
        <w:rPr>
          <w:rFonts w:ascii="Times New Roman" w:hAnsi="Times New Roman" w:cs="Times New Roman" w:eastAsia="Times New Roman" w:hint="default"/>
        </w:rPr>
        <w:t>5,000,000.00</w:t>
      </w:r>
      <w:r>
        <w:rPr/>
        <w:t>元，增加比例为</w:t>
      </w:r>
      <w:r>
        <w:rPr>
          <w:rFonts w:ascii="Times New Roman" w:hAnsi="Times New Roman" w:cs="Times New Roman" w:eastAsia="Times New Roman" w:hint="default"/>
        </w:rPr>
        <w:t>100.00%,</w:t>
      </w:r>
      <w:r>
        <w:rPr/>
        <w:t>系本期增加对深圳市格兰莫尔寝具用品有 限公司的投资所致。</w:t>
      </w:r>
    </w:p>
    <w:p>
      <w:pPr>
        <w:spacing w:line="240" w:lineRule="auto" w:before="10"/>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9054"/>
        <w:jc w:val="left"/>
      </w:pPr>
      <w:r>
        <w:rPr/>
        <w:t>无 其他说明 无</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80"/>
        <w:gridCol w:w="1178"/>
        <w:gridCol w:w="1167"/>
        <w:gridCol w:w="1166"/>
        <w:gridCol w:w="1169"/>
        <w:gridCol w:w="1166"/>
        <w:gridCol w:w="1167"/>
        <w:gridCol w:w="1164"/>
      </w:tblGrid>
      <w:tr>
        <w:trPr>
          <w:trHeight w:val="206" w:hRule="exact"/>
        </w:trPr>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51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0" w:hRule="exact"/>
        </w:trPr>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12" w:type="dxa"/>
            <w:gridSpan w:val="3"/>
            <w:vMerge/>
            <w:tcBorders>
              <w:left w:val="single" w:sz="4" w:space="0" w:color="000000"/>
              <w:bottom w:val="single" w:sz="4" w:space="0" w:color="000000"/>
              <w:right w:val="single" w:sz="4" w:space="0" w:color="000000"/>
            </w:tcBorders>
            <w:shd w:val="clear" w:color="auto" w:fill="D2D2D2"/>
          </w:tcPr>
          <w:p>
            <w:pPr/>
          </w:p>
        </w:tc>
        <w:tc>
          <w:tcPr>
            <w:tcW w:w="3503" w:type="dxa"/>
            <w:gridSpan w:val="3"/>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right w:val="single" w:sz="4" w:space="0" w:color="000000"/>
            </w:tcBorders>
            <w:shd w:val="clear" w:color="auto" w:fill="D2D2D2"/>
          </w:tcPr>
          <w:p>
            <w:pPr/>
          </w:p>
        </w:tc>
      </w:tr>
      <w:tr>
        <w:trPr>
          <w:trHeight w:val="202" w:hRule="exact"/>
        </w:trPr>
        <w:tc>
          <w:tcPr>
            <w:tcW w:w="1380" w:type="dxa"/>
            <w:vMerge/>
            <w:tcBorders>
              <w:left w:val="single" w:sz="4" w:space="0" w:color="000000"/>
              <w:bottom w:val="nil" w:sz="6" w:space="0" w:color="auto"/>
              <w:right w:val="single" w:sz="4" w:space="0" w:color="000000"/>
            </w:tcBorders>
            <w:shd w:val="clear" w:color="auto" w:fill="D2D2D2"/>
          </w:tcPr>
          <w:p>
            <w:pPr/>
          </w:p>
        </w:tc>
        <w:tc>
          <w:tcPr>
            <w:tcW w:w="11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right w:val="single" w:sz="4" w:space="0" w:color="000000"/>
            </w:tcBorders>
            <w:shd w:val="clear" w:color="auto" w:fill="D2D2D2"/>
          </w:tcPr>
          <w:p>
            <w:pPr/>
          </w:p>
        </w:tc>
      </w:tr>
      <w:tr>
        <w:trPr>
          <w:trHeight w:val="206" w:hRule="exact"/>
        </w:trPr>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分期收款提供劳 务</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9054"/>
        <w:jc w:val="left"/>
      </w:pPr>
      <w:r>
        <w:rPr/>
        <w:t>无 其他说明 无</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800"/>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3"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33" w:right="35"/>
              <w:jc w:val="left"/>
              <w:rPr>
                <w:rFonts w:ascii="宋体" w:hAnsi="宋体" w:cs="宋体" w:eastAsia="宋体" w:hint="default"/>
                <w:sz w:val="18"/>
                <w:szCs w:val="18"/>
              </w:rPr>
            </w:pPr>
            <w:r>
              <w:rPr>
                <w:rFonts w:ascii="宋体" w:hAnsi="宋体" w:cs="宋体" w:eastAsia="宋体" w:hint="default"/>
                <w:sz w:val="18"/>
                <w:szCs w:val="18"/>
              </w:rPr>
              <w:t>权益法下 确认的投</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33" w:right="31"/>
              <w:jc w:val="left"/>
              <w:rPr>
                <w:rFonts w:ascii="宋体" w:hAnsi="宋体" w:cs="宋体" w:eastAsia="宋体" w:hint="default"/>
                <w:sz w:val="18"/>
                <w:szCs w:val="18"/>
              </w:rPr>
            </w:pPr>
            <w:r>
              <w:rPr>
                <w:rFonts w:ascii="宋体" w:hAnsi="宋体" w:cs="宋体" w:eastAsia="宋体" w:hint="default"/>
                <w:sz w:val="18"/>
                <w:szCs w:val="18"/>
              </w:rPr>
              <w:t>宣告发放 现金股利</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362"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69"/>
              <w:jc w:val="left"/>
              <w:rPr>
                <w:rFonts w:ascii="Times New Roman" w:hAnsi="Times New Roman" w:cs="Times New Roman" w:eastAsia="Times New Roman" w:hint="default"/>
                <w:sz w:val="18"/>
                <w:szCs w:val="18"/>
              </w:rPr>
            </w:pPr>
            <w:r>
              <w:rPr>
                <w:rFonts w:ascii="Times New Roman"/>
                <w:sz w:val="18"/>
              </w:rPr>
              <w:t>Haxis</w:t>
            </w:r>
            <w:r>
              <w:rPr>
                <w:rFonts w:ascii="Times New Roman"/>
                <w:spacing w:val="-4"/>
                <w:sz w:val="18"/>
              </w:rPr>
              <w:t> </w:t>
            </w:r>
            <w:r>
              <w:rPr>
                <w:rFonts w:ascii="Times New Roman"/>
                <w:sz w:val="18"/>
              </w:rPr>
              <w:t>GP</w:t>
            </w:r>
            <w:r>
              <w:rPr>
                <w:rFonts w:ascii="Times New Roman"/>
                <w:w w:val="99"/>
                <w:sz w:val="18"/>
              </w:rPr>
              <w:t> </w:t>
            </w:r>
            <w:r>
              <w:rPr>
                <w:rFonts w:ascii="Times New Roman"/>
                <w:sz w:val="18"/>
              </w:rPr>
              <w:t>Ltd</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2"/>
              <w:jc w:val="left"/>
              <w:rPr>
                <w:rFonts w:ascii="Times New Roman" w:hAnsi="Times New Roman" w:cs="Times New Roman" w:eastAsia="Times New Roman" w:hint="default"/>
                <w:sz w:val="18"/>
                <w:szCs w:val="18"/>
              </w:rPr>
            </w:pPr>
            <w:r>
              <w:rPr>
                <w:rFonts w:ascii="Times New Roman"/>
                <w:sz w:val="18"/>
              </w:rPr>
              <w:t>Haxis</w:t>
            </w:r>
            <w:r>
              <w:rPr>
                <w:rFonts w:ascii="Times New Roman"/>
                <w:w w:val="99"/>
                <w:sz w:val="18"/>
              </w:rPr>
              <w:t> </w:t>
            </w:r>
            <w:r>
              <w:rPr>
                <w:rFonts w:ascii="Times New Roman"/>
                <w:sz w:val="18"/>
              </w:rPr>
              <w:t>Fund I </w:t>
            </w:r>
            <w:r>
              <w:rPr>
                <w:rFonts w:ascii="Times New Roman"/>
                <w:spacing w:val="-3"/>
                <w:sz w:val="18"/>
              </w:rPr>
              <w:t>LP</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北京朝歌 数码科技 股份有限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84,000,00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2,745,856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29,544.14</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86,775,40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84,000,00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2,745,856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29,544.14</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86,775,40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84,000,00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2,745,856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29,544.14</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86,775,40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0.54</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其他说明</w:t>
      </w:r>
    </w:p>
    <w:p>
      <w:pPr>
        <w:spacing w:line="240" w:lineRule="auto" w:before="3"/>
        <w:rPr>
          <w:rFonts w:ascii="宋体" w:hAnsi="宋体" w:cs="宋体" w:eastAsia="宋体" w:hint="default"/>
          <w:sz w:val="15"/>
          <w:szCs w:val="15"/>
        </w:rPr>
      </w:pPr>
    </w:p>
    <w:p>
      <w:pPr>
        <w:pStyle w:val="BodyText"/>
        <w:spacing w:line="297" w:lineRule="auto"/>
        <w:ind w:right="153" w:firstLine="360"/>
        <w:jc w:val="left"/>
      </w:pPr>
      <w:r>
        <w:rPr>
          <w:spacing w:val="-1"/>
        </w:rPr>
        <w:t>长期股权投资期末余额较期初增加</w:t>
      </w:r>
      <w:r>
        <w:rPr>
          <w:rFonts w:ascii="Times New Roman" w:hAnsi="Times New Roman" w:cs="Times New Roman" w:eastAsia="Times New Roman" w:hint="default"/>
          <w:spacing w:val="-1"/>
        </w:rPr>
        <w:t>86,775,400.54</w:t>
      </w:r>
      <w:r>
        <w:rPr>
          <w:spacing w:val="-1"/>
        </w:rPr>
        <w:t>元，增加比例为</w:t>
      </w:r>
      <w:r>
        <w:rPr>
          <w:rFonts w:ascii="Times New Roman" w:hAnsi="Times New Roman" w:cs="Times New Roman" w:eastAsia="Times New Roman" w:hint="default"/>
          <w:spacing w:val="-1"/>
        </w:rPr>
        <w:t>100.00%,</w:t>
      </w:r>
      <w:r>
        <w:rPr>
          <w:spacing w:val="-1"/>
        </w:rPr>
        <w:t>系本期增加对北京朝歌数码科技股份有限公司</w:t>
      </w:r>
      <w:r>
        <w:rPr/>
        <w:t> 的投资所致。</w:t>
      </w:r>
    </w:p>
    <w:p>
      <w:pPr>
        <w:spacing w:line="240" w:lineRule="auto" w:before="12"/>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054"/>
        <w:jc w:val="left"/>
      </w:pPr>
      <w:r>
        <w:rPr/>
        <w:t>其他说明 无</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9"/>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210,137,673.20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826,278,292.24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33,160,995.27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4,614,258.35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78,897,349.69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1,153,088,568.75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158,319,556.44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61,362,505.65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3,510,885.13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202,924.34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8,348,589.06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231,744,460.62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2,202,732.90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3,510,885.13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202,924.34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8,348,589.06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14,265,131.43</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158,319,556.44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59,159,772.75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217,479,329.19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399,161.77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226,326.14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2,026,673.28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2,652,161.19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399,161.77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226,326.14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2,026,673.28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2,652,161.19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368,457,229.64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887,241,636.12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36,445,554.26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4,817,182.69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85,219,265.47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1,382,180,868.18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9,098,211.00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180,771,454.58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17,806,919.17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1,452,556.87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41,598,894.74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250,728,036.36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7,962,111.00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80,618,116.39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5,569,783.64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752,988.00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11,226,142.05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106,129,141.08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7,962,111.00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80,618,116.39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5,569,783.64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752,988.00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11,226,142.05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106,129,141.08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184,443.72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147,878.80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1,034,184.61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1,366,507.13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184,443.72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147,878.80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1,034,184.61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1,366,507.13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17,060,322.00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261,205,127.25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23,228,824.01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2,205,544.87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51,790,852.18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355,490,670.31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9"/>
        <w:gridCol w:w="1366"/>
        <w:gridCol w:w="1368"/>
        <w:gridCol w:w="1369"/>
        <w:gridCol w:w="1366"/>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351,396,907.64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626,036,508.87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13,216,730.25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2,611,637.82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33,428,413.29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1,026,690,197.87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201,039,462.20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645,506,837.66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15,354,076.10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3,161,701.48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37,298,454.95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902,360,532.39</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146,874,495.68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60" w:lineRule="auto" w:before="44"/>
        <w:ind w:right="90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114,643,191.41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114,643,191.41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227,516,176.48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227,516,176.48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114,643,191.41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114,643,191.41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227,516,176.48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227,516,176.48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3"/>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天津基 地项目</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pacing w:val="-4"/>
                <w:sz w:val="18"/>
              </w:rPr>
              <w:t>*1</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208,747,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034.67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62,068,0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65.84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160,720,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015.42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110,095,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085.09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深圳基 地项目</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pacing w:val="-4"/>
                <w:sz w:val="18"/>
              </w:rPr>
              <w:t>*2</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14,403,2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35.72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41,758,8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33.40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50,837,8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21.78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776,141.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4,548,10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95.00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Times New Roman" w:hAnsi="Times New Roman" w:cs="Times New Roman" w:eastAsia="Times New Roman" w:hint="default"/>
                <w:sz w:val="18"/>
                <w:szCs w:val="18"/>
              </w:rPr>
            </w:pPr>
            <w:r>
              <w:rPr>
                <w:rFonts w:ascii="宋体" w:hAnsi="宋体" w:cs="宋体" w:eastAsia="宋体" w:hint="default"/>
                <w:sz w:val="18"/>
                <w:szCs w:val="18"/>
              </w:rPr>
              <w:t>精密模 具生产 </w:t>
            </w:r>
            <w:r>
              <w:rPr>
                <w:rFonts w:ascii="宋体" w:hAnsi="宋体" w:cs="宋体" w:eastAsia="宋体" w:hint="default"/>
                <w:spacing w:val="-4"/>
                <w:sz w:val="18"/>
                <w:szCs w:val="18"/>
              </w:rPr>
              <w:t>厂</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4,365,90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1,555,58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5,921,49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1.99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227,516,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176.48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105,382,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485.14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217,479,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329.19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776,141.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114,643,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191.41</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其他说明</w:t>
      </w:r>
    </w:p>
    <w:p>
      <w:pPr>
        <w:pStyle w:val="BodyText"/>
        <w:spacing w:line="240" w:lineRule="auto" w:before="117"/>
        <w:ind w:left="522" w:right="153"/>
        <w:jc w:val="left"/>
      </w:pPr>
      <w:r>
        <w:rPr/>
        <w:t>在建工程期末余额较期初减少</w:t>
      </w:r>
      <w:r>
        <w:rPr>
          <w:rFonts w:ascii="Times New Roman" w:hAnsi="Times New Roman" w:cs="Times New Roman" w:eastAsia="Times New Roman" w:hint="default"/>
        </w:rPr>
        <w:t>112,872,985.07</w:t>
      </w:r>
      <w:r>
        <w:rPr/>
        <w:t>元，减少比例为</w:t>
      </w:r>
      <w:r>
        <w:rPr>
          <w:rFonts w:ascii="Times New Roman" w:hAnsi="Times New Roman" w:cs="Times New Roman" w:eastAsia="Times New Roman" w:hint="default"/>
        </w:rPr>
        <w:t>49.61%</w:t>
      </w:r>
      <w:r>
        <w:rPr/>
        <w:t>，主要系在建工程陆续完工结转固定资产所致。</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10" w:space="0" w:color="D2D2D2"/>
              <w:bottom w:val="single" w:sz="4" w:space="0" w:color="000000"/>
              <w:right w:val="single" w:sz="10" w:space="0" w:color="D2D2D2"/>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26,594,890.82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28,100,311.19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54,695,202.01</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2"/>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6,177,774.14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6,177,774.14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6,177,774.14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6,177,774.14</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26,594,890.82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34,278,085.33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60,872,976.15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3,268,009.46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7,153,175.27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10,421,184.73</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461,174.16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5,518,037.64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5,979,211.80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461,174.16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5,518,037.64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5,979,211.80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3,729,183.62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12,671,212.91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16,400,396.53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22,865,707.20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21,606,872.42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44,472,579.62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23,326,881.36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20,947,135.92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44,274,017.28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36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3190"/>
        <w:gridCol w:w="3188"/>
        <w:gridCol w:w="1063"/>
      </w:tblGrid>
      <w:tr>
        <w:trPr>
          <w:trHeight w:val="402"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0"/>
        <w:ind w:right="891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9"/>
        <w:gridCol w:w="1366"/>
        <w:gridCol w:w="1368"/>
        <w:gridCol w:w="1369"/>
        <w:gridCol w:w="1366"/>
      </w:tblGrid>
      <w:tr>
        <w:trPr>
          <w:trHeight w:val="359" w:hRule="exact"/>
        </w:trPr>
        <w:tc>
          <w:tcPr>
            <w:tcW w:w="1368" w:type="dxa"/>
            <w:vMerge w:val="restart"/>
            <w:tcBorders>
              <w:top w:val="single" w:sz="4" w:space="0" w:color="000000"/>
              <w:left w:val="single" w:sz="4" w:space="0" w:color="000000"/>
              <w:right w:val="single" w:sz="4" w:space="0" w:color="FFFFFF"/>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FFFFFF"/>
              <w:bottom w:val="nil" w:sz="6" w:space="0" w:color="auto"/>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0" w:hRule="exact"/>
        </w:trPr>
        <w:tc>
          <w:tcPr>
            <w:tcW w:w="1368" w:type="dxa"/>
            <w:vMerge/>
            <w:tcBorders>
              <w:left w:val="single" w:sz="4" w:space="0" w:color="000000"/>
              <w:right w:val="single" w:sz="4" w:space="0" w:color="FFFFFF"/>
            </w:tcBorders>
            <w:shd w:val="clear" w:color="auto" w:fill="D2D2D2"/>
          </w:tcPr>
          <w:p>
            <w:pPr/>
          </w:p>
        </w:tc>
        <w:tc>
          <w:tcPr>
            <w:tcW w:w="1366"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7"/>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vMerge w:val="restart"/>
            <w:tcBorders>
              <w:top w:val="single" w:sz="4" w:space="0" w:color="000000"/>
              <w:left w:val="single" w:sz="12" w:space="0" w:color="D2D2D2"/>
              <w:right w:val="single" w:sz="13" w:space="0" w:color="D2D2D2"/>
            </w:tcBorders>
            <w:shd w:val="clear" w:color="auto" w:fill="E0FFFF"/>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12" w:space="0" w:color="D2D2D2"/>
              <w:right w:val="single" w:sz="10" w:space="0" w:color="D2D2D2"/>
            </w:tcBorders>
            <w:shd w:val="clear" w:color="auto" w:fill="E0FFFF"/>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368" w:type="dxa"/>
            <w:vMerge/>
            <w:tcBorders>
              <w:left w:val="single" w:sz="4" w:space="0" w:color="000000"/>
              <w:right w:val="single" w:sz="4" w:space="0" w:color="FFFFFF"/>
            </w:tcBorders>
            <w:shd w:val="clear" w:color="auto" w:fill="D2D2D2"/>
          </w:tcPr>
          <w:p>
            <w:pPr/>
          </w:p>
        </w:tc>
        <w:tc>
          <w:tcPr>
            <w:tcW w:w="1366" w:type="dxa"/>
            <w:vMerge/>
            <w:tcBorders>
              <w:left w:val="single" w:sz="4" w:space="0" w:color="FFFFFF"/>
              <w:bottom w:val="nil" w:sz="6" w:space="0" w:color="auto"/>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tcBorders>
              <w:left w:val="single" w:sz="12" w:space="0" w:color="D2D2D2"/>
              <w:right w:val="single" w:sz="13" w:space="0" w:color="D2D2D2"/>
            </w:tcBorders>
            <w:shd w:val="clear" w:color="auto" w:fill="E0FFFF"/>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tcBorders>
              <w:left w:val="single" w:sz="12" w:space="0" w:color="D2D2D2"/>
              <w:right w:val="single" w:sz="10" w:space="0" w:color="D2D2D2"/>
            </w:tcBorders>
            <w:shd w:val="clear" w:color="auto" w:fill="E0FFFF"/>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68" w:type="dxa"/>
            <w:vMerge/>
            <w:tcBorders>
              <w:left w:val="single" w:sz="4" w:space="0" w:color="000000"/>
              <w:bottom w:val="single" w:sz="4" w:space="0" w:color="000000"/>
              <w:right w:val="single" w:sz="4" w:space="0" w:color="FFFFFF"/>
            </w:tcBorders>
            <w:shd w:val="clear" w:color="auto" w:fill="D2D2D2"/>
          </w:tcPr>
          <w:p>
            <w:pPr/>
          </w:p>
        </w:tc>
        <w:tc>
          <w:tcPr>
            <w:tcW w:w="1366" w:type="dxa"/>
            <w:tcBorders>
              <w:top w:val="nil" w:sz="6" w:space="0" w:color="auto"/>
              <w:left w:val="single" w:sz="4" w:space="0" w:color="FFFFFF"/>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12" w:space="0" w:color="D2D2D2"/>
              <w:bottom w:val="single" w:sz="4" w:space="0" w:color="000000"/>
              <w:right w:val="single" w:sz="13" w:space="0" w:color="D2D2D2"/>
            </w:tcBorders>
            <w:shd w:val="clear" w:color="auto" w:fill="E0FFFF"/>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12" w:space="0" w:color="D2D2D2"/>
              <w:bottom w:val="single" w:sz="4" w:space="0" w:color="000000"/>
              <w:right w:val="single" w:sz="10" w:space="0" w:color="D2D2D2"/>
            </w:tcBorders>
            <w:shd w:val="clear" w:color="auto" w:fill="E0FFFF"/>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FFFFFF"/>
            </w:tcBorders>
            <w:shd w:val="clear" w:color="auto" w:fill="E0FFFF"/>
          </w:tcPr>
          <w:p>
            <w:pPr>
              <w:pStyle w:val="TableParagraph"/>
              <w:spacing w:line="362" w:lineRule="auto" w:before="91"/>
              <w:ind w:left="24" w:right="177"/>
              <w:jc w:val="left"/>
              <w:rPr>
                <w:rFonts w:ascii="Times New Roman" w:hAnsi="Times New Roman" w:cs="Times New Roman" w:eastAsia="Times New Roman" w:hint="default"/>
                <w:sz w:val="18"/>
                <w:szCs w:val="18"/>
              </w:rPr>
            </w:pPr>
            <w:r>
              <w:rPr>
                <w:rFonts w:ascii="Times New Roman"/>
                <w:sz w:val="18"/>
              </w:rPr>
              <w:t>Double</w:t>
            </w:r>
            <w:r>
              <w:rPr>
                <w:rFonts w:ascii="Times New Roman"/>
                <w:spacing w:val="-4"/>
                <w:sz w:val="18"/>
              </w:rPr>
              <w:t> </w:t>
            </w:r>
            <w:r>
              <w:rPr>
                <w:rFonts w:ascii="Times New Roman"/>
                <w:sz w:val="18"/>
              </w:rPr>
              <w:t>Power</w:t>
            </w:r>
            <w:r>
              <w:rPr>
                <w:rFonts w:ascii="Times New Roman"/>
                <w:sz w:val="18"/>
              </w:rPr>
              <w:t> Technology</w:t>
            </w:r>
            <w:r>
              <w:rPr>
                <w:rFonts w:ascii="Times New Roman"/>
                <w:spacing w:val="-18"/>
                <w:sz w:val="18"/>
              </w:rPr>
              <w:t> </w:t>
            </w:r>
            <w:r>
              <w:rPr>
                <w:rFonts w:ascii="Times New Roman"/>
                <w:sz w:val="18"/>
              </w:rPr>
              <w:t>lnc.</w:t>
            </w:r>
          </w:p>
        </w:tc>
        <w:tc>
          <w:tcPr>
            <w:tcW w:w="136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13,889,955.18</w:t>
            </w:r>
          </w:p>
        </w:tc>
        <w:tc>
          <w:tcPr>
            <w:tcW w:w="1369" w:type="dxa"/>
            <w:tcBorders>
              <w:top w:val="single" w:sz="44"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13,889,955.18</w:t>
            </w:r>
          </w:p>
        </w:tc>
      </w:tr>
      <w:tr>
        <w:trPr>
          <w:trHeight w:val="401" w:hRule="exact"/>
        </w:trPr>
        <w:tc>
          <w:tcPr>
            <w:tcW w:w="1368"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13,889,955.18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13,889,955.18</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9"/>
        <w:gridCol w:w="1366"/>
        <w:gridCol w:w="1368"/>
        <w:gridCol w:w="1369"/>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2" w:lineRule="auto" w:before="91"/>
              <w:ind w:left="24" w:right="177"/>
              <w:jc w:val="left"/>
              <w:rPr>
                <w:rFonts w:ascii="Times New Roman" w:hAnsi="Times New Roman" w:cs="Times New Roman" w:eastAsia="Times New Roman" w:hint="default"/>
                <w:sz w:val="18"/>
                <w:szCs w:val="18"/>
              </w:rPr>
            </w:pPr>
            <w:r>
              <w:rPr>
                <w:rFonts w:ascii="Times New Roman"/>
                <w:sz w:val="18"/>
              </w:rPr>
              <w:t>Double</w:t>
            </w:r>
            <w:r>
              <w:rPr>
                <w:rFonts w:ascii="Times New Roman"/>
                <w:spacing w:val="-4"/>
                <w:sz w:val="18"/>
              </w:rPr>
              <w:t> </w:t>
            </w:r>
            <w:r>
              <w:rPr>
                <w:rFonts w:ascii="Times New Roman"/>
                <w:sz w:val="18"/>
              </w:rPr>
              <w:t>Power</w:t>
            </w:r>
            <w:r>
              <w:rPr>
                <w:rFonts w:ascii="Times New Roman"/>
                <w:sz w:val="18"/>
              </w:rPr>
              <w:t> Technology</w:t>
            </w:r>
            <w:r>
              <w:rPr>
                <w:rFonts w:ascii="Times New Roman"/>
                <w:spacing w:val="-18"/>
                <w:sz w:val="18"/>
              </w:rPr>
              <w:t> </w:t>
            </w:r>
            <w:r>
              <w:rPr>
                <w:rFonts w:ascii="Times New Roman"/>
                <w:sz w:val="18"/>
              </w:rPr>
              <w:t>lnc.</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13,889,955.18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13,889,955.18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13,889,955.18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13,889,955.18</w:t>
            </w:r>
          </w:p>
        </w:tc>
      </w:tr>
    </w:tbl>
    <w:p>
      <w:pPr>
        <w:pStyle w:val="BodyText"/>
        <w:spacing w:line="441" w:lineRule="auto" w:before="49"/>
        <w:ind w:left="513" w:right="5094" w:hanging="361"/>
        <w:jc w:val="left"/>
      </w:pPr>
      <w:r>
        <w:rPr/>
        <w:t>说明商誉减值测试过程、参数及商誉减值损失的确认方法： 商誉减值准备说明：</w:t>
      </w:r>
    </w:p>
    <w:p>
      <w:pPr>
        <w:spacing w:after="0" w:line="441"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151"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各项资产的账面价值所占比重，按比例抵减其他各项资产的账面价值。上述资产减值损失一经确认，以后期间不予转回。</w:t>
      </w:r>
    </w:p>
    <w:p>
      <w:pPr>
        <w:pStyle w:val="BodyText"/>
        <w:spacing w:line="300" w:lineRule="auto" w:before="17"/>
        <w:ind w:right="152" w:firstLine="360"/>
        <w:jc w:val="both"/>
      </w:pPr>
      <w:r>
        <w:rPr/>
        <w:t>本公司将</w:t>
      </w:r>
      <w:r>
        <w:rPr>
          <w:rFonts w:ascii="Times New Roman" w:hAnsi="Times New Roman" w:cs="Times New Roman" w:eastAsia="Times New Roman" w:hint="default"/>
        </w:rPr>
        <w:t>Double</w:t>
      </w:r>
      <w:r>
        <w:rPr>
          <w:rFonts w:ascii="Times New Roman" w:hAnsi="Times New Roman" w:cs="Times New Roman" w:eastAsia="Times New Roman" w:hint="default"/>
          <w:spacing w:val="-34"/>
        </w:rPr>
        <w:t> </w:t>
      </w:r>
      <w:r>
        <w:rPr>
          <w:rFonts w:ascii="Times New Roman" w:hAnsi="Times New Roman" w:cs="Times New Roman" w:eastAsia="Times New Roman" w:hint="default"/>
        </w:rPr>
        <w:t>Power2015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日所有资产认定为一个资产组，来判断与商誉相关的资产组是否存在减值迹象。根 据以往获利能力及营运资金情况制定最近</w:t>
      </w:r>
      <w:r>
        <w:rPr>
          <w:rFonts w:ascii="Times New Roman" w:hAnsi="Times New Roman" w:cs="Times New Roman" w:eastAsia="Times New Roman" w:hint="default"/>
        </w:rPr>
        <w:t>5</w:t>
      </w:r>
      <w:r>
        <w:rPr/>
        <w:t>年的利润表及现金流量预测表，预期收入增长率不超过行业的平均长期增长率， 预算毛利率和费用率根据以往表现确定，并假设</w:t>
      </w:r>
      <w:r>
        <w:rPr>
          <w:rFonts w:ascii="Times New Roman" w:hAnsi="Times New Roman" w:cs="Times New Roman" w:eastAsia="Times New Roman" w:hint="default"/>
        </w:rPr>
        <w:t>5</w:t>
      </w:r>
      <w:r>
        <w:rPr/>
        <w:t>年之后现金流量维持不变。根据测算，</w:t>
      </w:r>
      <w:r>
        <w:rPr>
          <w:rFonts w:ascii="Times New Roman" w:hAnsi="Times New Roman" w:cs="Times New Roman" w:eastAsia="Times New Roman" w:hint="default"/>
        </w:rPr>
        <w:t>Double</w:t>
      </w:r>
      <w:r>
        <w:rPr>
          <w:rFonts w:ascii="Times New Roman" w:hAnsi="Times New Roman" w:cs="Times New Roman" w:eastAsia="Times New Roman" w:hint="default"/>
          <w:spacing w:val="-3"/>
        </w:rPr>
        <w:t> </w:t>
      </w:r>
      <w:r>
        <w:rPr>
          <w:rFonts w:ascii="Times New Roman" w:hAnsi="Times New Roman" w:cs="Times New Roman" w:eastAsia="Times New Roman" w:hint="default"/>
        </w:rPr>
        <w:t>Power</w:t>
      </w:r>
      <w:r>
        <w:rPr/>
        <w:t>包含商誉的资产组的 可收回金额少于该资产组的账面价值，商誉全额发生减值损失，予以全额计提商誉减值准备。</w:t>
      </w:r>
    </w:p>
    <w:p>
      <w:pPr>
        <w:spacing w:line="240" w:lineRule="auto" w:before="0"/>
        <w:rPr>
          <w:rFonts w:ascii="宋体" w:hAnsi="宋体" w:cs="宋体" w:eastAsia="宋体" w:hint="default"/>
          <w:sz w:val="18"/>
          <w:szCs w:val="18"/>
        </w:rPr>
      </w:pPr>
    </w:p>
    <w:p>
      <w:pPr>
        <w:pStyle w:val="BodyText"/>
        <w:spacing w:line="357" w:lineRule="auto" w:before="148"/>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租入固定资产改良 支出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24,928,892.25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12,521,649.07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11,563,624.63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25,886,916.69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生产用模具</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3,664,198.29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4,685,025.23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3,515,647.06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4,833,576.46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生产用工、夹具</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569,532.56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72,880.34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298,119.19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344,293.71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1,038,483.04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3,622,254.29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912,557.10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3,748,180.23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30,201,106.14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20,901,808.93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16,289,947.98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34,812,967.09</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45,386,631.61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7,537,735.28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20,282,710.78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3,046,823.00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785,945.81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117,891.87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2,577,114.71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386,567.21</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35,849,194.73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8,279,398.49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36,484,439.94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6,669,484.38</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9,791,535.46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1,468,730.32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10,327,141.21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1,549,071.18</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91,813,307.61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17,403,755.96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69,671,406.64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11,651,945.77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6,819,997.25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1,022,999.59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7,663,708.25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1,149,556.24</w:t>
            </w:r>
          </w:p>
        </w:tc>
      </w:tr>
      <w:tr>
        <w:trPr>
          <w:trHeight w:val="71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46,583.63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6,987.54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内部销售未实现利润</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1,269,953.32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190,493.00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1,287,833.92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193,175.09</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8,136,534.20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1,220,480.13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8,951,542.17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1,342,731.33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6"/>
        <w:gridCol w:w="1913"/>
        <w:gridCol w:w="1916"/>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24"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17,403,755.96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11,651,945.77</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1,220,480.13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1,342,731.33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64,748,184.89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32,321,703.67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1,339,014.44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1,339,014.44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66,087,199.33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33,660,718.11</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15,835,954.45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15,835,954.45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16,485,749.22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16,485,749.22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32,426,481.22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64,748,184.89</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left="1325" w:right="0"/>
              <w:jc w:val="left"/>
              <w:rPr>
                <w:rFonts w:ascii="Times New Roman" w:hAnsi="Times New Roman" w:cs="Times New Roman" w:eastAsia="Times New Roman" w:hint="default"/>
                <w:sz w:val="18"/>
                <w:szCs w:val="18"/>
              </w:rPr>
            </w:pPr>
            <w:r>
              <w:rPr>
                <w:rFonts w:ascii="Times New Roman"/>
                <w:sz w:val="18"/>
              </w:rPr>
              <w:t>32,321,703.67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3"/>
        <w:jc w:val="left"/>
      </w:pPr>
      <w:r>
        <w:rPr/>
        <w:t>其他说明：</w:t>
      </w:r>
    </w:p>
    <w:p>
      <w:pPr>
        <w:spacing w:line="240" w:lineRule="auto" w:before="0"/>
        <w:rPr>
          <w:rFonts w:ascii="宋体" w:hAnsi="宋体" w:cs="宋体" w:eastAsia="宋体" w:hint="default"/>
          <w:sz w:val="15"/>
          <w:szCs w:val="15"/>
        </w:rPr>
      </w:pPr>
    </w:p>
    <w:p>
      <w:pPr>
        <w:pStyle w:val="BodyText"/>
        <w:spacing w:line="316" w:lineRule="auto"/>
        <w:ind w:right="274" w:firstLine="360"/>
        <w:jc w:val="left"/>
      </w:pPr>
      <w:r>
        <w:rPr/>
        <w:t>期末未确认递延所得税资产的可抵扣暂时性差异主要系本公司全资子公司深圳市卓大精密模具有限公司的可抵扣暂时 性差异，由于未来能否获得足够的应纳税所得额具有不确定性，因此未确认递延所得税资产。</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总部办公楼</w:t>
            </w:r>
            <w:r>
              <w:rPr>
                <w:rFonts w:ascii="Times New Roman" w:hAnsi="Times New Roman" w:cs="Times New Roman" w:eastAsia="Times New Roman" w:hint="default"/>
                <w:sz w:val="18"/>
                <w:szCs w:val="18"/>
              </w:rPr>
              <w:t>*1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13,579,146.16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14,544,608.13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预付收购股权款</w:t>
            </w:r>
            <w:r>
              <w:rPr>
                <w:rFonts w:ascii="Times New Roman" w:hAnsi="Times New Roman" w:cs="Times New Roman" w:eastAsia="Times New Roman" w:hint="default"/>
                <w:sz w:val="18"/>
                <w:szCs w:val="18"/>
              </w:rPr>
              <w:t>*2</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66,079,146.16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67,044,608.13</w:t>
            </w:r>
          </w:p>
        </w:tc>
      </w:tr>
    </w:tbl>
    <w:p>
      <w:pPr>
        <w:pStyle w:val="BodyText"/>
        <w:spacing w:line="240" w:lineRule="auto" w:before="49"/>
        <w:ind w:right="93"/>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right="93" w:firstLine="360"/>
        <w:jc w:val="left"/>
      </w:pPr>
      <w:r>
        <w:rPr>
          <w:rFonts w:ascii="Times New Roman" w:hAnsi="Times New Roman" w:cs="Times New Roman" w:eastAsia="Times New Roman" w:hint="default"/>
          <w:spacing w:val="-2"/>
        </w:rPr>
        <w:t>*1</w:t>
      </w:r>
      <w:r>
        <w:rPr>
          <w:spacing w:val="-2"/>
        </w:rPr>
        <w:t>、本公司与深圳市大沙河创新走廊建设投资有限公司签订了《创新大厦临时购房合同》，购买位于深圳市南山区马家</w:t>
      </w:r>
      <w:r>
        <w:rPr/>
        <w:t> </w:t>
      </w:r>
      <w:r>
        <w:rPr>
          <w:spacing w:val="-3"/>
        </w:rPr>
        <w:t>龙工业区内创业大厦部分房产，面积不低于</w:t>
      </w:r>
      <w:r>
        <w:rPr>
          <w:rFonts w:ascii="Times New Roman" w:hAnsi="Times New Roman" w:cs="Times New Roman" w:eastAsia="Times New Roman" w:hint="default"/>
          <w:spacing w:val="-3"/>
        </w:rPr>
        <w:t>5,000</w:t>
      </w:r>
      <w:r>
        <w:rPr>
          <w:spacing w:val="-3"/>
        </w:rPr>
        <w:t>平方米，暂定总价款为人民币</w:t>
      </w:r>
      <w:r>
        <w:rPr>
          <w:rFonts w:ascii="Times New Roman" w:hAnsi="Times New Roman" w:cs="Times New Roman" w:eastAsia="Times New Roman" w:hint="default"/>
          <w:spacing w:val="-3"/>
        </w:rPr>
        <w:t>7,500.00</w:t>
      </w:r>
      <w:r>
        <w:rPr>
          <w:spacing w:val="-3"/>
        </w:rPr>
        <w:t>万元，该房产用于本公司总部办公室。</w:t>
      </w:r>
      <w:r>
        <w:rPr>
          <w:spacing w:val="-36"/>
        </w:rPr>
        <w:t> </w:t>
      </w:r>
      <w:r>
        <w:rPr>
          <w:spacing w:val="-36"/>
        </w:rPr>
      </w:r>
      <w:r>
        <w:rPr/>
        <w:t>具体情况详见本附注十一、（一）所述。</w:t>
      </w:r>
    </w:p>
    <w:p>
      <w:pPr>
        <w:spacing w:line="240" w:lineRule="auto" w:before="10"/>
        <w:rPr>
          <w:rFonts w:ascii="宋体" w:hAnsi="宋体" w:cs="宋体" w:eastAsia="宋体" w:hint="default"/>
          <w:sz w:val="23"/>
          <w:szCs w:val="23"/>
        </w:rPr>
      </w:pPr>
    </w:p>
    <w:p>
      <w:pPr>
        <w:pStyle w:val="Heading3"/>
        <w:spacing w:line="240" w:lineRule="auto"/>
        <w:ind w:right="93"/>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259,766,727.60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497,765,492.23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116,087,507.49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19,520,000.00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405,460,230.85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589,055,500.00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781,314,465.94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1,106,340,992.23</w:t>
            </w:r>
          </w:p>
        </w:tc>
      </w:tr>
    </w:tbl>
    <w:p>
      <w:pPr>
        <w:pStyle w:val="BodyText"/>
        <w:spacing w:line="240" w:lineRule="auto" w:before="49"/>
        <w:ind w:right="93"/>
        <w:jc w:val="left"/>
      </w:pPr>
      <w:r>
        <w:rPr/>
        <w:t>短期借款分类的说明：</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92"/>
        <w:gridCol w:w="1903"/>
        <w:gridCol w:w="776"/>
        <w:gridCol w:w="1318"/>
        <w:gridCol w:w="727"/>
        <w:gridCol w:w="1359"/>
        <w:gridCol w:w="917"/>
        <w:gridCol w:w="1844"/>
      </w:tblGrid>
      <w:tr>
        <w:trPr>
          <w:trHeight w:val="353" w:hRule="exact"/>
        </w:trPr>
        <w:tc>
          <w:tcPr>
            <w:tcW w:w="4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9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583" w:right="0"/>
              <w:jc w:val="left"/>
              <w:rPr>
                <w:rFonts w:ascii="宋体" w:hAnsi="宋体" w:cs="宋体" w:eastAsia="宋体" w:hint="default"/>
                <w:sz w:val="18"/>
                <w:szCs w:val="18"/>
              </w:rPr>
            </w:pPr>
            <w:r>
              <w:rPr>
                <w:rFonts w:ascii="宋体" w:hAnsi="宋体" w:cs="宋体" w:eastAsia="宋体" w:hint="default"/>
                <w:sz w:val="18"/>
                <w:szCs w:val="18"/>
              </w:rPr>
              <w:t>银行名称</w:t>
            </w:r>
          </w:p>
        </w:tc>
        <w:tc>
          <w:tcPr>
            <w:tcW w:w="7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92"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7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汇率</w:t>
            </w:r>
          </w:p>
        </w:tc>
        <w:tc>
          <w:tcPr>
            <w:tcW w:w="13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23"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9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4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期限</w:t>
            </w:r>
          </w:p>
        </w:tc>
      </w:tr>
      <w:tr>
        <w:trPr>
          <w:trHeight w:val="353" w:hRule="exact"/>
        </w:trPr>
        <w:tc>
          <w:tcPr>
            <w:tcW w:w="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w:t>
            </w:r>
          </w:p>
        </w:tc>
        <w:tc>
          <w:tcPr>
            <w:tcW w:w="1903" w:type="dxa"/>
            <w:vMerge w:val="restart"/>
            <w:tcBorders>
              <w:top w:val="single" w:sz="12" w:space="0" w:color="000000"/>
              <w:left w:val="single" w:sz="6" w:space="0" w:color="000000"/>
              <w:right w:val="single" w:sz="6" w:space="0" w:color="000000"/>
            </w:tcBorders>
          </w:tcPr>
          <w:p>
            <w:pPr>
              <w:pStyle w:val="TableParagraph"/>
              <w:spacing w:line="316" w:lineRule="auto" w:before="11"/>
              <w:ind w:left="2" w:right="84"/>
              <w:jc w:val="left"/>
              <w:rPr>
                <w:rFonts w:ascii="宋体" w:hAnsi="宋体" w:cs="宋体" w:eastAsia="宋体" w:hint="default"/>
                <w:sz w:val="18"/>
                <w:szCs w:val="18"/>
              </w:rPr>
            </w:pPr>
            <w:r>
              <w:rPr>
                <w:rFonts w:ascii="宋体" w:hAnsi="宋体" w:cs="宋体" w:eastAsia="宋体" w:hint="default"/>
                <w:sz w:val="18"/>
                <w:szCs w:val="18"/>
              </w:rPr>
              <w:t>中国银行深圳中心区支 行</w:t>
            </w:r>
          </w:p>
        </w:tc>
        <w:tc>
          <w:tcPr>
            <w:tcW w:w="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3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264" w:right="0"/>
              <w:jc w:val="left"/>
              <w:rPr>
                <w:rFonts w:ascii="Times New Roman" w:hAnsi="Times New Roman" w:cs="Times New Roman" w:eastAsia="Times New Roman" w:hint="default"/>
                <w:sz w:val="18"/>
                <w:szCs w:val="18"/>
              </w:rPr>
            </w:pPr>
            <w:r>
              <w:rPr>
                <w:rFonts w:ascii="Times New Roman"/>
                <w:sz w:val="18"/>
              </w:rPr>
              <w:t>16,000,000.00</w:t>
            </w:r>
          </w:p>
        </w:tc>
        <w:tc>
          <w:tcPr>
            <w:tcW w:w="7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1.0000</w:t>
            </w:r>
          </w:p>
        </w:tc>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16,000,000.00</w:t>
            </w:r>
          </w:p>
        </w:tc>
        <w:tc>
          <w:tcPr>
            <w:tcW w:w="9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18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2015/5/14-2016/5/13</w:t>
            </w:r>
          </w:p>
        </w:tc>
      </w:tr>
      <w:tr>
        <w:trPr>
          <w:trHeight w:val="353" w:hRule="exact"/>
        </w:trPr>
        <w:tc>
          <w:tcPr>
            <w:tcW w:w="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w:t>
            </w:r>
          </w:p>
        </w:tc>
        <w:tc>
          <w:tcPr>
            <w:tcW w:w="1903" w:type="dxa"/>
            <w:vMerge/>
            <w:tcBorders>
              <w:left w:val="single" w:sz="6" w:space="0" w:color="000000"/>
              <w:bottom w:val="single" w:sz="12" w:space="0" w:color="000000"/>
              <w:right w:val="single" w:sz="6" w:space="0" w:color="000000"/>
            </w:tcBorders>
          </w:tcPr>
          <w:p>
            <w:pPr/>
          </w:p>
        </w:tc>
        <w:tc>
          <w:tcPr>
            <w:tcW w:w="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3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64" w:right="0"/>
              <w:jc w:val="left"/>
              <w:rPr>
                <w:rFonts w:ascii="Times New Roman" w:hAnsi="Times New Roman" w:cs="Times New Roman" w:eastAsia="Times New Roman" w:hint="default"/>
                <w:sz w:val="18"/>
                <w:szCs w:val="18"/>
              </w:rPr>
            </w:pPr>
            <w:r>
              <w:rPr>
                <w:rFonts w:ascii="Times New Roman"/>
                <w:sz w:val="18"/>
              </w:rPr>
              <w:t>30,000,000.00</w:t>
            </w:r>
          </w:p>
        </w:tc>
        <w:tc>
          <w:tcPr>
            <w:tcW w:w="7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30,000,000.00</w:t>
            </w:r>
          </w:p>
        </w:tc>
        <w:tc>
          <w:tcPr>
            <w:tcW w:w="9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18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2015/6/29-2016/5/20</w:t>
            </w:r>
          </w:p>
        </w:tc>
      </w:tr>
      <w:tr>
        <w:trPr>
          <w:trHeight w:val="350" w:hRule="exact"/>
        </w:trPr>
        <w:tc>
          <w:tcPr>
            <w:tcW w:w="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3</w:t>
            </w:r>
          </w:p>
        </w:tc>
        <w:tc>
          <w:tcPr>
            <w:tcW w:w="1903" w:type="dxa"/>
            <w:vMerge w:val="restart"/>
            <w:tcBorders>
              <w:top w:val="single" w:sz="12" w:space="0" w:color="000000"/>
              <w:left w:val="single" w:sz="6" w:space="0" w:color="000000"/>
              <w:right w:val="single" w:sz="6" w:space="0" w:color="000000"/>
            </w:tcBorders>
          </w:tcPr>
          <w:p>
            <w:pPr>
              <w:pStyle w:val="TableParagraph"/>
              <w:spacing w:line="316" w:lineRule="auto" w:before="8"/>
              <w:ind w:left="2" w:right="84"/>
              <w:jc w:val="left"/>
              <w:rPr>
                <w:rFonts w:ascii="宋体" w:hAnsi="宋体" w:cs="宋体" w:eastAsia="宋体" w:hint="default"/>
                <w:sz w:val="18"/>
                <w:szCs w:val="18"/>
              </w:rPr>
            </w:pPr>
            <w:r>
              <w:rPr>
                <w:rFonts w:ascii="宋体" w:hAnsi="宋体" w:cs="宋体" w:eastAsia="宋体" w:hint="default"/>
                <w:sz w:val="18"/>
                <w:szCs w:val="18"/>
              </w:rPr>
              <w:t>中国银行深圳中心区支 行</w:t>
            </w:r>
          </w:p>
        </w:tc>
        <w:tc>
          <w:tcPr>
            <w:tcW w:w="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3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64" w:right="0"/>
              <w:jc w:val="left"/>
              <w:rPr>
                <w:rFonts w:ascii="Times New Roman" w:hAnsi="Times New Roman" w:cs="Times New Roman" w:eastAsia="Times New Roman" w:hint="default"/>
                <w:sz w:val="18"/>
                <w:szCs w:val="18"/>
              </w:rPr>
            </w:pPr>
            <w:r>
              <w:rPr>
                <w:rFonts w:ascii="Times New Roman"/>
                <w:sz w:val="18"/>
              </w:rPr>
              <w:t>50,000,000.00</w:t>
            </w:r>
          </w:p>
        </w:tc>
        <w:tc>
          <w:tcPr>
            <w:tcW w:w="7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9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18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2015/8/24-2016/2/23</w:t>
            </w:r>
          </w:p>
        </w:tc>
      </w:tr>
      <w:tr>
        <w:trPr>
          <w:trHeight w:val="353" w:hRule="exact"/>
        </w:trPr>
        <w:tc>
          <w:tcPr>
            <w:tcW w:w="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4</w:t>
            </w:r>
          </w:p>
        </w:tc>
        <w:tc>
          <w:tcPr>
            <w:tcW w:w="1903" w:type="dxa"/>
            <w:vMerge/>
            <w:tcBorders>
              <w:left w:val="single" w:sz="6" w:space="0" w:color="000000"/>
              <w:right w:val="single" w:sz="6" w:space="0" w:color="000000"/>
            </w:tcBorders>
          </w:tcPr>
          <w:p>
            <w:pPr/>
          </w:p>
        </w:tc>
        <w:tc>
          <w:tcPr>
            <w:tcW w:w="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3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64" w:right="0"/>
              <w:jc w:val="left"/>
              <w:rPr>
                <w:rFonts w:ascii="Times New Roman" w:hAnsi="Times New Roman" w:cs="Times New Roman" w:eastAsia="Times New Roman" w:hint="default"/>
                <w:sz w:val="18"/>
                <w:szCs w:val="18"/>
              </w:rPr>
            </w:pPr>
            <w:r>
              <w:rPr>
                <w:rFonts w:ascii="Times New Roman"/>
                <w:sz w:val="18"/>
              </w:rPr>
              <w:t>50,000,000.00</w:t>
            </w:r>
          </w:p>
        </w:tc>
        <w:tc>
          <w:tcPr>
            <w:tcW w:w="7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1.0000</w:t>
            </w:r>
          </w:p>
        </w:tc>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9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18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2015/11/6-2016/4/5</w:t>
            </w:r>
          </w:p>
        </w:tc>
      </w:tr>
      <w:tr>
        <w:trPr>
          <w:trHeight w:val="353" w:hRule="exact"/>
        </w:trPr>
        <w:tc>
          <w:tcPr>
            <w:tcW w:w="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5</w:t>
            </w:r>
          </w:p>
        </w:tc>
        <w:tc>
          <w:tcPr>
            <w:tcW w:w="1903" w:type="dxa"/>
            <w:vMerge/>
            <w:tcBorders>
              <w:left w:val="single" w:sz="6" w:space="0" w:color="000000"/>
              <w:right w:val="single" w:sz="6" w:space="0" w:color="000000"/>
            </w:tcBorders>
          </w:tcPr>
          <w:p>
            <w:pPr/>
          </w:p>
        </w:tc>
        <w:tc>
          <w:tcPr>
            <w:tcW w:w="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3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64" w:right="0"/>
              <w:jc w:val="left"/>
              <w:rPr>
                <w:rFonts w:ascii="Times New Roman" w:hAnsi="Times New Roman" w:cs="Times New Roman" w:eastAsia="Times New Roman" w:hint="default"/>
                <w:sz w:val="18"/>
                <w:szCs w:val="18"/>
              </w:rPr>
            </w:pPr>
            <w:r>
              <w:rPr>
                <w:rFonts w:ascii="Times New Roman"/>
                <w:sz w:val="18"/>
              </w:rPr>
              <w:t>20,000,000.00</w:t>
            </w:r>
          </w:p>
        </w:tc>
        <w:tc>
          <w:tcPr>
            <w:tcW w:w="7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20,000,000.00</w:t>
            </w:r>
          </w:p>
        </w:tc>
        <w:tc>
          <w:tcPr>
            <w:tcW w:w="9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18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2015/11/18-2016/5/17</w:t>
            </w:r>
          </w:p>
        </w:tc>
      </w:tr>
      <w:tr>
        <w:trPr>
          <w:trHeight w:val="353" w:hRule="exact"/>
        </w:trPr>
        <w:tc>
          <w:tcPr>
            <w:tcW w:w="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6</w:t>
            </w:r>
          </w:p>
        </w:tc>
        <w:tc>
          <w:tcPr>
            <w:tcW w:w="1903" w:type="dxa"/>
            <w:vMerge/>
            <w:tcBorders>
              <w:left w:val="single" w:sz="6" w:space="0" w:color="000000"/>
              <w:bottom w:val="single" w:sz="12" w:space="0" w:color="000000"/>
              <w:right w:val="single" w:sz="6" w:space="0" w:color="000000"/>
            </w:tcBorders>
          </w:tcPr>
          <w:p>
            <w:pPr/>
          </w:p>
        </w:tc>
        <w:tc>
          <w:tcPr>
            <w:tcW w:w="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3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64" w:right="0"/>
              <w:jc w:val="left"/>
              <w:rPr>
                <w:rFonts w:ascii="Times New Roman" w:hAnsi="Times New Roman" w:cs="Times New Roman" w:eastAsia="Times New Roman" w:hint="default"/>
                <w:sz w:val="18"/>
                <w:szCs w:val="18"/>
              </w:rPr>
            </w:pPr>
            <w:r>
              <w:rPr>
                <w:rFonts w:ascii="Times New Roman"/>
                <w:sz w:val="18"/>
              </w:rPr>
              <w:t>20,000,000.00</w:t>
            </w:r>
          </w:p>
        </w:tc>
        <w:tc>
          <w:tcPr>
            <w:tcW w:w="7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6.4936</w:t>
            </w:r>
          </w:p>
        </w:tc>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129,872,000.00</w:t>
            </w:r>
          </w:p>
        </w:tc>
        <w:tc>
          <w:tcPr>
            <w:tcW w:w="9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质押借款</w:t>
            </w:r>
          </w:p>
        </w:tc>
        <w:tc>
          <w:tcPr>
            <w:tcW w:w="18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2015/1/26-2016/1/22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92"/>
        <w:gridCol w:w="1903"/>
        <w:gridCol w:w="776"/>
        <w:gridCol w:w="1318"/>
        <w:gridCol w:w="727"/>
        <w:gridCol w:w="1359"/>
        <w:gridCol w:w="917"/>
        <w:gridCol w:w="1844"/>
      </w:tblGrid>
      <w:tr>
        <w:trPr>
          <w:trHeight w:val="355" w:hRule="exact"/>
        </w:trPr>
        <w:tc>
          <w:tcPr>
            <w:tcW w:w="4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7</w:t>
            </w:r>
          </w:p>
        </w:tc>
        <w:tc>
          <w:tcPr>
            <w:tcW w:w="1903" w:type="dxa"/>
            <w:vMerge w:val="restart"/>
            <w:tcBorders>
              <w:top w:val="single" w:sz="6" w:space="0" w:color="000000"/>
              <w:left w:val="single" w:sz="6" w:space="0" w:color="000000"/>
              <w:right w:val="single" w:sz="6" w:space="0" w:color="000000"/>
            </w:tcBorders>
          </w:tcPr>
          <w:p>
            <w:pPr/>
          </w:p>
        </w:tc>
        <w:tc>
          <w:tcPr>
            <w:tcW w:w="7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20,003,500.00</w:t>
            </w:r>
          </w:p>
        </w:tc>
        <w:tc>
          <w:tcPr>
            <w:tcW w:w="7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107"/>
              <w:jc w:val="right"/>
              <w:rPr>
                <w:rFonts w:ascii="Times New Roman" w:hAnsi="Times New Roman" w:cs="Times New Roman" w:eastAsia="Times New Roman" w:hint="default"/>
                <w:sz w:val="18"/>
                <w:szCs w:val="18"/>
              </w:rPr>
            </w:pPr>
            <w:r>
              <w:rPr>
                <w:rFonts w:ascii="Times New Roman"/>
                <w:spacing w:val="-1"/>
                <w:sz w:val="18"/>
              </w:rPr>
              <w:t>6.4936</w:t>
            </w:r>
          </w:p>
        </w:tc>
        <w:tc>
          <w:tcPr>
            <w:tcW w:w="13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129,894,727.60</w:t>
            </w:r>
          </w:p>
        </w:tc>
        <w:tc>
          <w:tcPr>
            <w:tcW w:w="9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89"/>
              <w:jc w:val="right"/>
              <w:rPr>
                <w:rFonts w:ascii="宋体" w:hAnsi="宋体" w:cs="宋体" w:eastAsia="宋体" w:hint="default"/>
                <w:sz w:val="18"/>
                <w:szCs w:val="18"/>
              </w:rPr>
            </w:pPr>
            <w:r>
              <w:rPr>
                <w:rFonts w:ascii="宋体" w:hAnsi="宋体" w:cs="宋体" w:eastAsia="宋体" w:hint="default"/>
                <w:sz w:val="18"/>
                <w:szCs w:val="18"/>
              </w:rPr>
              <w:t>质押借款</w:t>
            </w:r>
          </w:p>
        </w:tc>
        <w:tc>
          <w:tcPr>
            <w:tcW w:w="184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2015/1/27-2016/1/22</w:t>
            </w:r>
          </w:p>
        </w:tc>
      </w:tr>
      <w:tr>
        <w:trPr>
          <w:trHeight w:val="351" w:hRule="exact"/>
        </w:trPr>
        <w:tc>
          <w:tcPr>
            <w:tcW w:w="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8</w:t>
            </w:r>
          </w:p>
        </w:tc>
        <w:tc>
          <w:tcPr>
            <w:tcW w:w="1903" w:type="dxa"/>
            <w:vMerge/>
            <w:tcBorders>
              <w:left w:val="single" w:sz="6" w:space="0" w:color="000000"/>
              <w:bottom w:val="single" w:sz="12" w:space="0" w:color="000000"/>
              <w:right w:val="single" w:sz="6" w:space="0" w:color="000000"/>
            </w:tcBorders>
          </w:tcPr>
          <w:p>
            <w:pPr/>
          </w:p>
        </w:tc>
        <w:tc>
          <w:tcPr>
            <w:tcW w:w="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3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3,300,000.00</w:t>
            </w:r>
          </w:p>
        </w:tc>
        <w:tc>
          <w:tcPr>
            <w:tcW w:w="7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6.4936</w:t>
            </w:r>
          </w:p>
        </w:tc>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21,428,880.00</w:t>
            </w:r>
          </w:p>
        </w:tc>
        <w:tc>
          <w:tcPr>
            <w:tcW w:w="9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hAnsi="宋体" w:cs="宋体" w:eastAsia="宋体" w:hint="default"/>
                <w:sz w:val="18"/>
                <w:szCs w:val="18"/>
              </w:rPr>
              <w:t>信用借款</w:t>
            </w:r>
          </w:p>
        </w:tc>
        <w:tc>
          <w:tcPr>
            <w:tcW w:w="18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2015/10/22-2016/2/18</w:t>
            </w:r>
          </w:p>
        </w:tc>
      </w:tr>
      <w:tr>
        <w:trPr>
          <w:trHeight w:val="353" w:hRule="exact"/>
        </w:trPr>
        <w:tc>
          <w:tcPr>
            <w:tcW w:w="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9</w:t>
            </w:r>
          </w:p>
        </w:tc>
        <w:tc>
          <w:tcPr>
            <w:tcW w:w="1903" w:type="dxa"/>
            <w:vMerge w:val="restart"/>
            <w:tcBorders>
              <w:top w:val="single" w:sz="12" w:space="0" w:color="000000"/>
              <w:left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上海浦发银行深圳分行</w:t>
            </w:r>
          </w:p>
        </w:tc>
        <w:tc>
          <w:tcPr>
            <w:tcW w:w="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3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5,822,400.00</w:t>
            </w:r>
          </w:p>
        </w:tc>
        <w:tc>
          <w:tcPr>
            <w:tcW w:w="7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pacing w:val="-1"/>
                <w:sz w:val="18"/>
              </w:rPr>
              <w:t>6.4936</w:t>
            </w:r>
          </w:p>
        </w:tc>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37,808,336.64</w:t>
            </w:r>
          </w:p>
        </w:tc>
        <w:tc>
          <w:tcPr>
            <w:tcW w:w="9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信用借款</w:t>
            </w:r>
          </w:p>
        </w:tc>
        <w:tc>
          <w:tcPr>
            <w:tcW w:w="18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2015/10/20-2016/4/17</w:t>
            </w:r>
          </w:p>
        </w:tc>
      </w:tr>
      <w:tr>
        <w:trPr>
          <w:trHeight w:val="353" w:hRule="exact"/>
        </w:trPr>
        <w:tc>
          <w:tcPr>
            <w:tcW w:w="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10</w:t>
            </w:r>
          </w:p>
        </w:tc>
        <w:tc>
          <w:tcPr>
            <w:tcW w:w="1903" w:type="dxa"/>
            <w:vMerge/>
            <w:tcBorders>
              <w:left w:val="single" w:sz="6" w:space="0" w:color="000000"/>
              <w:right w:val="single" w:sz="6" w:space="0" w:color="000000"/>
            </w:tcBorders>
          </w:tcPr>
          <w:p>
            <w:pPr/>
          </w:p>
        </w:tc>
        <w:tc>
          <w:tcPr>
            <w:tcW w:w="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3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5,000,000.00</w:t>
            </w:r>
          </w:p>
        </w:tc>
        <w:tc>
          <w:tcPr>
            <w:tcW w:w="7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6.4936</w:t>
            </w:r>
          </w:p>
        </w:tc>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32,468,000.00</w:t>
            </w:r>
          </w:p>
        </w:tc>
        <w:tc>
          <w:tcPr>
            <w:tcW w:w="9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hAnsi="宋体" w:cs="宋体" w:eastAsia="宋体" w:hint="default"/>
                <w:sz w:val="18"/>
                <w:szCs w:val="18"/>
              </w:rPr>
              <w:t>保证借款</w:t>
            </w:r>
          </w:p>
        </w:tc>
        <w:tc>
          <w:tcPr>
            <w:tcW w:w="18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2015/9/18-2016/3/16</w:t>
            </w:r>
          </w:p>
        </w:tc>
      </w:tr>
      <w:tr>
        <w:trPr>
          <w:trHeight w:val="350" w:hRule="exact"/>
        </w:trPr>
        <w:tc>
          <w:tcPr>
            <w:tcW w:w="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11</w:t>
            </w:r>
          </w:p>
        </w:tc>
        <w:tc>
          <w:tcPr>
            <w:tcW w:w="1903" w:type="dxa"/>
            <w:vMerge/>
            <w:tcBorders>
              <w:left w:val="single" w:sz="6" w:space="0" w:color="000000"/>
              <w:bottom w:val="single" w:sz="12" w:space="0" w:color="000000"/>
              <w:right w:val="single" w:sz="6" w:space="0" w:color="000000"/>
            </w:tcBorders>
          </w:tcPr>
          <w:p>
            <w:pPr/>
          </w:p>
        </w:tc>
        <w:tc>
          <w:tcPr>
            <w:tcW w:w="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3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8,987,000.00</w:t>
            </w:r>
          </w:p>
        </w:tc>
        <w:tc>
          <w:tcPr>
            <w:tcW w:w="7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6.4936</w:t>
            </w:r>
          </w:p>
        </w:tc>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58,357,983.20</w:t>
            </w:r>
          </w:p>
        </w:tc>
        <w:tc>
          <w:tcPr>
            <w:tcW w:w="9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hAnsi="宋体" w:cs="宋体" w:eastAsia="宋体" w:hint="default"/>
                <w:sz w:val="18"/>
                <w:szCs w:val="18"/>
              </w:rPr>
              <w:t>保证借款</w:t>
            </w:r>
          </w:p>
        </w:tc>
        <w:tc>
          <w:tcPr>
            <w:tcW w:w="18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2015/10/23-2016/4/20</w:t>
            </w:r>
          </w:p>
        </w:tc>
      </w:tr>
      <w:tr>
        <w:trPr>
          <w:trHeight w:val="353" w:hRule="exact"/>
        </w:trPr>
        <w:tc>
          <w:tcPr>
            <w:tcW w:w="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12</w:t>
            </w:r>
          </w:p>
        </w:tc>
        <w:tc>
          <w:tcPr>
            <w:tcW w:w="19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招商银行南山支行</w:t>
            </w:r>
          </w:p>
        </w:tc>
        <w:tc>
          <w:tcPr>
            <w:tcW w:w="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3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50,000,000.00</w:t>
            </w:r>
          </w:p>
        </w:tc>
        <w:tc>
          <w:tcPr>
            <w:tcW w:w="7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pacing w:val="-1"/>
                <w:sz w:val="18"/>
              </w:rPr>
              <w:t>1.0000</w:t>
            </w:r>
          </w:p>
        </w:tc>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9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信用借款</w:t>
            </w:r>
          </w:p>
        </w:tc>
        <w:tc>
          <w:tcPr>
            <w:tcW w:w="18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2015/5/28-2016/1/28</w:t>
            </w:r>
          </w:p>
        </w:tc>
      </w:tr>
      <w:tr>
        <w:trPr>
          <w:trHeight w:val="353" w:hRule="exact"/>
        </w:trPr>
        <w:tc>
          <w:tcPr>
            <w:tcW w:w="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13</w:t>
            </w:r>
          </w:p>
        </w:tc>
        <w:tc>
          <w:tcPr>
            <w:tcW w:w="19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中国银行深圳湾支行</w:t>
            </w:r>
          </w:p>
        </w:tc>
        <w:tc>
          <w:tcPr>
            <w:tcW w:w="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3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48,000,000.00</w:t>
            </w:r>
          </w:p>
        </w:tc>
        <w:tc>
          <w:tcPr>
            <w:tcW w:w="7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1.0000</w:t>
            </w:r>
          </w:p>
        </w:tc>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48,000,000.00</w:t>
            </w:r>
          </w:p>
        </w:tc>
        <w:tc>
          <w:tcPr>
            <w:tcW w:w="9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hAnsi="宋体" w:cs="宋体" w:eastAsia="宋体" w:hint="default"/>
                <w:sz w:val="18"/>
                <w:szCs w:val="18"/>
              </w:rPr>
              <w:t>信用借款</w:t>
            </w:r>
          </w:p>
        </w:tc>
        <w:tc>
          <w:tcPr>
            <w:tcW w:w="18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2015/12/18-2016/12/18</w:t>
            </w:r>
          </w:p>
        </w:tc>
      </w:tr>
      <w:tr>
        <w:trPr>
          <w:trHeight w:val="350" w:hRule="exact"/>
        </w:trPr>
        <w:tc>
          <w:tcPr>
            <w:tcW w:w="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14</w:t>
            </w:r>
          </w:p>
        </w:tc>
        <w:tc>
          <w:tcPr>
            <w:tcW w:w="19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中国银行深圳分行</w:t>
            </w:r>
          </w:p>
        </w:tc>
        <w:tc>
          <w:tcPr>
            <w:tcW w:w="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3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3,042,228.38</w:t>
            </w:r>
          </w:p>
        </w:tc>
        <w:tc>
          <w:tcPr>
            <w:tcW w:w="7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6.4936</w:t>
            </w:r>
          </w:p>
        </w:tc>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19,755,014.21</w:t>
            </w:r>
          </w:p>
        </w:tc>
        <w:tc>
          <w:tcPr>
            <w:tcW w:w="9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hAnsi="宋体" w:cs="宋体" w:eastAsia="宋体" w:hint="default"/>
                <w:sz w:val="18"/>
                <w:szCs w:val="18"/>
              </w:rPr>
              <w:t>信用借款</w:t>
            </w:r>
          </w:p>
        </w:tc>
        <w:tc>
          <w:tcPr>
            <w:tcW w:w="18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2015/10/30-2016/2/28</w:t>
            </w:r>
          </w:p>
        </w:tc>
      </w:tr>
      <w:tr>
        <w:trPr>
          <w:trHeight w:val="353" w:hRule="exact"/>
        </w:trPr>
        <w:tc>
          <w:tcPr>
            <w:tcW w:w="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15</w:t>
            </w:r>
          </w:p>
        </w:tc>
        <w:tc>
          <w:tcPr>
            <w:tcW w:w="19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上海浦发银行天津分行</w:t>
            </w:r>
          </w:p>
        </w:tc>
        <w:tc>
          <w:tcPr>
            <w:tcW w:w="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3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2,044,587.60</w:t>
            </w:r>
          </w:p>
        </w:tc>
        <w:tc>
          <w:tcPr>
            <w:tcW w:w="7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pacing w:val="-1"/>
                <w:sz w:val="18"/>
              </w:rPr>
              <w:t>6.4936</w:t>
            </w:r>
          </w:p>
        </w:tc>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13,276,734.04</w:t>
            </w:r>
          </w:p>
        </w:tc>
        <w:tc>
          <w:tcPr>
            <w:tcW w:w="9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保证借款</w:t>
            </w:r>
          </w:p>
        </w:tc>
        <w:tc>
          <w:tcPr>
            <w:tcW w:w="18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2015/11/19-2016/2/17</w:t>
            </w:r>
          </w:p>
        </w:tc>
      </w:tr>
      <w:tr>
        <w:trPr>
          <w:trHeight w:val="353" w:hRule="exact"/>
        </w:trPr>
        <w:tc>
          <w:tcPr>
            <w:tcW w:w="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16</w:t>
            </w:r>
          </w:p>
        </w:tc>
        <w:tc>
          <w:tcPr>
            <w:tcW w:w="19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上海浦发银行天津分行</w:t>
            </w:r>
          </w:p>
        </w:tc>
        <w:tc>
          <w:tcPr>
            <w:tcW w:w="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3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11,984,790.25</w:t>
            </w:r>
          </w:p>
        </w:tc>
        <w:tc>
          <w:tcPr>
            <w:tcW w:w="7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1.0000</w:t>
            </w:r>
          </w:p>
        </w:tc>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11,984,790.25</w:t>
            </w:r>
          </w:p>
        </w:tc>
        <w:tc>
          <w:tcPr>
            <w:tcW w:w="9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hAnsi="宋体" w:cs="宋体" w:eastAsia="宋体" w:hint="default"/>
                <w:sz w:val="18"/>
                <w:szCs w:val="18"/>
              </w:rPr>
              <w:t>保证借款</w:t>
            </w:r>
          </w:p>
        </w:tc>
        <w:tc>
          <w:tcPr>
            <w:tcW w:w="18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2015/12/25-2016/3/15</w:t>
            </w:r>
          </w:p>
        </w:tc>
      </w:tr>
      <w:tr>
        <w:trPr>
          <w:trHeight w:val="350" w:hRule="exact"/>
        </w:trPr>
        <w:tc>
          <w:tcPr>
            <w:tcW w:w="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17</w:t>
            </w:r>
          </w:p>
        </w:tc>
        <w:tc>
          <w:tcPr>
            <w:tcW w:w="19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花旗银行（香港）</w:t>
            </w:r>
          </w:p>
        </w:tc>
        <w:tc>
          <w:tcPr>
            <w:tcW w:w="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3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3,500,000.00</w:t>
            </w:r>
          </w:p>
        </w:tc>
        <w:tc>
          <w:tcPr>
            <w:tcW w:w="7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6.4936</w:t>
            </w:r>
          </w:p>
        </w:tc>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22,727,600.00</w:t>
            </w:r>
          </w:p>
        </w:tc>
        <w:tc>
          <w:tcPr>
            <w:tcW w:w="9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hAnsi="宋体" w:cs="宋体" w:eastAsia="宋体" w:hint="default"/>
                <w:sz w:val="18"/>
                <w:szCs w:val="18"/>
              </w:rPr>
              <w:t>信用借款</w:t>
            </w:r>
          </w:p>
        </w:tc>
        <w:tc>
          <w:tcPr>
            <w:tcW w:w="18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2015/10/26-2016/8/7</w:t>
            </w:r>
          </w:p>
        </w:tc>
      </w:tr>
      <w:tr>
        <w:trPr>
          <w:trHeight w:val="353" w:hRule="exact"/>
        </w:trPr>
        <w:tc>
          <w:tcPr>
            <w:tcW w:w="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18</w:t>
            </w:r>
          </w:p>
        </w:tc>
        <w:tc>
          <w:tcPr>
            <w:tcW w:w="19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花旗银行（香港）</w:t>
            </w:r>
          </w:p>
        </w:tc>
        <w:tc>
          <w:tcPr>
            <w:tcW w:w="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3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1,500,000.00</w:t>
            </w:r>
          </w:p>
        </w:tc>
        <w:tc>
          <w:tcPr>
            <w:tcW w:w="7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pacing w:val="-1"/>
                <w:sz w:val="18"/>
              </w:rPr>
              <w:t>6.4936</w:t>
            </w:r>
          </w:p>
        </w:tc>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9,740,400.00</w:t>
            </w:r>
          </w:p>
        </w:tc>
        <w:tc>
          <w:tcPr>
            <w:tcW w:w="9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hAnsi="宋体" w:cs="宋体" w:eastAsia="宋体" w:hint="default"/>
                <w:sz w:val="18"/>
                <w:szCs w:val="18"/>
              </w:rPr>
              <w:t>信用借款</w:t>
            </w:r>
          </w:p>
        </w:tc>
        <w:tc>
          <w:tcPr>
            <w:tcW w:w="18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2015/10/27-2016/9/9</w:t>
            </w:r>
          </w:p>
        </w:tc>
      </w:tr>
      <w:tr>
        <w:trPr>
          <w:trHeight w:val="353" w:hRule="exact"/>
        </w:trPr>
        <w:tc>
          <w:tcPr>
            <w:tcW w:w="4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19</w:t>
            </w:r>
          </w:p>
        </w:tc>
        <w:tc>
          <w:tcPr>
            <w:tcW w:w="19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华夏银行深圳南园支行</w:t>
            </w:r>
          </w:p>
        </w:tc>
        <w:tc>
          <w:tcPr>
            <w:tcW w:w="7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3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30,000,000.00</w:t>
            </w:r>
          </w:p>
        </w:tc>
        <w:tc>
          <w:tcPr>
            <w:tcW w:w="7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1.0000</w:t>
            </w:r>
          </w:p>
        </w:tc>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30,000,000.00</w:t>
            </w:r>
          </w:p>
        </w:tc>
        <w:tc>
          <w:tcPr>
            <w:tcW w:w="9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89"/>
              <w:jc w:val="right"/>
              <w:rPr>
                <w:rFonts w:ascii="宋体" w:hAnsi="宋体" w:cs="宋体" w:eastAsia="宋体" w:hint="default"/>
                <w:sz w:val="18"/>
                <w:szCs w:val="18"/>
              </w:rPr>
            </w:pPr>
            <w:r>
              <w:rPr>
                <w:rFonts w:ascii="宋体" w:hAnsi="宋体" w:cs="宋体" w:eastAsia="宋体" w:hint="default"/>
                <w:sz w:val="18"/>
                <w:szCs w:val="18"/>
              </w:rPr>
              <w:t>信用借款</w:t>
            </w:r>
          </w:p>
        </w:tc>
        <w:tc>
          <w:tcPr>
            <w:tcW w:w="184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2015/12/7-2016/6/7</w:t>
            </w:r>
          </w:p>
        </w:tc>
      </w:tr>
      <w:tr>
        <w:trPr>
          <w:trHeight w:val="353" w:hRule="exact"/>
        </w:trPr>
        <w:tc>
          <w:tcPr>
            <w:tcW w:w="492" w:type="dxa"/>
            <w:tcBorders>
              <w:top w:val="single" w:sz="12" w:space="0" w:color="000000"/>
              <w:left w:val="single" w:sz="6" w:space="0" w:color="000000"/>
              <w:bottom w:val="single" w:sz="12" w:space="0" w:color="000000"/>
              <w:right w:val="single" w:sz="6" w:space="0" w:color="000000"/>
            </w:tcBorders>
          </w:tcPr>
          <w:p>
            <w:pPr/>
          </w:p>
        </w:tc>
        <w:tc>
          <w:tcPr>
            <w:tcW w:w="19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76" w:type="dxa"/>
            <w:tcBorders>
              <w:top w:val="single" w:sz="12" w:space="0" w:color="000000"/>
              <w:left w:val="single" w:sz="6" w:space="0" w:color="000000"/>
              <w:bottom w:val="single" w:sz="12" w:space="0" w:color="000000"/>
              <w:right w:val="single" w:sz="6" w:space="0" w:color="000000"/>
            </w:tcBorders>
          </w:tcPr>
          <w:p>
            <w:pPr/>
          </w:p>
        </w:tc>
        <w:tc>
          <w:tcPr>
            <w:tcW w:w="1318" w:type="dxa"/>
            <w:tcBorders>
              <w:top w:val="single" w:sz="12" w:space="0" w:color="000000"/>
              <w:left w:val="single" w:sz="6" w:space="0" w:color="000000"/>
              <w:bottom w:val="single" w:sz="12" w:space="0" w:color="000000"/>
              <w:right w:val="single" w:sz="6" w:space="0" w:color="000000"/>
            </w:tcBorders>
          </w:tcPr>
          <w:p>
            <w:pPr/>
          </w:p>
        </w:tc>
        <w:tc>
          <w:tcPr>
            <w:tcW w:w="727" w:type="dxa"/>
            <w:tcBorders>
              <w:top w:val="single" w:sz="12" w:space="0" w:color="000000"/>
              <w:left w:val="single" w:sz="6" w:space="0" w:color="000000"/>
              <w:bottom w:val="single" w:sz="12" w:space="0" w:color="000000"/>
              <w:right w:val="single" w:sz="6" w:space="0" w:color="000000"/>
            </w:tcBorders>
          </w:tcPr>
          <w:p>
            <w:pPr/>
          </w:p>
        </w:tc>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781,314,465.94</w:t>
            </w:r>
          </w:p>
        </w:tc>
        <w:tc>
          <w:tcPr>
            <w:tcW w:w="917" w:type="dxa"/>
            <w:tcBorders>
              <w:top w:val="single" w:sz="12" w:space="0" w:color="000000"/>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before="44"/>
        <w:ind w:left="513" w:right="153"/>
        <w:jc w:val="left"/>
      </w:pPr>
      <w:r>
        <w:rPr/>
        <w:t>（</w:t>
      </w:r>
      <w:r>
        <w:rPr>
          <w:rFonts w:ascii="Times New Roman" w:hAnsi="Times New Roman" w:cs="Times New Roman" w:eastAsia="Times New Roman" w:hint="default"/>
        </w:rPr>
        <w:t>1</w:t>
      </w:r>
      <w:r>
        <w:rPr/>
        <w:t>）保证借款系：本公司为本公司之子公司提供保证担保，详见附注九、（五）。</w:t>
      </w:r>
    </w:p>
    <w:p>
      <w:pPr>
        <w:spacing w:line="240" w:lineRule="auto" w:before="13"/>
        <w:rPr>
          <w:rFonts w:ascii="宋体" w:hAnsi="宋体" w:cs="宋体" w:eastAsia="宋体" w:hint="default"/>
          <w:sz w:val="13"/>
          <w:szCs w:val="13"/>
        </w:rPr>
      </w:pPr>
    </w:p>
    <w:p>
      <w:pPr>
        <w:pStyle w:val="BodyText"/>
        <w:spacing w:line="240" w:lineRule="auto"/>
        <w:ind w:left="513" w:right="153"/>
        <w:jc w:val="left"/>
      </w:pPr>
      <w:r>
        <w:rPr/>
        <w:t>（</w:t>
      </w:r>
      <w:r>
        <w:rPr>
          <w:rFonts w:ascii="Times New Roman" w:hAnsi="Times New Roman" w:cs="Times New Roman" w:eastAsia="Times New Roman" w:hint="default"/>
        </w:rPr>
        <w:t>2</w:t>
      </w:r>
      <w:r>
        <w:rPr/>
        <w:t>）质押借款系本公司以期末其他货币资金中的保证金</w:t>
      </w:r>
      <w:r>
        <w:rPr>
          <w:rFonts w:ascii="Times New Roman" w:hAnsi="Times New Roman" w:cs="Times New Roman" w:eastAsia="Times New Roman" w:hint="default"/>
        </w:rPr>
        <w:t>129,518,397.51</w:t>
      </w:r>
      <w:r>
        <w:rPr/>
        <w:t>元及理财产品</w:t>
      </w:r>
      <w:r>
        <w:rPr>
          <w:rFonts w:ascii="Times New Roman" w:hAnsi="Times New Roman" w:cs="Times New Roman" w:eastAsia="Times New Roman" w:hint="default"/>
        </w:rPr>
        <w:t>124,300,000.00</w:t>
      </w:r>
      <w:r>
        <w:rPr/>
        <w:t>元作为质押。</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3"/>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逾期利率</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其中：发行的交易性债券</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 期损益的金融负债</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53"/>
        <w:jc w:val="left"/>
      </w:pPr>
      <w:r>
        <w:rPr/>
        <w:t>其他说明：无</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293,100,757.52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159,264,166.96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293,100,757.52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159,264,166.96</w:t>
            </w:r>
          </w:p>
        </w:tc>
      </w:tr>
    </w:tbl>
    <w:p>
      <w:pPr>
        <w:pStyle w:val="BodyText"/>
        <w:spacing w:line="240" w:lineRule="auto" w:before="49"/>
        <w:ind w:right="153"/>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3"/>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613,985,905.83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419,346,556.05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5,374,141.13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1,344,297.90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1,716,677.55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613,985,905.83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427,781,672.63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其他说明：</w:t>
      </w:r>
    </w:p>
    <w:p>
      <w:pPr>
        <w:spacing w:line="240" w:lineRule="auto" w:before="3"/>
        <w:rPr>
          <w:rFonts w:ascii="宋体" w:hAnsi="宋体" w:cs="宋体" w:eastAsia="宋体" w:hint="default"/>
          <w:sz w:val="15"/>
          <w:szCs w:val="15"/>
        </w:rPr>
      </w:pPr>
    </w:p>
    <w:p>
      <w:pPr>
        <w:pStyle w:val="Heading4"/>
        <w:spacing w:line="240" w:lineRule="auto"/>
        <w:ind w:right="153"/>
        <w:jc w:val="left"/>
        <w:rPr>
          <w:b w:val="0"/>
          <w:bCs w:val="0"/>
        </w:rPr>
      </w:pPr>
      <w:r>
        <w:rPr>
          <w:rFonts w:ascii="宋体" w:hAnsi="宋体" w:cs="宋体" w:eastAsia="宋体" w:hint="default"/>
        </w:rPr>
        <w:t>1</w:t>
      </w:r>
      <w:r>
        <w:rPr/>
        <w:t>、</w:t>
      </w:r>
      <w:r>
        <w:rPr>
          <w:spacing w:val="-5"/>
        </w:rPr>
        <w:t> </w:t>
      </w:r>
      <w:r>
        <w:rPr/>
        <w:t>期末无账龄超过一年的重要应付账款。</w:t>
      </w:r>
      <w:r>
        <w:rPr>
          <w:b w:val="0"/>
          <w:bCs w:val="0"/>
        </w:rPr>
      </w:r>
    </w:p>
    <w:p>
      <w:pPr>
        <w:pStyle w:val="Heading4"/>
        <w:spacing w:line="240" w:lineRule="auto" w:before="74"/>
        <w:ind w:right="153"/>
        <w:jc w:val="left"/>
        <w:rPr>
          <w:b w:val="0"/>
          <w:bCs w:val="0"/>
        </w:rPr>
      </w:pPr>
      <w:r>
        <w:rPr>
          <w:rFonts w:ascii="宋体" w:hAnsi="宋体" w:cs="宋体" w:eastAsia="宋体" w:hint="default"/>
        </w:rPr>
        <w:t>2</w:t>
      </w:r>
      <w:r>
        <w:rPr/>
        <w:t>、应付账款的其他说明</w:t>
      </w:r>
      <w:r>
        <w:rPr>
          <w:b w:val="0"/>
          <w:bCs w:val="0"/>
        </w:rPr>
      </w:r>
    </w:p>
    <w:p>
      <w:pPr>
        <w:pStyle w:val="BodyText"/>
        <w:spacing w:line="240" w:lineRule="auto" w:before="76"/>
        <w:ind w:left="513" w:right="153"/>
        <w:jc w:val="left"/>
      </w:pPr>
      <w:r>
        <w:rPr/>
        <w:t>（</w:t>
      </w:r>
      <w:r>
        <w:rPr>
          <w:rFonts w:ascii="Times New Roman" w:hAnsi="Times New Roman" w:cs="Times New Roman" w:eastAsia="Times New Roman" w:hint="default"/>
        </w:rPr>
        <w:t>1</w:t>
      </w:r>
      <w:r>
        <w:rPr/>
        <w:t>）应付账款期末余额较期初增加</w:t>
      </w:r>
      <w:r>
        <w:rPr>
          <w:rFonts w:ascii="Times New Roman" w:hAnsi="Times New Roman" w:cs="Times New Roman" w:eastAsia="Times New Roman" w:hint="default"/>
        </w:rPr>
        <w:t>186,204,233.20</w:t>
      </w:r>
      <w:r>
        <w:rPr/>
        <w:t>元，增加比例</w:t>
      </w:r>
      <w:r>
        <w:rPr>
          <w:rFonts w:ascii="Times New Roman" w:hAnsi="Times New Roman" w:cs="Times New Roman" w:eastAsia="Times New Roman" w:hint="default"/>
        </w:rPr>
        <w:t>43.53%</w:t>
      </w:r>
      <w:r>
        <w:rPr/>
        <w:t>，主要系应付材料款增加所致。</w:t>
      </w:r>
    </w:p>
    <w:p>
      <w:pPr>
        <w:pStyle w:val="BodyText"/>
        <w:spacing w:line="240" w:lineRule="auto" w:before="63"/>
        <w:ind w:left="501" w:right="153"/>
        <w:jc w:val="left"/>
      </w:pPr>
      <w:r>
        <w:rPr/>
        <w:t>（</w:t>
      </w:r>
      <w:r>
        <w:rPr>
          <w:rFonts w:ascii="Times New Roman" w:hAnsi="Times New Roman" w:cs="Times New Roman" w:eastAsia="Times New Roman" w:hint="default"/>
        </w:rPr>
        <w:t>2</w:t>
      </w:r>
      <w:r>
        <w:rPr/>
        <w:t>）期末应付账款中无应付持本公司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表决权股份的股东单位及其他关联方的款项。</w:t>
      </w:r>
    </w:p>
    <w:p>
      <w:pPr>
        <w:spacing w:line="240" w:lineRule="auto" w:before="3"/>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34,071,628.76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19,460,849.77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345,162.39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34,071,628.76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19,806,012.16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减：预计损失</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建造合同形成的已完工未结算项目</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53"/>
        <w:jc w:val="left"/>
      </w:pPr>
      <w:r>
        <w:rPr/>
        <w:t>其他说明：</w:t>
      </w:r>
    </w:p>
    <w:p>
      <w:pPr>
        <w:spacing w:line="240" w:lineRule="auto" w:before="3"/>
        <w:rPr>
          <w:rFonts w:ascii="宋体" w:hAnsi="宋体" w:cs="宋体" w:eastAsia="宋体" w:hint="default"/>
          <w:sz w:val="15"/>
          <w:szCs w:val="15"/>
        </w:rPr>
      </w:pPr>
    </w:p>
    <w:p>
      <w:pPr>
        <w:pStyle w:val="BodyText"/>
        <w:spacing w:line="240" w:lineRule="auto"/>
        <w:ind w:left="513" w:right="153"/>
        <w:jc w:val="left"/>
      </w:pPr>
      <w:r>
        <w:rPr>
          <w:rFonts w:ascii="宋体" w:hAnsi="宋体" w:cs="宋体" w:eastAsia="宋体" w:hint="default"/>
        </w:rPr>
        <w:t>1</w:t>
      </w:r>
      <w:r>
        <w:rPr/>
        <w:t>、</w:t>
      </w:r>
      <w:r>
        <w:rPr>
          <w:spacing w:val="-1"/>
        </w:rPr>
        <w:t> </w:t>
      </w:r>
      <w:r>
        <w:rPr/>
        <w:t>期末无账龄超过一年的重要预收款项。</w:t>
      </w:r>
    </w:p>
    <w:p>
      <w:pPr>
        <w:pStyle w:val="BodyText"/>
        <w:spacing w:line="240" w:lineRule="auto" w:before="74"/>
        <w:ind w:left="513" w:right="153"/>
        <w:jc w:val="left"/>
      </w:pPr>
      <w:r>
        <w:rPr>
          <w:rFonts w:ascii="宋体" w:hAnsi="宋体" w:cs="宋体" w:eastAsia="宋体" w:hint="default"/>
        </w:rPr>
        <w:t>2</w:t>
      </w:r>
      <w:r>
        <w:rPr/>
        <w:t>、</w:t>
      </w:r>
      <w:r>
        <w:rPr>
          <w:spacing w:val="-3"/>
        </w:rPr>
        <w:t> </w:t>
      </w:r>
      <w:r>
        <w:rPr/>
        <w:t>期末预收款项中无预收持本公司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表决权股份的股东单位及其他关联方的款项。</w:t>
      </w:r>
    </w:p>
    <w:p>
      <w:pPr>
        <w:pStyle w:val="BodyText"/>
        <w:spacing w:line="316" w:lineRule="auto" w:before="63"/>
        <w:ind w:left="453" w:right="1223" w:firstLine="60"/>
        <w:jc w:val="left"/>
      </w:pPr>
      <w:r>
        <w:rPr>
          <w:rFonts w:ascii="宋体" w:hAnsi="宋体" w:cs="宋体" w:eastAsia="宋体" w:hint="default"/>
        </w:rPr>
        <w:t>3</w:t>
      </w:r>
      <w:r>
        <w:rPr/>
        <w:t>、</w:t>
      </w:r>
      <w:r>
        <w:rPr>
          <w:spacing w:val="-2"/>
        </w:rPr>
        <w:t> </w:t>
      </w:r>
      <w:r>
        <w:rPr/>
        <w:t>预收款项其他说明</w:t>
      </w:r>
      <w:r>
        <w:rPr/>
        <w:t> 预收款项期末余额较期初增加</w:t>
      </w:r>
      <w:r>
        <w:rPr>
          <w:rFonts w:ascii="Times New Roman" w:hAnsi="Times New Roman" w:cs="Times New Roman" w:eastAsia="Times New Roman" w:hint="default"/>
        </w:rPr>
        <w:t>14,265,616.60</w:t>
      </w:r>
      <w:r>
        <w:rPr/>
        <w:t>元，增加比例</w:t>
      </w:r>
      <w:r>
        <w:rPr>
          <w:rFonts w:ascii="Times New Roman" w:hAnsi="Times New Roman" w:cs="Times New Roman" w:eastAsia="Times New Roman" w:hint="default"/>
        </w:rPr>
        <w:t>72.03%</w:t>
      </w:r>
      <w:r>
        <w:rPr/>
        <w:t>，系增加新客户导致预收款项增加所致。</w:t>
      </w:r>
    </w:p>
    <w:p>
      <w:pPr>
        <w:spacing w:line="240" w:lineRule="auto" w:before="4"/>
        <w:rPr>
          <w:rFonts w:ascii="宋体" w:hAnsi="宋体" w:cs="宋体" w:eastAsia="宋体" w:hint="default"/>
          <w:sz w:val="21"/>
          <w:szCs w:val="21"/>
        </w:rPr>
      </w:pPr>
    </w:p>
    <w:p>
      <w:pPr>
        <w:pStyle w:val="Heading3"/>
        <w:spacing w:line="240" w:lineRule="auto"/>
        <w:ind w:right="153"/>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27,201,622.35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422,598,149.05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413,422,916.03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36,376,855.37</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22,963,400.36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22,963,400.36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四、一年内到期的其他</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27,201,622.35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445,561,549.41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436,386,316.39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36,376,855.37</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25,846,606.76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398,497,031.36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389,147,121.03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35,196,517.09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1,355,015.59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11,894,058.32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12,068,735.63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1,180,338.28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6,036,183.22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6,036,183.22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3,588,262.08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3,588,262.08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1,139,252.09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1,139,252.09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1,308,669.05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1,308,669.05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失业保险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6,114,297.24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6,114,297.24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56,578.91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56,578.91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27,201,622.35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422,598,149.05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413,422,916.03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36,376,855.37</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20,170,037.46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20,170,037.46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2,793,362.90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2,793,362.90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22,963,400.36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22,963,400.36</w:t>
            </w: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5"/>
          <w:szCs w:val="15"/>
        </w:rPr>
      </w:pPr>
    </w:p>
    <w:p>
      <w:pPr>
        <w:pStyle w:val="BodyText"/>
        <w:spacing w:line="297" w:lineRule="auto"/>
        <w:ind w:right="166" w:firstLine="360"/>
        <w:jc w:val="left"/>
      </w:pPr>
      <w:r>
        <w:rPr>
          <w:rFonts w:ascii="宋体" w:hAnsi="宋体" w:cs="宋体" w:eastAsia="宋体" w:hint="default"/>
          <w:b/>
          <w:bCs/>
        </w:rPr>
        <w:t>应付职工薪酬其他说明：</w:t>
      </w:r>
      <w:r>
        <w:rPr/>
        <w:t>应付职工薪酬期末余额较期初增加</w:t>
      </w:r>
      <w:r>
        <w:rPr>
          <w:rFonts w:ascii="Times New Roman" w:hAnsi="Times New Roman" w:cs="Times New Roman" w:eastAsia="Times New Roman" w:hint="default"/>
        </w:rPr>
        <w:t>9,175,233.02</w:t>
      </w:r>
      <w:r>
        <w:rPr/>
        <w:t>元，增加比例为</w:t>
      </w:r>
      <w:r>
        <w:rPr>
          <w:rFonts w:ascii="Times New Roman" w:hAnsi="Times New Roman" w:cs="Times New Roman" w:eastAsia="Times New Roman" w:hint="default"/>
        </w:rPr>
        <w:t>33.73%</w:t>
      </w:r>
      <w:r>
        <w:rPr/>
        <w:t>，主要系员工薪酬增加 所致。</w:t>
      </w:r>
    </w:p>
    <w:p>
      <w:pPr>
        <w:spacing w:line="240" w:lineRule="auto" w:before="12"/>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1,395,237.56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183,539.39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23,278.28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3,094,094.24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976,003.61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761,206.72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4,515,813.95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7,845,817.60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3,225,581.39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5,604,155.43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2,603,849.00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1,973,847.77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1,129,086.29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13,845,571.80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19,485,939.43</w:t>
            </w:r>
          </w:p>
        </w:tc>
      </w:tr>
    </w:tbl>
    <w:p>
      <w:pPr>
        <w:pStyle w:val="Heading4"/>
        <w:tabs>
          <w:tab w:pos="6034" w:val="left" w:leader="none"/>
        </w:tabs>
        <w:spacing w:line="240" w:lineRule="auto" w:before="49"/>
        <w:ind w:left="152" w:right="153"/>
        <w:jc w:val="left"/>
        <w:rPr>
          <w:b w:val="0"/>
          <w:bCs w:val="0"/>
        </w:rPr>
      </w:pPr>
      <w:r>
        <w:rPr>
          <w:rFonts w:ascii="宋体" w:hAnsi="宋体" w:cs="宋体" w:eastAsia="宋体" w:hint="default"/>
          <w:b w:val="0"/>
          <w:bCs w:val="0"/>
        </w:rPr>
        <w:t>其他说明：</w:t>
      </w:r>
      <w:r>
        <w:rPr/>
        <w:t>应交税费期末余额较期初减少</w:t>
      </w:r>
      <w:r>
        <w:rPr>
          <w:spacing w:val="-48"/>
        </w:rPr>
        <w:t> </w:t>
      </w:r>
      <w:r>
        <w:rPr>
          <w:rFonts w:ascii="Times New Roman" w:hAnsi="Times New Roman" w:cs="Times New Roman" w:eastAsia="Times New Roman" w:hint="default"/>
        </w:rPr>
        <w:t>5,640,367.63</w:t>
      </w:r>
      <w:r>
        <w:rPr>
          <w:rFonts w:ascii="Times New Roman" w:hAnsi="Times New Roman" w:cs="Times New Roman" w:eastAsia="Times New Roman" w:hint="default"/>
          <w:spacing w:val="-11"/>
        </w:rPr>
        <w:t> </w:t>
      </w:r>
      <w:r>
        <w:rPr/>
        <w:t>元，减少比例为</w:t>
        <w:tab/>
      </w:r>
      <w:r>
        <w:rPr>
          <w:rFonts w:ascii="Times New Roman" w:hAnsi="Times New Roman" w:cs="Times New Roman" w:eastAsia="Times New Roman" w:hint="default"/>
        </w:rPr>
        <w:t>28.95%</w:t>
      </w:r>
      <w:r>
        <w:rPr/>
        <w:t>，主要系企业所得税减少所致。</w:t>
      </w:r>
      <w:r>
        <w:rPr>
          <w:b w:val="0"/>
          <w:bCs w:val="0"/>
        </w:rPr>
      </w:r>
    </w:p>
    <w:p>
      <w:pPr>
        <w:spacing w:line="240" w:lineRule="auto" w:before="13"/>
        <w:rPr>
          <w:rFonts w:ascii="宋体" w:hAnsi="宋体" w:cs="宋体" w:eastAsia="宋体" w:hint="default"/>
          <w:b/>
          <w:bCs/>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6,527,933.63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16,582,730.21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划分为金融负债的优先股</w:t>
            </w:r>
            <w:r>
              <w:rPr>
                <w:rFonts w:ascii="Times New Roman" w:hAnsi="Times New Roman" w:cs="Times New Roman" w:eastAsia="Times New Roman" w:hint="default"/>
                <w:sz w:val="18"/>
                <w:szCs w:val="18"/>
              </w:rPr>
              <w:t>\</w:t>
            </w:r>
            <w:r>
              <w:rPr>
                <w:rFonts w:ascii="宋体" w:hAnsi="宋体" w:cs="宋体" w:eastAsia="宋体" w:hint="default"/>
                <w:sz w:val="18"/>
                <w:szCs w:val="18"/>
              </w:rPr>
              <w:t>永续债利息</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6,527,933.63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16,582,730.21</w:t>
            </w:r>
          </w:p>
        </w:tc>
      </w:tr>
    </w:tbl>
    <w:p>
      <w:pPr>
        <w:pStyle w:val="BodyText"/>
        <w:spacing w:line="240" w:lineRule="auto" w:before="49"/>
        <w:ind w:right="153"/>
        <w:jc w:val="left"/>
      </w:pPr>
      <w:r>
        <w:rPr/>
        <w:t>重要的已逾期未支付的利息情况：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逾期原因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54"/>
        <w:jc w:val="right"/>
      </w:pPr>
      <w:r>
        <w:rPr/>
        <w:t>其他说明：应付利息期末余额较期初减少</w:t>
      </w:r>
      <w:r>
        <w:rPr>
          <w:spacing w:val="-48"/>
        </w:rPr>
        <w:t> </w:t>
      </w:r>
      <w:r>
        <w:rPr>
          <w:rFonts w:ascii="Times New Roman" w:hAnsi="Times New Roman" w:cs="Times New Roman" w:eastAsia="Times New Roman" w:hint="default"/>
        </w:rPr>
        <w:t>10,054,796.58</w:t>
      </w:r>
      <w:r>
        <w:rPr>
          <w:rFonts w:ascii="Times New Roman" w:hAnsi="Times New Roman" w:cs="Times New Roman" w:eastAsia="Times New Roman" w:hint="default"/>
          <w:spacing w:val="-10"/>
        </w:rPr>
        <w:t> </w:t>
      </w:r>
      <w:r>
        <w:rPr/>
        <w:t>元，减少比例为</w:t>
      </w:r>
      <w:r>
        <w:rPr>
          <w:spacing w:val="-49"/>
        </w:rPr>
        <w:t> </w:t>
      </w:r>
      <w:r>
        <w:rPr>
          <w:rFonts w:ascii="Times New Roman" w:hAnsi="Times New Roman" w:cs="Times New Roman" w:eastAsia="Times New Roman" w:hint="default"/>
        </w:rPr>
        <w:t>60.63%</w:t>
      </w:r>
      <w:r>
        <w:rPr/>
        <w:t>，主要系贷款减少导致应付利息减少所致。</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划分为权益工具的优先股</w:t>
            </w:r>
            <w:r>
              <w:rPr>
                <w:rFonts w:ascii="Times New Roman" w:hAnsi="Times New Roman" w:cs="Times New Roman" w:eastAsia="Times New Roman" w:hint="default"/>
                <w:sz w:val="18"/>
                <w:szCs w:val="18"/>
              </w:rPr>
              <w:t>\</w:t>
            </w:r>
            <w:r>
              <w:rPr>
                <w:rFonts w:ascii="宋体" w:hAnsi="宋体" w:cs="宋体" w:eastAsia="宋体" w:hint="default"/>
                <w:sz w:val="18"/>
                <w:szCs w:val="18"/>
              </w:rPr>
              <w:t>永续债股利</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53"/>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年未支付的应付股利，应披露未支付原因：无</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62,544,977.29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55,137,047.92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728,282.44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14,655.00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62,544,977.29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55,879,985.36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13" w:right="153"/>
        <w:jc w:val="left"/>
      </w:pPr>
      <w:r>
        <w:rPr>
          <w:rFonts w:ascii="宋体" w:hAnsi="宋体" w:cs="宋体" w:eastAsia="宋体" w:hint="default"/>
        </w:rPr>
        <w:t>1</w:t>
      </w:r>
      <w:r>
        <w:rPr/>
        <w:t>、</w:t>
      </w:r>
      <w:r>
        <w:rPr>
          <w:spacing w:val="-1"/>
        </w:rPr>
        <w:t> </w:t>
      </w:r>
      <w:r>
        <w:rPr/>
        <w:t>期末无账龄超过一年的重要其他应付款。</w:t>
      </w:r>
    </w:p>
    <w:p>
      <w:pPr>
        <w:spacing w:line="240" w:lineRule="auto" w:before="11"/>
        <w:rPr>
          <w:rFonts w:ascii="宋体" w:hAnsi="宋体" w:cs="宋体" w:eastAsia="宋体" w:hint="default"/>
          <w:sz w:val="14"/>
          <w:szCs w:val="14"/>
        </w:rPr>
      </w:pPr>
    </w:p>
    <w:p>
      <w:pPr>
        <w:pStyle w:val="BodyText"/>
        <w:spacing w:line="240" w:lineRule="auto"/>
        <w:ind w:left="513" w:right="153"/>
        <w:jc w:val="left"/>
      </w:pPr>
      <w:r>
        <w:rPr>
          <w:rFonts w:ascii="宋体" w:hAnsi="宋体" w:cs="宋体" w:eastAsia="宋体" w:hint="default"/>
        </w:rPr>
        <w:t>2</w:t>
      </w:r>
      <w:r>
        <w:rPr/>
        <w:t>、</w:t>
      </w:r>
      <w:r>
        <w:rPr>
          <w:spacing w:val="-3"/>
        </w:rPr>
        <w:t> </w:t>
      </w:r>
      <w:r>
        <w:rPr/>
        <w:t>期末其他应付款中无应付持本公司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表决权股份的股东单位款项。</w:t>
      </w:r>
    </w:p>
    <w:p>
      <w:pPr>
        <w:spacing w:line="240" w:lineRule="auto" w:before="13"/>
        <w:rPr>
          <w:rFonts w:ascii="宋体" w:hAnsi="宋体" w:cs="宋体" w:eastAsia="宋体" w:hint="default"/>
          <w:sz w:val="13"/>
          <w:szCs w:val="13"/>
        </w:rPr>
      </w:pPr>
    </w:p>
    <w:p>
      <w:pPr>
        <w:pStyle w:val="BodyText"/>
        <w:spacing w:line="240" w:lineRule="auto"/>
        <w:ind w:left="513" w:right="153"/>
        <w:jc w:val="left"/>
      </w:pPr>
      <w:r>
        <w:rPr>
          <w:rFonts w:ascii="宋体" w:hAnsi="宋体" w:cs="宋体" w:eastAsia="宋体" w:hint="default"/>
        </w:rPr>
        <w:t>3</w:t>
      </w:r>
      <w:r>
        <w:rPr/>
        <w:t>、</w:t>
      </w:r>
      <w:r>
        <w:rPr>
          <w:spacing w:val="-4"/>
        </w:rPr>
        <w:t> </w:t>
      </w:r>
      <w:r>
        <w:rPr/>
        <w:t>期末其他应付款中应付其他关联方款项</w:t>
      </w:r>
      <w:r>
        <w:rPr>
          <w:rFonts w:ascii="Times New Roman" w:hAnsi="Times New Roman" w:cs="Times New Roman" w:eastAsia="Times New Roman" w:hint="default"/>
        </w:rPr>
        <w:t>12,715,500.00</w:t>
      </w:r>
      <w:r>
        <w:rPr/>
        <w:t>元。</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42</w:t>
      </w:r>
      <w:r>
        <w:rPr/>
        <w:t>、划分为持有待售的负债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53"/>
        <w:jc w:val="left"/>
      </w:pPr>
      <w:r>
        <w:rPr/>
        <w:t>短期应付债券的增减变动：</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8"/>
        <w:gridCol w:w="799"/>
        <w:gridCol w:w="797"/>
      </w:tblGrid>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7434"/>
        <w:jc w:val="left"/>
      </w:pPr>
      <w:r>
        <w:rPr/>
        <w:t>长期借款分类的说明：无 其他说明，包括利率区间：无</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8"/>
        <w:gridCol w:w="799"/>
        <w:gridCol w:w="79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3"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357" w:lineRule="auto" w:before="44"/>
        <w:ind w:right="-20"/>
        <w:jc w:val="left"/>
      </w:pPr>
      <w:r>
        <w:rPr/>
        <w:t>期末发行在外的优先股、永续债等其他金融工具基本情况 无</w:t>
      </w:r>
    </w:p>
    <w:p>
      <w:pPr>
        <w:pStyle w:val="BodyText"/>
        <w:spacing w:line="240" w:lineRule="auto" w:before="29"/>
        <w:ind w:right="-20"/>
        <w:jc w:val="left"/>
      </w:pPr>
      <w:r>
        <w:rPr/>
        <w:t>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653" w:space="4176"/>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3"/>
        <w:gridCol w:w="1064"/>
        <w:gridCol w:w="1061"/>
        <w:gridCol w:w="1064"/>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6534"/>
        <w:jc w:val="left"/>
      </w:pPr>
      <w:r>
        <w:rPr/>
        <w:t>其他金融工具划分为金融负债的依据说明 无</w:t>
      </w:r>
    </w:p>
    <w:p>
      <w:pPr>
        <w:pStyle w:val="BodyText"/>
        <w:spacing w:line="360" w:lineRule="auto" w:before="29"/>
        <w:ind w:right="90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其他说明：无</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设定受益计划净负债</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二、辞退福利</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三、其他长期福利</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53"/>
        <w:jc w:val="left"/>
      </w:pPr>
      <w:r>
        <w:rPr/>
        <w:t>设定受益计划义务现值：</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二、计入当期损益的设定受益成本</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当期服务成本</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过去服务成本</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结算利得（损失以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表示）</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利息净额</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三、计入其他综合收益的设定收益成本</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精算利得（损失以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表示）</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结算时支付的对价</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已支付的福利</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53"/>
        <w:jc w:val="left"/>
      </w:pPr>
      <w:r>
        <w:rPr/>
        <w:t>计划资产：</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二、计入当期损益的设定受益成本</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、利息净额</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三、计入其他综合收益的设定收益成本</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计划资产回报（计入利息净额的除外</w:t>
            </w:r>
          </w:p>
        </w:tc>
        <w:tc>
          <w:tcPr>
            <w:tcW w:w="320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71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资产上限影响的变动（计入利息净额的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除外）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五、期末余额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53"/>
        <w:jc w:val="left"/>
      </w:pPr>
      <w:r>
        <w:rPr/>
        <w:t>设定受益计划净负债（净资产）</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二、计入当期损益的设定受益成本</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三、计入其他综合收益的设定收益成本</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四、其他变动</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五、期末余额</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2394"/>
        <w:jc w:val="left"/>
      </w:pPr>
      <w:r>
        <w:rPr/>
        <w:t>设定受益计划的内容及与之相关风险、对公司未来现金流量、时间和不确定性的影响说明：无 设定受益计划重大精算假设及敏感性分析结果说明：无</w:t>
      </w:r>
    </w:p>
    <w:p>
      <w:pPr>
        <w:pStyle w:val="BodyText"/>
        <w:spacing w:line="240" w:lineRule="auto" w:before="2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0"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3"/>
        <w:gridCol w:w="23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对外提供担保</w:t>
            </w:r>
          </w:p>
        </w:tc>
        <w:tc>
          <w:tcPr>
            <w:tcW w:w="2407"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407"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7"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重组义务</w:t>
            </w:r>
          </w:p>
        </w:tc>
        <w:tc>
          <w:tcPr>
            <w:tcW w:w="2407"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2407"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其他说明，包括重要预计负债的相关重要假设、估计说明：无</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25,445,947.83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3,195,118.00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2,728,100.49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25,912,965.34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25,445,947.83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3,195,118.00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2,728,100.49</w:t>
            </w: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25,912,965.34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涉及政府补助的项目：</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软土地基补贴专 用款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5,891,547.99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209,167.44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5,682,380.55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战略新兴产业发 展资金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5,131,666.67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4,391,666.67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国家进口设备资 助款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5,726,551.25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654,463.00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5,072,088.25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国家进口贴息资 助项目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7,953,015.26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1,695,118.00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929,970.05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8,718,163.21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深圳市产业技术 进步资金资助项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743,166.66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561,166.66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天津市工业企业 技术改造项目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1,487,500.00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25,445,947.83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3,195,118.00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2,728,100.49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25,912,965.34</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其他说明：</w:t>
      </w:r>
    </w:p>
    <w:p>
      <w:pPr>
        <w:spacing w:line="240" w:lineRule="auto" w:before="2"/>
        <w:rPr>
          <w:rFonts w:ascii="宋体" w:hAnsi="宋体" w:cs="宋体" w:eastAsia="宋体" w:hint="default"/>
          <w:sz w:val="24"/>
          <w:szCs w:val="24"/>
        </w:rPr>
      </w:pPr>
    </w:p>
    <w:p>
      <w:pPr>
        <w:pStyle w:val="BodyText"/>
        <w:spacing w:line="240" w:lineRule="auto"/>
        <w:ind w:left="501" w:right="153"/>
        <w:jc w:val="left"/>
      </w:pPr>
      <w:r>
        <w:rPr/>
        <w:t>（</w:t>
      </w:r>
      <w:r>
        <w:rPr>
          <w:rFonts w:ascii="Times New Roman" w:hAnsi="Times New Roman" w:cs="Times New Roman" w:eastAsia="Times New Roman" w:hint="default"/>
        </w:rPr>
        <w:t>1</w:t>
      </w:r>
      <w:r>
        <w:rPr/>
        <w:t>）软土地基补贴专用款系经天津开发区管委会批准，天津技术开发区建设发展局同意给予软土地基补贴款</w:t>
      </w:r>
    </w:p>
    <w:p>
      <w:pPr>
        <w:pStyle w:val="BodyText"/>
        <w:spacing w:line="240" w:lineRule="auto" w:before="63"/>
        <w:ind w:right="153"/>
        <w:jc w:val="left"/>
      </w:pPr>
      <w:r>
        <w:rPr>
          <w:rFonts w:ascii="Times New Roman" w:hAnsi="Times New Roman" w:cs="Times New Roman" w:eastAsia="Times New Roman" w:hint="default"/>
        </w:rPr>
        <w:t>6,300,000.00</w:t>
      </w:r>
      <w:r>
        <w:rPr/>
        <w:t>元。本公司于</w:t>
      </w:r>
      <w:r>
        <w:rPr>
          <w:rFonts w:ascii="Times New Roman" w:hAnsi="Times New Roman" w:cs="Times New Roman" w:eastAsia="Times New Roman" w:hint="default"/>
        </w:rPr>
        <w:t>2007</w:t>
      </w:r>
      <w:r>
        <w:rPr/>
        <w:t>年收到补贴款</w:t>
      </w:r>
      <w:r>
        <w:rPr>
          <w:rFonts w:ascii="Times New Roman" w:hAnsi="Times New Roman" w:cs="Times New Roman" w:eastAsia="Times New Roman" w:hint="default"/>
        </w:rPr>
        <w:t>6,275,021.63</w:t>
      </w:r>
      <w:r>
        <w:rPr/>
        <w:t>元，本公司自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月按</w:t>
      </w:r>
      <w:r>
        <w:rPr>
          <w:rFonts w:ascii="Times New Roman" w:hAnsi="Times New Roman" w:cs="Times New Roman" w:eastAsia="Times New Roman" w:hint="default"/>
        </w:rPr>
        <w:t>30</w:t>
      </w:r>
      <w:r>
        <w:rPr/>
        <w:t>年转入营业外收入。</w:t>
      </w:r>
    </w:p>
    <w:p>
      <w:pPr>
        <w:pStyle w:val="BodyText"/>
        <w:spacing w:line="300" w:lineRule="auto" w:before="63"/>
        <w:ind w:right="151" w:firstLine="360"/>
        <w:jc w:val="both"/>
      </w:pPr>
      <w:r>
        <w:rPr>
          <w:spacing w:val="-2"/>
        </w:rPr>
        <w:t>（</w:t>
      </w:r>
      <w:r>
        <w:rPr>
          <w:rFonts w:ascii="Times New Roman" w:hAnsi="Times New Roman" w:cs="Times New Roman" w:eastAsia="Times New Roman" w:hint="default"/>
          <w:spacing w:val="-2"/>
        </w:rPr>
        <w:t>2</w:t>
      </w:r>
      <w:r>
        <w:rPr>
          <w:spacing w:val="-2"/>
        </w:rPr>
        <w:t>）战略新兴产业发展资金项目包括：</w:t>
      </w:r>
      <w:r>
        <w:rPr>
          <w:rFonts w:ascii="Times New Roman" w:hAnsi="Times New Roman" w:cs="Times New Roman" w:eastAsia="Times New Roman" w:hint="default"/>
          <w:spacing w:val="-2"/>
        </w:rPr>
        <w:t>A</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月，依据深发改</w:t>
      </w:r>
      <w:r>
        <w:rPr>
          <w:rFonts w:ascii="Times New Roman" w:hAnsi="Times New Roman" w:cs="Times New Roman" w:eastAsia="Times New Roman" w:hint="default"/>
          <w:spacing w:val="-2"/>
        </w:rPr>
        <w:t>[2013]994</w:t>
      </w:r>
      <w:r>
        <w:rPr>
          <w:spacing w:val="-2"/>
        </w:rPr>
        <w:t>号文本公司收到深圳市战略新兴产业发展</w:t>
      </w:r>
      <w:r>
        <w:rPr/>
        <w:t> </w:t>
      </w:r>
      <w:r>
        <w:rPr>
          <w:spacing w:val="-1"/>
        </w:rPr>
        <w:t>专项资金</w:t>
      </w:r>
      <w:r>
        <w:rPr>
          <w:rFonts w:ascii="Times New Roman" w:hAnsi="Times New Roman" w:cs="Times New Roman" w:eastAsia="Times New Roman" w:hint="default"/>
          <w:spacing w:val="-1"/>
        </w:rPr>
        <w:t>5,000,000.00</w:t>
      </w:r>
      <w:r>
        <w:rPr>
          <w:spacing w:val="-1"/>
        </w:rPr>
        <w:t>元，用于机器设备的购置，按</w:t>
      </w:r>
      <w:r>
        <w:rPr>
          <w:rFonts w:ascii="Times New Roman" w:hAnsi="Times New Roman" w:cs="Times New Roman" w:eastAsia="Times New Roman" w:hint="default"/>
          <w:spacing w:val="-1"/>
        </w:rPr>
        <w:t>10</w:t>
      </w:r>
      <w:r>
        <w:rPr>
          <w:spacing w:val="-1"/>
        </w:rPr>
        <w:t>年转入营业外收入。</w:t>
      </w:r>
      <w:r>
        <w:rPr>
          <w:rFonts w:ascii="Times New Roman" w:hAnsi="Times New Roman" w:cs="Times New Roman" w:eastAsia="Times New Roman" w:hint="default"/>
          <w:spacing w:val="-1"/>
        </w:rPr>
        <w:t>B</w:t>
      </w:r>
      <w:r>
        <w:rPr>
          <w:spacing w:val="-1"/>
        </w:rPr>
        <w:t>、</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7</w:t>
      </w:r>
      <w:r>
        <w:rPr>
          <w:spacing w:val="-1"/>
        </w:rPr>
        <w:t>月，依据深发改</w:t>
      </w:r>
      <w:r>
        <w:rPr>
          <w:rFonts w:ascii="Times New Roman" w:hAnsi="Times New Roman" w:cs="Times New Roman" w:eastAsia="Times New Roman" w:hint="default"/>
          <w:spacing w:val="-1"/>
        </w:rPr>
        <w:t>[2013]993</w:t>
      </w:r>
      <w:r>
        <w:rPr>
          <w:spacing w:val="-1"/>
        </w:rPr>
        <w:t>号文本公司</w:t>
      </w:r>
      <w:r>
        <w:rPr>
          <w:spacing w:val="-42"/>
        </w:rPr>
        <w:t> </w:t>
      </w:r>
      <w:r>
        <w:rPr>
          <w:spacing w:val="-42"/>
        </w:rPr>
      </w:r>
      <w:r>
        <w:rPr/>
        <w:t>收到深圳市战略新兴产业发展专项资金</w:t>
      </w:r>
      <w:r>
        <w:rPr>
          <w:rFonts w:ascii="Times New Roman" w:hAnsi="Times New Roman" w:cs="Times New Roman" w:eastAsia="Times New Roman" w:hint="default"/>
        </w:rPr>
        <w:t>1,200,000.00</w:t>
      </w:r>
      <w:r>
        <w:rPr/>
        <w:t>元，用于仪器仪表设备的购置，按</w:t>
      </w:r>
      <w:r>
        <w:rPr>
          <w:rFonts w:ascii="Times New Roman" w:hAnsi="Times New Roman" w:cs="Times New Roman" w:eastAsia="Times New Roman" w:hint="default"/>
        </w:rPr>
        <w:t>5</w:t>
      </w:r>
      <w:r>
        <w:rPr/>
        <w:t>年转入营业外收入。</w:t>
      </w:r>
    </w:p>
    <w:p>
      <w:pPr>
        <w:pStyle w:val="BodyText"/>
        <w:spacing w:line="300" w:lineRule="auto" w:before="13"/>
        <w:ind w:right="170" w:firstLine="360"/>
        <w:jc w:val="both"/>
      </w:pPr>
      <w:r>
        <w:rPr/>
        <w:t>（</w:t>
      </w:r>
      <w:r>
        <w:rPr>
          <w:rFonts w:ascii="Times New Roman" w:hAnsi="Times New Roman" w:cs="Times New Roman" w:eastAsia="Times New Roman" w:hint="default"/>
        </w:rPr>
        <w:t>3</w:t>
      </w:r>
      <w:r>
        <w:rPr/>
        <w:t>）国家进口设备资助款系依据深经贸信息外贸字</w:t>
      </w:r>
      <w:r>
        <w:rPr>
          <w:rFonts w:ascii="Times New Roman" w:hAnsi="Times New Roman" w:cs="Times New Roman" w:eastAsia="Times New Roman" w:hint="default"/>
        </w:rPr>
        <w:t>[2013]24</w:t>
      </w:r>
      <w:r>
        <w:rPr/>
        <w:t>号文收到国家进口设备补助资金</w:t>
      </w:r>
      <w:r>
        <w:rPr>
          <w:rFonts w:ascii="Times New Roman" w:hAnsi="Times New Roman" w:cs="Times New Roman" w:eastAsia="Times New Roman" w:hint="default"/>
        </w:rPr>
        <w:t>6,381,014.25</w:t>
      </w:r>
      <w:r>
        <w:rPr/>
        <w:t>元，按</w:t>
      </w:r>
      <w:r>
        <w:rPr>
          <w:rFonts w:ascii="Times New Roman" w:hAnsi="Times New Roman" w:cs="Times New Roman" w:eastAsia="Times New Roman" w:hint="default"/>
        </w:rPr>
        <w:t>10</w:t>
      </w:r>
      <w:r>
        <w:rPr/>
        <w:t>年转 入营业外收入。</w:t>
      </w:r>
    </w:p>
    <w:p>
      <w:pPr>
        <w:pStyle w:val="BodyText"/>
        <w:spacing w:line="300" w:lineRule="auto" w:before="31"/>
        <w:ind w:right="149" w:firstLine="360"/>
        <w:jc w:val="both"/>
      </w:pPr>
      <w:r>
        <w:rPr>
          <w:spacing w:val="-1"/>
        </w:rPr>
        <w:t>（</w:t>
      </w:r>
      <w:r>
        <w:rPr>
          <w:rFonts w:ascii="Times New Roman" w:hAnsi="Times New Roman" w:cs="Times New Roman" w:eastAsia="Times New Roman" w:hint="default"/>
          <w:spacing w:val="-1"/>
        </w:rPr>
        <w:t>4</w:t>
      </w:r>
      <w:r>
        <w:rPr>
          <w:spacing w:val="-1"/>
        </w:rPr>
        <w:t>）国家进口贴息资助项目系依据《财政部、商务部关于印发</w:t>
      </w:r>
      <w:r>
        <w:rPr>
          <w:rFonts w:ascii="Times New Roman" w:hAnsi="Times New Roman" w:cs="Times New Roman" w:eastAsia="Times New Roman" w:hint="default"/>
          <w:spacing w:val="-1"/>
        </w:rPr>
        <w:t>&lt;</w:t>
      </w:r>
      <w:r>
        <w:rPr>
          <w:spacing w:val="-1"/>
        </w:rPr>
        <w:t>进口贴息资金管理办法</w:t>
      </w:r>
      <w:r>
        <w:rPr>
          <w:rFonts w:ascii="Times New Roman" w:hAnsi="Times New Roman" w:cs="Times New Roman" w:eastAsia="Times New Roman" w:hint="default"/>
          <w:spacing w:val="-1"/>
        </w:rPr>
        <w:t>&gt;</w:t>
      </w:r>
      <w:r>
        <w:rPr>
          <w:spacing w:val="-1"/>
        </w:rPr>
        <w:t>的通知》与发展改革委、财政</w:t>
      </w:r>
      <w:r>
        <w:rPr/>
        <w:t> 部、商务部《鼓励进口技术和产品目录（</w:t>
      </w:r>
      <w:r>
        <w:rPr>
          <w:rFonts w:ascii="Times New Roman" w:hAnsi="Times New Roman" w:cs="Times New Roman" w:eastAsia="Times New Roman" w:hint="default"/>
        </w:rPr>
        <w:t>2014</w:t>
      </w:r>
      <w:r>
        <w:rPr/>
        <w:t>年版）》，收到进口设备贴息款</w:t>
      </w:r>
      <w:r>
        <w:rPr>
          <w:rFonts w:ascii="Times New Roman" w:hAnsi="Times New Roman" w:cs="Times New Roman" w:eastAsia="Times New Roman" w:hint="default"/>
        </w:rPr>
        <w:t>10,007,220.00</w:t>
      </w:r>
      <w:r>
        <w:rPr/>
        <w:t>元，按</w:t>
      </w:r>
      <w:r>
        <w:rPr>
          <w:rFonts w:ascii="Times New Roman" w:hAnsi="Times New Roman" w:cs="Times New Roman" w:eastAsia="Times New Roman" w:hint="default"/>
        </w:rPr>
        <w:t>10</w:t>
      </w:r>
      <w:r>
        <w:rPr/>
        <w:t>年转入营业外收入。</w:t>
      </w:r>
    </w:p>
    <w:p>
      <w:pPr>
        <w:pStyle w:val="BodyText"/>
        <w:spacing w:line="240" w:lineRule="auto" w:before="13"/>
        <w:ind w:left="513" w:right="153"/>
        <w:jc w:val="left"/>
      </w:pPr>
      <w:r>
        <w:rPr/>
        <w:t>（</w:t>
      </w:r>
      <w:r>
        <w:rPr>
          <w:rFonts w:ascii="Times New Roman" w:hAnsi="Times New Roman" w:cs="Times New Roman" w:eastAsia="Times New Roman" w:hint="default"/>
        </w:rPr>
        <w:t>5</w:t>
      </w:r>
      <w:r>
        <w:rPr/>
        <w:t>）深圳市产业技术进步资金资助项目系依据深圳市企业信息（</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268</w:t>
      </w:r>
      <w:r>
        <w:rPr/>
        <w:t>号文收到</w:t>
      </w:r>
      <w:r>
        <w:rPr>
          <w:rFonts w:ascii="Times New Roman" w:hAnsi="Times New Roman" w:cs="Times New Roman" w:eastAsia="Times New Roman" w:hint="default"/>
        </w:rPr>
        <w:t>ERP</w:t>
      </w:r>
      <w:r>
        <w:rPr/>
        <w:t>与</w:t>
      </w:r>
      <w:r>
        <w:rPr>
          <w:rFonts w:ascii="Times New Roman" w:hAnsi="Times New Roman" w:cs="Times New Roman" w:eastAsia="Times New Roman" w:hint="default"/>
        </w:rPr>
        <w:t>EMS</w:t>
      </w:r>
      <w:r>
        <w:rPr/>
        <w:t>系统集成项目补助款</w:t>
      </w:r>
    </w:p>
    <w:p>
      <w:pPr>
        <w:pStyle w:val="BodyText"/>
        <w:spacing w:line="240" w:lineRule="auto" w:before="63"/>
        <w:ind w:right="153"/>
        <w:jc w:val="left"/>
      </w:pPr>
      <w:r>
        <w:rPr>
          <w:rFonts w:ascii="Times New Roman" w:hAnsi="Times New Roman" w:cs="Times New Roman" w:eastAsia="Times New Roman" w:hint="default"/>
        </w:rPr>
        <w:t>910,000.00</w:t>
      </w:r>
      <w:r>
        <w:rPr/>
        <w:t>元，按</w:t>
      </w:r>
      <w:r>
        <w:rPr>
          <w:rFonts w:ascii="Times New Roman" w:hAnsi="Times New Roman" w:cs="Times New Roman" w:eastAsia="Times New Roman" w:hint="default"/>
        </w:rPr>
        <w:t>5</w:t>
      </w:r>
      <w:r>
        <w:rPr/>
        <w:t>年转入营业外收入。</w:t>
      </w:r>
    </w:p>
    <w:p>
      <w:pPr>
        <w:pStyle w:val="BodyText"/>
        <w:spacing w:line="300" w:lineRule="auto" w:before="63"/>
        <w:ind w:right="221" w:firstLine="360"/>
        <w:jc w:val="both"/>
      </w:pPr>
      <w:r>
        <w:rPr/>
        <w:t>（</w:t>
      </w:r>
      <w:r>
        <w:rPr>
          <w:rFonts w:ascii="Times New Roman" w:hAnsi="Times New Roman" w:cs="Times New Roman" w:eastAsia="Times New Roman" w:hint="default"/>
        </w:rPr>
        <w:t>6</w:t>
      </w:r>
      <w:r>
        <w:rPr/>
        <w:t>）天津市工业企业技术改造项目系依据津工信投资【</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4</w:t>
      </w:r>
      <w:r>
        <w:rPr/>
        <w:t>号文收到</w:t>
      </w:r>
      <w:r>
        <w:rPr>
          <w:rFonts w:ascii="Times New Roman" w:hAnsi="Times New Roman" w:cs="Times New Roman" w:eastAsia="Times New Roman" w:hint="default"/>
        </w:rPr>
        <w:t>LED</w:t>
      </w:r>
      <w:r>
        <w:rPr/>
        <w:t>灯条生产线及</w:t>
      </w:r>
      <w:r>
        <w:rPr>
          <w:rFonts w:ascii="Times New Roman" w:hAnsi="Times New Roman" w:cs="Times New Roman" w:eastAsia="Times New Roman" w:hint="default"/>
        </w:rPr>
        <w:t>4G</w:t>
      </w:r>
      <w:r>
        <w:rPr/>
        <w:t>通讯终端产品技术改造 款</w:t>
      </w:r>
      <w:r>
        <w:rPr>
          <w:rFonts w:ascii="Times New Roman" w:hAnsi="Times New Roman" w:cs="Times New Roman" w:eastAsia="Times New Roman" w:hint="default"/>
        </w:rPr>
        <w:t>1,500,000.00</w:t>
      </w:r>
      <w:r>
        <w:rPr/>
        <w:t>元，按</w:t>
      </w:r>
      <w:r>
        <w:rPr>
          <w:rFonts w:ascii="Times New Roman" w:hAnsi="Times New Roman" w:cs="Times New Roman" w:eastAsia="Times New Roman" w:hint="default"/>
        </w:rPr>
        <w:t>10</w:t>
      </w:r>
      <w:r>
        <w:rPr/>
        <w:t>年转入营业外收入。</w:t>
      </w:r>
    </w:p>
    <w:p>
      <w:pPr>
        <w:spacing w:after="0" w:line="300"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491,981,000.00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-3,343,250.00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-3,343,250.00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488,637,750.00</w:t>
            </w:r>
          </w:p>
        </w:tc>
      </w:tr>
    </w:tbl>
    <w:p>
      <w:pPr>
        <w:pStyle w:val="BodyText"/>
        <w:spacing w:line="240" w:lineRule="auto" w:before="49"/>
        <w:ind w:right="153"/>
        <w:jc w:val="left"/>
      </w:pPr>
      <w:r>
        <w:rPr/>
        <w:t>其他说明：</w:t>
      </w:r>
    </w:p>
    <w:p>
      <w:pPr>
        <w:spacing w:line="240" w:lineRule="auto" w:before="3"/>
        <w:rPr>
          <w:rFonts w:ascii="宋体" w:hAnsi="宋体" w:cs="宋体" w:eastAsia="宋体" w:hint="default"/>
          <w:sz w:val="15"/>
          <w:szCs w:val="15"/>
        </w:rPr>
      </w:pPr>
    </w:p>
    <w:p>
      <w:pPr>
        <w:pStyle w:val="BodyText"/>
        <w:spacing w:line="297" w:lineRule="auto"/>
        <w:ind w:right="144" w:firstLine="360"/>
        <w:jc w:val="left"/>
      </w:pPr>
      <w:r>
        <w:rPr>
          <w:rFonts w:ascii="Times New Roman" w:hAnsi="Times New Roman" w:cs="Times New Roman" w:eastAsia="Times New Roman" w:hint="default"/>
        </w:rPr>
        <w:t>1</w:t>
      </w:r>
      <w:r>
        <w:rPr/>
        <w:t>、根据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日第三届董事会第十二次会议决议，同意本公司回购注销未达到第一期解锁条件及部分已不符合激 励条件的激励对象已获授但未解锁的限制性股票</w:t>
      </w:r>
      <w:r>
        <w:rPr>
          <w:rFonts w:ascii="Times New Roman" w:hAnsi="Times New Roman" w:cs="Times New Roman" w:eastAsia="Times New Roman" w:hint="default"/>
        </w:rPr>
        <w:t>3,032,750</w:t>
      </w:r>
      <w:r>
        <w:rPr/>
        <w:t>股。</w:t>
      </w:r>
    </w:p>
    <w:p>
      <w:pPr>
        <w:pStyle w:val="BodyText"/>
        <w:spacing w:line="300" w:lineRule="auto" w:before="15"/>
        <w:ind w:right="0" w:firstLine="360"/>
        <w:jc w:val="left"/>
      </w:pPr>
      <w:r>
        <w:rPr>
          <w:rFonts w:ascii="Times New Roman" w:hAnsi="Times New Roman" w:cs="Times New Roman" w:eastAsia="Times New Roman" w:hint="default"/>
          <w:spacing w:val="-2"/>
        </w:rPr>
        <w:t>2</w:t>
      </w:r>
      <w:r>
        <w:rPr>
          <w:spacing w:val="-2"/>
        </w:rPr>
        <w:t>、根据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27</w:t>
      </w:r>
      <w:r>
        <w:rPr>
          <w:spacing w:val="-2"/>
        </w:rPr>
        <w:t>日第三届董事会第十六次会议决议，同意本公司回购注销已不符合激励条件的激励对象已获授但未</w:t>
      </w:r>
      <w:r>
        <w:rPr/>
        <w:t> 解锁的限制性股票</w:t>
      </w:r>
      <w:r>
        <w:rPr>
          <w:rFonts w:ascii="Times New Roman" w:hAnsi="Times New Roman" w:cs="Times New Roman" w:eastAsia="Times New Roman" w:hint="default"/>
        </w:rPr>
        <w:t>310,500</w:t>
      </w:r>
      <w:r>
        <w:rPr/>
        <w:t>股。</w:t>
      </w:r>
    </w:p>
    <w:p>
      <w:pPr>
        <w:spacing w:line="240" w:lineRule="auto" w:before="4"/>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6"/>
        <w:gridCol w:w="1064"/>
        <w:gridCol w:w="1063"/>
        <w:gridCol w:w="1063"/>
        <w:gridCol w:w="1064"/>
        <w:gridCol w:w="1061"/>
        <w:gridCol w:w="1064"/>
        <w:gridCol w:w="106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68"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3474"/>
        <w:jc w:val="left"/>
      </w:pPr>
      <w:r>
        <w:rPr/>
        <w:t>其他权益工具本期增减变动情况、变动原因说明，以及相关会计处理的依据：无 其他说明：无</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666,320,418.77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9,528,262.50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656,792,156.27</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11,796,126.51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535,605.75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11,260,520.76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678,116,545.28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10,063,868.25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668,052,677.03</w:t>
            </w:r>
          </w:p>
        </w:tc>
      </w:tr>
    </w:tbl>
    <w:p>
      <w:pPr>
        <w:pStyle w:val="BodyText"/>
        <w:spacing w:line="240" w:lineRule="auto" w:before="49"/>
        <w:ind w:right="153"/>
        <w:jc w:val="left"/>
      </w:pPr>
      <w:r>
        <w:rPr/>
        <w:t>其他说明，包括本期增减变动情况、变动原因说明：</w:t>
      </w:r>
    </w:p>
    <w:p>
      <w:pPr>
        <w:spacing w:line="240" w:lineRule="auto" w:before="0"/>
        <w:rPr>
          <w:rFonts w:ascii="宋体" w:hAnsi="宋体" w:cs="宋体" w:eastAsia="宋体" w:hint="default"/>
          <w:sz w:val="15"/>
          <w:szCs w:val="15"/>
        </w:rPr>
      </w:pPr>
    </w:p>
    <w:p>
      <w:pPr>
        <w:pStyle w:val="BodyText"/>
        <w:spacing w:line="297" w:lineRule="auto"/>
        <w:ind w:left="513" w:right="233"/>
        <w:jc w:val="left"/>
        <w:rPr>
          <w:rFonts w:ascii="Times New Roman" w:hAnsi="Times New Roman" w:cs="Times New Roman" w:eastAsia="Times New Roman" w:hint="default"/>
        </w:rPr>
      </w:pPr>
      <w:r>
        <w:rPr>
          <w:rFonts w:ascii="Times New Roman" w:hAnsi="Times New Roman" w:cs="Times New Roman" w:eastAsia="Times New Roman" w:hint="default"/>
        </w:rPr>
        <w:t>1</w:t>
      </w:r>
      <w:r>
        <w:rPr/>
        <w:t>、股本溢价变动说明 根据本公司第三届董事会第十二次会议、第三届董事会第十六次会议决议，同意本公司回购注销限制性股票</w:t>
      </w:r>
      <w:r>
        <w:rPr>
          <w:rFonts w:ascii="Times New Roman" w:hAnsi="Times New Roman" w:cs="Times New Roman" w:eastAsia="Times New Roman" w:hint="default"/>
        </w:rPr>
        <w:t>3,343,250</w:t>
      </w:r>
    </w:p>
    <w:p>
      <w:pPr>
        <w:pStyle w:val="BodyText"/>
        <w:spacing w:line="240" w:lineRule="auto" w:before="15"/>
        <w:ind w:left="513" w:right="153" w:hanging="361"/>
        <w:jc w:val="left"/>
      </w:pPr>
      <w:r>
        <w:rPr/>
        <w:t>股，减少资本公积</w:t>
      </w:r>
      <w:r>
        <w:rPr>
          <w:rFonts w:ascii="Times New Roman" w:hAnsi="Times New Roman" w:cs="Times New Roman" w:eastAsia="Times New Roman" w:hint="default"/>
        </w:rPr>
        <w:t>9,528,262.50</w:t>
      </w:r>
      <w:r>
        <w:rPr/>
        <w:t>元。</w:t>
      </w:r>
    </w:p>
    <w:p>
      <w:pPr>
        <w:spacing w:line="240" w:lineRule="auto" w:before="13"/>
        <w:rPr>
          <w:rFonts w:ascii="宋体" w:hAnsi="宋体" w:cs="宋体" w:eastAsia="宋体" w:hint="default"/>
          <w:sz w:val="13"/>
          <w:szCs w:val="13"/>
        </w:rPr>
      </w:pPr>
    </w:p>
    <w:p>
      <w:pPr>
        <w:pStyle w:val="BodyText"/>
        <w:spacing w:line="300" w:lineRule="auto"/>
        <w:ind w:left="513" w:right="4103"/>
        <w:jc w:val="left"/>
      </w:pPr>
      <w:r>
        <w:rPr>
          <w:rFonts w:ascii="Times New Roman" w:hAnsi="Times New Roman" w:cs="Times New Roman" w:eastAsia="Times New Roman" w:hint="default"/>
        </w:rPr>
        <w:t>2</w:t>
      </w:r>
      <w:r>
        <w:rPr/>
        <w:t>、其他资本公积变动说明 本期冲回实行股权激励多确认的股权激励费用摊销额</w:t>
      </w:r>
      <w:r>
        <w:rPr>
          <w:rFonts w:ascii="Times New Roman" w:hAnsi="Times New Roman" w:cs="Times New Roman" w:eastAsia="Times New Roman" w:hint="default"/>
        </w:rPr>
        <w:t>535,605.75</w:t>
      </w:r>
      <w:r>
        <w:rPr/>
        <w:t>元。</w:t>
      </w:r>
    </w:p>
    <w:p>
      <w:pPr>
        <w:spacing w:line="240" w:lineRule="auto" w:before="4"/>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股权激励授予限制性股 票的回购义务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46,126,850.00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12,871,512.50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33,255,337.50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46,126,850.00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12,871,512.50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33,255,337.50</w:t>
            </w:r>
          </w:p>
        </w:tc>
      </w:tr>
    </w:tbl>
    <w:p>
      <w:pPr>
        <w:pStyle w:val="BodyText"/>
        <w:spacing w:line="240" w:lineRule="auto" w:before="49"/>
        <w:ind w:right="153"/>
        <w:jc w:val="left"/>
      </w:pPr>
      <w:r>
        <w:rPr/>
        <w:t>其他说明，包括本期增减变动情况、变动原因说明：</w:t>
      </w:r>
    </w:p>
    <w:p>
      <w:pPr>
        <w:spacing w:line="240" w:lineRule="auto" w:before="3"/>
        <w:rPr>
          <w:rFonts w:ascii="宋体" w:hAnsi="宋体" w:cs="宋体" w:eastAsia="宋体" w:hint="default"/>
          <w:sz w:val="15"/>
          <w:szCs w:val="15"/>
        </w:rPr>
      </w:pPr>
    </w:p>
    <w:p>
      <w:pPr>
        <w:pStyle w:val="BodyText"/>
        <w:spacing w:line="240" w:lineRule="auto"/>
        <w:ind w:left="0" w:right="150"/>
        <w:jc w:val="right"/>
        <w:rPr>
          <w:rFonts w:ascii="Times New Roman" w:hAnsi="Times New Roman" w:cs="Times New Roman" w:eastAsia="Times New Roman" w:hint="default"/>
        </w:rPr>
      </w:pPr>
      <w:r>
        <w:rPr>
          <w:rFonts w:ascii="Times New Roman" w:hAnsi="Times New Roman" w:cs="Times New Roman" w:eastAsia="Times New Roman" w:hint="default"/>
          <w:spacing w:val="-3"/>
        </w:rPr>
        <w:t>1</w:t>
      </w:r>
      <w:r>
        <w:rPr>
          <w:spacing w:val="-3"/>
        </w:rPr>
        <w:t>、本期减少为根据本公司第三届董事会第十二次会议、第三届董事会第十六次会议，公司回购注销限制性股票</w:t>
      </w:r>
      <w:r>
        <w:rPr>
          <w:rFonts w:ascii="Times New Roman" w:hAnsi="Times New Roman" w:cs="Times New Roman" w:eastAsia="Times New Roman" w:hint="default"/>
          <w:spacing w:val="-3"/>
        </w:rPr>
        <w:t>3,343,250</w:t>
      </w:r>
    </w:p>
    <w:p>
      <w:pPr>
        <w:pStyle w:val="BodyText"/>
        <w:spacing w:line="240" w:lineRule="auto" w:before="60"/>
        <w:ind w:right="153"/>
        <w:jc w:val="left"/>
      </w:pPr>
      <w:r>
        <w:rPr/>
        <w:t>股，相对应的股票认购款从库存股转出，同时减少相应的负债。</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89"/>
        <w:gridCol w:w="1079"/>
        <w:gridCol w:w="936"/>
        <w:gridCol w:w="1152"/>
        <w:gridCol w:w="934"/>
        <w:gridCol w:w="936"/>
        <w:gridCol w:w="937"/>
        <w:gridCol w:w="797"/>
      </w:tblGrid>
      <w:tr>
        <w:trPr>
          <w:trHeight w:val="398" w:hRule="exact"/>
        </w:trPr>
        <w:tc>
          <w:tcPr>
            <w:tcW w:w="2789" w:type="dxa"/>
            <w:vMerge w:val="restart"/>
            <w:tcBorders>
              <w:top w:val="single" w:sz="4" w:space="0" w:color="000000"/>
              <w:left w:val="single" w:sz="4" w:space="0" w:color="000000"/>
              <w:right w:val="single" w:sz="4" w:space="0" w:color="000000"/>
            </w:tcBorders>
            <w:shd w:val="clear" w:color="auto" w:fill="D2D2D2"/>
          </w:tcPr>
          <w:p>
            <w:pPr/>
          </w:p>
        </w:tc>
        <w:tc>
          <w:tcPr>
            <w:tcW w:w="1079"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2789" w:type="dxa"/>
            <w:vMerge/>
            <w:tcBorders>
              <w:left w:val="single" w:sz="4" w:space="0" w:color="000000"/>
              <w:bottom w:val="nil" w:sz="6" w:space="0" w:color="auto"/>
              <w:right w:val="single" w:sz="4" w:space="0" w:color="000000"/>
            </w:tcBorders>
            <w:shd w:val="clear" w:color="auto" w:fill="D2D2D2"/>
          </w:tcPr>
          <w:p>
            <w:pPr/>
          </w:p>
        </w:tc>
        <w:tc>
          <w:tcPr>
            <w:tcW w:w="1079"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5" w:right="9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68" w:hRule="exact"/>
        </w:trPr>
        <w:tc>
          <w:tcPr>
            <w:tcW w:w="27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7"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89" w:type="dxa"/>
            <w:vMerge w:val="restart"/>
            <w:tcBorders>
              <w:top w:val="nil" w:sz="6" w:space="0" w:color="auto"/>
              <w:left w:val="single" w:sz="4" w:space="0" w:color="000000"/>
              <w:right w:val="single" w:sz="4" w:space="0" w:color="000000"/>
            </w:tcBorders>
            <w:shd w:val="clear" w:color="auto" w:fill="D2D2D2"/>
          </w:tcPr>
          <w:p>
            <w:pPr/>
          </w:p>
        </w:tc>
        <w:tc>
          <w:tcPr>
            <w:tcW w:w="1079"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89" w:type="dxa"/>
            <w:vMerge/>
            <w:tcBorders>
              <w:left w:val="single" w:sz="4" w:space="0" w:color="000000"/>
              <w:bottom w:val="single" w:sz="4" w:space="0" w:color="000000"/>
              <w:right w:val="single" w:sz="4" w:space="0" w:color="000000"/>
            </w:tcBorders>
            <w:shd w:val="clear" w:color="auto" w:fill="D2D2D2"/>
          </w:tcPr>
          <w:p>
            <w:pPr/>
          </w:p>
        </w:tc>
        <w:tc>
          <w:tcPr>
            <w:tcW w:w="1079"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6"/>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 综合收益</w:t>
            </w:r>
          </w:p>
        </w:tc>
        <w:tc>
          <w:tcPr>
            <w:tcW w:w="10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6"/>
              <w:jc w:val="left"/>
              <w:rPr>
                <w:rFonts w:ascii="宋体" w:hAnsi="宋体" w:cs="宋体" w:eastAsia="宋体" w:hint="default"/>
                <w:sz w:val="18"/>
                <w:szCs w:val="18"/>
              </w:rPr>
            </w:pPr>
            <w:r>
              <w:rPr>
                <w:rFonts w:ascii="宋体" w:hAnsi="宋体" w:cs="宋体" w:eastAsia="宋体" w:hint="default"/>
                <w:sz w:val="18"/>
                <w:szCs w:val="18"/>
              </w:rPr>
              <w:t>其中：重新计算设定受益计划净负 债和净资产的变动</w:t>
            </w:r>
          </w:p>
        </w:tc>
        <w:tc>
          <w:tcPr>
            <w:tcW w:w="10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64" w:firstLine="540"/>
              <w:jc w:val="both"/>
              <w:rPr>
                <w:rFonts w:ascii="宋体" w:hAnsi="宋体" w:cs="宋体" w:eastAsia="宋体" w:hint="default"/>
                <w:sz w:val="18"/>
                <w:szCs w:val="18"/>
              </w:rPr>
            </w:pPr>
            <w:r>
              <w:rPr>
                <w:rFonts w:ascii="宋体" w:hAnsi="宋体" w:cs="宋体" w:eastAsia="宋体" w:hint="default"/>
                <w:sz w:val="18"/>
                <w:szCs w:val="18"/>
              </w:rPr>
              <w:t>权益法下在被投资单位不能 重分类进损益的其他综合收益中享 有的份额</w:t>
            </w:r>
          </w:p>
        </w:tc>
        <w:tc>
          <w:tcPr>
            <w:tcW w:w="10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-42,807.84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-440,395.24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-440,395.24</w:t>
            </w:r>
          </w:p>
        </w:tc>
        <w:tc>
          <w:tcPr>
            <w:tcW w:w="9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-483,203.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08</w:t>
            </w:r>
          </w:p>
        </w:tc>
      </w:tr>
      <w:tr>
        <w:trPr>
          <w:trHeight w:val="674" w:hRule="exact"/>
        </w:trPr>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w:t>
            </w:r>
          </w:p>
        </w:tc>
        <w:tc>
          <w:tcPr>
            <w:tcW w:w="10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29,544.10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29,544.14</w:t>
            </w:r>
          </w:p>
        </w:tc>
        <w:tc>
          <w:tcPr>
            <w:tcW w:w="9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29,544.14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0"/>
        <w:gridCol w:w="1068"/>
        <w:gridCol w:w="936"/>
        <w:gridCol w:w="1152"/>
        <w:gridCol w:w="934"/>
        <w:gridCol w:w="936"/>
        <w:gridCol w:w="937"/>
        <w:gridCol w:w="797"/>
      </w:tblGrid>
      <w:tr>
        <w:trPr>
          <w:trHeight w:val="362"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享有的份额</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5"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5" w:firstLine="540"/>
              <w:jc w:val="left"/>
              <w:rPr>
                <w:rFonts w:ascii="宋体" w:hAnsi="宋体" w:cs="宋体" w:eastAsia="宋体" w:hint="default"/>
                <w:sz w:val="18"/>
                <w:szCs w:val="18"/>
              </w:rPr>
            </w:pPr>
            <w:r>
              <w:rPr>
                <w:rFonts w:ascii="宋体" w:hAnsi="宋体" w:cs="宋体" w:eastAsia="宋体" w:hint="default"/>
                <w:sz w:val="18"/>
                <w:szCs w:val="18"/>
              </w:rPr>
              <w:t>持有至到期投资重分类为可 供出售金融资产损益</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分</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-42,807.84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-469,939.38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-469,939.38</w:t>
            </w:r>
          </w:p>
        </w:tc>
        <w:tc>
          <w:tcPr>
            <w:tcW w:w="9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-512,747.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r>
      <w:tr>
        <w:trPr>
          <w:trHeight w:val="713"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-42,807.84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-440,395.24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-440,395.24</w:t>
            </w:r>
          </w:p>
        </w:tc>
        <w:tc>
          <w:tcPr>
            <w:tcW w:w="9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-483,203.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r>
    </w:tbl>
    <w:p>
      <w:pPr>
        <w:pStyle w:val="BodyText"/>
        <w:spacing w:line="360" w:lineRule="auto" w:before="49"/>
        <w:ind w:left="513" w:right="1723" w:hanging="361"/>
        <w:jc w:val="left"/>
      </w:pPr>
      <w:r>
        <w:rPr/>
        <w:t>其他说明，包括对现金流量套期损益的有效部分转为被套期项目初始确认金额调整： 外币报表折算差额系本期非同一控制下的企业合并取得的子公司</w:t>
      </w:r>
      <w:r>
        <w:rPr>
          <w:rFonts w:ascii="Times New Roman" w:hAnsi="Times New Roman" w:cs="Times New Roman" w:eastAsia="Times New Roman" w:hint="default"/>
        </w:rPr>
        <w:t>Double</w:t>
      </w:r>
      <w:r>
        <w:rPr>
          <w:rFonts w:ascii="Times New Roman" w:hAnsi="Times New Roman" w:cs="Times New Roman" w:eastAsia="Times New Roman" w:hint="default"/>
          <w:spacing w:val="-5"/>
        </w:rPr>
        <w:t> </w:t>
      </w:r>
      <w:r>
        <w:rPr>
          <w:rFonts w:ascii="Times New Roman" w:hAnsi="Times New Roman" w:cs="Times New Roman" w:eastAsia="Times New Roman" w:hint="default"/>
        </w:rPr>
        <w:t>Power</w:t>
      </w:r>
      <w:r>
        <w:rPr/>
        <w:t>外币报表折算差额。</w:t>
      </w:r>
    </w:p>
    <w:p>
      <w:pPr>
        <w:spacing w:line="240" w:lineRule="auto" w:before="7"/>
        <w:rPr>
          <w:rFonts w:ascii="宋体" w:hAnsi="宋体" w:cs="宋体" w:eastAsia="宋体" w:hint="default"/>
          <w:sz w:val="18"/>
          <w:szCs w:val="18"/>
        </w:rPr>
      </w:pPr>
    </w:p>
    <w:p>
      <w:pPr>
        <w:pStyle w:val="Heading3"/>
        <w:spacing w:line="240" w:lineRule="auto"/>
        <w:ind w:right="153"/>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其他说明，包括本期增减变动情况、变动原因说明：无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60,955,799.22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2,480,383.70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63,436,182.92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60,955,799.22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2,480,383.70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63,436,182.92</w:t>
            </w:r>
          </w:p>
        </w:tc>
      </w:tr>
    </w:tbl>
    <w:p>
      <w:pPr>
        <w:pStyle w:val="BodyText"/>
        <w:spacing w:line="240" w:lineRule="auto" w:before="49"/>
        <w:ind w:right="153"/>
        <w:jc w:val="left"/>
      </w:pPr>
      <w:r>
        <w:rPr/>
        <w:t>盈余公积说明，包括本期增减变动情况、变动原因说明：无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08"/>
      </w:tblGrid>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210,722,952.57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204,164,023.32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210,722,952.57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204,164,023.32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-54,229,745.00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44,323,268.61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11,364,339.36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2,480,383.70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26,400,000.00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154,012,823.87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210,722,952.57</w:t>
            </w:r>
          </w:p>
        </w:tc>
      </w:tr>
    </w:tbl>
    <w:p>
      <w:pPr>
        <w:pStyle w:val="BodyText"/>
        <w:spacing w:line="240" w:lineRule="auto" w:before="49"/>
        <w:ind w:right="153"/>
        <w:jc w:val="left"/>
      </w:pPr>
      <w:r>
        <w:rPr/>
        <w:t>调整期初未分配利润明细：</w:t>
      </w:r>
    </w:p>
    <w:p>
      <w:pPr>
        <w:pStyle w:val="BodyText"/>
        <w:spacing w:line="240" w:lineRule="auto" w:before="115"/>
        <w:ind w:left="513" w:right="153"/>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513" w:right="153"/>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513" w:right="153"/>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left="513" w:right="153"/>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513" w:right="153"/>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3,748,991,254.41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3,546,694,785.61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3,512,265,057.59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3,238,838,258.35</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30,473,847.81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23,677,422.20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74,612,416.18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71,908,650.91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3,779,465,102.22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3,570,372,207.81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3,586,877,473.77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3,310,746,909.26</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4,771,088.84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8,026,440.59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3,407,920.61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5,733,171.85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272.64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8,179,616.95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13,759,885.08</w:t>
            </w:r>
          </w:p>
        </w:tc>
      </w:tr>
    </w:tbl>
    <w:p>
      <w:pPr>
        <w:pStyle w:val="BodyText"/>
        <w:spacing w:line="240" w:lineRule="auto" w:before="49"/>
        <w:ind w:right="153"/>
        <w:jc w:val="left"/>
      </w:pPr>
      <w:r>
        <w:rPr/>
        <w:t>其他说明：</w:t>
      </w:r>
    </w:p>
    <w:p>
      <w:pPr>
        <w:spacing w:after="0" w:line="240" w:lineRule="auto"/>
        <w:jc w:val="left"/>
        <w:sectPr>
          <w:pgSz w:w="11910" w:h="16840"/>
          <w:pgMar w:header="745" w:footer="980" w:top="1060" w:bottom="1160" w:left="980" w:right="980"/>
        </w:sectPr>
      </w:pPr>
    </w:p>
    <w:p>
      <w:pPr>
        <w:spacing w:line="240" w:lineRule="auto" w:before="12"/>
        <w:rPr>
          <w:rFonts w:ascii="宋体" w:hAnsi="宋体" w:cs="宋体" w:eastAsia="宋体" w:hint="default"/>
          <w:sz w:val="25"/>
          <w:szCs w:val="25"/>
        </w:rPr>
      </w:pPr>
    </w:p>
    <w:p>
      <w:pPr>
        <w:pStyle w:val="BodyText"/>
        <w:spacing w:line="297" w:lineRule="auto" w:before="44"/>
        <w:ind w:right="174" w:firstLine="360"/>
        <w:jc w:val="left"/>
      </w:pPr>
      <w:r>
        <w:rPr/>
        <w:t>营业税金及附加本期发生额较上期减少</w:t>
      </w:r>
      <w:r>
        <w:rPr>
          <w:rFonts w:ascii="Times New Roman" w:hAnsi="Times New Roman" w:cs="Times New Roman" w:eastAsia="Times New Roman" w:hint="default"/>
        </w:rPr>
        <w:t>5,580,268.13</w:t>
      </w:r>
      <w:r>
        <w:rPr/>
        <w:t>元，减少比例为</w:t>
      </w:r>
      <w:r>
        <w:rPr>
          <w:rFonts w:ascii="Times New Roman" w:hAnsi="Times New Roman" w:cs="Times New Roman" w:eastAsia="Times New Roman" w:hint="default"/>
        </w:rPr>
        <w:t>40.55%</w:t>
      </w:r>
      <w:r>
        <w:rPr/>
        <w:t>，主要系按缴纳增值税免抵额计算缴纳的地 方附加税金减少所致。</w:t>
      </w:r>
    </w:p>
    <w:p>
      <w:pPr>
        <w:spacing w:line="240" w:lineRule="auto" w:before="12"/>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11,288,681.71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10,938,805.00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推广及售后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13,167,320.07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10,728,242.57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15,993,809.29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18,212,729.44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9,639,702.04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6,649,002.56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735,123.29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661,126.49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商检报关费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567,171.02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509,527.40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1,744,449.74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747,468.31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3,088,887.74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2,271,411.54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4,437,180.61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3,283,980.19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1,541,050.03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59,509,125.09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56,696,543.95</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35,470,307.75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23,060,802.29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咨询及中介费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5,403,853.13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2,678,769.42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3,934,725.72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2,331,224.68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13,532,028.42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10,428,718.07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6,552,508.81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4,360,716.70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存货报废损失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77,583,115.14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58,564,165.75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1,554,091.38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1,299,377.31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保安服务费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2,078,600.79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1,697,599.98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1,747,858.27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1,180,666.84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-535,605.75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5,747,975.81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11,295,913.25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4,167,651.98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158,617,396.91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0" w:right="0"/>
              <w:jc w:val="left"/>
              <w:rPr>
                <w:rFonts w:ascii="Times New Roman" w:hAnsi="Times New Roman" w:cs="Times New Roman" w:eastAsia="Times New Roman" w:hint="default"/>
                <w:sz w:val="18"/>
                <w:szCs w:val="18"/>
              </w:rPr>
            </w:pPr>
            <w:r>
              <w:rPr>
                <w:rFonts w:ascii="Times New Roman"/>
                <w:sz w:val="18"/>
              </w:rPr>
              <w:t>115,517,668.83</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5"/>
          <w:szCs w:val="15"/>
        </w:rPr>
      </w:pPr>
    </w:p>
    <w:p>
      <w:pPr>
        <w:pStyle w:val="BodyText"/>
        <w:spacing w:line="297" w:lineRule="auto"/>
        <w:ind w:right="174" w:firstLine="360"/>
        <w:jc w:val="left"/>
      </w:pPr>
      <w:r>
        <w:rPr/>
        <w:t>管理费用本期发生额较上期发生额增加</w:t>
      </w:r>
      <w:r>
        <w:rPr>
          <w:rFonts w:ascii="Times New Roman" w:hAnsi="Times New Roman" w:cs="Times New Roman" w:eastAsia="Times New Roman" w:hint="default"/>
        </w:rPr>
        <w:t>43,099,728.08</w:t>
      </w:r>
      <w:r>
        <w:rPr/>
        <w:t>元，增加比例为</w:t>
      </w:r>
      <w:r>
        <w:rPr>
          <w:rFonts w:ascii="Times New Roman" w:hAnsi="Times New Roman" w:cs="Times New Roman" w:eastAsia="Times New Roman" w:hint="default"/>
        </w:rPr>
        <w:t>37.31%</w:t>
      </w:r>
      <w:r>
        <w:rPr/>
        <w:t>，主要系：</w:t>
      </w:r>
      <w:r>
        <w:rPr>
          <w:rFonts w:ascii="Times New Roman" w:hAnsi="Times New Roman" w:cs="Times New Roman" w:eastAsia="Times New Roman" w:hint="default"/>
        </w:rPr>
        <w:t>1</w:t>
      </w:r>
      <w:r>
        <w:rPr/>
        <w:t>）本年度研发力度加大导致研 发费用增加；</w:t>
      </w:r>
      <w:r>
        <w:rPr>
          <w:rFonts w:ascii="Times New Roman" w:hAnsi="Times New Roman" w:cs="Times New Roman" w:eastAsia="Times New Roman" w:hint="default"/>
        </w:rPr>
        <w:t>2</w:t>
      </w:r>
      <w:r>
        <w:rPr/>
        <w:t>）员工增加导致职工薪酬增加。</w:t>
      </w:r>
    </w:p>
    <w:p>
      <w:pPr>
        <w:spacing w:line="240" w:lineRule="auto" w:before="6"/>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31,605,777.49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32,611,975.35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10,064,702.53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23,781,147.34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11,804,942.24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524,896.15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3,339,386.57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9,323,438.34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36,685,403.77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18,679,162.50</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13" w:right="153"/>
        <w:jc w:val="left"/>
      </w:pPr>
      <w:r>
        <w:rPr/>
        <w:t>财务费用本期发生额较上期增加</w:t>
      </w:r>
      <w:r>
        <w:rPr>
          <w:rFonts w:ascii="Times New Roman" w:hAnsi="Times New Roman" w:cs="Times New Roman" w:eastAsia="Times New Roman" w:hint="default"/>
        </w:rPr>
        <w:t>18,006,241.27</w:t>
      </w:r>
      <w:r>
        <w:rPr/>
        <w:t>元，增加比例为</w:t>
      </w:r>
      <w:r>
        <w:rPr>
          <w:rFonts w:ascii="Times New Roman" w:hAnsi="Times New Roman" w:cs="Times New Roman" w:eastAsia="Times New Roman" w:hint="default"/>
        </w:rPr>
        <w:t>96.40%</w:t>
      </w:r>
      <w:r>
        <w:rPr/>
        <w:t>，主要系受美元升值影响汇兑损益增加所致。</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6,990,967.87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8,434,110.82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4,771,579.27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9,221,819.97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13,889,955.18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25,652,502.32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17,655,930.79</w:t>
            </w:r>
          </w:p>
        </w:tc>
      </w:tr>
    </w:tbl>
    <w:p>
      <w:pPr>
        <w:pStyle w:val="BodyText"/>
        <w:spacing w:line="300" w:lineRule="auto" w:before="49"/>
        <w:ind w:right="202"/>
        <w:jc w:val="left"/>
      </w:pPr>
      <w:r>
        <w:rPr/>
        <w:t>其他说明：资产减值损失本期发生额较上期增加</w:t>
      </w:r>
      <w:r>
        <w:rPr>
          <w:spacing w:val="-46"/>
        </w:rPr>
        <w:t> </w:t>
      </w:r>
      <w:r>
        <w:rPr>
          <w:rFonts w:ascii="Times New Roman" w:hAnsi="Times New Roman" w:cs="Times New Roman" w:eastAsia="Times New Roman" w:hint="default"/>
        </w:rPr>
        <w:t>7,996,571.53</w:t>
      </w:r>
      <w:r>
        <w:rPr>
          <w:rFonts w:ascii="Times New Roman" w:hAnsi="Times New Roman" w:cs="Times New Roman" w:eastAsia="Times New Roman" w:hint="default"/>
          <w:spacing w:val="-9"/>
        </w:rPr>
        <w:t> </w:t>
      </w:r>
      <w:r>
        <w:rPr/>
        <w:t>元，增加比例为</w:t>
      </w:r>
      <w:r>
        <w:rPr>
          <w:spacing w:val="-46"/>
        </w:rPr>
        <w:t> </w:t>
      </w:r>
      <w:r>
        <w:rPr>
          <w:rFonts w:ascii="Times New Roman" w:hAnsi="Times New Roman" w:cs="Times New Roman" w:eastAsia="Times New Roman" w:hint="default"/>
        </w:rPr>
        <w:t>45.29%</w:t>
      </w:r>
      <w:r>
        <w:rPr/>
        <w:t>，主要系计提</w:t>
      </w:r>
      <w:r>
        <w:rPr>
          <w:spacing w:val="-47"/>
        </w:rPr>
        <w:t> </w:t>
      </w:r>
      <w:r>
        <w:rPr>
          <w:rFonts w:ascii="Times New Roman" w:hAnsi="Times New Roman" w:cs="Times New Roman" w:eastAsia="Times New Roman" w:hint="default"/>
        </w:rPr>
        <w:t>Double</w:t>
      </w:r>
      <w:r>
        <w:rPr>
          <w:rFonts w:ascii="Times New Roman" w:hAnsi="Times New Roman" w:cs="Times New Roman" w:eastAsia="Times New Roman" w:hint="default"/>
          <w:spacing w:val="-5"/>
        </w:rPr>
        <w:t> </w:t>
      </w:r>
      <w:r>
        <w:rPr>
          <w:rFonts w:ascii="Times New Roman" w:hAnsi="Times New Roman" w:cs="Times New Roman" w:eastAsia="Times New Roman" w:hint="default"/>
        </w:rPr>
        <w:t>Power</w:t>
      </w:r>
      <w:r>
        <w:rPr>
          <w:rFonts w:ascii="Times New Roman" w:hAnsi="Times New Roman" w:cs="Times New Roman" w:eastAsia="Times New Roman" w:hint="default"/>
          <w:spacing w:val="-10"/>
        </w:rPr>
        <w:t> </w:t>
      </w:r>
      <w:r>
        <w:rPr/>
        <w:t>的商誉减 值准备所致。</w:t>
      </w:r>
    </w:p>
    <w:p>
      <w:pPr>
        <w:spacing w:line="240" w:lineRule="auto" w:before="10"/>
        <w:rPr>
          <w:rFonts w:ascii="宋体" w:hAnsi="宋体" w:cs="宋体" w:eastAsia="宋体" w:hint="default"/>
          <w:sz w:val="23"/>
          <w:szCs w:val="23"/>
        </w:rPr>
      </w:pPr>
    </w:p>
    <w:p>
      <w:pPr>
        <w:pStyle w:val="Heading3"/>
        <w:spacing w:line="240" w:lineRule="auto"/>
        <w:ind w:right="153"/>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46,583.63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46,583.63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874"/>
        <w:jc w:val="left"/>
      </w:pPr>
      <w:r>
        <w:rPr/>
        <w:t>其他说明： 无</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2,745,856.40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量产生的利得</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6,446,951.05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1,444,030.03</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9,192,807.45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1,444,030.03</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right="174" w:firstLine="360"/>
        <w:jc w:val="left"/>
      </w:pPr>
      <w:r>
        <w:rPr/>
        <w:t>投资收益本期发生额较上期增加</w:t>
      </w:r>
      <w:r>
        <w:rPr>
          <w:rFonts w:ascii="Times New Roman" w:hAnsi="Times New Roman" w:cs="Times New Roman" w:eastAsia="Times New Roman" w:hint="default"/>
        </w:rPr>
        <w:t>7,748,777.42</w:t>
      </w:r>
      <w:r>
        <w:rPr/>
        <w:t>元，增加比例为</w:t>
      </w:r>
      <w:r>
        <w:rPr>
          <w:rFonts w:ascii="Times New Roman" w:hAnsi="Times New Roman" w:cs="Times New Roman" w:eastAsia="Times New Roman" w:hint="default"/>
        </w:rPr>
        <w:t>536.61%</w:t>
      </w:r>
      <w:r>
        <w:rPr/>
        <w:t>，主要系：</w:t>
      </w:r>
      <w:r>
        <w:rPr>
          <w:rFonts w:ascii="Times New Roman" w:hAnsi="Times New Roman" w:cs="Times New Roman" w:eastAsia="Times New Roman" w:hint="default"/>
        </w:rPr>
        <w:t>1</w:t>
      </w:r>
      <w:r>
        <w:rPr/>
        <w:t>）本年度权益法核算的长期股权投资 收益增加；</w:t>
      </w:r>
      <w:r>
        <w:rPr>
          <w:rFonts w:ascii="Times New Roman" w:hAnsi="Times New Roman" w:cs="Times New Roman" w:eastAsia="Times New Roman" w:hint="default"/>
        </w:rPr>
        <w:t>2</w:t>
      </w:r>
      <w:r>
        <w:rPr/>
        <w:t>）本年度理财产品收益增加。</w:t>
      </w:r>
    </w:p>
    <w:p>
      <w:pPr>
        <w:spacing w:line="240" w:lineRule="auto" w:before="4"/>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69</w:t>
      </w:r>
      <w:r>
        <w:rPr/>
        <w:t>、营业外收入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6"/>
        <w:gridCol w:w="2396"/>
        <w:gridCol w:w="2393"/>
        <w:gridCol w:w="2393"/>
      </w:tblGrid>
      <w:tr>
        <w:trPr>
          <w:trHeight w:val="161" w:hRule="exact"/>
        </w:trPr>
        <w:tc>
          <w:tcPr>
            <w:tcW w:w="2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10,312.22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10,312.22</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10,312.22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10,312.22</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13,485,081.28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3,585,417.19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13,485,081.28</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81,856.56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71,577.32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81,856.56</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往来款清理</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34,513.07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810,287.57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34,513.07</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违约金收入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214,502.46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50,813.17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214,502.46</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32,333.17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16,399.89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32,333.17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533,705.57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70,059.49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533,705.57</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14,392,304.33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4,604,554.63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14,392,304.33</w:t>
            </w:r>
          </w:p>
        </w:tc>
      </w:tr>
    </w:tbl>
    <w:p>
      <w:pPr>
        <w:pStyle w:val="BodyText"/>
        <w:spacing w:line="240" w:lineRule="auto" w:before="49"/>
        <w:ind w:right="153"/>
        <w:jc w:val="left"/>
      </w:pPr>
      <w:r>
        <w:rPr/>
        <w:t>计入当期损益的政府补助：</w:t>
      </w:r>
    </w:p>
    <w:p>
      <w:pPr>
        <w:pStyle w:val="BodyText"/>
        <w:spacing w:line="240" w:lineRule="auto" w:before="115"/>
        <w:ind w:left="0" w:right="151"/>
        <w:jc w:val="right"/>
      </w:pPr>
      <w:r>
        <w:rPr/>
        <w:pict>
          <v:group style="position:absolute;margin-left:56.400002pt;margin-top:22.741703pt;width:479.05pt;height:618.8pt;mso-position-horizontal-relative:page;mso-position-vertical-relative:paragraph;z-index:-1099168" coordorigin="1128,455" coordsize="9581,12376">
            <v:group style="position:absolute;left:1140;top:469;width:1055;height:156" coordorigin="1140,469" coordsize="1055,156">
              <v:shape style="position:absolute;left:1140;top:469;width:1055;height:156" coordorigin="1140,469" coordsize="1055,156" path="m1140,625l2194,625,2194,469,1140,469,1140,625xe" filled="true" fillcolor="#d2d2d2" stroked="false">
                <v:path arrowok="t"/>
                <v:fill type="solid"/>
              </v:shape>
            </v:group>
            <v:group style="position:absolute;left:1151;top:625;width:2;height:394" coordorigin="1151,625" coordsize="2,394">
              <v:shape style="position:absolute;left:1151;top:625;width:2;height:394" coordorigin="1151,625" coordsize="0,394" path="m1151,625l1151,1019e" filled="false" stroked="true" strokeweight="1.08pt" strokecolor="#d2d2d2">
                <v:path arrowok="t"/>
              </v:shape>
            </v:group>
            <v:group style="position:absolute;left:2183;top:625;width:2;height:394" coordorigin="2183,625" coordsize="2,394">
              <v:shape style="position:absolute;left:2183;top:625;width:2;height:394" coordorigin="2183,625" coordsize="0,394" path="m2183,625l2183,1019e" filled="false" stroked="true" strokeweight="1.08pt" strokecolor="#d2d2d2">
                <v:path arrowok="t"/>
              </v:shape>
            </v:group>
            <v:group style="position:absolute;left:1140;top:1019;width:1055;height:156" coordorigin="1140,1019" coordsize="1055,156">
              <v:shape style="position:absolute;left:1140;top:1019;width:1055;height:156" coordorigin="1140,1019" coordsize="1055,156" path="m1140,1175l2194,1175,2194,1019,1140,1019,1140,1175xe" filled="true" fillcolor="#d2d2d2" stroked="false">
                <v:path arrowok="t"/>
                <v:fill type="solid"/>
              </v:shape>
            </v:group>
            <v:group style="position:absolute;left:1162;top:625;width:1011;height:394" coordorigin="1162,625" coordsize="1011,394">
              <v:shape style="position:absolute;left:1162;top:625;width:1011;height:394" coordorigin="1162,625" coordsize="1011,394" path="m1162,1019l2172,1019,2172,625,1162,625,1162,1019xe" filled="true" fillcolor="#d2d2d2" stroked="false">
                <v:path arrowok="t"/>
                <v:fill type="solid"/>
              </v:shape>
            </v:group>
            <v:group style="position:absolute;left:2204;top:469;width:1054;height:156" coordorigin="2204,469" coordsize="1054,156">
              <v:shape style="position:absolute;left:2204;top:469;width:1054;height:156" coordorigin="2204,469" coordsize="1054,156" path="m2204,625l3257,625,3257,469,2204,469,2204,625xe" filled="true" fillcolor="#d2d2d2" stroked="false">
                <v:path arrowok="t"/>
                <v:fill type="solid"/>
              </v:shape>
            </v:group>
            <v:group style="position:absolute;left:2216;top:625;width:2;height:394" coordorigin="2216,625" coordsize="2,394">
              <v:shape style="position:absolute;left:2216;top:625;width:2;height:394" coordorigin="2216,625" coordsize="0,394" path="m2216,625l2216,1019e" filled="false" stroked="true" strokeweight="1.2pt" strokecolor="#d2d2d2">
                <v:path arrowok="t"/>
              </v:shape>
            </v:group>
            <v:group style="position:absolute;left:3245;top:625;width:2;height:394" coordorigin="3245,625" coordsize="2,394">
              <v:shape style="position:absolute;left:3245;top:625;width:2;height:394" coordorigin="3245,625" coordsize="0,394" path="m3245,625l3245,1019e" filled="false" stroked="true" strokeweight="1.2pt" strokecolor="#d2d2d2">
                <v:path arrowok="t"/>
              </v:shape>
            </v:group>
            <v:group style="position:absolute;left:2204;top:1019;width:1054;height:156" coordorigin="2204,1019" coordsize="1054,156">
              <v:shape style="position:absolute;left:2204;top:1019;width:1054;height:156" coordorigin="2204,1019" coordsize="1054,156" path="m2204,1175l3257,1175,3257,1019,2204,1019,2204,1175xe" filled="true" fillcolor="#d2d2d2" stroked="false">
                <v:path arrowok="t"/>
                <v:fill type="solid"/>
              </v:shape>
            </v:group>
            <v:group style="position:absolute;left:2228;top:625;width:1006;height:394" coordorigin="2228,625" coordsize="1006,394">
              <v:shape style="position:absolute;left:2228;top:625;width:1006;height:394" coordorigin="2228,625" coordsize="1006,394" path="m2228,1019l3233,1019,3233,625,2228,625,2228,1019xe" filled="true" fillcolor="#d2d2d2" stroked="false">
                <v:path arrowok="t"/>
                <v:fill type="solid"/>
              </v:shape>
            </v:group>
            <v:group style="position:absolute;left:3267;top:469;width:1055;height:156" coordorigin="3267,469" coordsize="1055,156">
              <v:shape style="position:absolute;left:3267;top:469;width:1055;height:156" coordorigin="3267,469" coordsize="1055,156" path="m3267,625l4321,625,4321,469,3267,469,3267,625xe" filled="true" fillcolor="#d2d2d2" stroked="false">
                <v:path arrowok="t"/>
                <v:fill type="solid"/>
              </v:shape>
            </v:group>
            <v:group style="position:absolute;left:3279;top:625;width:2;height:394" coordorigin="3279,625" coordsize="2,394">
              <v:shape style="position:absolute;left:3279;top:625;width:2;height:394" coordorigin="3279,625" coordsize="0,394" path="m3279,625l3279,1019e" filled="false" stroked="true" strokeweight="1.2pt" strokecolor="#d2d2d2">
                <v:path arrowok="t"/>
              </v:shape>
            </v:group>
            <v:group style="position:absolute;left:4309;top:625;width:2;height:394" coordorigin="4309,625" coordsize="2,394">
              <v:shape style="position:absolute;left:4309;top:625;width:2;height:394" coordorigin="4309,625" coordsize="0,394" path="m4309,625l4309,1019e" filled="false" stroked="true" strokeweight="1.2pt" strokecolor="#d2d2d2">
                <v:path arrowok="t"/>
              </v:shape>
            </v:group>
            <v:group style="position:absolute;left:3267;top:1019;width:1055;height:156" coordorigin="3267,1019" coordsize="1055,156">
              <v:shape style="position:absolute;left:3267;top:1019;width:1055;height:156" coordorigin="3267,1019" coordsize="1055,156" path="m3267,1175l4321,1175,4321,1019,3267,1019,3267,1175xe" filled="true" fillcolor="#d2d2d2" stroked="false">
                <v:path arrowok="t"/>
                <v:fill type="solid"/>
              </v:shape>
            </v:group>
            <v:group style="position:absolute;left:3291;top:625;width:1007;height:394" coordorigin="3291,625" coordsize="1007,394">
              <v:shape style="position:absolute;left:3291;top:625;width:1007;height:394" coordorigin="3291,625" coordsize="1007,394" path="m3291,1019l4297,1019,4297,625,3291,625,3291,1019xe" filled="true" fillcolor="#d2d2d2" stroked="false">
                <v:path arrowok="t"/>
                <v:fill type="solid"/>
              </v:shape>
            </v:group>
            <v:group style="position:absolute;left:4331;top:469;width:1054;height:156" coordorigin="4331,469" coordsize="1054,156">
              <v:shape style="position:absolute;left:4331;top:469;width:1054;height:156" coordorigin="4331,469" coordsize="1054,156" path="m4331,625l5384,625,5384,469,4331,469,4331,625xe" filled="true" fillcolor="#d2d2d2" stroked="false">
                <v:path arrowok="t"/>
                <v:fill type="solid"/>
              </v:shape>
            </v:group>
            <v:group style="position:absolute;left:4343;top:625;width:2;height:394" coordorigin="4343,625" coordsize="2,394">
              <v:shape style="position:absolute;left:4343;top:625;width:2;height:394" coordorigin="4343,625" coordsize="0,394" path="m4343,625l4343,1019e" filled="false" stroked="true" strokeweight="1.2pt" strokecolor="#d2d2d2">
                <v:path arrowok="t"/>
              </v:shape>
            </v:group>
            <v:group style="position:absolute;left:5372;top:625;width:2;height:394" coordorigin="5372,625" coordsize="2,394">
              <v:shape style="position:absolute;left:5372;top:625;width:2;height:394" coordorigin="5372,625" coordsize="0,394" path="m5372,625l5372,1019e" filled="false" stroked="true" strokeweight="1.2pt" strokecolor="#d2d2d2">
                <v:path arrowok="t"/>
              </v:shape>
            </v:group>
            <v:group style="position:absolute;left:4331;top:1019;width:1054;height:156" coordorigin="4331,1019" coordsize="1054,156">
              <v:shape style="position:absolute;left:4331;top:1019;width:1054;height:156" coordorigin="4331,1019" coordsize="1054,156" path="m4331,1175l5384,1175,5384,1019,4331,1019,4331,1175xe" filled="true" fillcolor="#d2d2d2" stroked="false">
                <v:path arrowok="t"/>
                <v:fill type="solid"/>
              </v:shape>
            </v:group>
            <v:group style="position:absolute;left:4355;top:625;width:1006;height:394" coordorigin="4355,625" coordsize="1006,394">
              <v:shape style="position:absolute;left:4355;top:625;width:1006;height:394" coordorigin="4355,625" coordsize="1006,394" path="m4355,1019l5360,1019,5360,625,4355,625,4355,1019xe" filled="true" fillcolor="#d2d2d2" stroked="false">
                <v:path arrowok="t"/>
                <v:fill type="solid"/>
              </v:shape>
            </v:group>
            <v:group style="position:absolute;left:5406;top:469;width:2;height:706" coordorigin="5406,469" coordsize="2,706">
              <v:shape style="position:absolute;left:5406;top:469;width:2;height:706" coordorigin="5406,469" coordsize="0,706" path="m5406,469l5406,1175e" filled="false" stroked="true" strokeweight="1.2pt" strokecolor="#d2d2d2">
                <v:path arrowok="t"/>
              </v:shape>
            </v:group>
            <v:group style="position:absolute;left:6435;top:469;width:2;height:706" coordorigin="6435,469" coordsize="2,706">
              <v:shape style="position:absolute;left:6435;top:469;width:2;height:706" coordorigin="6435,469" coordsize="0,706" path="m6435,469l6435,1175e" filled="false" stroked="true" strokeweight="1.2pt" strokecolor="#d2d2d2">
                <v:path arrowok="t"/>
              </v:shape>
            </v:group>
            <v:group style="position:absolute;left:5418;top:469;width:1006;height:353" coordorigin="5418,469" coordsize="1006,353">
              <v:shape style="position:absolute;left:5418;top:469;width:1006;height:353" coordorigin="5418,469" coordsize="1006,353" path="m5418,822l6423,822,6423,469,5418,469,5418,822xe" filled="true" fillcolor="#d2d2d2" stroked="false">
                <v:path arrowok="t"/>
                <v:fill type="solid"/>
              </v:shape>
            </v:group>
            <v:group style="position:absolute;left:5418;top:822;width:1006;height:353" coordorigin="5418,822" coordsize="1006,353">
              <v:shape style="position:absolute;left:5418;top:822;width:1006;height:353" coordorigin="5418,822" coordsize="1006,353" path="m5418,1175l6423,1175,6423,822,5418,822,5418,1175xe" filled="true" fillcolor="#d2d2d2" stroked="false">
                <v:path arrowok="t"/>
                <v:fill type="solid"/>
              </v:shape>
            </v:group>
            <v:group style="position:absolute;left:6469;top:469;width:2;height:706" coordorigin="6469,469" coordsize="2,706">
              <v:shape style="position:absolute;left:6469;top:469;width:2;height:706" coordorigin="6469,469" coordsize="0,706" path="m6469,469l6469,1175e" filled="false" stroked="true" strokeweight="1.2pt" strokecolor="#d2d2d2">
                <v:path arrowok="t"/>
              </v:shape>
            </v:group>
            <v:group style="position:absolute;left:7499;top:469;width:2;height:706" coordorigin="7499,469" coordsize="2,706">
              <v:shape style="position:absolute;left:7499;top:469;width:2;height:706" coordorigin="7499,469" coordsize="0,706" path="m7499,469l7499,1175e" filled="false" stroked="true" strokeweight="1.2pt" strokecolor="#d2d2d2">
                <v:path arrowok="t"/>
              </v:shape>
            </v:group>
            <v:group style="position:absolute;left:6481;top:469;width:1007;height:353" coordorigin="6481,469" coordsize="1007,353">
              <v:shape style="position:absolute;left:6481;top:469;width:1007;height:353" coordorigin="6481,469" coordsize="1007,353" path="m6481,822l7487,822,7487,469,6481,469,6481,822xe" filled="true" fillcolor="#d2d2d2" stroked="false">
                <v:path arrowok="t"/>
                <v:fill type="solid"/>
              </v:shape>
            </v:group>
            <v:group style="position:absolute;left:6481;top:822;width:1007;height:353" coordorigin="6481,822" coordsize="1007,353">
              <v:shape style="position:absolute;left:6481;top:822;width:1007;height:353" coordorigin="6481,822" coordsize="1007,353" path="m6481,1175l7487,1175,7487,822,6481,822,6481,1175xe" filled="true" fillcolor="#d2d2d2" stroked="false">
                <v:path arrowok="t"/>
                <v:fill type="solid"/>
              </v:shape>
            </v:group>
            <v:group style="position:absolute;left:7531;top:469;width:2;height:706" coordorigin="7531,469" coordsize="2,706">
              <v:shape style="position:absolute;left:7531;top:469;width:2;height:706" coordorigin="7531,469" coordsize="0,706" path="m7531,469l7531,1175e" filled="false" stroked="true" strokeweight="1.08pt" strokecolor="#d2d2d2">
                <v:path arrowok="t"/>
              </v:shape>
            </v:group>
            <v:group style="position:absolute;left:8562;top:469;width:2;height:706" coordorigin="8562,469" coordsize="2,706">
              <v:shape style="position:absolute;left:8562;top:469;width:2;height:706" coordorigin="8562,469" coordsize="0,706" path="m8562,469l8562,1175e" filled="false" stroked="true" strokeweight="1.2pt" strokecolor="#d2d2d2">
                <v:path arrowok="t"/>
              </v:shape>
            </v:group>
            <v:group style="position:absolute;left:7542;top:469;width:1008;height:353" coordorigin="7542,469" coordsize="1008,353">
              <v:shape style="position:absolute;left:7542;top:469;width:1008;height:353" coordorigin="7542,469" coordsize="1008,353" path="m7542,822l8550,822,8550,469,7542,469,7542,822xe" filled="true" fillcolor="#d2d2d2" stroked="false">
                <v:path arrowok="t"/>
                <v:fill type="solid"/>
              </v:shape>
            </v:group>
            <v:group style="position:absolute;left:7542;top:822;width:1008;height:353" coordorigin="7542,822" coordsize="1008,353">
              <v:shape style="position:absolute;left:7542;top:822;width:1008;height:353" coordorigin="7542,822" coordsize="1008,353" path="m7542,1175l8550,1175,8550,822,7542,822,7542,1175xe" filled="true" fillcolor="#d2d2d2" stroked="false">
                <v:path arrowok="t"/>
                <v:fill type="solid"/>
              </v:shape>
            </v:group>
            <v:group style="position:absolute;left:8595;top:469;width:2;height:706" coordorigin="8595,469" coordsize="2,706">
              <v:shape style="position:absolute;left:8595;top:469;width:2;height:706" coordorigin="8595,469" coordsize="0,706" path="m8595,469l8595,1175e" filled="false" stroked="true" strokeweight="1.08pt" strokecolor="#d2d2d2">
                <v:path arrowok="t"/>
              </v:shape>
            </v:group>
            <v:group style="position:absolute;left:9626;top:469;width:2;height:706" coordorigin="9626,469" coordsize="2,706">
              <v:shape style="position:absolute;left:9626;top:469;width:2;height:706" coordorigin="9626,469" coordsize="0,706" path="m9626,469l9626,1175e" filled="false" stroked="true" strokeweight="1.2pt" strokecolor="#d2d2d2">
                <v:path arrowok="t"/>
              </v:shape>
            </v:group>
            <v:group style="position:absolute;left:8605;top:469;width:1009;height:353" coordorigin="8605,469" coordsize="1009,353">
              <v:shape style="position:absolute;left:8605;top:469;width:1009;height:353" coordorigin="8605,469" coordsize="1009,353" path="m8605,822l9614,822,9614,469,8605,469,8605,822xe" filled="true" fillcolor="#d2d2d2" stroked="false">
                <v:path arrowok="t"/>
                <v:fill type="solid"/>
              </v:shape>
            </v:group>
            <v:group style="position:absolute;left:8605;top:822;width:1009;height:353" coordorigin="8605,822" coordsize="1009,353">
              <v:shape style="position:absolute;left:8605;top:822;width:1009;height:353" coordorigin="8605,822" coordsize="1009,353" path="m8605,1175l9614,1175,9614,822,8605,822,8605,1175xe" filled="true" fillcolor="#d2d2d2" stroked="false">
                <v:path arrowok="t"/>
                <v:fill type="solid"/>
              </v:shape>
            </v:group>
            <v:group style="position:absolute;left:9658;top:469;width:2;height:706" coordorigin="9658,469" coordsize="2,706">
              <v:shape style="position:absolute;left:9658;top:469;width:2;height:706" coordorigin="9658,469" coordsize="0,706" path="m9658,469l9658,1175e" filled="false" stroked="true" strokeweight="1.08pt" strokecolor="#d2d2d2">
                <v:path arrowok="t"/>
              </v:shape>
            </v:group>
            <v:group style="position:absolute;left:10688;top:469;width:2;height:706" coordorigin="10688,469" coordsize="2,706">
              <v:shape style="position:absolute;left:10688;top:469;width:2;height:706" coordorigin="10688,469" coordsize="0,706" path="m10688,469l10688,1175e" filled="false" stroked="true" strokeweight="1.08pt" strokecolor="#d2d2d2">
                <v:path arrowok="t"/>
              </v:shape>
            </v:group>
            <v:group style="position:absolute;left:9669;top:469;width:1008;height:353" coordorigin="9669,469" coordsize="1008,353">
              <v:shape style="position:absolute;left:9669;top:469;width:1008;height:353" coordorigin="9669,469" coordsize="1008,353" path="m9669,822l10677,822,10677,469,9669,469,9669,822xe" filled="true" fillcolor="#d2d2d2" stroked="false">
                <v:path arrowok="t"/>
                <v:fill type="solid"/>
              </v:shape>
            </v:group>
            <v:group style="position:absolute;left:9669;top:822;width:1008;height:353" coordorigin="9669,822" coordsize="1008,353">
              <v:shape style="position:absolute;left:9669;top:822;width:1008;height:353" coordorigin="9669,822" coordsize="1008,353" path="m9669,1175l10677,1175,10677,822,9669,822,9669,1175xe" filled="true" fillcolor="#d2d2d2" stroked="false">
                <v:path arrowok="t"/>
                <v:fill type="solid"/>
              </v:shape>
            </v:group>
            <v:group style="position:absolute;left:1138;top:464;width:1057;height:2" coordorigin="1138,464" coordsize="1057,2">
              <v:shape style="position:absolute;left:1138;top:464;width:1057;height:2" coordorigin="1138,464" coordsize="1057,0" path="m1138,464l2194,464e" filled="false" stroked="true" strokeweight=".48pt" strokecolor="#000000">
                <v:path arrowok="t"/>
              </v:shape>
            </v:group>
            <v:group style="position:absolute;left:2204;top:464;width:1054;height:2" coordorigin="2204,464" coordsize="1054,2">
              <v:shape style="position:absolute;left:2204;top:464;width:1054;height:2" coordorigin="2204,464" coordsize="1054,0" path="m2204,464l3257,464e" filled="false" stroked="true" strokeweight=".48pt" strokecolor="#000000">
                <v:path arrowok="t"/>
              </v:shape>
            </v:group>
            <v:group style="position:absolute;left:3267;top:464;width:1055;height:2" coordorigin="3267,464" coordsize="1055,2">
              <v:shape style="position:absolute;left:3267;top:464;width:1055;height:2" coordorigin="3267,464" coordsize="1055,0" path="m3267,464l4321,464e" filled="false" stroked="true" strokeweight=".48pt" strokecolor="#000000">
                <v:path arrowok="t"/>
              </v:shape>
            </v:group>
            <v:group style="position:absolute;left:4331;top:464;width:1054;height:2" coordorigin="4331,464" coordsize="1054,2">
              <v:shape style="position:absolute;left:4331;top:464;width:1054;height:2" coordorigin="4331,464" coordsize="1054,0" path="m4331,464l5384,464e" filled="false" stroked="true" strokeweight=".48pt" strokecolor="#000000">
                <v:path arrowok="t"/>
              </v:shape>
            </v:group>
            <v:group style="position:absolute;left:5394;top:464;width:1052;height:2" coordorigin="5394,464" coordsize="1052,2">
              <v:shape style="position:absolute;left:5394;top:464;width:1052;height:2" coordorigin="5394,464" coordsize="1052,0" path="m5394,464l6445,464e" filled="false" stroked="true" strokeweight=".48pt" strokecolor="#000000">
                <v:path arrowok="t"/>
              </v:shape>
            </v:group>
            <v:group style="position:absolute;left:6455;top:464;width:1055;height:2" coordorigin="6455,464" coordsize="1055,2">
              <v:shape style="position:absolute;left:6455;top:464;width:1055;height:2" coordorigin="6455,464" coordsize="1055,0" path="m6455,464l7509,464e" filled="false" stroked="true" strokeweight=".48pt" strokecolor="#000000">
                <v:path arrowok="t"/>
              </v:shape>
            </v:group>
            <v:group style="position:absolute;left:7518;top:464;width:1054;height:2" coordorigin="7518,464" coordsize="1054,2">
              <v:shape style="position:absolute;left:7518;top:464;width:1054;height:2" coordorigin="7518,464" coordsize="1054,0" path="m7518,464l8572,464e" filled="false" stroked="true" strokeweight=".48pt" strokecolor="#000000">
                <v:path arrowok="t"/>
              </v:shape>
            </v:group>
            <v:group style="position:absolute;left:8581;top:464;width:1055;height:2" coordorigin="8581,464" coordsize="1055,2">
              <v:shape style="position:absolute;left:8581;top:464;width:1055;height:2" coordorigin="8581,464" coordsize="1055,0" path="m8581,464l9635,464e" filled="false" stroked="true" strokeweight=".48pt" strokecolor="#000000">
                <v:path arrowok="t"/>
              </v:shape>
            </v:group>
            <v:group style="position:absolute;left:9645;top:464;width:1054;height:2" coordorigin="9645,464" coordsize="1054,2">
              <v:shape style="position:absolute;left:9645;top:464;width:1054;height:2" coordorigin="9645,464" coordsize="1054,0" path="m9645,464l10699,464e" filled="false" stroked="true" strokeweight=".48pt" strokecolor="#000000">
                <v:path arrowok="t"/>
              </v:shape>
            </v:group>
            <v:group style="position:absolute;left:5394;top:1184;width:1054;height:468" coordorigin="5394,1184" coordsize="1054,468">
              <v:shape style="position:absolute;left:5394;top:1184;width:1054;height:468" coordorigin="5394,1184" coordsize="1054,468" path="m5394,1652l6447,1652,6447,1184,5394,1184,5394,1652xe" filled="true" fillcolor="#ffffff" stroked="false">
                <v:path arrowok="t"/>
                <v:fill type="solid"/>
              </v:shape>
            </v:group>
            <v:group style="position:absolute;left:1138;top:1180;width:1057;height:2" coordorigin="1138,1180" coordsize="1057,2">
              <v:shape style="position:absolute;left:1138;top:1180;width:1057;height:2" coordorigin="1138,1180" coordsize="1057,0" path="m1138,1180l2194,1180e" filled="false" stroked="true" strokeweight=".48pt" strokecolor="#000000">
                <v:path arrowok="t"/>
              </v:shape>
            </v:group>
            <v:group style="position:absolute;left:2204;top:1180;width:1054;height:2" coordorigin="2204,1180" coordsize="1054,2">
              <v:shape style="position:absolute;left:2204;top:1180;width:1054;height:2" coordorigin="2204,1180" coordsize="1054,0" path="m2204,1180l3257,1180e" filled="false" stroked="true" strokeweight=".48pt" strokecolor="#000000">
                <v:path arrowok="t"/>
              </v:shape>
            </v:group>
            <v:group style="position:absolute;left:3267;top:1180;width:1055;height:2" coordorigin="3267,1180" coordsize="1055,2">
              <v:shape style="position:absolute;left:3267;top:1180;width:1055;height:2" coordorigin="3267,1180" coordsize="1055,0" path="m3267,1180l4321,1180e" filled="false" stroked="true" strokeweight=".48pt" strokecolor="#000000">
                <v:path arrowok="t"/>
              </v:shape>
            </v:group>
            <v:group style="position:absolute;left:4331;top:1180;width:1054;height:2" coordorigin="4331,1180" coordsize="1054,2">
              <v:shape style="position:absolute;left:4331;top:1180;width:1054;height:2" coordorigin="4331,1180" coordsize="1054,0" path="m4331,1180l5384,1180e" filled="false" stroked="true" strokeweight=".48pt" strokecolor="#000000">
                <v:path arrowok="t"/>
              </v:shape>
            </v:group>
            <v:group style="position:absolute;left:5394;top:1180;width:1052;height:2" coordorigin="5394,1180" coordsize="1052,2">
              <v:shape style="position:absolute;left:5394;top:1180;width:1052;height:2" coordorigin="5394,1180" coordsize="1052,0" path="m5394,1180l6445,1180e" filled="false" stroked="true" strokeweight=".48pt" strokecolor="#000000">
                <v:path arrowok="t"/>
              </v:shape>
            </v:group>
            <v:group style="position:absolute;left:6455;top:1180;width:1055;height:2" coordorigin="6455,1180" coordsize="1055,2">
              <v:shape style="position:absolute;left:6455;top:1180;width:1055;height:2" coordorigin="6455,1180" coordsize="1055,0" path="m6455,1180l7509,1180e" filled="false" stroked="true" strokeweight=".48pt" strokecolor="#000000">
                <v:path arrowok="t"/>
              </v:shape>
            </v:group>
            <v:group style="position:absolute;left:7518;top:1180;width:1054;height:2" coordorigin="7518,1180" coordsize="1054,2">
              <v:shape style="position:absolute;left:7518;top:1180;width:1054;height:2" coordorigin="7518,1180" coordsize="1054,0" path="m7518,1180l8572,1180e" filled="false" stroked="true" strokeweight=".48pt" strokecolor="#000000">
                <v:path arrowok="t"/>
              </v:shape>
            </v:group>
            <v:group style="position:absolute;left:8581;top:1180;width:1055;height:2" coordorigin="8581,1180" coordsize="1055,2">
              <v:shape style="position:absolute;left:8581;top:1180;width:1055;height:2" coordorigin="8581,1180" coordsize="1055,0" path="m8581,1180l9635,1180e" filled="false" stroked="true" strokeweight=".48pt" strokecolor="#000000">
                <v:path arrowok="t"/>
              </v:shape>
            </v:group>
            <v:group style="position:absolute;left:9645;top:1180;width:1054;height:2" coordorigin="9645,1180" coordsize="1054,2">
              <v:shape style="position:absolute;left:9645;top:1180;width:1054;height:2" coordorigin="9645,1180" coordsize="1054,0" path="m9645,1180l10699,1180e" filled="false" stroked="true" strokeweight=".48pt" strokecolor="#000000">
                <v:path arrowok="t"/>
              </v:shape>
            </v:group>
            <v:group style="position:absolute;left:1138;top:2516;width:1057;height:2" coordorigin="1138,2516" coordsize="1057,2">
              <v:shape style="position:absolute;left:1138;top:2516;width:1057;height:2" coordorigin="1138,2516" coordsize="1057,0" path="m1138,2516l2194,2516e" filled="false" stroked="true" strokeweight=".48001pt" strokecolor="#000000">
                <v:path arrowok="t"/>
              </v:shape>
            </v:group>
            <v:group style="position:absolute;left:2204;top:2516;width:1054;height:2" coordorigin="2204,2516" coordsize="1054,2">
              <v:shape style="position:absolute;left:2204;top:2516;width:1054;height:2" coordorigin="2204,2516" coordsize="1054,0" path="m2204,2516l3257,2516e" filled="false" stroked="true" strokeweight=".48001pt" strokecolor="#000000">
                <v:path arrowok="t"/>
              </v:shape>
            </v:group>
            <v:group style="position:absolute;left:3267;top:2516;width:1055;height:2" coordorigin="3267,2516" coordsize="1055,2">
              <v:shape style="position:absolute;left:3267;top:2516;width:1055;height:2" coordorigin="3267,2516" coordsize="1055,0" path="m3267,2516l4321,2516e" filled="false" stroked="true" strokeweight=".48001pt" strokecolor="#000000">
                <v:path arrowok="t"/>
              </v:shape>
            </v:group>
            <v:group style="position:absolute;left:4331;top:2516;width:1054;height:2" coordorigin="4331,2516" coordsize="1054,2">
              <v:shape style="position:absolute;left:4331;top:2516;width:1054;height:2" coordorigin="4331,2516" coordsize="1054,0" path="m4331,2516l5384,2516e" filled="false" stroked="true" strokeweight=".48001pt" strokecolor="#000000">
                <v:path arrowok="t"/>
              </v:shape>
            </v:group>
            <v:group style="position:absolute;left:5394;top:2516;width:1052;height:2" coordorigin="5394,2516" coordsize="1052,2">
              <v:shape style="position:absolute;left:5394;top:2516;width:1052;height:2" coordorigin="5394,2516" coordsize="1052,0" path="m5394,2516l6445,2516e" filled="false" stroked="true" strokeweight=".48001pt" strokecolor="#000000">
                <v:path arrowok="t"/>
              </v:shape>
            </v:group>
            <v:group style="position:absolute;left:6455;top:2516;width:1055;height:2" coordorigin="6455,2516" coordsize="1055,2">
              <v:shape style="position:absolute;left:6455;top:2516;width:1055;height:2" coordorigin="6455,2516" coordsize="1055,0" path="m6455,2516l7509,2516e" filled="false" stroked="true" strokeweight=".48001pt" strokecolor="#000000">
                <v:path arrowok="t"/>
              </v:shape>
            </v:group>
            <v:group style="position:absolute;left:7518;top:2516;width:1054;height:2" coordorigin="7518,2516" coordsize="1054,2">
              <v:shape style="position:absolute;left:7518;top:2516;width:1054;height:2" coordorigin="7518,2516" coordsize="1054,0" path="m7518,2516l8572,2516e" filled="false" stroked="true" strokeweight=".48001pt" strokecolor="#000000">
                <v:path arrowok="t"/>
              </v:shape>
            </v:group>
            <v:group style="position:absolute;left:8581;top:2516;width:1055;height:2" coordorigin="8581,2516" coordsize="1055,2">
              <v:shape style="position:absolute;left:8581;top:2516;width:1055;height:2" coordorigin="8581,2516" coordsize="1055,0" path="m8581,2516l9635,2516e" filled="false" stroked="true" strokeweight=".48001pt" strokecolor="#000000">
                <v:path arrowok="t"/>
              </v:shape>
            </v:group>
            <v:group style="position:absolute;left:9645;top:2516;width:1054;height:2" coordorigin="9645,2516" coordsize="1054,2">
              <v:shape style="position:absolute;left:9645;top:2516;width:1054;height:2" coordorigin="9645,2516" coordsize="1054,0" path="m9645,2516l10699,2516e" filled="false" stroked="true" strokeweight=".48001pt" strokecolor="#000000">
                <v:path arrowok="t"/>
              </v:shape>
            </v:group>
            <v:group style="position:absolute;left:1138;top:4168;width:1057;height:2" coordorigin="1138,4168" coordsize="1057,2">
              <v:shape style="position:absolute;left:1138;top:4168;width:1057;height:2" coordorigin="1138,4168" coordsize="1057,0" path="m1138,4168l2194,4168e" filled="false" stroked="true" strokeweight=".47998pt" strokecolor="#000000">
                <v:path arrowok="t"/>
              </v:shape>
            </v:group>
            <v:group style="position:absolute;left:2204;top:4168;width:1054;height:2" coordorigin="2204,4168" coordsize="1054,2">
              <v:shape style="position:absolute;left:2204;top:4168;width:1054;height:2" coordorigin="2204,4168" coordsize="1054,0" path="m2204,4168l3257,4168e" filled="false" stroked="true" strokeweight=".47998pt" strokecolor="#000000">
                <v:path arrowok="t"/>
              </v:shape>
            </v:group>
            <v:group style="position:absolute;left:3267;top:4168;width:1055;height:2" coordorigin="3267,4168" coordsize="1055,2">
              <v:shape style="position:absolute;left:3267;top:4168;width:1055;height:2" coordorigin="3267,4168" coordsize="1055,0" path="m3267,4168l4321,4168e" filled="false" stroked="true" strokeweight=".47998pt" strokecolor="#000000">
                <v:path arrowok="t"/>
              </v:shape>
            </v:group>
            <v:group style="position:absolute;left:4331;top:4168;width:1054;height:2" coordorigin="4331,4168" coordsize="1054,2">
              <v:shape style="position:absolute;left:4331;top:4168;width:1054;height:2" coordorigin="4331,4168" coordsize="1054,0" path="m4331,4168l5384,4168e" filled="false" stroked="true" strokeweight=".47998pt" strokecolor="#000000">
                <v:path arrowok="t"/>
              </v:shape>
            </v:group>
            <v:group style="position:absolute;left:5394;top:4168;width:1052;height:2" coordorigin="5394,4168" coordsize="1052,2">
              <v:shape style="position:absolute;left:5394;top:4168;width:1052;height:2" coordorigin="5394,4168" coordsize="1052,0" path="m5394,4168l6445,4168e" filled="false" stroked="true" strokeweight=".47998pt" strokecolor="#000000">
                <v:path arrowok="t"/>
              </v:shape>
            </v:group>
            <v:group style="position:absolute;left:6455;top:4168;width:1055;height:2" coordorigin="6455,4168" coordsize="1055,2">
              <v:shape style="position:absolute;left:6455;top:4168;width:1055;height:2" coordorigin="6455,4168" coordsize="1055,0" path="m6455,4168l7509,4168e" filled="false" stroked="true" strokeweight=".47998pt" strokecolor="#000000">
                <v:path arrowok="t"/>
              </v:shape>
            </v:group>
            <v:group style="position:absolute;left:7518;top:4168;width:1054;height:2" coordorigin="7518,4168" coordsize="1054,2">
              <v:shape style="position:absolute;left:7518;top:4168;width:1054;height:2" coordorigin="7518,4168" coordsize="1054,0" path="m7518,4168l8572,4168e" filled="false" stroked="true" strokeweight=".47998pt" strokecolor="#000000">
                <v:path arrowok="t"/>
              </v:shape>
            </v:group>
            <v:group style="position:absolute;left:8581;top:4168;width:1055;height:2" coordorigin="8581,4168" coordsize="1055,2">
              <v:shape style="position:absolute;left:8581;top:4168;width:1055;height:2" coordorigin="8581,4168" coordsize="1055,0" path="m8581,4168l9635,4168e" filled="false" stroked="true" strokeweight=".47998pt" strokecolor="#000000">
                <v:path arrowok="t"/>
              </v:shape>
            </v:group>
            <v:group style="position:absolute;left:9645;top:4168;width:1054;height:2" coordorigin="9645,4168" coordsize="1054,2">
              <v:shape style="position:absolute;left:9645;top:4168;width:1054;height:2" coordorigin="9645,4168" coordsize="1054,0" path="m9645,4168l10699,4168e" filled="false" stroked="true" strokeweight=".47998pt" strokecolor="#000000">
                <v:path arrowok="t"/>
              </v:shape>
            </v:group>
            <v:group style="position:absolute;left:5394;top:5822;width:1054;height:468" coordorigin="5394,5822" coordsize="1054,468">
              <v:shape style="position:absolute;left:5394;top:5822;width:1054;height:468" coordorigin="5394,5822" coordsize="1054,468" path="m5394,6290l6447,6290,6447,5822,5394,5822,5394,6290xe" filled="true" fillcolor="#ffffff" stroked="false">
                <v:path arrowok="t"/>
                <v:fill type="solid"/>
              </v:shape>
            </v:group>
            <v:group style="position:absolute;left:1138;top:5817;width:1057;height:2" coordorigin="1138,5817" coordsize="1057,2">
              <v:shape style="position:absolute;left:1138;top:5817;width:1057;height:2" coordorigin="1138,5817" coordsize="1057,0" path="m1138,5817l2194,5817e" filled="false" stroked="true" strokeweight=".47998pt" strokecolor="#000000">
                <v:path arrowok="t"/>
              </v:shape>
            </v:group>
            <v:group style="position:absolute;left:2204;top:5817;width:1054;height:2" coordorigin="2204,5817" coordsize="1054,2">
              <v:shape style="position:absolute;left:2204;top:5817;width:1054;height:2" coordorigin="2204,5817" coordsize="1054,0" path="m2204,5817l3257,5817e" filled="false" stroked="true" strokeweight=".47998pt" strokecolor="#000000">
                <v:path arrowok="t"/>
              </v:shape>
            </v:group>
            <v:group style="position:absolute;left:3267;top:5817;width:1055;height:2" coordorigin="3267,5817" coordsize="1055,2">
              <v:shape style="position:absolute;left:3267;top:5817;width:1055;height:2" coordorigin="3267,5817" coordsize="1055,0" path="m3267,5817l4321,5817e" filled="false" stroked="true" strokeweight=".47998pt" strokecolor="#000000">
                <v:path arrowok="t"/>
              </v:shape>
            </v:group>
            <v:group style="position:absolute;left:4331;top:5817;width:1054;height:2" coordorigin="4331,5817" coordsize="1054,2">
              <v:shape style="position:absolute;left:4331;top:5817;width:1054;height:2" coordorigin="4331,5817" coordsize="1054,0" path="m4331,5817l5384,5817e" filled="false" stroked="true" strokeweight=".47998pt" strokecolor="#000000">
                <v:path arrowok="t"/>
              </v:shape>
            </v:group>
            <v:group style="position:absolute;left:5394;top:5817;width:1052;height:2" coordorigin="5394,5817" coordsize="1052,2">
              <v:shape style="position:absolute;left:5394;top:5817;width:1052;height:2" coordorigin="5394,5817" coordsize="1052,0" path="m5394,5817l6445,5817e" filled="false" stroked="true" strokeweight=".47998pt" strokecolor="#000000">
                <v:path arrowok="t"/>
              </v:shape>
            </v:group>
            <v:group style="position:absolute;left:6455;top:5817;width:1055;height:2" coordorigin="6455,5817" coordsize="1055,2">
              <v:shape style="position:absolute;left:6455;top:5817;width:1055;height:2" coordorigin="6455,5817" coordsize="1055,0" path="m6455,5817l7509,5817e" filled="false" stroked="true" strokeweight=".47998pt" strokecolor="#000000">
                <v:path arrowok="t"/>
              </v:shape>
            </v:group>
            <v:group style="position:absolute;left:7518;top:5817;width:1054;height:2" coordorigin="7518,5817" coordsize="1054,2">
              <v:shape style="position:absolute;left:7518;top:5817;width:1054;height:2" coordorigin="7518,5817" coordsize="1054,0" path="m7518,5817l8572,5817e" filled="false" stroked="true" strokeweight=".47998pt" strokecolor="#000000">
                <v:path arrowok="t"/>
              </v:shape>
            </v:group>
            <v:group style="position:absolute;left:8581;top:5817;width:1055;height:2" coordorigin="8581,5817" coordsize="1055,2">
              <v:shape style="position:absolute;left:8581;top:5817;width:1055;height:2" coordorigin="8581,5817" coordsize="1055,0" path="m8581,5817l9635,5817e" filled="false" stroked="true" strokeweight=".47998pt" strokecolor="#000000">
                <v:path arrowok="t"/>
              </v:shape>
            </v:group>
            <v:group style="position:absolute;left:9645;top:5817;width:1054;height:2" coordorigin="9645,5817" coordsize="1054,2">
              <v:shape style="position:absolute;left:9645;top:5817;width:1054;height:2" coordorigin="9645,5817" coordsize="1054,0" path="m9645,5817l10699,5817e" filled="false" stroked="true" strokeweight=".47998pt" strokecolor="#000000">
                <v:path arrowok="t"/>
              </v:shape>
            </v:group>
            <v:group style="position:absolute;left:5394;top:7161;width:1054;height:468" coordorigin="5394,7161" coordsize="1054,468">
              <v:shape style="position:absolute;left:5394;top:7161;width:1054;height:468" coordorigin="5394,7161" coordsize="1054,468" path="m5394,7629l6447,7629,6447,7161,5394,7161,5394,7629xe" filled="true" fillcolor="#ffffff" stroked="false">
                <v:path arrowok="t"/>
                <v:fill type="solid"/>
              </v:shape>
            </v:group>
            <v:group style="position:absolute;left:1138;top:7157;width:1057;height:2" coordorigin="1138,7157" coordsize="1057,2">
              <v:shape style="position:absolute;left:1138;top:7157;width:1057;height:2" coordorigin="1138,7157" coordsize="1057,0" path="m1138,7157l2194,7157e" filled="false" stroked="true" strokeweight=".48001pt" strokecolor="#000000">
                <v:path arrowok="t"/>
              </v:shape>
            </v:group>
            <v:group style="position:absolute;left:2204;top:7157;width:1054;height:2" coordorigin="2204,7157" coordsize="1054,2">
              <v:shape style="position:absolute;left:2204;top:7157;width:1054;height:2" coordorigin="2204,7157" coordsize="1054,0" path="m2204,7157l3257,7157e" filled="false" stroked="true" strokeweight=".48001pt" strokecolor="#000000">
                <v:path arrowok="t"/>
              </v:shape>
            </v:group>
            <v:group style="position:absolute;left:3267;top:7157;width:1055;height:2" coordorigin="3267,7157" coordsize="1055,2">
              <v:shape style="position:absolute;left:3267;top:7157;width:1055;height:2" coordorigin="3267,7157" coordsize="1055,0" path="m3267,7157l4321,7157e" filled="false" stroked="true" strokeweight=".48001pt" strokecolor="#000000">
                <v:path arrowok="t"/>
              </v:shape>
            </v:group>
            <v:group style="position:absolute;left:4331;top:7157;width:1054;height:2" coordorigin="4331,7157" coordsize="1054,2">
              <v:shape style="position:absolute;left:4331;top:7157;width:1054;height:2" coordorigin="4331,7157" coordsize="1054,0" path="m4331,7157l5384,7157e" filled="false" stroked="true" strokeweight=".48001pt" strokecolor="#000000">
                <v:path arrowok="t"/>
              </v:shape>
            </v:group>
            <v:group style="position:absolute;left:5394;top:7157;width:1052;height:2" coordorigin="5394,7157" coordsize="1052,2">
              <v:shape style="position:absolute;left:5394;top:7157;width:1052;height:2" coordorigin="5394,7157" coordsize="1052,0" path="m5394,7157l6445,7157e" filled="false" stroked="true" strokeweight=".48001pt" strokecolor="#000000">
                <v:path arrowok="t"/>
              </v:shape>
            </v:group>
            <v:group style="position:absolute;left:6455;top:7157;width:1055;height:2" coordorigin="6455,7157" coordsize="1055,2">
              <v:shape style="position:absolute;left:6455;top:7157;width:1055;height:2" coordorigin="6455,7157" coordsize="1055,0" path="m6455,7157l7509,7157e" filled="false" stroked="true" strokeweight=".48001pt" strokecolor="#000000">
                <v:path arrowok="t"/>
              </v:shape>
            </v:group>
            <v:group style="position:absolute;left:7518;top:7157;width:1054;height:2" coordorigin="7518,7157" coordsize="1054,2">
              <v:shape style="position:absolute;left:7518;top:7157;width:1054;height:2" coordorigin="7518,7157" coordsize="1054,0" path="m7518,7157l8572,7157e" filled="false" stroked="true" strokeweight=".48001pt" strokecolor="#000000">
                <v:path arrowok="t"/>
              </v:shape>
            </v:group>
            <v:group style="position:absolute;left:8581;top:7157;width:1055;height:2" coordorigin="8581,7157" coordsize="1055,2">
              <v:shape style="position:absolute;left:8581;top:7157;width:1055;height:2" coordorigin="8581,7157" coordsize="1055,0" path="m8581,7157l9635,7157e" filled="false" stroked="true" strokeweight=".48001pt" strokecolor="#000000">
                <v:path arrowok="t"/>
              </v:shape>
            </v:group>
            <v:group style="position:absolute;left:9645;top:7157;width:1054;height:2" coordorigin="9645,7157" coordsize="1054,2">
              <v:shape style="position:absolute;left:9645;top:7157;width:1054;height:2" coordorigin="9645,7157" coordsize="1054,0" path="m9645,7157l10699,7157e" filled="false" stroked="true" strokeweight=".48001pt" strokecolor="#000000">
                <v:path arrowok="t"/>
              </v:shape>
            </v:group>
            <v:group style="position:absolute;left:5394;top:8498;width:1054;height:468" coordorigin="5394,8498" coordsize="1054,468">
              <v:shape style="position:absolute;left:5394;top:8498;width:1054;height:468" coordorigin="5394,8498" coordsize="1054,468" path="m5394,8966l6447,8966,6447,8498,5394,8498,5394,8966xe" filled="true" fillcolor="#ffffff" stroked="false">
                <v:path arrowok="t"/>
                <v:fill type="solid"/>
              </v:shape>
            </v:group>
            <v:group style="position:absolute;left:1138;top:8493;width:1057;height:2" coordorigin="1138,8493" coordsize="1057,2">
              <v:shape style="position:absolute;left:1138;top:8493;width:1057;height:2" coordorigin="1138,8493" coordsize="1057,0" path="m1138,8493l2194,8493e" filled="false" stroked="true" strokeweight=".48004pt" strokecolor="#000000">
                <v:path arrowok="t"/>
              </v:shape>
            </v:group>
            <v:group style="position:absolute;left:2204;top:8493;width:1054;height:2" coordorigin="2204,8493" coordsize="1054,2">
              <v:shape style="position:absolute;left:2204;top:8493;width:1054;height:2" coordorigin="2204,8493" coordsize="1054,0" path="m2204,8493l3257,8493e" filled="false" stroked="true" strokeweight=".48004pt" strokecolor="#000000">
                <v:path arrowok="t"/>
              </v:shape>
            </v:group>
            <v:group style="position:absolute;left:3267;top:8493;width:1055;height:2" coordorigin="3267,8493" coordsize="1055,2">
              <v:shape style="position:absolute;left:3267;top:8493;width:1055;height:2" coordorigin="3267,8493" coordsize="1055,0" path="m3267,8493l4321,8493e" filled="false" stroked="true" strokeweight=".48004pt" strokecolor="#000000">
                <v:path arrowok="t"/>
              </v:shape>
            </v:group>
            <v:group style="position:absolute;left:4331;top:8493;width:1054;height:2" coordorigin="4331,8493" coordsize="1054,2">
              <v:shape style="position:absolute;left:4331;top:8493;width:1054;height:2" coordorigin="4331,8493" coordsize="1054,0" path="m4331,8493l5384,8493e" filled="false" stroked="true" strokeweight=".48004pt" strokecolor="#000000">
                <v:path arrowok="t"/>
              </v:shape>
            </v:group>
            <v:group style="position:absolute;left:5394;top:8493;width:1052;height:2" coordorigin="5394,8493" coordsize="1052,2">
              <v:shape style="position:absolute;left:5394;top:8493;width:1052;height:2" coordorigin="5394,8493" coordsize="1052,0" path="m5394,8493l6445,8493e" filled="false" stroked="true" strokeweight=".48004pt" strokecolor="#000000">
                <v:path arrowok="t"/>
              </v:shape>
            </v:group>
            <v:group style="position:absolute;left:6455;top:8493;width:1055;height:2" coordorigin="6455,8493" coordsize="1055,2">
              <v:shape style="position:absolute;left:6455;top:8493;width:1055;height:2" coordorigin="6455,8493" coordsize="1055,0" path="m6455,8493l7509,8493e" filled="false" stroked="true" strokeweight=".48004pt" strokecolor="#000000">
                <v:path arrowok="t"/>
              </v:shape>
            </v:group>
            <v:group style="position:absolute;left:7518;top:8493;width:1054;height:2" coordorigin="7518,8493" coordsize="1054,2">
              <v:shape style="position:absolute;left:7518;top:8493;width:1054;height:2" coordorigin="7518,8493" coordsize="1054,0" path="m7518,8493l8572,8493e" filled="false" stroked="true" strokeweight=".48004pt" strokecolor="#000000">
                <v:path arrowok="t"/>
              </v:shape>
            </v:group>
            <v:group style="position:absolute;left:8581;top:8493;width:1055;height:2" coordorigin="8581,8493" coordsize="1055,2">
              <v:shape style="position:absolute;left:8581;top:8493;width:1055;height:2" coordorigin="8581,8493" coordsize="1055,0" path="m8581,8493l9635,8493e" filled="false" stroked="true" strokeweight=".48004pt" strokecolor="#000000">
                <v:path arrowok="t"/>
              </v:shape>
            </v:group>
            <v:group style="position:absolute;left:9645;top:8493;width:1054;height:2" coordorigin="9645,8493" coordsize="1054,2">
              <v:shape style="position:absolute;left:9645;top:8493;width:1054;height:2" coordorigin="9645,8493" coordsize="1054,0" path="m9645,8493l10699,8493e" filled="false" stroked="true" strokeweight=".48004pt" strokecolor="#000000">
                <v:path arrowok="t"/>
              </v:shape>
            </v:group>
            <v:group style="position:absolute;left:1138;top:9833;width:1057;height:2" coordorigin="1138,9833" coordsize="1057,2">
              <v:shape style="position:absolute;left:1138;top:9833;width:1057;height:2" coordorigin="1138,9833" coordsize="1057,0" path="m1138,9833l2194,9833e" filled="false" stroked="true" strokeweight=".47998pt" strokecolor="#000000">
                <v:path arrowok="t"/>
              </v:shape>
            </v:group>
            <v:group style="position:absolute;left:2204;top:9833;width:1054;height:2" coordorigin="2204,9833" coordsize="1054,2">
              <v:shape style="position:absolute;left:2204;top:9833;width:1054;height:2" coordorigin="2204,9833" coordsize="1054,0" path="m2204,9833l3257,9833e" filled="false" stroked="true" strokeweight=".47998pt" strokecolor="#000000">
                <v:path arrowok="t"/>
              </v:shape>
            </v:group>
            <v:group style="position:absolute;left:3267;top:9833;width:1055;height:2" coordorigin="3267,9833" coordsize="1055,2">
              <v:shape style="position:absolute;left:3267;top:9833;width:1055;height:2" coordorigin="3267,9833" coordsize="1055,0" path="m3267,9833l4321,9833e" filled="false" stroked="true" strokeweight=".47998pt" strokecolor="#000000">
                <v:path arrowok="t"/>
              </v:shape>
            </v:group>
            <v:group style="position:absolute;left:4331;top:9833;width:1054;height:2" coordorigin="4331,9833" coordsize="1054,2">
              <v:shape style="position:absolute;left:4331;top:9833;width:1054;height:2" coordorigin="4331,9833" coordsize="1054,0" path="m4331,9833l5384,9833e" filled="false" stroked="true" strokeweight=".47998pt" strokecolor="#000000">
                <v:path arrowok="t"/>
              </v:shape>
            </v:group>
            <v:group style="position:absolute;left:5394;top:9833;width:1052;height:2" coordorigin="5394,9833" coordsize="1052,2">
              <v:shape style="position:absolute;left:5394;top:9833;width:1052;height:2" coordorigin="5394,9833" coordsize="1052,0" path="m5394,9833l6445,9833e" filled="false" stroked="true" strokeweight=".47998pt" strokecolor="#000000">
                <v:path arrowok="t"/>
              </v:shape>
            </v:group>
            <v:group style="position:absolute;left:6455;top:9833;width:1055;height:2" coordorigin="6455,9833" coordsize="1055,2">
              <v:shape style="position:absolute;left:6455;top:9833;width:1055;height:2" coordorigin="6455,9833" coordsize="1055,0" path="m6455,9833l7509,9833e" filled="false" stroked="true" strokeweight=".47998pt" strokecolor="#000000">
                <v:path arrowok="t"/>
              </v:shape>
            </v:group>
            <v:group style="position:absolute;left:7518;top:9833;width:1054;height:2" coordorigin="7518,9833" coordsize="1054,2">
              <v:shape style="position:absolute;left:7518;top:9833;width:1054;height:2" coordorigin="7518,9833" coordsize="1054,0" path="m7518,9833l8572,9833e" filled="false" stroked="true" strokeweight=".47998pt" strokecolor="#000000">
                <v:path arrowok="t"/>
              </v:shape>
            </v:group>
            <v:group style="position:absolute;left:8581;top:9833;width:1055;height:2" coordorigin="8581,9833" coordsize="1055,2">
              <v:shape style="position:absolute;left:8581;top:9833;width:1055;height:2" coordorigin="8581,9833" coordsize="1055,0" path="m8581,9833l9635,9833e" filled="false" stroked="true" strokeweight=".47998pt" strokecolor="#000000">
                <v:path arrowok="t"/>
              </v:shape>
            </v:group>
            <v:group style="position:absolute;left:9645;top:9833;width:1054;height:2" coordorigin="9645,9833" coordsize="1054,2">
              <v:shape style="position:absolute;left:9645;top:9833;width:1054;height:2" coordorigin="9645,9833" coordsize="1054,0" path="m9645,9833l10699,9833e" filled="false" stroked="true" strokeweight=".47998pt" strokecolor="#000000">
                <v:path arrowok="t"/>
              </v:shape>
            </v:group>
            <v:group style="position:absolute;left:1138;top:12418;width:1057;height:2" coordorigin="1138,12418" coordsize="1057,2">
              <v:shape style="position:absolute;left:1138;top:12418;width:1057;height:2" coordorigin="1138,12418" coordsize="1057,0" path="m1138,12418l2194,12418e" filled="false" stroked="true" strokeweight=".48004pt" strokecolor="#000000">
                <v:path arrowok="t"/>
              </v:shape>
            </v:group>
            <v:group style="position:absolute;left:2204;top:12418;width:1054;height:2" coordorigin="2204,12418" coordsize="1054,2">
              <v:shape style="position:absolute;left:2204;top:12418;width:1054;height:2" coordorigin="2204,12418" coordsize="1054,0" path="m2204,12418l3257,12418e" filled="false" stroked="true" strokeweight=".48004pt" strokecolor="#000000">
                <v:path arrowok="t"/>
              </v:shape>
            </v:group>
            <v:group style="position:absolute;left:3267;top:12418;width:1055;height:2" coordorigin="3267,12418" coordsize="1055,2">
              <v:shape style="position:absolute;left:3267;top:12418;width:1055;height:2" coordorigin="3267,12418" coordsize="1055,0" path="m3267,12418l4321,12418e" filled="false" stroked="true" strokeweight=".48004pt" strokecolor="#000000">
                <v:path arrowok="t"/>
              </v:shape>
            </v:group>
            <v:group style="position:absolute;left:4331;top:12418;width:1054;height:2" coordorigin="4331,12418" coordsize="1054,2">
              <v:shape style="position:absolute;left:4331;top:12418;width:1054;height:2" coordorigin="4331,12418" coordsize="1054,0" path="m4331,12418l5384,12418e" filled="false" stroked="true" strokeweight=".48004pt" strokecolor="#000000">
                <v:path arrowok="t"/>
              </v:shape>
            </v:group>
            <v:group style="position:absolute;left:5394;top:12418;width:1052;height:2" coordorigin="5394,12418" coordsize="1052,2">
              <v:shape style="position:absolute;left:5394;top:12418;width:1052;height:2" coordorigin="5394,12418" coordsize="1052,0" path="m5394,12418l6445,12418e" filled="false" stroked="true" strokeweight=".48004pt" strokecolor="#000000">
                <v:path arrowok="t"/>
              </v:shape>
            </v:group>
            <v:group style="position:absolute;left:6455;top:12418;width:1055;height:2" coordorigin="6455,12418" coordsize="1055,2">
              <v:shape style="position:absolute;left:6455;top:12418;width:1055;height:2" coordorigin="6455,12418" coordsize="1055,0" path="m6455,12418l7509,12418e" filled="false" stroked="true" strokeweight=".48004pt" strokecolor="#000000">
                <v:path arrowok="t"/>
              </v:shape>
            </v:group>
            <v:group style="position:absolute;left:7518;top:12418;width:1054;height:2" coordorigin="7518,12418" coordsize="1054,2">
              <v:shape style="position:absolute;left:7518;top:12418;width:1054;height:2" coordorigin="7518,12418" coordsize="1054,0" path="m7518,12418l8572,12418e" filled="false" stroked="true" strokeweight=".48004pt" strokecolor="#000000">
                <v:path arrowok="t"/>
              </v:shape>
            </v:group>
            <v:group style="position:absolute;left:8581;top:12418;width:1055;height:2" coordorigin="8581,12418" coordsize="1055,2">
              <v:shape style="position:absolute;left:8581;top:12418;width:1055;height:2" coordorigin="8581,12418" coordsize="1055,0" path="m8581,12418l9635,12418e" filled="false" stroked="true" strokeweight=".48004pt" strokecolor="#000000">
                <v:path arrowok="t"/>
              </v:shape>
            </v:group>
            <v:group style="position:absolute;left:9645;top:12418;width:1054;height:2" coordorigin="9645,12418" coordsize="1054,2">
              <v:shape style="position:absolute;left:9645;top:12418;width:1054;height:2" coordorigin="9645,12418" coordsize="1054,0" path="m9645,12418l10699,12418e" filled="false" stroked="true" strokeweight=".48004pt" strokecolor="#000000">
                <v:path arrowok="t"/>
              </v:shape>
            </v:group>
            <v:group style="position:absolute;left:1133;top:460;width:2;height:12367" coordorigin="1133,460" coordsize="2,12367">
              <v:shape style="position:absolute;left:1133;top:460;width:2;height:12367" coordorigin="1133,460" coordsize="0,12367" path="m1133,460l1133,12826e" filled="false" stroked="true" strokeweight=".48pt" strokecolor="#000000">
                <v:path arrowok="t"/>
              </v:shape>
            </v:group>
            <v:group style="position:absolute;left:1138;top:12821;width:1057;height:2" coordorigin="1138,12821" coordsize="1057,2">
              <v:shape style="position:absolute;left:1138;top:12821;width:1057;height:2" coordorigin="1138,12821" coordsize="1057,0" path="m1138,12821l2194,12821e" filled="false" stroked="true" strokeweight=".47998pt" strokecolor="#000000">
                <v:path arrowok="t"/>
              </v:shape>
            </v:group>
            <v:group style="position:absolute;left:2199;top:460;width:2;height:12367" coordorigin="2199,460" coordsize="2,12367">
              <v:shape style="position:absolute;left:2199;top:460;width:2;height:12367" coordorigin="2199,460" coordsize="0,12367" path="m2199,460l2199,12826e" filled="false" stroked="true" strokeweight=".48pt" strokecolor="#000000">
                <v:path arrowok="t"/>
              </v:shape>
            </v:group>
            <v:group style="position:absolute;left:2204;top:12821;width:1054;height:2" coordorigin="2204,12821" coordsize="1054,2">
              <v:shape style="position:absolute;left:2204;top:12821;width:1054;height:2" coordorigin="2204,12821" coordsize="1054,0" path="m2204,12821l3257,12821e" filled="false" stroked="true" strokeweight=".47998pt" strokecolor="#000000">
                <v:path arrowok="t"/>
              </v:shape>
            </v:group>
            <v:group style="position:absolute;left:3262;top:460;width:2;height:12367" coordorigin="3262,460" coordsize="2,12367">
              <v:shape style="position:absolute;left:3262;top:460;width:2;height:12367" coordorigin="3262,460" coordsize="0,12367" path="m3262,460l3262,12826e" filled="false" stroked="true" strokeweight=".48pt" strokecolor="#000000">
                <v:path arrowok="t"/>
              </v:shape>
            </v:group>
            <v:group style="position:absolute;left:3267;top:12821;width:1055;height:2" coordorigin="3267,12821" coordsize="1055,2">
              <v:shape style="position:absolute;left:3267;top:12821;width:1055;height:2" coordorigin="3267,12821" coordsize="1055,0" path="m3267,12821l4321,12821e" filled="false" stroked="true" strokeweight=".47998pt" strokecolor="#000000">
                <v:path arrowok="t"/>
              </v:shape>
            </v:group>
            <v:group style="position:absolute;left:4326;top:460;width:2;height:12367" coordorigin="4326,460" coordsize="2,12367">
              <v:shape style="position:absolute;left:4326;top:460;width:2;height:12367" coordorigin="4326,460" coordsize="0,12367" path="m4326,460l4326,12826e" filled="false" stroked="true" strokeweight=".48pt" strokecolor="#000000">
                <v:path arrowok="t"/>
              </v:shape>
            </v:group>
            <v:group style="position:absolute;left:4331;top:12821;width:1054;height:2" coordorigin="4331,12821" coordsize="1054,2">
              <v:shape style="position:absolute;left:4331;top:12821;width:1054;height:2" coordorigin="4331,12821" coordsize="1054,0" path="m4331,12821l5384,12821e" filled="false" stroked="true" strokeweight=".47998pt" strokecolor="#000000">
                <v:path arrowok="t"/>
              </v:shape>
            </v:group>
            <v:group style="position:absolute;left:5389;top:460;width:2;height:12367" coordorigin="5389,460" coordsize="2,12367">
              <v:shape style="position:absolute;left:5389;top:460;width:2;height:12367" coordorigin="5389,460" coordsize="0,12367" path="m5389,460l5389,12826e" filled="false" stroked="true" strokeweight=".47998pt" strokecolor="#000000">
                <v:path arrowok="t"/>
              </v:shape>
            </v:group>
            <v:group style="position:absolute;left:5394;top:12821;width:1052;height:2" coordorigin="5394,12821" coordsize="1052,2">
              <v:shape style="position:absolute;left:5394;top:12821;width:1052;height:2" coordorigin="5394,12821" coordsize="1052,0" path="m5394,12821l6445,12821e" filled="false" stroked="true" strokeweight=".47998pt" strokecolor="#000000">
                <v:path arrowok="t"/>
              </v:shape>
            </v:group>
            <v:group style="position:absolute;left:6450;top:460;width:2;height:12367" coordorigin="6450,460" coordsize="2,12367">
              <v:shape style="position:absolute;left:6450;top:460;width:2;height:12367" coordorigin="6450,460" coordsize="0,12367" path="m6450,460l6450,12826e" filled="false" stroked="true" strokeweight=".47998pt" strokecolor="#000000">
                <v:path arrowok="t"/>
              </v:shape>
            </v:group>
            <v:group style="position:absolute;left:6455;top:12821;width:1055;height:2" coordorigin="6455,12821" coordsize="1055,2">
              <v:shape style="position:absolute;left:6455;top:12821;width:1055;height:2" coordorigin="6455,12821" coordsize="1055,0" path="m6455,12821l7509,12821e" filled="false" stroked="true" strokeweight=".47998pt" strokecolor="#000000">
                <v:path arrowok="t"/>
              </v:shape>
            </v:group>
            <v:group style="position:absolute;left:7513;top:460;width:2;height:12367" coordorigin="7513,460" coordsize="2,12367">
              <v:shape style="position:absolute;left:7513;top:460;width:2;height:12367" coordorigin="7513,460" coordsize="0,12367" path="m7513,460l7513,12826e" filled="false" stroked="true" strokeweight=".48001pt" strokecolor="#000000">
                <v:path arrowok="t"/>
              </v:shape>
            </v:group>
            <v:group style="position:absolute;left:7518;top:12821;width:1054;height:2" coordorigin="7518,12821" coordsize="1054,2">
              <v:shape style="position:absolute;left:7518;top:12821;width:1054;height:2" coordorigin="7518,12821" coordsize="1054,0" path="m7518,12821l8572,12821e" filled="false" stroked="true" strokeweight=".47998pt" strokecolor="#000000">
                <v:path arrowok="t"/>
              </v:shape>
            </v:group>
            <v:group style="position:absolute;left:8577;top:460;width:2;height:12367" coordorigin="8577,460" coordsize="2,12367">
              <v:shape style="position:absolute;left:8577;top:460;width:2;height:12367" coordorigin="8577,460" coordsize="0,12367" path="m8577,460l8577,12826e" filled="false" stroked="true" strokeweight=".47998pt" strokecolor="#000000">
                <v:path arrowok="t"/>
              </v:shape>
            </v:group>
            <v:group style="position:absolute;left:8581;top:12821;width:1055;height:2" coordorigin="8581,12821" coordsize="1055,2">
              <v:shape style="position:absolute;left:8581;top:12821;width:1055;height:2" coordorigin="8581,12821" coordsize="1055,0" path="m8581,12821l9635,12821e" filled="false" stroked="true" strokeweight=".47998pt" strokecolor="#000000">
                <v:path arrowok="t"/>
              </v:shape>
            </v:group>
            <v:group style="position:absolute;left:9640;top:460;width:2;height:12367" coordorigin="9640,460" coordsize="2,12367">
              <v:shape style="position:absolute;left:9640;top:460;width:2;height:12367" coordorigin="9640,460" coordsize="0,12367" path="m9640,460l9640,12826e" filled="false" stroked="true" strokeweight=".48001pt" strokecolor="#000000">
                <v:path arrowok="t"/>
              </v:shape>
            </v:group>
            <v:group style="position:absolute;left:9645;top:12821;width:1054;height:2" coordorigin="9645,12821" coordsize="1054,2">
              <v:shape style="position:absolute;left:9645;top:12821;width:1054;height:2" coordorigin="9645,12821" coordsize="1054,0" path="m9645,12821l10699,12821e" filled="false" stroked="true" strokeweight=".47998pt" strokecolor="#000000">
                <v:path arrowok="t"/>
              </v:shape>
            </v:group>
            <v:group style="position:absolute;left:10704;top:460;width:2;height:12367" coordorigin="10704,460" coordsize="2,12367">
              <v:shape style="position:absolute;left:10704;top:460;width:2;height:12367" coordorigin="10704,460" coordsize="0,12367" path="m10704,460l10704,12826e" filled="false" stroked="true" strokeweight=".47998pt" strokecolor="#000000">
                <v:path arrowok="t"/>
              </v:shape>
            </v:group>
            <w10:wrap type="none"/>
          </v:group>
        </w:pict>
      </w:r>
      <w:r>
        <w:rPr/>
        <w:t>单位：</w:t>
      </w:r>
      <w:r>
        <w:rPr>
          <w:spacing w:val="1"/>
        </w:rPr>
        <w:t> </w:t>
      </w:r>
      <w:r>
        <w:rPr/>
        <w:t>元</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5" w:footer="980" w:top="1060" w:bottom="1160" w:left="980" w:right="980"/>
        </w:sectPr>
      </w:pPr>
    </w:p>
    <w:p>
      <w:pPr>
        <w:spacing w:line="240" w:lineRule="auto" w:before="4"/>
        <w:rPr>
          <w:rFonts w:ascii="宋体" w:hAnsi="宋体" w:cs="宋体" w:eastAsia="宋体" w:hint="default"/>
          <w:sz w:val="15"/>
          <w:szCs w:val="15"/>
        </w:rPr>
      </w:pPr>
    </w:p>
    <w:p>
      <w:pPr>
        <w:pStyle w:val="BodyText"/>
        <w:tabs>
          <w:tab w:pos="1391" w:val="left" w:leader="none"/>
          <w:tab w:pos="2454" w:val="left" w:leader="none"/>
          <w:tab w:pos="3518" w:val="left" w:leader="none"/>
        </w:tabs>
        <w:spacing w:line="240" w:lineRule="auto"/>
        <w:ind w:left="326" w:right="-20"/>
        <w:jc w:val="left"/>
      </w:pPr>
      <w:r>
        <w:rPr/>
        <w:t>补助项目</w:t>
        <w:tab/>
        <w:t>发放主体</w:t>
        <w:tab/>
        <w:t>发放原因</w:t>
        <w:tab/>
        <w:t>性质类型</w:t>
      </w:r>
    </w:p>
    <w:p>
      <w:pPr>
        <w:pStyle w:val="BodyText"/>
        <w:spacing w:line="316" w:lineRule="auto" w:before="44"/>
        <w:ind w:left="211" w:right="-19"/>
        <w:jc w:val="left"/>
      </w:pPr>
      <w:r>
        <w:rPr/>
        <w:br w:type="column"/>
      </w:r>
      <w:r>
        <w:rPr/>
        <w:t>补贴是否影 响当年盈亏</w:t>
      </w:r>
    </w:p>
    <w:p>
      <w:pPr>
        <w:pStyle w:val="BodyText"/>
        <w:spacing w:line="316" w:lineRule="auto" w:before="44"/>
        <w:ind w:left="483" w:right="-20" w:hanging="360"/>
        <w:jc w:val="left"/>
      </w:pPr>
      <w:r>
        <w:rPr/>
        <w:br w:type="column"/>
      </w:r>
      <w:r>
        <w:rPr/>
        <w:t>是否特殊补 贴</w:t>
      </w:r>
    </w:p>
    <w:p>
      <w:pPr>
        <w:pStyle w:val="BodyText"/>
        <w:spacing w:line="316" w:lineRule="auto" w:before="44"/>
        <w:ind w:left="480" w:right="-20" w:hanging="360"/>
        <w:jc w:val="left"/>
      </w:pPr>
      <w:r>
        <w:rPr/>
        <w:br w:type="column"/>
      </w:r>
      <w:r>
        <w:rPr/>
        <w:t>本期发生金 额</w:t>
      </w:r>
    </w:p>
    <w:p>
      <w:pPr>
        <w:pStyle w:val="BodyText"/>
        <w:spacing w:line="316" w:lineRule="auto" w:before="44"/>
        <w:ind w:left="483" w:right="-20" w:hanging="360"/>
        <w:jc w:val="left"/>
      </w:pPr>
      <w:r>
        <w:rPr/>
        <w:br w:type="column"/>
      </w:r>
      <w:r>
        <w:rPr/>
        <w:t>上期发生金 额</w:t>
      </w:r>
    </w:p>
    <w:p>
      <w:pPr>
        <w:pStyle w:val="BodyText"/>
        <w:spacing w:line="300" w:lineRule="auto" w:before="44"/>
        <w:ind w:left="123" w:right="259" w:hanging="24"/>
        <w:jc w:val="left"/>
      </w:pPr>
      <w:r>
        <w:rPr/>
        <w:br w:type="column"/>
      </w:r>
      <w:r>
        <w:rPr/>
        <w:t>与资产相关</w:t>
      </w:r>
      <w:r>
        <w:rPr>
          <w:rFonts w:ascii="Times New Roman" w:hAnsi="Times New Roman" w:cs="Times New Roman" w:eastAsia="Times New Roman" w:hint="default"/>
        </w:rPr>
        <w:t>/ </w:t>
      </w:r>
      <w:r>
        <w:rPr/>
        <w:t>与收益相关</w:t>
      </w:r>
    </w:p>
    <w:p>
      <w:pPr>
        <w:spacing w:after="0" w:line="300" w:lineRule="auto"/>
        <w:jc w:val="left"/>
        <w:sectPr>
          <w:type w:val="continuous"/>
          <w:pgSz w:w="11910" w:h="16840"/>
          <w:pgMar w:top="1060" w:bottom="1160" w:left="980" w:right="980"/>
          <w:cols w:num="6" w:equalWidth="0">
            <w:col w:w="4239" w:space="40"/>
            <w:col w:w="1113" w:space="40"/>
            <w:col w:w="1024" w:space="40"/>
            <w:col w:w="1021" w:space="40"/>
            <w:col w:w="1024" w:space="40"/>
            <w:col w:w="1329"/>
          </w:cols>
        </w:sectPr>
      </w:pPr>
    </w:p>
    <w:p>
      <w:pPr>
        <w:spacing w:line="240" w:lineRule="auto" w:before="4"/>
        <w:rPr>
          <w:rFonts w:ascii="宋体" w:hAnsi="宋体" w:cs="宋体" w:eastAsia="宋体" w:hint="default"/>
          <w:sz w:val="20"/>
          <w:szCs w:val="20"/>
        </w:rPr>
      </w:pPr>
    </w:p>
    <w:p>
      <w:pPr>
        <w:pStyle w:val="BodyText"/>
        <w:spacing w:line="307" w:lineRule="auto"/>
        <w:ind w:left="181" w:right="-19"/>
        <w:jc w:val="left"/>
      </w:pPr>
      <w:r>
        <w:rPr>
          <w:rFonts w:ascii="Times New Roman" w:hAnsi="Times New Roman" w:cs="Times New Roman" w:eastAsia="Times New Roman" w:hint="default"/>
        </w:rPr>
        <w:t>1</w:t>
      </w:r>
      <w:r>
        <w:rPr/>
        <w:t>、深圳市外 贸稳增长奖 励资金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6"/>
          <w:szCs w:val="26"/>
        </w:rPr>
      </w:pPr>
    </w:p>
    <w:p>
      <w:pPr>
        <w:pStyle w:val="BodyText"/>
        <w:tabs>
          <w:tab w:pos="1097" w:val="left" w:leader="none"/>
        </w:tabs>
        <w:spacing w:line="240" w:lineRule="auto"/>
        <w:ind w:left="34" w:right="-19"/>
        <w:jc w:val="left"/>
      </w:pPr>
      <w:r>
        <w:rPr/>
        <w:t>卓翼科技</w:t>
        <w:tab/>
        <w:t>奖励</w:t>
      </w:r>
    </w:p>
    <w:p>
      <w:pPr>
        <w:pStyle w:val="BodyText"/>
        <w:spacing w:line="310" w:lineRule="atLeast" w:before="35"/>
        <w:ind w:left="181" w:right="5472"/>
        <w:jc w:val="left"/>
      </w:pPr>
      <w:r>
        <w:rPr/>
        <w:br w:type="column"/>
      </w:r>
      <w:r>
        <w:rPr/>
        <w:t>因研究开发、 技术更新及</w:t>
      </w:r>
    </w:p>
    <w:p>
      <w:pPr>
        <w:pStyle w:val="BodyText"/>
        <w:tabs>
          <w:tab w:pos="2307" w:val="left" w:leader="none"/>
          <w:tab w:pos="3431" w:val="left" w:leader="none"/>
          <w:tab w:pos="5496" w:val="left" w:leader="none"/>
        </w:tabs>
        <w:spacing w:line="124" w:lineRule="exact"/>
        <w:ind w:left="1244" w:right="0"/>
        <w:jc w:val="left"/>
      </w:pPr>
      <w:r>
        <w:rPr/>
        <w:t>是</w:t>
        <w:tab/>
        <w:t>否</w:t>
        <w:tab/>
      </w:r>
      <w:r>
        <w:rPr>
          <w:rFonts w:ascii="Times New Roman" w:hAnsi="Times New Roman" w:cs="Times New Roman" w:eastAsia="Times New Roman" w:hint="default"/>
          <w:spacing w:val="-1"/>
        </w:rPr>
        <w:t>7,000,000.00</w:t>
        <w:tab/>
      </w:r>
      <w:r>
        <w:rPr/>
        <w:t>与收益相关</w:t>
      </w:r>
    </w:p>
    <w:p>
      <w:pPr>
        <w:pStyle w:val="BodyText"/>
        <w:spacing w:line="188"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173" w:space="40"/>
            <w:col w:w="1458" w:space="522"/>
            <w:col w:w="6757"/>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spacing w:line="240" w:lineRule="auto" w:before="4"/>
        <w:rPr>
          <w:rFonts w:ascii="宋体" w:hAnsi="宋体" w:cs="宋体" w:eastAsia="宋体" w:hint="default"/>
          <w:sz w:val="15"/>
          <w:szCs w:val="15"/>
        </w:rPr>
      </w:pPr>
    </w:p>
    <w:p>
      <w:pPr>
        <w:pStyle w:val="BodyText"/>
        <w:spacing w:line="307" w:lineRule="auto"/>
        <w:ind w:left="181" w:right="-19"/>
        <w:jc w:val="left"/>
      </w:pPr>
      <w:r>
        <w:rPr>
          <w:rFonts w:ascii="Times New Roman" w:hAnsi="Times New Roman" w:cs="Times New Roman" w:eastAsia="Times New Roman" w:hint="default"/>
        </w:rPr>
        <w:t>2</w:t>
      </w:r>
      <w:r>
        <w:rPr/>
        <w:t>、深圳市南 山区</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 经济发展专 项资金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BodyText"/>
        <w:tabs>
          <w:tab w:pos="1095" w:val="left" w:leader="none"/>
        </w:tabs>
        <w:spacing w:line="240" w:lineRule="auto"/>
        <w:ind w:left="31" w:right="-20"/>
        <w:jc w:val="left"/>
      </w:pPr>
      <w:r>
        <w:rPr/>
        <w:t>卓翼科技</w:t>
        <w:tab/>
        <w:t>奖励</w:t>
      </w:r>
    </w:p>
    <w:p>
      <w:pPr>
        <w:pStyle w:val="BodyText"/>
        <w:spacing w:line="319" w:lineRule="auto" w:before="44"/>
        <w:ind w:left="181"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BodyText"/>
        <w:tabs>
          <w:tab w:pos="1186" w:val="left" w:leader="none"/>
          <w:tab w:pos="2444" w:val="left" w:leader="none"/>
          <w:tab w:pos="4374" w:val="left" w:leader="none"/>
        </w:tabs>
        <w:spacing w:line="240" w:lineRule="auto"/>
        <w:ind w:left="123" w:right="0"/>
        <w:jc w:val="left"/>
      </w:pPr>
      <w:r>
        <w:rPr/>
        <w:t>是</w:t>
        <w:tab/>
        <w:t>否</w:t>
        <w:tab/>
      </w:r>
      <w:r>
        <w:rPr>
          <w:rFonts w:ascii="Times New Roman" w:hAnsi="Times New Roman" w:cs="Times New Roman" w:eastAsia="Times New Roman" w:hint="default"/>
          <w:spacing w:val="-1"/>
        </w:rPr>
        <w:t>500,000.00</w:t>
        <w:tab/>
      </w:r>
      <w:r>
        <w:rPr/>
        <w:t>与收益相关</w:t>
      </w:r>
    </w:p>
    <w:p>
      <w:pPr>
        <w:spacing w:after="0" w:line="240" w:lineRule="auto"/>
        <w:jc w:val="left"/>
        <w:sectPr>
          <w:type w:val="continuous"/>
          <w:pgSz w:w="11910" w:h="16840"/>
          <w:pgMar w:top="1060" w:bottom="1160" w:left="980" w:right="980"/>
          <w:cols w:num="4" w:equalWidth="0">
            <w:col w:w="1176" w:space="40"/>
            <w:col w:w="1456" w:space="522"/>
            <w:col w:w="1082" w:space="40"/>
            <w:col w:w="5634"/>
          </w:cols>
        </w:sectPr>
      </w:pPr>
    </w:p>
    <w:p>
      <w:pPr>
        <w:spacing w:line="240" w:lineRule="auto" w:before="3"/>
        <w:rPr>
          <w:rFonts w:ascii="宋体" w:hAnsi="宋体" w:cs="宋体" w:eastAsia="宋体" w:hint="default"/>
          <w:sz w:val="20"/>
          <w:szCs w:val="20"/>
        </w:rPr>
      </w:pPr>
    </w:p>
    <w:p>
      <w:pPr>
        <w:pStyle w:val="BodyText"/>
        <w:spacing w:line="312" w:lineRule="auto"/>
        <w:ind w:left="181" w:right="-19"/>
        <w:jc w:val="left"/>
      </w:pPr>
      <w:r>
        <w:rPr>
          <w:rFonts w:ascii="Times New Roman" w:hAnsi="Times New Roman" w:cs="Times New Roman" w:eastAsia="Times New Roman" w:hint="default"/>
        </w:rPr>
        <w:t>3</w:t>
      </w:r>
      <w:r>
        <w:rPr/>
        <w:t>、深圳市南 山区企业财 政贡献奖励 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BodyText"/>
        <w:tabs>
          <w:tab w:pos="1097" w:val="left" w:leader="none"/>
        </w:tabs>
        <w:spacing w:line="240" w:lineRule="auto"/>
        <w:ind w:left="34" w:right="-19"/>
        <w:jc w:val="left"/>
      </w:pPr>
      <w:r>
        <w:rPr/>
        <w:t>卓翼科技</w:t>
        <w:tab/>
        <w:t>奖励</w:t>
      </w:r>
    </w:p>
    <w:p>
      <w:pPr>
        <w:pStyle w:val="BodyText"/>
        <w:spacing w:line="316" w:lineRule="auto" w:before="108"/>
        <w:ind w:left="181"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BodyText"/>
        <w:tabs>
          <w:tab w:pos="1186" w:val="left" w:leader="none"/>
          <w:tab w:pos="2444" w:val="left" w:leader="none"/>
          <w:tab w:pos="4374" w:val="left" w:leader="none"/>
        </w:tabs>
        <w:spacing w:line="240" w:lineRule="auto"/>
        <w:ind w:left="123" w:right="0"/>
        <w:jc w:val="left"/>
      </w:pPr>
      <w:r>
        <w:rPr/>
        <w:t>是</w:t>
        <w:tab/>
        <w:t>否</w:t>
        <w:tab/>
      </w:r>
      <w:r>
        <w:rPr>
          <w:rFonts w:ascii="Times New Roman" w:hAnsi="Times New Roman" w:cs="Times New Roman" w:eastAsia="Times New Roman" w:hint="default"/>
          <w:spacing w:val="-1"/>
        </w:rPr>
        <w:t>887,500.00</w:t>
        <w:tab/>
      </w:r>
      <w:r>
        <w:rPr/>
        <w:t>与收益相关</w:t>
      </w:r>
    </w:p>
    <w:p>
      <w:pPr>
        <w:spacing w:after="0" w:line="240" w:lineRule="auto"/>
        <w:jc w:val="left"/>
        <w:sectPr>
          <w:type w:val="continuous"/>
          <w:pgSz w:w="11910" w:h="16840"/>
          <w:pgMar w:top="1060" w:bottom="1160" w:left="980" w:right="980"/>
          <w:cols w:num="4" w:equalWidth="0">
            <w:col w:w="1173" w:space="40"/>
            <w:col w:w="1458" w:space="522"/>
            <w:col w:w="1082" w:space="40"/>
            <w:col w:w="5635"/>
          </w:cols>
        </w:sectPr>
      </w:pPr>
    </w:p>
    <w:p>
      <w:pPr>
        <w:spacing w:line="240" w:lineRule="auto" w:before="4"/>
        <w:rPr>
          <w:rFonts w:ascii="宋体" w:hAnsi="宋体" w:cs="宋体" w:eastAsia="宋体" w:hint="default"/>
          <w:sz w:val="20"/>
          <w:szCs w:val="20"/>
        </w:rPr>
      </w:pPr>
    </w:p>
    <w:p>
      <w:pPr>
        <w:pStyle w:val="BodyText"/>
        <w:spacing w:line="309" w:lineRule="auto"/>
        <w:ind w:left="181" w:right="-19"/>
        <w:jc w:val="left"/>
      </w:pPr>
      <w:r>
        <w:rPr>
          <w:rFonts w:ascii="Times New Roman" w:hAnsi="Times New Roman" w:cs="Times New Roman" w:eastAsia="Times New Roman" w:hint="default"/>
        </w:rPr>
        <w:t>4</w:t>
      </w:r>
      <w:r>
        <w:rPr/>
        <w:t>、研发中心 建设资助资 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6"/>
          <w:szCs w:val="26"/>
        </w:rPr>
      </w:pPr>
    </w:p>
    <w:p>
      <w:pPr>
        <w:pStyle w:val="BodyText"/>
        <w:tabs>
          <w:tab w:pos="1097" w:val="left" w:leader="none"/>
        </w:tabs>
        <w:spacing w:line="240" w:lineRule="auto"/>
        <w:ind w:left="34" w:right="-19"/>
        <w:jc w:val="left"/>
      </w:pPr>
      <w:r>
        <w:rPr/>
        <w:t>卓翼科技</w:t>
        <w:tab/>
        <w:t>补助</w:t>
      </w:r>
    </w:p>
    <w:p>
      <w:pPr>
        <w:pStyle w:val="BodyText"/>
        <w:spacing w:line="310" w:lineRule="atLeast" w:before="35"/>
        <w:ind w:left="181" w:right="5472"/>
        <w:jc w:val="left"/>
      </w:pPr>
      <w:r>
        <w:rPr/>
        <w:br w:type="column"/>
      </w:r>
      <w:r>
        <w:rPr/>
        <w:t>因研究开发、 技术更新及</w:t>
      </w:r>
    </w:p>
    <w:p>
      <w:pPr>
        <w:pStyle w:val="BodyText"/>
        <w:tabs>
          <w:tab w:pos="2307" w:val="left" w:leader="none"/>
          <w:tab w:pos="4629" w:val="left" w:leader="none"/>
        </w:tabs>
        <w:spacing w:line="123" w:lineRule="exact"/>
        <w:ind w:left="1244" w:right="0"/>
        <w:jc w:val="left"/>
      </w:pPr>
      <w:r>
        <w:rPr/>
        <w:t>是</w:t>
        <w:tab/>
        <w:t>否</w:t>
        <w:tab/>
      </w:r>
      <w:r>
        <w:rPr>
          <w:rFonts w:ascii="Times New Roman" w:hAnsi="Times New Roman" w:cs="Times New Roman" w:eastAsia="Times New Roman" w:hint="default"/>
        </w:rPr>
        <w:t>600,000.00</w:t>
      </w:r>
      <w:r>
        <w:rPr>
          <w:rFonts w:ascii="Times New Roman" w:hAnsi="Times New Roman" w:cs="Times New Roman" w:eastAsia="Times New Roman" w:hint="default"/>
          <w:spacing w:val="9"/>
        </w:rPr>
        <w:t> </w:t>
      </w:r>
      <w:r>
        <w:rPr/>
        <w:t>与资产相关</w:t>
      </w:r>
    </w:p>
    <w:p>
      <w:pPr>
        <w:pStyle w:val="BodyText"/>
        <w:spacing w:line="189"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60" w:left="980" w:right="980"/>
          <w:cols w:num="3" w:equalWidth="0">
            <w:col w:w="1173" w:space="40"/>
            <w:col w:w="1458" w:space="522"/>
            <w:col w:w="6757"/>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spacing w:line="240" w:lineRule="auto" w:before="4"/>
        <w:rPr>
          <w:rFonts w:ascii="宋体" w:hAnsi="宋体" w:cs="宋体" w:eastAsia="宋体" w:hint="default"/>
          <w:sz w:val="15"/>
          <w:szCs w:val="15"/>
        </w:rPr>
      </w:pPr>
    </w:p>
    <w:p>
      <w:pPr>
        <w:pStyle w:val="BodyText"/>
        <w:spacing w:line="307" w:lineRule="auto"/>
        <w:ind w:left="181" w:right="-19"/>
        <w:jc w:val="left"/>
      </w:pPr>
      <w:r>
        <w:rPr>
          <w:rFonts w:ascii="Times New Roman" w:hAnsi="Times New Roman" w:cs="Times New Roman" w:eastAsia="Times New Roman" w:hint="default"/>
        </w:rPr>
        <w:t>5</w:t>
      </w:r>
      <w:r>
        <w:rPr/>
        <w:t>、深圳市产 业技术进步 资金资助款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tabs>
          <w:tab w:pos="1097" w:val="left" w:leader="none"/>
        </w:tabs>
        <w:spacing w:line="240" w:lineRule="auto"/>
        <w:ind w:left="34" w:right="-19"/>
        <w:jc w:val="left"/>
      </w:pPr>
      <w:r>
        <w:rPr/>
        <w:t>卓翼科技</w:t>
        <w:tab/>
        <w:t>补助</w:t>
      </w:r>
    </w:p>
    <w:p>
      <w:pPr>
        <w:pStyle w:val="BodyText"/>
        <w:spacing w:line="310" w:lineRule="exact" w:before="6"/>
        <w:ind w:left="181" w:right="5472"/>
        <w:jc w:val="left"/>
      </w:pPr>
      <w:r>
        <w:rPr/>
        <w:br w:type="column"/>
      </w:r>
      <w:r>
        <w:rPr/>
        <w:t>因研究开发、 技术更新及</w:t>
      </w:r>
    </w:p>
    <w:p>
      <w:pPr>
        <w:pStyle w:val="BodyText"/>
        <w:tabs>
          <w:tab w:pos="2307" w:val="left" w:leader="none"/>
          <w:tab w:pos="3565" w:val="left" w:leader="none"/>
          <w:tab w:pos="4629" w:val="left" w:leader="none"/>
        </w:tabs>
        <w:spacing w:line="88" w:lineRule="exact"/>
        <w:ind w:left="1244" w:right="0"/>
        <w:jc w:val="left"/>
      </w:pPr>
      <w:r>
        <w:rPr/>
        <w:t>是</w:t>
        <w:tab/>
        <w:t>否</w:t>
        <w:tab/>
      </w:r>
      <w:r>
        <w:rPr>
          <w:rFonts w:ascii="Times New Roman" w:hAnsi="Times New Roman" w:cs="Times New Roman" w:eastAsia="Times New Roman" w:hint="default"/>
          <w:spacing w:val="-1"/>
        </w:rPr>
        <w:t>182,000.00</w:t>
        <w:tab/>
        <w:t>166,833.34</w:t>
      </w:r>
      <w:r>
        <w:rPr>
          <w:rFonts w:ascii="Times New Roman" w:hAnsi="Times New Roman" w:cs="Times New Roman" w:eastAsia="Times New Roman" w:hint="default"/>
          <w:spacing w:val="19"/>
        </w:rPr>
        <w:t> </w:t>
      </w:r>
      <w:r>
        <w:rPr/>
        <w:t>与收益相关</w:t>
      </w:r>
    </w:p>
    <w:p>
      <w:pPr>
        <w:pStyle w:val="BodyText"/>
        <w:spacing w:line="188"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173" w:space="40"/>
            <w:col w:w="1458" w:space="522"/>
            <w:col w:w="6757"/>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spacing w:line="240" w:lineRule="auto" w:before="4"/>
        <w:rPr>
          <w:rFonts w:ascii="宋体" w:hAnsi="宋体" w:cs="宋体" w:eastAsia="宋体" w:hint="default"/>
          <w:sz w:val="15"/>
          <w:szCs w:val="15"/>
        </w:rPr>
      </w:pPr>
    </w:p>
    <w:p>
      <w:pPr>
        <w:pStyle w:val="BodyText"/>
        <w:spacing w:line="309" w:lineRule="auto"/>
        <w:ind w:left="181" w:right="-19"/>
        <w:jc w:val="left"/>
      </w:pPr>
      <w:r>
        <w:rPr>
          <w:rFonts w:ascii="Times New Roman" w:hAnsi="Times New Roman" w:cs="Times New Roman" w:eastAsia="Times New Roman" w:hint="default"/>
        </w:rPr>
        <w:t>6</w:t>
      </w:r>
      <w:r>
        <w:rPr/>
        <w:t>、战略新兴 产业发展资 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tabs>
          <w:tab w:pos="1097" w:val="left" w:leader="none"/>
        </w:tabs>
        <w:spacing w:line="240" w:lineRule="auto"/>
        <w:ind w:left="34" w:right="-19"/>
        <w:jc w:val="left"/>
      </w:pPr>
      <w:r>
        <w:rPr/>
        <w:t>天津卓达</w:t>
        <w:tab/>
        <w:t>补助</w:t>
      </w:r>
    </w:p>
    <w:p>
      <w:pPr>
        <w:pStyle w:val="BodyText"/>
        <w:spacing w:line="312" w:lineRule="exact" w:before="5"/>
        <w:ind w:left="181" w:right="5472"/>
        <w:jc w:val="left"/>
      </w:pPr>
      <w:r>
        <w:rPr/>
        <w:br w:type="column"/>
      </w:r>
      <w:r>
        <w:rPr/>
        <w:t>因研究开发、 技术更新及</w:t>
      </w:r>
    </w:p>
    <w:p>
      <w:pPr>
        <w:pStyle w:val="BodyText"/>
        <w:tabs>
          <w:tab w:pos="2307" w:val="left" w:leader="none"/>
          <w:tab w:pos="3565" w:val="left" w:leader="none"/>
          <w:tab w:pos="4629" w:val="left" w:leader="none"/>
        </w:tabs>
        <w:spacing w:line="86" w:lineRule="exact"/>
        <w:ind w:left="1244" w:right="0"/>
        <w:jc w:val="left"/>
      </w:pPr>
      <w:r>
        <w:rPr/>
        <w:t>是</w:t>
        <w:tab/>
        <w:t>否</w:t>
        <w:tab/>
      </w:r>
      <w:r>
        <w:rPr>
          <w:rFonts w:ascii="Times New Roman" w:hAnsi="Times New Roman" w:cs="Times New Roman" w:eastAsia="Times New Roman" w:hint="default"/>
          <w:spacing w:val="-1"/>
        </w:rPr>
        <w:t>740,000.00</w:t>
        <w:tab/>
        <w:t>740,000.00</w:t>
      </w:r>
      <w:r>
        <w:rPr>
          <w:rFonts w:ascii="Times New Roman" w:hAnsi="Times New Roman" w:cs="Times New Roman" w:eastAsia="Times New Roman" w:hint="default"/>
          <w:spacing w:val="19"/>
        </w:rPr>
        <w:t> </w:t>
      </w:r>
      <w:r>
        <w:rPr/>
        <w:t>与资产相关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173" w:space="40"/>
            <w:col w:w="1458" w:space="522"/>
            <w:col w:w="6757"/>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97" w:lineRule="auto"/>
        <w:ind w:left="181" w:right="-19"/>
        <w:jc w:val="left"/>
      </w:pPr>
      <w:r>
        <w:rPr>
          <w:rFonts w:ascii="Times New Roman" w:hAnsi="Times New Roman" w:cs="Times New Roman" w:eastAsia="Times New Roman" w:hint="default"/>
        </w:rPr>
        <w:t>7</w:t>
      </w:r>
      <w:r>
        <w:rPr/>
        <w:t>、软土地基 补贴专用款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BodyText"/>
        <w:tabs>
          <w:tab w:pos="1097" w:val="left" w:leader="none"/>
        </w:tabs>
        <w:spacing w:line="240" w:lineRule="auto"/>
        <w:ind w:left="34" w:right="-19"/>
        <w:jc w:val="left"/>
      </w:pPr>
      <w:r>
        <w:rPr/>
        <w:t>天津卓达</w:t>
        <w:tab/>
        <w:t>补助</w:t>
      </w:r>
    </w:p>
    <w:p>
      <w:pPr>
        <w:pStyle w:val="BodyText"/>
        <w:spacing w:line="316" w:lineRule="auto" w:before="44"/>
        <w:ind w:left="181" w:right="0"/>
        <w:jc w:val="both"/>
      </w:pPr>
      <w:r>
        <w:rPr/>
        <w:br w:type="column"/>
      </w:r>
      <w:r>
        <w:rPr/>
        <w:t>因承担国家 为保障某种 公用事业或 社会必要产 品供应或价 格控制职能 而获得的补 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BodyText"/>
        <w:tabs>
          <w:tab w:pos="1186" w:val="left" w:leader="none"/>
          <w:tab w:pos="2444" w:val="left" w:leader="none"/>
          <w:tab w:pos="3507" w:val="left" w:leader="none"/>
        </w:tabs>
        <w:spacing w:line="240" w:lineRule="auto"/>
        <w:ind w:left="123" w:right="0"/>
        <w:jc w:val="left"/>
      </w:pPr>
      <w:r>
        <w:rPr/>
        <w:t>是</w:t>
        <w:tab/>
        <w:t>否</w:t>
        <w:tab/>
      </w:r>
      <w:r>
        <w:rPr>
          <w:rFonts w:ascii="Times New Roman" w:hAnsi="Times New Roman" w:cs="Times New Roman" w:eastAsia="Times New Roman" w:hint="default"/>
          <w:spacing w:val="-1"/>
        </w:rPr>
        <w:t>209,167.44</w:t>
        <w:tab/>
        <w:t>209,167.44</w:t>
      </w:r>
      <w:r>
        <w:rPr>
          <w:rFonts w:ascii="Times New Roman" w:hAnsi="Times New Roman" w:cs="Times New Roman" w:eastAsia="Times New Roman" w:hint="default"/>
          <w:spacing w:val="19"/>
        </w:rPr>
        <w:t> </w:t>
      </w:r>
      <w:r>
        <w:rPr/>
        <w:t>与资产相关</w:t>
      </w:r>
    </w:p>
    <w:p>
      <w:pPr>
        <w:spacing w:after="0" w:line="240" w:lineRule="auto"/>
        <w:jc w:val="left"/>
        <w:sectPr>
          <w:type w:val="continuous"/>
          <w:pgSz w:w="11910" w:h="16840"/>
          <w:pgMar w:top="1060" w:bottom="1160" w:left="980" w:right="980"/>
          <w:cols w:num="4" w:equalWidth="0">
            <w:col w:w="1173" w:space="40"/>
            <w:col w:w="1458" w:space="522"/>
            <w:col w:w="1082" w:space="40"/>
            <w:col w:w="5635"/>
          </w:cols>
        </w:sectPr>
      </w:pPr>
    </w:p>
    <w:p>
      <w:pPr>
        <w:pStyle w:val="BodyText"/>
        <w:tabs>
          <w:tab w:pos="2310" w:val="left" w:leader="none"/>
          <w:tab w:pos="3374" w:val="left" w:leader="none"/>
          <w:tab w:pos="5500" w:val="left" w:leader="none"/>
          <w:tab w:pos="6758" w:val="left" w:leader="none"/>
          <w:tab w:pos="7822" w:val="left" w:leader="none"/>
        </w:tabs>
        <w:spacing w:line="240" w:lineRule="auto" w:before="110"/>
        <w:ind w:left="181" w:right="153"/>
        <w:jc w:val="left"/>
      </w:pPr>
      <w:r>
        <w:rPr>
          <w:rFonts w:ascii="Times New Roman" w:hAnsi="Times New Roman" w:cs="Times New Roman" w:eastAsia="Times New Roman" w:hint="default"/>
          <w:position w:val="-1"/>
        </w:rPr>
        <w:t>8</w:t>
      </w:r>
      <w:r>
        <w:rPr>
          <w:position w:val="-1"/>
        </w:rPr>
        <w:t>、国家进口</w:t>
      </w:r>
      <w:r>
        <w:rPr>
          <w:spacing w:val="-15"/>
          <w:position w:val="-1"/>
        </w:rPr>
        <w:t> </w:t>
      </w:r>
      <w:r>
        <w:rPr/>
        <w:t>天津卓达</w:t>
        <w:tab/>
        <w:t>补助</w:t>
        <w:tab/>
      </w:r>
      <w:r>
        <w:rPr>
          <w:position w:val="-1"/>
        </w:rPr>
        <w:t>因从事国家</w:t>
      </w:r>
      <w:r>
        <w:rPr>
          <w:spacing w:val="73"/>
          <w:position w:val="-1"/>
        </w:rPr>
        <w:t> </w:t>
      </w:r>
      <w:r>
        <w:rPr/>
        <w:t>是</w:t>
        <w:tab/>
        <w:t>否</w:t>
        <w:tab/>
      </w:r>
      <w:r>
        <w:rPr>
          <w:rFonts w:ascii="Times New Roman" w:hAnsi="Times New Roman" w:cs="Times New Roman" w:eastAsia="Times New Roman" w:hint="default"/>
          <w:spacing w:val="-1"/>
        </w:rPr>
        <w:t>654,463.00</w:t>
        <w:tab/>
        <w:t>654,463.00</w:t>
      </w:r>
      <w:r>
        <w:rPr>
          <w:rFonts w:ascii="Times New Roman" w:hAnsi="Times New Roman" w:cs="Times New Roman" w:eastAsia="Times New Roman" w:hint="default"/>
          <w:spacing w:val="19"/>
        </w:rPr>
        <w:t> </w:t>
      </w:r>
      <w:r>
        <w:rPr/>
        <w:t>与资产相关</w:t>
      </w:r>
    </w:p>
    <w:p>
      <w:pPr>
        <w:spacing w:after="0" w:line="240" w:lineRule="auto"/>
        <w:jc w:val="left"/>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69.690002pt;margin-top:592.269958pt;width:52.7pt;height:23.4pt;mso-position-horizontal-relative:page;mso-position-vertical-relative:page;z-index:-1099144" coordorigin="5394,11845" coordsize="1054,468">
            <v:shape style="position:absolute;left:5394;top:11845;width:1054;height:468" coordorigin="5394,11845" coordsize="1054,468" path="m5394,12313l6447,12313,6447,11845,5394,11845,5394,1231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4"/>
        <w:gridCol w:w="1063"/>
        <w:gridCol w:w="1064"/>
        <w:gridCol w:w="1063"/>
      </w:tblGrid>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设备资助款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4"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、国家进口 贴息资助款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929,970.05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359,086.74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4"/>
              <w:ind w:left="24" w:right="19"/>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10</w:t>
            </w:r>
            <w:r>
              <w:rPr>
                <w:rFonts w:ascii="宋体" w:hAnsi="宋体" w:cs="宋体" w:eastAsia="宋体" w:hint="default"/>
                <w:spacing w:val="-10"/>
                <w:sz w:val="18"/>
                <w:szCs w:val="18"/>
              </w:rPr>
              <w:t>、深圳市出</w:t>
            </w:r>
            <w:r>
              <w:rPr>
                <w:rFonts w:ascii="宋体" w:hAnsi="宋体" w:cs="宋体" w:eastAsia="宋体" w:hint="default"/>
                <w:sz w:val="18"/>
                <w:szCs w:val="18"/>
              </w:rPr>
              <w:t> 口信用保险 保费资助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1,711,462.00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106,780.00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11</w:t>
            </w:r>
            <w:r>
              <w:rPr>
                <w:rFonts w:ascii="宋体" w:hAnsi="宋体" w:cs="宋体" w:eastAsia="宋体" w:hint="default"/>
                <w:spacing w:val="-10"/>
                <w:sz w:val="18"/>
                <w:szCs w:val="18"/>
              </w:rPr>
              <w:t>、出口信保</w:t>
            </w:r>
            <w:r>
              <w:rPr>
                <w:rFonts w:ascii="宋体" w:hAnsi="宋体" w:cs="宋体" w:eastAsia="宋体" w:hint="default"/>
                <w:sz w:val="18"/>
                <w:szCs w:val="18"/>
              </w:rPr>
              <w:t> 补贴资助款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12</w:t>
            </w:r>
            <w:r>
              <w:rPr>
                <w:rFonts w:ascii="宋体" w:hAnsi="宋体" w:cs="宋体" w:eastAsia="宋体" w:hint="default"/>
                <w:spacing w:val="-10"/>
                <w:sz w:val="18"/>
                <w:szCs w:val="18"/>
              </w:rPr>
              <w:t>、增值税即</w:t>
            </w:r>
            <w:r>
              <w:rPr>
                <w:rFonts w:ascii="宋体" w:hAnsi="宋体" w:cs="宋体" w:eastAsia="宋体" w:hint="default"/>
                <w:sz w:val="18"/>
                <w:szCs w:val="18"/>
              </w:rPr>
              <w:t> 征即退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中广视讯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324,759.79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393,973.90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13</w:t>
            </w:r>
            <w:r>
              <w:rPr>
                <w:rFonts w:ascii="宋体" w:hAnsi="宋体" w:cs="宋体" w:eastAsia="宋体" w:hint="default"/>
                <w:spacing w:val="-10"/>
                <w:sz w:val="18"/>
                <w:szCs w:val="18"/>
              </w:rPr>
              <w:t>、国家重点</w:t>
            </w:r>
            <w:r>
              <w:rPr>
                <w:rFonts w:ascii="宋体" w:hAnsi="宋体" w:cs="宋体" w:eastAsia="宋体" w:hint="default"/>
                <w:sz w:val="18"/>
                <w:szCs w:val="18"/>
              </w:rPr>
              <w:t> 技术改造项 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天津卓达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12,500.00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为避免上市 公司亏损而 给予的政府 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333,259.00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107,912.77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13,485,081.2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3,585,417.19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93"/>
        <w:jc w:val="left"/>
      </w:pPr>
      <w:r>
        <w:rPr/>
        <w:t>其他说明：</w:t>
      </w:r>
    </w:p>
    <w:p>
      <w:pPr>
        <w:spacing w:line="240" w:lineRule="auto" w:before="3"/>
        <w:rPr>
          <w:rFonts w:ascii="宋体" w:hAnsi="宋体" w:cs="宋体" w:eastAsia="宋体" w:hint="default"/>
          <w:sz w:val="15"/>
          <w:szCs w:val="15"/>
        </w:rPr>
      </w:pPr>
    </w:p>
    <w:p>
      <w:pPr>
        <w:pStyle w:val="BodyText"/>
        <w:spacing w:line="240" w:lineRule="auto"/>
        <w:ind w:left="0" w:right="140"/>
        <w:jc w:val="right"/>
      </w:pPr>
      <w:r>
        <w:rPr>
          <w:spacing w:val="-1"/>
        </w:rPr>
        <w:t>营业外收入本期发生额较上期增加</w:t>
      </w:r>
      <w:r>
        <w:rPr>
          <w:rFonts w:ascii="Times New Roman" w:hAnsi="Times New Roman" w:cs="Times New Roman" w:eastAsia="Times New Roman" w:hint="default"/>
          <w:spacing w:val="-1"/>
        </w:rPr>
        <w:t>9,787,749.70</w:t>
      </w:r>
      <w:r>
        <w:rPr>
          <w:spacing w:val="-1"/>
        </w:rPr>
        <w:t>元，增加比例为</w:t>
      </w:r>
      <w:r>
        <w:rPr>
          <w:rFonts w:ascii="Times New Roman" w:hAnsi="Times New Roman" w:cs="Times New Roman" w:eastAsia="Times New Roman" w:hint="default"/>
          <w:spacing w:val="-1"/>
        </w:rPr>
        <w:t>212.57%</w:t>
      </w:r>
      <w:r>
        <w:rPr>
          <w:spacing w:val="-1"/>
        </w:rPr>
        <w:t>，主要系本年度收到的政府补助收入增加所致。</w:t>
      </w:r>
    </w:p>
    <w:p>
      <w:pPr>
        <w:spacing w:line="240" w:lineRule="auto" w:before="13"/>
        <w:rPr>
          <w:rFonts w:ascii="宋体" w:hAnsi="宋体" w:cs="宋体" w:eastAsia="宋体" w:hint="default"/>
          <w:sz w:val="25"/>
          <w:szCs w:val="25"/>
        </w:rPr>
      </w:pPr>
    </w:p>
    <w:p>
      <w:pPr>
        <w:pStyle w:val="Heading3"/>
        <w:spacing w:line="240" w:lineRule="auto"/>
        <w:ind w:right="93"/>
        <w:jc w:val="left"/>
        <w:rPr>
          <w:b w:val="0"/>
          <w:bCs w:val="0"/>
        </w:rPr>
      </w:pPr>
      <w:r>
        <w:rPr>
          <w:rFonts w:ascii="Times New Roman" w:hAnsi="Times New Roman" w:cs="Times New Roman" w:eastAsia="Times New Roman" w:hint="default"/>
        </w:rPr>
        <w:t>70</w:t>
      </w:r>
      <w:r>
        <w:rPr/>
        <w:t>、营业外支出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743,407.40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63,500.25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743,407.40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743,407.40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63,500.25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743,407.40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56,950.17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270,473.33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56,950.17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赔偿及罚款支出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666,901.41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457,418.66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666,901.41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应收账款核销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3,451,585.57</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3,451,585.57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4,919,844.55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805,192.24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4,919,844.55</w:t>
            </w:r>
          </w:p>
        </w:tc>
      </w:tr>
    </w:tbl>
    <w:p>
      <w:pPr>
        <w:pStyle w:val="BodyText"/>
        <w:spacing w:line="240" w:lineRule="auto" w:before="49"/>
        <w:ind w:right="93"/>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0" w:right="104"/>
        <w:jc w:val="right"/>
      </w:pPr>
      <w:r>
        <w:rPr/>
        <w:t>营业外支出本期发生额较上期增加</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14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1</w:t>
      </w:r>
      <w:r>
        <w:rPr/>
        <w:t>元</w:t>
      </w:r>
      <w:r>
        <w:rPr>
          <w:spacing w:val="-72"/>
        </w:rPr>
        <w:t>，</w:t>
      </w:r>
      <w:r>
        <w:rPr/>
        <w:t>增加比</w:t>
      </w:r>
      <w:r>
        <w:rPr>
          <w:spacing w:val="-3"/>
        </w:rPr>
        <w:t>例</w:t>
      </w:r>
      <w:r>
        <w:rPr>
          <w:spacing w:val="-1"/>
        </w:rPr>
        <w:t>为</w:t>
      </w:r>
      <w:r>
        <w:rPr>
          <w:rFonts w:ascii="Times New Roman" w:hAnsi="Times New Roman" w:cs="Times New Roman" w:eastAsia="Times New Roman" w:hint="default"/>
          <w:spacing w:val="1"/>
        </w:rPr>
        <w:t>51</w:t>
      </w:r>
      <w:r>
        <w:rPr>
          <w:rFonts w:ascii="Times New Roman" w:hAnsi="Times New Roman" w:cs="Times New Roman" w:eastAsia="Times New Roman" w:hint="default"/>
          <w:spacing w:val="-2"/>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1"/>
        </w:rPr>
        <w:t>%</w:t>
      </w:r>
      <w:r>
        <w:rPr>
          <w:spacing w:val="-72"/>
        </w:rPr>
        <w:t>，</w:t>
      </w:r>
      <w:r>
        <w:rPr/>
        <w:t>主要系本年度核销了无法收回的应收账款所致。</w:t>
      </w:r>
    </w:p>
    <w:p>
      <w:pPr>
        <w:spacing w:line="240" w:lineRule="auto" w:before="2"/>
        <w:rPr>
          <w:rFonts w:ascii="宋体" w:hAnsi="宋体" w:cs="宋体" w:eastAsia="宋体" w:hint="default"/>
          <w:sz w:val="26"/>
          <w:szCs w:val="26"/>
        </w:rPr>
      </w:pPr>
    </w:p>
    <w:p>
      <w:pPr>
        <w:pStyle w:val="Heading3"/>
        <w:spacing w:line="240" w:lineRule="auto"/>
        <w:ind w:right="93"/>
        <w:jc w:val="left"/>
        <w:rPr>
          <w:b w:val="0"/>
          <w:bCs w:val="0"/>
        </w:rPr>
      </w:pPr>
      <w:r>
        <w:rPr>
          <w:rFonts w:ascii="Times New Roman" w:hAnsi="Times New Roman" w:cs="Times New Roman" w:eastAsia="Times New Roman" w:hint="default"/>
        </w:rPr>
        <w:t>71</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17,529,305.31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-5,874,061.39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-2,787,808.14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-5,874,061.39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14,741,497.17</w:t>
            </w:r>
          </w:p>
        </w:tc>
      </w:tr>
    </w:tbl>
    <w:p>
      <w:pPr>
        <w:spacing w:line="240" w:lineRule="auto" w:before="3"/>
        <w:rPr>
          <w:rFonts w:ascii="宋体" w:hAnsi="宋体" w:cs="宋体" w:eastAsia="宋体" w:hint="default"/>
          <w:sz w:val="19"/>
          <w:szCs w:val="19"/>
        </w:rPr>
      </w:pPr>
    </w:p>
    <w:p>
      <w:pPr>
        <w:pStyle w:val="Heading3"/>
        <w:spacing w:line="240" w:lineRule="auto" w:before="36"/>
        <w:ind w:right="9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-60,839,299.77</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-15,209,824.94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3,343,039.01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404,317.05</w:t>
            </w:r>
          </w:p>
        </w:tc>
      </w:tr>
      <w:tr>
        <w:trPr>
          <w:trHeight w:val="71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8,106,985.55</w:t>
            </w:r>
          </w:p>
        </w:tc>
      </w:tr>
      <w:tr>
        <w:trPr>
          <w:trHeight w:val="71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本期已确认递延所得税资产的可抵扣暂时性差异或可抵扣亏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母公司企业所得税优惠税率的影响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-2,518,578.05</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-5,874,061.39</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13" w:right="153"/>
        <w:jc w:val="left"/>
      </w:pPr>
      <w:r>
        <w:rPr/>
        <w:t>所得税本期发生额较上期减少</w:t>
      </w:r>
      <w:r>
        <w:rPr>
          <w:rFonts w:ascii="Times New Roman" w:hAnsi="Times New Roman" w:cs="Times New Roman" w:eastAsia="Times New Roman" w:hint="default"/>
        </w:rPr>
        <w:t>20,615,558.56</w:t>
      </w:r>
      <w:r>
        <w:rPr/>
        <w:t>元，减少比例为</w:t>
      </w:r>
      <w:r>
        <w:rPr>
          <w:rFonts w:ascii="Times New Roman" w:hAnsi="Times New Roman" w:cs="Times New Roman" w:eastAsia="Times New Roman" w:hint="default"/>
        </w:rPr>
        <w:t>139.85%</w:t>
      </w:r>
      <w:r>
        <w:rPr/>
        <w:t>，主要系本年度利润总额亏损所致。</w:t>
      </w:r>
    </w:p>
    <w:p>
      <w:pPr>
        <w:spacing w:line="240" w:lineRule="auto" w:before="13"/>
        <w:rPr>
          <w:rFonts w:ascii="宋体" w:hAnsi="宋体" w:cs="宋体" w:eastAsia="宋体" w:hint="default"/>
          <w:sz w:val="25"/>
          <w:szCs w:val="25"/>
        </w:rPr>
      </w:pPr>
    </w:p>
    <w:p>
      <w:pPr>
        <w:spacing w:line="547" w:lineRule="auto" w:before="0"/>
        <w:ind w:left="152" w:right="78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3"/>
        <w:ind w:right="15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106,052,413.99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27,879,402.81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10,756,980.79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461,892.77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1,775,804.29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1,748,053.24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银行保证金净减少额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941,607.96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119,526,807.03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30,089,348.82</w:t>
            </w:r>
          </w:p>
        </w:tc>
      </w:tr>
    </w:tbl>
    <w:p>
      <w:pPr>
        <w:pStyle w:val="BodyText"/>
        <w:spacing w:line="240" w:lineRule="auto" w:before="49"/>
        <w:ind w:right="153"/>
        <w:jc w:val="left"/>
      </w:pPr>
      <w:r>
        <w:rPr/>
        <w:t>收到的其他与经营活动有关的现金说明：无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92,651,869.43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10,829,630.67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93,600,812.39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71,287,491.88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186,252,681.82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82,117,122.55</w:t>
            </w:r>
          </w:p>
        </w:tc>
      </w:tr>
    </w:tbl>
    <w:p>
      <w:pPr>
        <w:pStyle w:val="BodyText"/>
        <w:spacing w:line="240" w:lineRule="auto" w:before="49"/>
        <w:ind w:right="153"/>
        <w:jc w:val="left"/>
      </w:pPr>
      <w:r>
        <w:rPr/>
        <w:t>支付的其他与经营活动有关的现金说明：无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收到与资产相关的政府补助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3,195,118.00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9,222,102.00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进口设备信用证保证金减少额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赎回理财产品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28,190,000.00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3,195,118.00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37,412,102.00</w:t>
            </w:r>
          </w:p>
        </w:tc>
      </w:tr>
    </w:tbl>
    <w:p>
      <w:pPr>
        <w:pStyle w:val="BodyText"/>
        <w:spacing w:line="240" w:lineRule="auto" w:before="49"/>
        <w:ind w:right="153"/>
        <w:jc w:val="left"/>
      </w:pPr>
      <w:r>
        <w:rPr/>
        <w:t>收到的其他与投资活动有关的现金说明：无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151,720,000.00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支付的其他与投资活动有关的现金说明：无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银行贷款保证金利息收入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14,657,613.26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6,272,315.67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银行保证金净减少额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372,634,540.06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387,292,153.32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6,272,315.67</w:t>
            </w:r>
          </w:p>
        </w:tc>
      </w:tr>
    </w:tbl>
    <w:p>
      <w:pPr>
        <w:pStyle w:val="BodyText"/>
        <w:spacing w:line="240" w:lineRule="auto" w:before="49"/>
        <w:ind w:right="153"/>
        <w:jc w:val="left"/>
      </w:pPr>
      <w:r>
        <w:rPr/>
        <w:t>收到的其他与筹资活动有关的现金说明：无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银行保证金净增加额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369,311,621.56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借款融资费用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1,851,574.85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8,068,514.77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回购注销限制性股票款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12,871,512.50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14,723,087.35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377,380,136.33</w:t>
            </w:r>
          </w:p>
        </w:tc>
      </w:tr>
    </w:tbl>
    <w:p>
      <w:pPr>
        <w:pStyle w:val="BodyText"/>
        <w:spacing w:line="240" w:lineRule="auto" w:before="49"/>
        <w:ind w:right="153"/>
        <w:jc w:val="left"/>
      </w:pPr>
      <w:r>
        <w:rPr/>
        <w:t>支付的其他与筹资活动有关的现金说明：无</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r>
        <w:rPr/>
        <w:pict>
          <v:group style="position:absolute;margin-left:223.369995pt;margin-top:423.349976pt;width:151.25pt;height:40.8pt;mso-position-horizontal-relative:page;mso-position-vertical-relative:page;z-index:-1099120" coordorigin="4467,8467" coordsize="3025,816">
            <v:group style="position:absolute;left:4478;top:8478;width:2;height:392" coordorigin="4478,8478" coordsize="2,392">
              <v:shape style="position:absolute;left:4478;top:8478;width:2;height:392" coordorigin="4478,8478" coordsize="0,392" path="m4478,8478l4478,8869e" filled="false" stroked="true" strokeweight="1.08pt" strokecolor="#ffffff">
                <v:path arrowok="t"/>
              </v:shape>
            </v:group>
            <v:group style="position:absolute;left:4489;top:8478;width:3003;height:392" coordorigin="4489,8478" coordsize="3003,392">
              <v:shape style="position:absolute;left:4489;top:8478;width:3003;height:392" coordorigin="4489,8478" coordsize="3003,392" path="m4489,8869l7492,8869,7492,8478,4489,8478,4489,8869xe" filled="true" fillcolor="#ffffff" stroked="false">
                <v:path arrowok="t"/>
                <v:fill type="solid"/>
              </v:shape>
            </v:group>
            <v:group style="position:absolute;left:4478;top:8879;width:2;height:394" coordorigin="4478,8879" coordsize="2,394">
              <v:shape style="position:absolute;left:4478;top:8879;width:2;height:394" coordorigin="4478,8879" coordsize="0,394" path="m4478,8879l4478,9272e" filled="false" stroked="true" strokeweight="1.08pt" strokecolor="#ffffff">
                <v:path arrowok="t"/>
              </v:shape>
            </v:group>
            <v:group style="position:absolute;left:4489;top:8879;width:3003;height:394" coordorigin="4489,8879" coordsize="3003,394">
              <v:shape style="position:absolute;left:4489;top:8879;width:3003;height:394" coordorigin="4489,8879" coordsize="3003,394" path="m4489,9272l7492,9272,7492,8879,4489,8879,4489,9272xe" filled="true" fillcolor="#ffffff" stroked="false">
                <v:path arrowok="t"/>
                <v:fill type="solid"/>
              </v:shape>
            </v:group>
            <w10:wrap type="none"/>
          </v:group>
        </w:pict>
      </w:r>
    </w:p>
    <w:p>
      <w:pPr>
        <w:pStyle w:val="Heading3"/>
        <w:spacing w:line="240" w:lineRule="auto" w:before="36"/>
        <w:ind w:right="153"/>
        <w:jc w:val="left"/>
        <w:rPr>
          <w:b w:val="0"/>
          <w:bCs w:val="0"/>
        </w:rPr>
      </w:pP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54"/>
        <w:gridCol w:w="2015"/>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-54,965,238.38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44,323,268.61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25,652,502.32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17,655,930.79</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2" w:right="0"/>
              <w:jc w:val="left"/>
              <w:rPr>
                <w:rFonts w:ascii="Times New Roman" w:hAnsi="Times New Roman" w:cs="Times New Roman" w:eastAsia="Times New Roman" w:hint="default"/>
                <w:sz w:val="18"/>
                <w:szCs w:val="18"/>
              </w:rPr>
            </w:pPr>
            <w:r>
              <w:rPr>
                <w:rFonts w:ascii="Times New Roman"/>
                <w:sz w:val="18"/>
              </w:rPr>
              <w:t>106,129,141.08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92,026,861.76</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5,979,211.80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4,152,096.30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16,289,947.98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13,195,193.86</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733,095.18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63,500.25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-46,583.63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16,145,987.18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18,647,396.02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-9,192,807.45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-1,444,030.03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-5,751,810.19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-2,758,369.11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-122,251.20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-29,439.03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-29,846,557.82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-71,814,124.10</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-123,449,746.33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-354,435,304.58</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2" w:right="0"/>
              <w:jc w:val="left"/>
              <w:rPr>
                <w:rFonts w:ascii="Times New Roman" w:hAnsi="Times New Roman" w:cs="Times New Roman" w:eastAsia="Times New Roman" w:hint="default"/>
                <w:sz w:val="18"/>
                <w:szCs w:val="18"/>
              </w:rPr>
            </w:pPr>
            <w:r>
              <w:rPr>
                <w:rFonts w:ascii="Times New Roman"/>
                <w:sz w:val="18"/>
              </w:rPr>
              <w:t>386,415,299.37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233,388,180.61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-535,605.75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11,666,155.65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333,434,584.16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4,637,317.00</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138,751,439.54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181,886,143.76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181,886,143.76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109,834,084.21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-43,134,704.22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72,052,059.55</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62"/>
        <w:gridCol w:w="4597"/>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65"/>
        <w:gridCol w:w="4593"/>
      </w:tblGrid>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138,751,439.54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181,886,143.76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199,730.75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349,176.04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138,551,708.79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181,519,385.57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17,582.15</w:t>
            </w:r>
          </w:p>
        </w:tc>
      </w:tr>
      <w:tr>
        <w:trPr>
          <w:trHeight w:val="404"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98" w:right="0"/>
              <w:jc w:val="left"/>
              <w:rPr>
                <w:rFonts w:ascii="Times New Roman" w:hAnsi="Times New Roman" w:cs="Times New Roman" w:eastAsia="Times New Roman" w:hint="default"/>
                <w:sz w:val="18"/>
                <w:szCs w:val="18"/>
              </w:rPr>
            </w:pPr>
            <w:r>
              <w:rPr>
                <w:rFonts w:ascii="Times New Roman"/>
                <w:sz w:val="18"/>
              </w:rPr>
              <w:t>138,751,439.54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181,886,143.76</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spacing w:line="547" w:lineRule="auto" w:before="118"/>
        <w:ind w:left="152" w:right="42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项目名称及调整金额等事项：无 </w:t>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6"/>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77</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28,668,136.02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186,159,408.06</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37,694.09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7.0952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267,447.11</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941,330.24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0.83778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788,625.77</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22,354,481.06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145,161,058.18</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571,106.61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7.0952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4,052,115.60</w:t>
            </w: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59" w:lineRule="auto" w:before="118"/>
        <w:ind w:right="15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spacing w:line="415" w:lineRule="auto" w:before="0"/>
        <w:ind w:left="513" w:right="7967"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境外经营实体说明</w:t>
      </w:r>
      <w:r>
        <w:rPr>
          <w:rFonts w:ascii="宋体" w:hAnsi="宋体" w:cs="宋体" w:eastAsia="宋体" w:hint="default"/>
          <w:sz w:val="18"/>
          <w:szCs w:val="18"/>
        </w:rPr>
      </w:r>
    </w:p>
    <w:p>
      <w:pPr>
        <w:pStyle w:val="BodyText"/>
        <w:spacing w:line="194" w:lineRule="exact"/>
        <w:ind w:left="513" w:right="0"/>
        <w:jc w:val="left"/>
      </w:pPr>
      <w:r>
        <w:rPr/>
        <w:t>（</w:t>
      </w:r>
      <w:r>
        <w:rPr>
          <w:rFonts w:ascii="Times New Roman" w:hAnsi="Times New Roman" w:cs="Times New Roman" w:eastAsia="Times New Roman" w:hint="default"/>
        </w:rPr>
        <w:t>1</w:t>
      </w:r>
      <w:r>
        <w:rPr/>
        <w:t>）本公司之境外全资子公司卓翼香港、全资子（孙）公司卓翼营销有限公司记账本位币为人民币，不存在期末将外</w:t>
      </w:r>
    </w:p>
    <w:p>
      <w:pPr>
        <w:spacing w:after="0" w:line="194" w:lineRule="exact"/>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53"/>
        <w:jc w:val="left"/>
      </w:pPr>
      <w:r>
        <w:rPr/>
        <w:t>币折算为人民币的情况。</w:t>
      </w:r>
    </w:p>
    <w:p>
      <w:pPr>
        <w:pStyle w:val="BodyText"/>
        <w:spacing w:line="300" w:lineRule="auto" w:before="77"/>
        <w:ind w:right="150" w:firstLine="360"/>
        <w:jc w:val="both"/>
      </w:pPr>
      <w:r>
        <w:rPr>
          <w:spacing w:val="-1"/>
        </w:rPr>
        <w:t>（</w:t>
      </w:r>
      <w:r>
        <w:rPr>
          <w:rFonts w:ascii="Times New Roman" w:hAnsi="Times New Roman" w:cs="Times New Roman" w:eastAsia="Times New Roman" w:hint="default"/>
          <w:spacing w:val="-1"/>
        </w:rPr>
        <w:t>2</w:t>
      </w:r>
      <w:r>
        <w:rPr>
          <w:spacing w:val="-1"/>
        </w:rPr>
        <w:t>）本公司之全资子</w:t>
      </w:r>
      <w:r>
        <w:rPr>
          <w:rFonts w:ascii="Times New Roman" w:hAnsi="Times New Roman" w:cs="Times New Roman" w:eastAsia="Times New Roman" w:hint="default"/>
          <w:spacing w:val="-1"/>
        </w:rPr>
        <w:t>(</w:t>
      </w:r>
      <w:r>
        <w:rPr>
          <w:spacing w:val="-1"/>
        </w:rPr>
        <w:t>孙</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Double</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2"/>
        </w:rPr>
        <w:t>Power</w:t>
      </w:r>
      <w:r>
        <w:rPr>
          <w:spacing w:val="-2"/>
        </w:rPr>
        <w:t>注册于美国，其主要经营地在美国，选择美元作为记账本位币；本公司全资</w:t>
      </w:r>
      <w:r>
        <w:rPr/>
        <w:t> 子公司之控股子公司</w:t>
      </w:r>
      <w:r>
        <w:rPr>
          <w:rFonts w:ascii="Times New Roman" w:hAnsi="Times New Roman" w:cs="Times New Roman" w:eastAsia="Times New Roman" w:hint="default"/>
        </w:rPr>
        <w:t>Itasca</w:t>
      </w:r>
      <w:r>
        <w:rPr>
          <w:rFonts w:ascii="Times New Roman" w:hAnsi="Times New Roman" w:cs="Times New Roman" w:eastAsia="Times New Roman" w:hint="default"/>
          <w:spacing w:val="-20"/>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21"/>
        </w:rPr>
        <w:t> </w:t>
      </w:r>
      <w:r>
        <w:rPr>
          <w:rFonts w:ascii="Times New Roman" w:hAnsi="Times New Roman" w:cs="Times New Roman" w:eastAsia="Times New Roman" w:hint="default"/>
        </w:rPr>
        <w:t>Ltd.</w:t>
      </w:r>
      <w:r>
        <w:rPr/>
        <w:t>注册于英属开曼群岛，其主要经营地在中国大陆，选择人民币作为记账本位币；本公 司全资子公司之控股子公司</w:t>
      </w:r>
      <w:r>
        <w:rPr>
          <w:rFonts w:ascii="Times New Roman" w:hAnsi="Times New Roman" w:cs="Times New Roman" w:eastAsia="Times New Roman" w:hint="default"/>
        </w:rPr>
        <w:t>Haxis Labs</w:t>
      </w:r>
      <w:r>
        <w:rPr>
          <w:rFonts w:ascii="Times New Roman" w:hAnsi="Times New Roman" w:cs="Times New Roman" w:eastAsia="Times New Roman" w:hint="default"/>
          <w:spacing w:val="-3"/>
        </w:rPr>
        <w:t> </w:t>
      </w:r>
      <w:r>
        <w:rPr>
          <w:rFonts w:ascii="Times New Roman" w:hAnsi="Times New Roman" w:cs="Times New Roman" w:eastAsia="Times New Roman" w:hint="default"/>
        </w:rPr>
        <w:t>Incorporated.</w:t>
      </w:r>
      <w:r>
        <w:rPr/>
        <w:t>注册于美国，其主要经营地在美国，选择美元作为记账本位币。</w:t>
      </w:r>
    </w:p>
    <w:p>
      <w:pPr>
        <w:spacing w:line="240" w:lineRule="auto" w:before="4"/>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78</w:t>
      </w:r>
      <w:r>
        <w:rPr/>
        <w:t>、套期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按照套期类别披露套期项目及相关套期工具、被套期风险的定性和定量信息：无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79</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4"/>
        <w:rPr>
          <w:rFonts w:ascii="宋体" w:hAnsi="宋体" w:cs="宋体" w:eastAsia="宋体" w:hint="default"/>
          <w:sz w:val="25"/>
          <w:szCs w:val="25"/>
        </w:rPr>
      </w:pPr>
    </w:p>
    <w:p>
      <w:pPr>
        <w:pStyle w:val="Heading2"/>
        <w:spacing w:line="240" w:lineRule="auto"/>
        <w:ind w:right="153"/>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3"/>
        <w:gridCol w:w="1066"/>
        <w:gridCol w:w="1061"/>
        <w:gridCol w:w="1064"/>
        <w:gridCol w:w="1061"/>
      </w:tblGrid>
      <w:tr>
        <w:trPr>
          <w:trHeight w:val="102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7"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1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8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2"/>
        <w:rPr>
          <w:rFonts w:ascii="宋体" w:hAnsi="宋体" w:cs="宋体" w:eastAsia="宋体" w:hint="default"/>
          <w:sz w:val="28"/>
          <w:szCs w:val="28"/>
        </w:rPr>
      </w:pPr>
    </w:p>
    <w:p>
      <w:pPr>
        <w:spacing w:line="381"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23;top:14;width:2;height:353" coordorigin="23,14" coordsize="2,353">
              <v:shape style="position:absolute;left:23;top:14;width:2;height:353" coordorigin="23,14" coordsize="0,353" path="m23,14l23,367e" filled="false" stroked="true" strokeweight="1.08pt" strokecolor="#d2d2d2">
                <v:path arrowok="t"/>
              </v:shape>
            </v:group>
            <v:group style="position:absolute;left:4775;top:14;width:2;height:353" coordorigin="4775,14" coordsize="2,353">
              <v:shape style="position:absolute;left:4775;top:14;width:2;height:353" coordorigin="4775,14" coordsize="0,353" path="m4775,14l4775,367e" filled="false" stroked="true" strokeweight="1.2pt" strokecolor="#d2d2d2">
                <v:path arrowok="t"/>
              </v:shape>
            </v:group>
            <v:group style="position:absolute;left:34;top:14;width:4729;height:353" coordorigin="34,14" coordsize="4729,353">
              <v:shape style="position:absolute;left:34;top:14;width:4729;height:353" coordorigin="34,14" coordsize="4729,353" path="m34,367l4763,367,4763,14,34,14,34,367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775;height:2" coordorigin="10,372" coordsize="4775,2">
              <v:shape style="position:absolute;left:10;top:372;width:4775;height:2" coordorigin="10,372" coordsize="4775,0" path="m10,372l4784,372e" filled="false" stroked="true" strokeweight=".48pt" strokecolor="#000000">
                <v:path arrowok="t"/>
              </v:shape>
            </v:group>
            <v:group style="position:absolute;left:4789;top:5;width:2;height:372" coordorigin="4789,5" coordsize="2,372">
              <v:shape style="position:absolute;left:4789;top:5;width:2;height:372" coordorigin="4789,5" coordsize="0,372" path="m4789,5l4789,377e" filled="false" stroked="true" strokeweight=".48001pt" strokecolor="#000000">
                <v:path arrowok="t"/>
              </v:shape>
            </v:group>
            <v:group style="position:absolute;left:4794;top:372;width:4777;height:2" coordorigin="4794,372" coordsize="4777,2">
              <v:shape style="position:absolute;left:4794;top:372;width:4777;height:2" coordorigin="4794,372" coordsize="4777,0" path="m4794,372l9571,372e" filled="false" stroked="true" strokeweight=".48pt" strokecolor="#000000">
                <v:path arrowok="t"/>
              </v:shape>
            </v:group>
            <v:group style="position:absolute;left:9576;top:5;width:2;height:372" coordorigin="9576,5" coordsize="2,372">
              <v:shape style="position:absolute;left:9576;top:5;width:2;height:372" coordorigin="9576,5" coordsize="0,372" path="m9576,5l9576,377e" filled="false" stroked="true" strokeweight=".47998pt" strokecolor="#000000">
                <v:path arrowok="t"/>
              </v:shape>
              <v:shape style="position:absolute;left:34;top:7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额</w:t>
                      </w:r>
                    </w:p>
                  </w:txbxContent>
                </v:textbox>
                <w10:wrap type="none"/>
              </v:shape>
            </v:group>
          </v:group>
        </w:pict>
      </w:r>
      <w:r>
        <w:rPr>
          <w:rFonts w:ascii="宋体" w:hAnsi="宋体" w:cs="宋体" w:eastAsia="宋体" w:hint="default"/>
          <w:position w:val="-7"/>
          <w:sz w:val="20"/>
          <w:szCs w:val="20"/>
        </w:rPr>
      </w:r>
    </w:p>
    <w:p>
      <w:pPr>
        <w:pStyle w:val="BodyText"/>
        <w:spacing w:line="357" w:lineRule="auto" w:before="45"/>
        <w:ind w:right="4914"/>
        <w:jc w:val="left"/>
      </w:pPr>
      <w:r>
        <w:rPr/>
        <w:t>合并成本公允价值的确定方法、或有对价及其变动的说明：无 大额商誉形成的主要原因：无</w:t>
      </w:r>
    </w:p>
    <w:p>
      <w:pPr>
        <w:pStyle w:val="BodyText"/>
        <w:spacing w:line="240" w:lineRule="auto" w:before="2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10" w:space="0" w:color="D2D2D2"/>
              <w:bottom w:val="single" w:sz="4" w:space="0" w:color="000000"/>
              <w:right w:val="single" w:sz="4" w:space="0" w:color="000000"/>
            </w:tcBorders>
            <w:shd w:val="clear" w:color="auto" w:fill="E0FFFF"/>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6370"/>
        <w:jc w:val="both"/>
      </w:pPr>
      <w:r>
        <w:rPr/>
        <w:t>可辨认资产、负债公允价值的确定方法：无 企业合并中承担的被购买方的或有负债：无 其他说明：无</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无</w:t>
      </w:r>
    </w:p>
    <w:p>
      <w:pPr>
        <w:spacing w:after="0" w:line="240"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4"/>
        <w:gridCol w:w="1063"/>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6"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r>
        <w:trPr>
          <w:trHeight w:val="403"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e0ffff">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e0ffff">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8001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8001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795;height:401" type="#_x0000_t202" filled="false" stroked="false">
                <v:textbox inset="0,0,0,0">
                  <w:txbxContent>
                    <w:p>
                      <w:pPr>
                        <w:spacing w:before="53"/>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4"/>
        <w:ind w:right="7434"/>
        <w:jc w:val="left"/>
      </w:pPr>
      <w:r>
        <w:rPr/>
        <w:t>或有对价及其变动的说明：无 其他说明：</w:t>
      </w:r>
    </w:p>
    <w:p>
      <w:pPr>
        <w:spacing w:line="240" w:lineRule="auto" w:before="2"/>
        <w:rPr>
          <w:rFonts w:ascii="宋体" w:hAnsi="宋体" w:cs="宋体" w:eastAsia="宋体" w:hint="default"/>
          <w:sz w:val="20"/>
          <w:szCs w:val="20"/>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181;top:14;width:2;height:392" coordorigin="3181,14" coordsize="2,392">
              <v:shape style="position:absolute;left:3181;top:14;width:2;height:392" coordorigin="3181,14" coordsize="0,392" path="m3181,14l3181,406e" filled="false" stroked="true" strokeweight="1.2pt" strokecolor="#d2d2d2">
                <v:path arrowok="t"/>
              </v:shape>
            </v:group>
            <v:group style="position:absolute;left:34;top:14;width:3136;height:392" coordorigin="34,14" coordsize="3136,392">
              <v:shape style="position:absolute;left:34;top:14;width:3136;height:392" coordorigin="34,14" coordsize="3136,392" path="m34,406l3169,406,3169,14,34,14,34,406xe" filled="true" fillcolor="#d2d2d2" stroked="false">
                <v:path arrowok="t"/>
                <v:fill type="solid"/>
              </v:shape>
            </v:group>
            <v:group style="position:absolute;left:3213;top:14;width:2;height:392" coordorigin="3213,14" coordsize="2,392">
              <v:shape style="position:absolute;left:3213;top:14;width:2;height:392" coordorigin="3213,14" coordsize="0,392" path="m3213,14l3213,406e" filled="false" stroked="true" strokeweight="1.08pt" strokecolor="#e0ffff">
                <v:path arrowok="t"/>
              </v:shape>
            </v:group>
            <v:group style="position:absolute;left:9561;top:14;width:2;height:392" coordorigin="9561,14" coordsize="2,392">
              <v:shape style="position:absolute;left:9561;top:14;width:2;height:392" coordorigin="9561,14" coordsize="0,392" path="m9561,14l9561,406e" filled="false" stroked="true" strokeweight="1.2pt" strokecolor="#e0ffff">
                <v:path arrowok="t"/>
              </v:shape>
            </v:group>
            <v:group style="position:absolute;left:3224;top:14;width:6325;height:392" coordorigin="3224,14" coordsize="6325,392">
              <v:shape style="position:absolute;left:3224;top:14;width:6325;height:392" coordorigin="3224,14" coordsize="6325,392" path="m3224,406l9549,406,9549,14,3224,14,3224,406xe" filled="true" fillcolor="#e0ffff"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001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001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3181;top:418;width:2;height:392" coordorigin="3181,418" coordsize="2,392">
              <v:shape style="position:absolute;left:3181;top:418;width:2;height:392" coordorigin="3181,418" coordsize="0,392" path="m3181,418l3181,809e" filled="false" stroked="true" strokeweight="1.2pt" strokecolor="#d2d2d2">
                <v:path arrowok="t"/>
              </v:shape>
            </v:group>
            <v:group style="position:absolute;left:34;top:418;width:3136;height:392" coordorigin="34,418" coordsize="3136,392">
              <v:shape style="position:absolute;left:34;top:418;width:3136;height:392" coordorigin="34,418" coordsize="3136,392" path="m34,809l3169,809,3169,418,34,418,34,809xe" filled="true" fillcolor="#d2d2d2" stroked="false">
                <v:path arrowok="t"/>
                <v:fill type="solid"/>
              </v:shape>
            </v:group>
            <v:group style="position:absolute;left:3213;top:418;width:2;height:392" coordorigin="3213,418" coordsize="2,392">
              <v:shape style="position:absolute;left:3213;top:418;width:2;height:392" coordorigin="3213,418" coordsize="0,392" path="m3213,418l3213,809e" filled="false" stroked="true" strokeweight="1.08pt" strokecolor="#d2d2d2">
                <v:path arrowok="t"/>
              </v:shape>
            </v:group>
            <v:group style="position:absolute;left:6371;top:418;width:2;height:392" coordorigin="6371,418" coordsize="2,392">
              <v:shape style="position:absolute;left:6371;top:418;width:2;height:392" coordorigin="6371,418" coordsize="0,392" path="m6371,418l6371,809e" filled="false" stroked="true" strokeweight="1.2pt" strokecolor="#d2d2d2">
                <v:path arrowok="t"/>
              </v:shape>
            </v:group>
            <v:group style="position:absolute;left:3224;top:418;width:3135;height:392" coordorigin="3224,418" coordsize="3135,392">
              <v:shape style="position:absolute;left:3224;top:418;width:3135;height:392" coordorigin="3224,418" coordsize="3135,392" path="m3224,809l6359,809,6359,418,3224,418,3224,809xe" filled="true" fillcolor="#d2d2d2" stroked="false">
                <v:path arrowok="t"/>
                <v:fill type="solid"/>
              </v:shape>
            </v:group>
            <v:group style="position:absolute;left:6403;top:418;width:2;height:392" coordorigin="6403,418" coordsize="2,392">
              <v:shape style="position:absolute;left:6403;top:418;width:2;height:392" coordorigin="6403,418" coordsize="0,392" path="m6403,418l6403,809e" filled="false" stroked="true" strokeweight="1.08pt" strokecolor="#d2d2d2">
                <v:path arrowok="t"/>
              </v:shape>
            </v:group>
            <v:group style="position:absolute;left:9561;top:418;width:2;height:392" coordorigin="9561,418" coordsize="2,392">
              <v:shape style="position:absolute;left:9561;top:418;width:2;height:392" coordorigin="9561,418" coordsize="0,392" path="m9561,418l9561,809e" filled="false" stroked="true" strokeweight="1.2pt" strokecolor="#d2d2d2">
                <v:path arrowok="t"/>
              </v:shape>
            </v:group>
            <v:group style="position:absolute;left:6414;top:418;width:3135;height:392" coordorigin="6414,418" coordsize="3135,392">
              <v:shape style="position:absolute;left:6414;top:418;width:3135;height:392" coordorigin="6414,418" coordsize="3135,392" path="m6414,809l9549,809,9549,418,6414,418,6414,809xe" filled="true" fillcolor="#d2d2d2" stroked="false">
                <v:path arrowok="t"/>
                <v:fill type="solid"/>
              </v:shape>
            </v:group>
            <v:group style="position:absolute;left:10;top:410;width:3181;height:2" coordorigin="10,410" coordsize="3181,2">
              <v:shape style="position:absolute;left:10;top:410;width:3181;height:2" coordorigin="10,410" coordsize="3181,0" path="m10,410l3191,410e" filled="false" stroked="true" strokeweight=".48001pt" strokecolor="#000000">
                <v:path arrowok="t"/>
              </v:shape>
            </v:group>
            <v:group style="position:absolute;left:3200;top:410;width:3181;height:2" coordorigin="3200,410" coordsize="3181,2">
              <v:shape style="position:absolute;left:3200;top:410;width:3181;height:2" coordorigin="3200,410" coordsize="3181,0" path="m3200,410l6381,410e" filled="false" stroked="true" strokeweight=".48001pt" strokecolor="#000000">
                <v:path arrowok="t"/>
              </v:shape>
            </v:group>
            <v:group style="position:absolute;left:6390;top:410;width:3183;height:2" coordorigin="6390,410" coordsize="3183,2">
              <v:shape style="position:absolute;left:6390;top:410;width:3183;height:2" coordorigin="6390,410" coordsize="3183,0" path="m6390,410l9573,410e" filled="false" stroked="true" strokeweight=".48001pt" strokecolor="#000000">
                <v:path arrowok="t"/>
              </v:shape>
            </v:group>
            <v:group style="position:absolute;left:5;top:5;width:2;height:814" coordorigin="5,5" coordsize="2,814">
              <v:shape style="position:absolute;left:5;top:5;width:2;height:814" coordorigin="5,5" coordsize="0,814" path="m5,5l5,819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7998pt" strokecolor="#000000">
                <v:path arrowok="t"/>
              </v:shape>
            </v:group>
            <v:group style="position:absolute;left:3195;top:5;width:2;height:814" coordorigin="3195,5" coordsize="2,814">
              <v:shape style="position:absolute;left:3195;top:5;width:2;height:814" coordorigin="3195,5" coordsize="0,814" path="m3195,5l3195,819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7998pt" strokecolor="#000000">
                <v:path arrowok="t"/>
              </v:shape>
            </v:group>
            <v:group style="position:absolute;left:6385;top:406;width:2;height:414" coordorigin="6385,406" coordsize="2,414">
              <v:shape style="position:absolute;left:6385;top:406;width:2;height:414" coordorigin="6385,406" coordsize="0,414" path="m6385,406l6385,819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7998pt" strokecolor="#000000">
                <v:path arrowok="t"/>
              </v:shape>
            </v:group>
            <v:group style="position:absolute;left:9578;top:5;width:2;height:814" coordorigin="9578,5" coordsize="2,814">
              <v:shape style="position:absolute;left:9578;top:5;width:2;height:814" coordorigin="9578,5" coordsize="0,814" path="m9578,5l9578,819e" filled="false" stroked="true" strokeweight=".47998pt" strokecolor="#000000">
                <v:path arrowok="t"/>
              </v:shape>
              <v:shape style="position:absolute;left:3185;top:412;width:3202;height:403" type="#_x0000_t202" filled="false" stroked="false">
                <v:textbox inset="0,0,0,0">
                  <w:txbxContent>
                    <w:p>
                      <w:pPr>
                        <w:spacing w:before="55"/>
                        <w:ind w:left="9"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7;top:412;width:3192;height:403" type="#_x0000_t202" filled="false" stroked="false">
                <v:textbox inset="0,0,0,0">
                  <w:txbxContent>
                    <w:p>
                      <w:pPr>
                        <w:spacing w:before="55"/>
                        <w:ind w:left="0" w:right="1"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4"/>
        <w:ind w:right="6354"/>
        <w:jc w:val="left"/>
      </w:pPr>
      <w:r>
        <w:rPr/>
        <w:t>企业合并中承担的被合并方的或有负债：无 其他说明：</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3"/>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性交易处理时调整权益的金额及其计算：无</w:t>
      </w:r>
    </w:p>
    <w:p>
      <w:pPr>
        <w:spacing w:line="240" w:lineRule="auto" w:before="10"/>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是否存在单次处置对子公司投资即丧失控制权的情形</w:t>
      </w:r>
    </w:p>
    <w:p>
      <w:pPr>
        <w:pStyle w:val="BodyText"/>
        <w:spacing w:line="340" w:lineRule="auto" w:before="115"/>
        <w:ind w:right="40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1"/>
        <w:ind w:right="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53"/>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说明其他原因导致的合并范围变动（如，新设子公司、清算子公司等）及其相关情况：</w:t>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shape style="position:absolute;margin-left:92.279999pt;margin-top:475.389984pt;width:101.1pt;height:15.6pt;mso-position-horizontal-relative:page;mso-position-vertical-relative:page;z-index:-1098904" type="#_x0000_t202" filled="false" stroked="false">
            <v:textbox inset="0,0,0,0">
              <w:txbxContent>
                <w:p>
                  <w:pPr>
                    <w:pStyle w:val="BodyText"/>
                    <w:spacing w:line="240" w:lineRule="auto" w:before="49"/>
                    <w:ind w:left="0" w:right="0"/>
                    <w:jc w:val="left"/>
                  </w:pPr>
                  <w:r>
                    <w:rPr/>
                    <w:t>（厦门）</w:t>
                  </w:r>
                </w:p>
              </w:txbxContent>
            </v:textbox>
            <w10:wrap type="none"/>
          </v:shape>
        </w:pict>
      </w:r>
      <w:r>
        <w:rPr/>
        <w:pict>
          <v:group style="position:absolute;margin-left:330.670013pt;margin-top:598.029968pt;width:67.8pt;height:28.05pt;mso-position-horizontal-relative:page;mso-position-vertical-relative:page;z-index:-1098880" coordorigin="6613,11961" coordsize="1356,561">
            <v:group style="position:absolute;left:6613;top:11961;width:1356;height:156" coordorigin="6613,11961" coordsize="1356,156">
              <v:shape style="position:absolute;left:6613;top:11961;width:1356;height:156" coordorigin="6613,11961" coordsize="1356,156" path="m6613,12117l7969,12117,7969,11961,6613,11961,6613,12117xe" filled="true" fillcolor="#ffffff" stroked="false">
                <v:path arrowok="t"/>
                <v:fill type="solid"/>
              </v:shape>
            </v:group>
            <v:group style="position:absolute;left:6624;top:12117;width:2;height:394" coordorigin="6624,12117" coordsize="2,394">
              <v:shape style="position:absolute;left:6624;top:12117;width:2;height:394" coordorigin="6624,12117" coordsize="0,394" path="m6624,12117l6624,12510e" filled="false" stroked="true" strokeweight="1.08pt" strokecolor="#ffffff">
                <v:path arrowok="t"/>
              </v:shape>
            </v:group>
            <v:group style="position:absolute;left:6635;top:12117;width:1311;height:394" coordorigin="6635,12117" coordsize="1311,394">
              <v:shape style="position:absolute;left:6635;top:12117;width:1311;height:394" coordorigin="6635,12117" coordsize="1311,394" path="m6635,12510l7945,12510,7945,12117,6635,12117,6635,1251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673"/>
        <w:gridCol w:w="2552"/>
        <w:gridCol w:w="2821"/>
      </w:tblGrid>
      <w:tr>
        <w:trPr>
          <w:trHeight w:val="355" w:hRule="exact"/>
        </w:trPr>
        <w:tc>
          <w:tcPr>
            <w:tcW w:w="36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5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820"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2821"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1" w:hRule="exact"/>
        </w:trPr>
        <w:tc>
          <w:tcPr>
            <w:tcW w:w="36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深圳市翼飞投资有限公司</w:t>
            </w:r>
          </w:p>
        </w:tc>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82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3" w:hRule="exact"/>
        </w:trPr>
        <w:tc>
          <w:tcPr>
            <w:tcW w:w="36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Itasca Holding</w:t>
            </w:r>
            <w:r>
              <w:rPr>
                <w:rFonts w:ascii="Times New Roman"/>
                <w:spacing w:val="-4"/>
                <w:sz w:val="18"/>
              </w:rPr>
              <w:t> </w:t>
            </w:r>
            <w:r>
              <w:rPr>
                <w:rFonts w:ascii="Times New Roman"/>
                <w:sz w:val="18"/>
              </w:rPr>
              <w:t>Ltd.</w:t>
            </w:r>
          </w:p>
        </w:tc>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全资子公司之控股子公司</w:t>
            </w:r>
          </w:p>
        </w:tc>
        <w:tc>
          <w:tcPr>
            <w:tcW w:w="282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353" w:hRule="exact"/>
        </w:trPr>
        <w:tc>
          <w:tcPr>
            <w:tcW w:w="36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Haxis Labs</w:t>
            </w:r>
            <w:r>
              <w:rPr>
                <w:rFonts w:ascii="Times New Roman"/>
                <w:spacing w:val="-5"/>
                <w:sz w:val="18"/>
              </w:rPr>
              <w:t> </w:t>
            </w:r>
            <w:r>
              <w:rPr>
                <w:rFonts w:ascii="Times New Roman"/>
                <w:sz w:val="18"/>
              </w:rPr>
              <w:t>Incorporated.</w:t>
            </w:r>
          </w:p>
        </w:tc>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全资子公司之控股子公司</w:t>
            </w:r>
          </w:p>
        </w:tc>
        <w:tc>
          <w:tcPr>
            <w:tcW w:w="282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新设成立</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卓翼科技</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一般商品贸易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深圳市卓大精密 模具有限公司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生产、销售塑胶 五金制品、模具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深圳市中广视讯 科技发展有限公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中广互联 信息科技有限公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0"/>
              <w:jc w:val="left"/>
              <w:rPr>
                <w:rFonts w:ascii="宋体" w:hAnsi="宋体" w:cs="宋体" w:eastAsia="宋体" w:hint="default"/>
                <w:sz w:val="20"/>
                <w:szCs w:val="20"/>
              </w:rPr>
            </w:pPr>
            <w:r>
              <w:rPr>
                <w:rFonts w:ascii="宋体" w:hAnsi="宋体" w:cs="宋体" w:eastAsia="宋体" w:hint="default"/>
                <w:position w:val="-5"/>
                <w:sz w:val="20"/>
                <w:szCs w:val="20"/>
              </w:rPr>
              <w:pict>
                <v:group style="width:67.8pt;height:15.6pt;mso-position-horizontal-relative:char;mso-position-vertical-relative:line" coordorigin="0,0" coordsize="1356,312">
                  <v:group style="position:absolute;left:0;top:0;width:1356;height:312" coordorigin="0,0" coordsize="1356,312">
                    <v:shape style="position:absolute;left:0;top:0;width:1356;height:312" coordorigin="0,0" coordsize="1356,312" path="m0,312l1356,312,1356,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卓翼营销有限公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一般商品贸易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79"/>
              <w:jc w:val="left"/>
              <w:rPr>
                <w:rFonts w:ascii="Times New Roman" w:hAnsi="Times New Roman" w:cs="Times New Roman" w:eastAsia="Times New Roman" w:hint="default"/>
                <w:sz w:val="18"/>
                <w:szCs w:val="18"/>
              </w:rPr>
            </w:pPr>
            <w:r>
              <w:rPr>
                <w:rFonts w:ascii="Times New Roman"/>
                <w:sz w:val="18"/>
              </w:rPr>
              <w:t>Double</w:t>
            </w:r>
            <w:r>
              <w:rPr>
                <w:rFonts w:ascii="Times New Roman"/>
                <w:spacing w:val="-4"/>
                <w:sz w:val="18"/>
              </w:rPr>
              <w:t> </w:t>
            </w:r>
            <w:r>
              <w:rPr>
                <w:rFonts w:ascii="Times New Roman"/>
                <w:sz w:val="18"/>
              </w:rPr>
              <w:t>Power</w:t>
            </w:r>
            <w:r>
              <w:rPr>
                <w:rFonts w:ascii="Times New Roman"/>
                <w:sz w:val="18"/>
              </w:rPr>
              <w:t> Technology</w:t>
            </w:r>
            <w:r>
              <w:rPr>
                <w:rFonts w:ascii="Times New Roman"/>
                <w:spacing w:val="-18"/>
                <w:sz w:val="18"/>
              </w:rPr>
              <w:t> </w:t>
            </w:r>
            <w:r>
              <w:rPr>
                <w:rFonts w:ascii="Times New Roman"/>
                <w:sz w:val="18"/>
              </w:rPr>
              <w:t>lnc.</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一般商品贸易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天津卓达科技发 展有限公司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8"/>
              <w:jc w:val="left"/>
              <w:rPr>
                <w:rFonts w:ascii="宋体" w:hAnsi="宋体" w:cs="宋体" w:eastAsia="宋体" w:hint="default"/>
                <w:sz w:val="18"/>
                <w:szCs w:val="18"/>
              </w:rPr>
            </w:pPr>
            <w:r>
              <w:rPr>
                <w:rFonts w:ascii="宋体" w:hAnsi="宋体" w:cs="宋体" w:eastAsia="宋体" w:hint="default"/>
                <w:spacing w:val="-6"/>
                <w:sz w:val="18"/>
                <w:szCs w:val="18"/>
              </w:rPr>
              <w:t>生产、销售网通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移动终端产品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49"/>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4" w:right="75"/>
              <w:jc w:val="left"/>
              <w:rPr>
                <w:rFonts w:ascii="宋体" w:hAnsi="宋体" w:cs="宋体" w:eastAsia="宋体" w:hint="default"/>
                <w:sz w:val="18"/>
                <w:szCs w:val="18"/>
              </w:rPr>
            </w:pPr>
            <w:r>
              <w:rPr>
                <w:rFonts w:ascii="宋体" w:hAnsi="宋体" w:cs="宋体" w:eastAsia="宋体" w:hint="default"/>
                <w:sz w:val="18"/>
                <w:szCs w:val="18"/>
              </w:rPr>
              <w:t>深圳市卓翼智造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组装生产、销售 网通、移动终端 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深圳市翼飞投资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战略投资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78"/>
              <w:jc w:val="left"/>
              <w:rPr>
                <w:rFonts w:ascii="Times New Roman" w:hAnsi="Times New Roman" w:cs="Times New Roman" w:eastAsia="Times New Roman" w:hint="default"/>
                <w:sz w:val="18"/>
                <w:szCs w:val="18"/>
              </w:rPr>
            </w:pPr>
            <w:r>
              <w:rPr>
                <w:rFonts w:ascii="Times New Roman"/>
                <w:sz w:val="18"/>
              </w:rPr>
              <w:t>Itasca</w:t>
            </w:r>
            <w:r>
              <w:rPr>
                <w:rFonts w:ascii="Times New Roman"/>
                <w:spacing w:val="-2"/>
                <w:sz w:val="18"/>
              </w:rPr>
              <w:t> </w:t>
            </w:r>
            <w:r>
              <w:rPr>
                <w:rFonts w:ascii="Times New Roman"/>
                <w:sz w:val="18"/>
              </w:rPr>
              <w:t>Holding</w:t>
            </w:r>
            <w:r>
              <w:rPr>
                <w:rFonts w:ascii="Times New Roman"/>
                <w:sz w:val="18"/>
              </w:rPr>
              <w:t> Ltd.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英属开曼群岛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69"/>
              <w:jc w:val="left"/>
              <w:rPr>
                <w:rFonts w:ascii="Times New Roman" w:hAnsi="Times New Roman" w:cs="Times New Roman" w:eastAsia="Times New Roman" w:hint="default"/>
                <w:sz w:val="18"/>
                <w:szCs w:val="18"/>
              </w:rPr>
            </w:pPr>
            <w:r>
              <w:rPr>
                <w:rFonts w:ascii="Times New Roman"/>
                <w:sz w:val="18"/>
              </w:rPr>
              <w:t>Haxis Labs</w:t>
            </w:r>
            <w:r>
              <w:rPr>
                <w:rFonts w:ascii="Times New Roman"/>
                <w:w w:val="99"/>
                <w:sz w:val="18"/>
              </w:rPr>
              <w:t> </w:t>
            </w:r>
            <w:r>
              <w:rPr>
                <w:rFonts w:ascii="Times New Roman"/>
                <w:sz w:val="18"/>
              </w:rPr>
              <w:t>Incorporated.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r>
    </w:tbl>
    <w:p>
      <w:pPr>
        <w:pStyle w:val="BodyText"/>
        <w:spacing w:line="357" w:lineRule="auto" w:before="49"/>
        <w:ind w:right="1674"/>
        <w:jc w:val="left"/>
      </w:pPr>
      <w:r>
        <w:rPr/>
        <w:t>在子公司的持股比例不同于表决权比例的说明：无 持有半数或以下表决权但仍控制被投资单位、以及持有半数以上表决权但不控制被投资单位的依据：无 对于纳入合并范围的重要的结构化主体，控制的依据：无</w:t>
      </w:r>
    </w:p>
    <w:p>
      <w:pPr>
        <w:pStyle w:val="BodyText"/>
        <w:spacing w:line="360" w:lineRule="auto" w:before="26"/>
        <w:ind w:right="6534"/>
        <w:jc w:val="left"/>
      </w:pPr>
      <w:r>
        <w:rPr/>
        <w:t>确定公司是代理人还是委托人的依据：无 其他说明：无</w:t>
      </w:r>
    </w:p>
    <w:p>
      <w:pPr>
        <w:spacing w:line="240" w:lineRule="auto" w:before="4"/>
        <w:rPr>
          <w:rFonts w:ascii="宋体" w:hAnsi="宋体" w:cs="宋体" w:eastAsia="宋体" w:hint="default"/>
          <w:sz w:val="20"/>
          <w:szCs w:val="20"/>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5274"/>
        <w:jc w:val="left"/>
      </w:pPr>
      <w:r>
        <w:rPr/>
        <w:t>子公司少数股东的持股比例不同于表决权比例的说明：无 其他说明：无</w:t>
      </w:r>
    </w:p>
    <w:p>
      <w:pPr>
        <w:spacing w:line="240" w:lineRule="auto" w:before="2"/>
        <w:rPr>
          <w:rFonts w:ascii="宋体" w:hAnsi="宋体" w:cs="宋体" w:eastAsia="宋体" w:hint="default"/>
          <w:sz w:val="20"/>
          <w:szCs w:val="20"/>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4"/>
        <w:gridCol w:w="72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6"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1"/>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40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4"/>
        <w:gridCol w:w="1063"/>
        <w:gridCol w:w="1064"/>
        <w:gridCol w:w="1055"/>
      </w:tblGrid>
      <w:tr>
        <w:trPr>
          <w:trHeight w:val="401"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401"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694"/>
        <w:jc w:val="left"/>
      </w:pPr>
      <w:r>
        <w:rPr/>
        <w:t>无 其他说明：无</w:t>
      </w:r>
    </w:p>
    <w:p>
      <w:pPr>
        <w:spacing w:after="0" w:line="36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4775;top:14;width:2;height:394" coordorigin="4775,14" coordsize="2,394">
              <v:shape style="position:absolute;left:4775;top:14;width:2;height:394" coordorigin="4775,14" coordsize="0,394" path="m4775,14l4775,408e" filled="false" stroked="true" strokeweight="1.2pt" strokecolor="#d2d2d2">
                <v:path arrowok="t"/>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807;top:14;width:2;height:394" coordorigin="4807,14" coordsize="2,394">
              <v:shape style="position:absolute;left:4807;top:14;width:2;height:394" coordorigin="4807,14" coordsize="0,394" path="m4807,14l4807,408e" filled="false" stroked="true" strokeweight="1.08pt" strokecolor="#e0ffff">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e0ffff">
                <v:path arrowok="t"/>
              </v:shape>
            </v:group>
            <v:group style="position:absolute;left:4818;top:14;width:4729;height:394" coordorigin="4818,14" coordsize="4729,394">
              <v:shape style="position:absolute;left:4818;top:14;width:4729;height:394" coordorigin="4818,14" coordsize="4729,394" path="m4818,408l9547,408,9547,14,4818,14,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357" w:lineRule="auto" w:before="44"/>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75"/>
              <w:jc w:val="left"/>
              <w:rPr>
                <w:rFonts w:ascii="宋体" w:hAnsi="宋体" w:cs="宋体" w:eastAsia="宋体" w:hint="default"/>
                <w:sz w:val="18"/>
                <w:szCs w:val="18"/>
              </w:rPr>
            </w:pPr>
            <w:r>
              <w:rPr>
                <w:rFonts w:ascii="宋体" w:hAnsi="宋体" w:cs="宋体" w:eastAsia="宋体" w:hint="default"/>
                <w:sz w:val="18"/>
                <w:szCs w:val="18"/>
              </w:rPr>
              <w:t>北京朝歌数码科 技股份有限公司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互动电视智能终 端及系统平台的 研发、生产、销 售、运营与服务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Haxis GP</w:t>
            </w:r>
            <w:r>
              <w:rPr>
                <w:rFonts w:ascii="Times New Roman"/>
                <w:spacing w:val="-12"/>
                <w:sz w:val="18"/>
              </w:rPr>
              <w:t> </w:t>
            </w:r>
            <w:r>
              <w:rPr>
                <w:rFonts w:ascii="Times New Roman"/>
                <w:sz w:val="18"/>
              </w:rPr>
              <w:t>Ltd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英属开曼群岛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投资管理及相关 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Haxis Fund I</w:t>
            </w:r>
            <w:r>
              <w:rPr>
                <w:rFonts w:ascii="Times New Roman"/>
                <w:spacing w:val="-6"/>
                <w:sz w:val="18"/>
              </w:rPr>
              <w:t> </w:t>
            </w:r>
            <w:r>
              <w:rPr>
                <w:rFonts w:ascii="Times New Roman"/>
                <w:sz w:val="18"/>
              </w:rPr>
              <w:t>LP</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英属开曼群岛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投资管理及相关 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153"/>
        <w:jc w:val="left"/>
      </w:pPr>
      <w:r>
        <w:rPr/>
        <w:t>在合营企业或联营企业的持股比例不同于表决权比例的说明：无</w:t>
      </w:r>
    </w:p>
    <w:p>
      <w:pPr>
        <w:pStyle w:val="BodyText"/>
        <w:spacing w:line="240" w:lineRule="auto" w:before="115"/>
        <w:ind w:right="153"/>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或以上表决权但不具有重大影响的依据：无</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Haxis GP</w:t>
            </w:r>
            <w:r>
              <w:rPr>
                <w:rFonts w:ascii="Times New Roman"/>
                <w:spacing w:val="-12"/>
                <w:sz w:val="18"/>
              </w:rPr>
              <w:t> </w:t>
            </w:r>
            <w:r>
              <w:rPr>
                <w:rFonts w:ascii="Times New Roman"/>
                <w:sz w:val="18"/>
              </w:rPr>
              <w:t>Ltd</w:t>
            </w: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993" w:right="0"/>
              <w:jc w:val="left"/>
              <w:rPr>
                <w:rFonts w:ascii="Times New Roman" w:hAnsi="Times New Roman" w:cs="Times New Roman" w:eastAsia="Times New Roman" w:hint="default"/>
                <w:sz w:val="18"/>
                <w:szCs w:val="18"/>
              </w:rPr>
            </w:pPr>
            <w:r>
              <w:rPr>
                <w:rFonts w:ascii="Times New Roman"/>
                <w:sz w:val="18"/>
              </w:rPr>
              <w:t>Haxis Fund I</w:t>
            </w:r>
            <w:r>
              <w:rPr>
                <w:rFonts w:ascii="Times New Roman"/>
                <w:spacing w:val="-6"/>
                <w:sz w:val="18"/>
              </w:rPr>
              <w:t> </w:t>
            </w:r>
            <w:r>
              <w:rPr>
                <w:rFonts w:ascii="Times New Roman"/>
                <w:sz w:val="18"/>
              </w:rPr>
              <w:t>LP</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存在公开报价的合营企业权益投资的公 允价值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北京朝歌数码科技股份有限公司</w:t>
            </w: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316,997,114.53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25,725,371.51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342,722,486.04</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137,819,803.26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2,103,804.73</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139,923,607.99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202,798,878.05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42,587,764.39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597,329,596.89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31,759,179.11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281,790.16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32,040,969.27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6"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153"/>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49"/>
        <w:ind w:right="4554"/>
        <w:jc w:val="left"/>
      </w:pPr>
      <w:r>
        <w:rPr/>
        <w:t>在共同经营中的持股比例或享有的份额不同于表决权比例的说明： 共同经营为单独主体的，分类为共同经营的依据：</w:t>
      </w:r>
    </w:p>
    <w:p>
      <w:pPr>
        <w:pStyle w:val="BodyText"/>
        <w:spacing w:line="240" w:lineRule="auto" w:before="29"/>
        <w:ind w:right="15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未纳入合并财务报表范围的结构化主体的相关说明：无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6"/>
      </w:tblGrid>
      <w:tr>
        <w:trPr>
          <w:trHeight w:val="403" w:hRule="exact"/>
        </w:trPr>
        <w:tc>
          <w:tcPr>
            <w:tcW w:w="19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834"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972" w:type="dxa"/>
            <w:vMerge/>
            <w:tcBorders>
              <w:left w:val="single" w:sz="4" w:space="0" w:color="000000"/>
              <w:bottom w:val="nil" w:sz="6" w:space="0" w:color="auto"/>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72" w:type="dxa"/>
            <w:vMerge w:val="restart"/>
            <w:tcBorders>
              <w:top w:val="nil" w:sz="6" w:space="0" w:color="auto"/>
              <w:left w:val="single" w:sz="4" w:space="0" w:color="000000"/>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r>
              <w:rPr>
                <w:rFonts w:ascii="宋体" w:hAnsi="宋体" w:cs="宋体" w:eastAsia="宋体" w:hint="default"/>
                <w:sz w:val="18"/>
                <w:szCs w:val="18"/>
              </w:rPr>
              <w:t> 变动计入当期损益的金 融资产</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6"/>
      </w:tblGrid>
      <w:tr>
        <w:trPr>
          <w:trHeight w:val="675"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2" w:right="148"/>
              <w:jc w:val="left"/>
              <w:rPr>
                <w:rFonts w:ascii="宋体" w:hAnsi="宋体" w:cs="宋体" w:eastAsia="宋体" w:hint="default"/>
                <w:sz w:val="18"/>
                <w:szCs w:val="18"/>
              </w:rPr>
            </w:pPr>
            <w:r>
              <w:rPr>
                <w:rFonts w:ascii="宋体" w:hAnsi="宋体" w:cs="宋体" w:eastAsia="宋体" w:hint="default"/>
                <w:sz w:val="18"/>
                <w:szCs w:val="18"/>
              </w:rPr>
              <w:t>其变动计入当期损益的 金融资产</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（二）可供出售金融资产</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（三）投资性房地产</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出租用的土地使用权</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出租的建筑物</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持有并准备增值后转让 的土地使用权</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（四）生物资产</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消耗性生物资产</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生产性生物资产</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（五）交易性金融负债</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其中：发行的交易性债券</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4"/>
                <w:sz w:val="18"/>
                <w:szCs w:val="18"/>
              </w:rPr>
              <w:t>（六）指定为以公允价值</w:t>
            </w:r>
            <w:r>
              <w:rPr>
                <w:rFonts w:ascii="宋体" w:hAnsi="宋体" w:cs="宋体" w:eastAsia="宋体" w:hint="default"/>
                <w:sz w:val="18"/>
                <w:szCs w:val="18"/>
              </w:rPr>
              <w:t> 计量且变动计入当期损 益的金融负债</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19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2" w:type="dxa"/>
            <w:vMerge/>
            <w:tcBorders>
              <w:left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（一）持有待售资产</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非持续以公允价值计量 的资产总额</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非持续以公允价值计量 的负债总额</w:t>
            </w:r>
          </w:p>
        </w:tc>
        <w:tc>
          <w:tcPr>
            <w:tcW w:w="184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7"/>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深圳市卓翼科技股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深圳市南山区西丽 平山民企科技工业 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488,637,750.00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916" w:right="0"/>
              <w:jc w:val="lef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917"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357" w:lineRule="auto" w:before="49"/>
        <w:ind w:right="7614"/>
        <w:jc w:val="left"/>
      </w:pPr>
      <w:r>
        <w:rPr/>
        <w:t>本企业的母公司情况的说明 无</w:t>
      </w:r>
    </w:p>
    <w:p>
      <w:pPr>
        <w:pStyle w:val="BodyText"/>
        <w:spacing w:line="240" w:lineRule="auto" w:before="29"/>
        <w:ind w:right="153"/>
        <w:jc w:val="left"/>
      </w:pPr>
      <w:r>
        <w:rPr/>
        <w:t>本企业最终控制方是夏传武。</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53"/>
        <w:jc w:val="left"/>
      </w:pPr>
      <w:r>
        <w:rPr/>
        <w:t>其他说明：无</w:t>
      </w:r>
    </w:p>
    <w:p>
      <w:pPr>
        <w:spacing w:line="240" w:lineRule="auto" w:before="0"/>
        <w:rPr>
          <w:rFonts w:ascii="宋体" w:hAnsi="宋体" w:cs="宋体" w:eastAsia="宋体" w:hint="default"/>
          <w:sz w:val="18"/>
          <w:szCs w:val="18"/>
        </w:rPr>
      </w:pPr>
    </w:p>
    <w:p>
      <w:pPr>
        <w:spacing w:line="544" w:lineRule="auto" w:before="120"/>
        <w:ind w:left="152" w:right="58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49"/>
        <w:ind w:right="1314"/>
        <w:jc w:val="left"/>
      </w:pPr>
      <w:r>
        <w:rPr/>
        <w:t>本企业重要的合营或联营企业详见附注附注九</w:t>
      </w:r>
      <w:r>
        <w:rPr>
          <w:rFonts w:ascii="Times New Roman" w:hAnsi="Times New Roman" w:cs="Times New Roman" w:eastAsia="Times New Roman" w:hint="default"/>
        </w:rPr>
        <w:t>.3</w:t>
      </w:r>
      <w:r>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深圳市格兰莫尔寝具用品有限公司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的股权</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徐家斌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控股子公司股东，前任董事</w:t>
            </w:r>
            <w:r>
              <w:rPr>
                <w:rFonts w:ascii="Times New Roman" w:hAnsi="Times New Roman" w:cs="Times New Roman" w:eastAsia="Times New Roman" w:hint="default"/>
                <w:sz w:val="18"/>
                <w:szCs w:val="18"/>
              </w:rPr>
              <w:t>/</w:t>
            </w:r>
            <w:r>
              <w:rPr>
                <w:rFonts w:ascii="宋体" w:hAnsi="宋体" w:cs="宋体" w:eastAsia="宋体" w:hint="default"/>
                <w:sz w:val="18"/>
                <w:szCs w:val="18"/>
              </w:rPr>
              <w:t>高管</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李彤彤</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控股子公司股东</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6"/>
        <w:gridCol w:w="1707"/>
      </w:tblGrid>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6354"/>
        <w:jc w:val="left"/>
      </w:pPr>
      <w:r>
        <w:rPr/>
        <w:t>购销商品、提供和接受劳务的关联交易说明 无</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1"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338" w:lineRule="auto" w:before="49"/>
        <w:ind w:right="521"/>
        <w:jc w:val="left"/>
      </w:pPr>
      <w:r>
        <w:rPr/>
        <w:t>关联托管</w:t>
      </w:r>
      <w:r>
        <w:rPr>
          <w:rFonts w:ascii="Times New Roman" w:hAnsi="Times New Roman" w:cs="Times New Roman" w:eastAsia="Times New Roman" w:hint="default"/>
        </w:rPr>
        <w:t>/</w:t>
      </w:r>
      <w:r>
        <w:rPr/>
        <w:t>承包情况说明 无</w:t>
      </w:r>
    </w:p>
    <w:p>
      <w:pPr>
        <w:pStyle w:val="BodyText"/>
        <w:spacing w:line="240" w:lineRule="auto" w:before="43"/>
        <w:ind w:right="-19"/>
        <w:jc w:val="left"/>
      </w:pPr>
      <w:r>
        <w:rPr/>
        <w:t>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2544" w:space="6285"/>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7"/>
        <w:gridCol w:w="1367"/>
      </w:tblGrid>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87"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91"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49"/>
        <w:ind w:right="7924"/>
        <w:jc w:val="left"/>
      </w:pPr>
      <w:r>
        <w:rPr/>
        <w:t>关联管理</w:t>
      </w:r>
      <w:r>
        <w:rPr>
          <w:rFonts w:ascii="Times New Roman" w:hAnsi="Times New Roman" w:cs="Times New Roman" w:eastAsia="Times New Roman" w:hint="default"/>
        </w:rPr>
        <w:t>/</w:t>
      </w:r>
      <w:r>
        <w:rPr/>
        <w:t>出包情况说明 无</w:t>
      </w:r>
    </w:p>
    <w:p>
      <w:pPr>
        <w:spacing w:line="240" w:lineRule="auto" w:before="7"/>
        <w:rPr>
          <w:rFonts w:ascii="宋体" w:hAnsi="宋体" w:cs="宋体" w:eastAsia="宋体" w:hint="default"/>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3"/>
        <w:jc w:val="left"/>
      </w:pPr>
      <w:r>
        <w:rPr/>
        <w:t>本公司作为出租方：</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本公司作为承租方：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334"/>
        <w:jc w:val="left"/>
      </w:pPr>
      <w:r>
        <w:rPr/>
        <w:t>关联租赁情况说明 无</w:t>
      </w:r>
    </w:p>
    <w:p>
      <w:pPr>
        <w:spacing w:line="240" w:lineRule="auto" w:before="6"/>
        <w:rPr>
          <w:rFonts w:ascii="宋体" w:hAnsi="宋体" w:cs="宋体" w:eastAsia="宋体" w:hint="default"/>
          <w:sz w:val="20"/>
          <w:szCs w:val="20"/>
        </w:rPr>
      </w:pPr>
    </w:p>
    <w:p>
      <w:pPr>
        <w:pStyle w:val="Heading3"/>
        <w:spacing w:line="240" w:lineRule="auto"/>
        <w:ind w:right="15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3"/>
        <w:jc w:val="left"/>
      </w:pPr>
      <w:r>
        <w:rPr/>
        <w:t>本公司作为担保方</w:t>
      </w:r>
    </w:p>
    <w:p>
      <w:pPr>
        <w:pStyle w:val="BodyText"/>
        <w:spacing w:line="240" w:lineRule="auto" w:before="118"/>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深圳市卓翼智造有限公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深圳市卓翼智造有限公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天津卓达科技发展有限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深圳市卓翼智造有限公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53"/>
        <w:jc w:val="left"/>
      </w:pPr>
      <w:r>
        <w:rPr/>
        <w:t>本公司作为被担保方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8334"/>
        <w:jc w:val="left"/>
      </w:pPr>
      <w:r>
        <w:rPr/>
        <w:t>关联担保情况说明 无</w:t>
      </w:r>
    </w:p>
    <w:p>
      <w:pPr>
        <w:spacing w:line="240" w:lineRule="auto" w:before="5"/>
        <w:rPr>
          <w:rFonts w:ascii="宋体" w:hAnsi="宋体" w:cs="宋体" w:eastAsia="宋体" w:hint="default"/>
          <w:sz w:val="20"/>
          <w:szCs w:val="20"/>
        </w:rPr>
      </w:pPr>
    </w:p>
    <w:p>
      <w:pPr>
        <w:pStyle w:val="Heading3"/>
        <w:spacing w:line="240" w:lineRule="auto"/>
        <w:ind w:right="15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t>无</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徐家斌</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6,212,300.00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李彤彤</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6,503,200.00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4"/>
        <w:rPr>
          <w:rFonts w:ascii="宋体" w:hAnsi="宋体" w:cs="宋体" w:eastAsia="宋体" w:hint="default"/>
          <w:sz w:val="25"/>
          <w:szCs w:val="25"/>
        </w:rPr>
      </w:pPr>
    </w:p>
    <w:p>
      <w:pPr>
        <w:pStyle w:val="Heading2"/>
        <w:spacing w:line="240" w:lineRule="auto"/>
        <w:ind w:right="153"/>
        <w:jc w:val="left"/>
        <w:rPr>
          <w:b w:val="0"/>
          <w:bCs w:val="0"/>
        </w:rPr>
      </w:pPr>
      <w:r>
        <w:rPr/>
        <w:t>十三、股份支付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3.85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bl>
    <w:p>
      <w:pPr>
        <w:pStyle w:val="BodyText"/>
        <w:spacing w:line="360" w:lineRule="auto" w:before="49"/>
        <w:ind w:right="90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71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本公司授予的股份期权采用授予日限制性股票的公允价值 定价</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预计可行权人数</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11,260,520.76</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-535,605.75</w:t>
            </w:r>
          </w:p>
        </w:tc>
      </w:tr>
    </w:tbl>
    <w:p>
      <w:pPr>
        <w:pStyle w:val="BodyText"/>
        <w:spacing w:line="240" w:lineRule="auto" w:before="49"/>
        <w:ind w:right="153"/>
        <w:jc w:val="left"/>
      </w:pPr>
      <w:r>
        <w:rPr/>
        <w:t>其他说明</w:t>
      </w:r>
    </w:p>
    <w:p>
      <w:pPr>
        <w:pStyle w:val="BodyText"/>
        <w:spacing w:line="300" w:lineRule="auto" w:before="117"/>
        <w:ind w:right="153" w:firstLine="360"/>
        <w:jc w:val="left"/>
      </w:pPr>
      <w:r>
        <w:rPr>
          <w:spacing w:val="-2"/>
        </w:rPr>
        <w:t>根据</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日召开的公司第三届董事会第七次会议、</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19</w:t>
      </w:r>
      <w:r>
        <w:rPr>
          <w:spacing w:val="-2"/>
        </w:rPr>
        <w:t>日召开的公司</w:t>
      </w:r>
      <w:r>
        <w:rPr>
          <w:rFonts w:ascii="Times New Roman" w:hAnsi="Times New Roman" w:cs="Times New Roman" w:eastAsia="Times New Roman" w:hint="default"/>
          <w:spacing w:val="-2"/>
        </w:rPr>
        <w:t>2014</w:t>
      </w:r>
      <w:r>
        <w:rPr>
          <w:spacing w:val="-2"/>
        </w:rPr>
        <w:t>年第一次临时股东大会审议通</w:t>
      </w:r>
      <w:r>
        <w:rPr/>
        <w:t> </w:t>
      </w:r>
      <w:r>
        <w:rPr>
          <w:spacing w:val="-1"/>
        </w:rPr>
        <w:t>过的《关于</w:t>
      </w:r>
      <w:r>
        <w:rPr>
          <w:rFonts w:ascii="Times New Roman" w:hAnsi="Times New Roman" w:cs="Times New Roman" w:eastAsia="Times New Roman" w:hint="default"/>
          <w:spacing w:val="-1"/>
        </w:rPr>
        <w:t>&lt;</w:t>
      </w:r>
      <w:r>
        <w:rPr>
          <w:spacing w:val="-1"/>
        </w:rPr>
        <w:t>深圳市卓翼科技股份有限公司限制性股票激励计划（草案修订稿）</w:t>
      </w:r>
      <w:r>
        <w:rPr>
          <w:rFonts w:ascii="Times New Roman" w:hAnsi="Times New Roman" w:cs="Times New Roman" w:eastAsia="Times New Roman" w:hint="default"/>
          <w:spacing w:val="-1"/>
        </w:rPr>
        <w:t>&gt;</w:t>
      </w:r>
      <w:r>
        <w:rPr>
          <w:spacing w:val="-1"/>
        </w:rPr>
        <w:t>及其摘要的议案》，</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28</w:t>
      </w:r>
      <w:r>
        <w:rPr>
          <w:spacing w:val="-1"/>
        </w:rPr>
        <w:t>日召开的</w:t>
      </w:r>
      <w:r>
        <w:rPr>
          <w:spacing w:val="-49"/>
        </w:rPr>
        <w:t> </w:t>
      </w:r>
      <w:r>
        <w:rPr/>
        <w:t>第三届董事会第八次会议审议通过的《关于对</w:t>
      </w:r>
      <w:r>
        <w:rPr>
          <w:rFonts w:ascii="Times New Roman" w:hAnsi="Times New Roman" w:cs="Times New Roman" w:eastAsia="Times New Roman" w:hint="default"/>
        </w:rPr>
        <w:t>&lt;</w:t>
      </w:r>
      <w:r>
        <w:rPr/>
        <w:t>深圳市卓翼科技股份有限公司限制性股票激励计划（草案修订稿）</w:t>
      </w:r>
      <w:r>
        <w:rPr>
          <w:rFonts w:ascii="Times New Roman" w:hAnsi="Times New Roman" w:cs="Times New Roman" w:eastAsia="Times New Roman" w:hint="default"/>
        </w:rPr>
        <w:t>&gt;</w:t>
      </w:r>
      <w:r>
        <w:rPr/>
        <w:t>及其摘 要进行调整的议案》，激励计划的具体内容、实施情况以及成本费用的确认情况如下：</w:t>
      </w:r>
    </w:p>
    <w:p>
      <w:pPr>
        <w:pStyle w:val="BodyText"/>
        <w:spacing w:line="240" w:lineRule="auto" w:before="31"/>
        <w:ind w:left="513" w:right="153"/>
        <w:jc w:val="left"/>
      </w:pPr>
      <w:r>
        <w:rPr>
          <w:rFonts w:ascii="Times New Roman" w:hAnsi="Times New Roman" w:cs="Times New Roman" w:eastAsia="Times New Roman" w:hint="default"/>
        </w:rPr>
        <w:t>1</w:t>
      </w:r>
      <w:r>
        <w:rPr/>
        <w:t>、计划具体内容</w:t>
      </w:r>
    </w:p>
    <w:p>
      <w:pPr>
        <w:pStyle w:val="BodyText"/>
        <w:spacing w:line="300" w:lineRule="auto" w:before="63"/>
        <w:ind w:right="144" w:firstLine="360"/>
        <w:jc w:val="left"/>
      </w:pPr>
      <w:r>
        <w:rPr/>
        <w:t>（</w:t>
      </w:r>
      <w:r>
        <w:rPr>
          <w:rFonts w:ascii="Times New Roman" w:hAnsi="Times New Roman" w:cs="Times New Roman" w:eastAsia="Times New Roman" w:hint="default"/>
        </w:rPr>
        <w:t>1</w:t>
      </w:r>
      <w:r>
        <w:rPr/>
        <w:t>）计划采用的激励形式为限制性股票激励计划，股票来源为本公司向激励对象定向发行新股。首次激励对象拟包括 公司董事、高级管理人员、中层管理人员以及公司认定的核心技术（业务）人员共</w:t>
      </w:r>
      <w:r>
        <w:rPr>
          <w:rFonts w:ascii="Times New Roman" w:hAnsi="Times New Roman" w:cs="Times New Roman" w:eastAsia="Times New Roman" w:hint="default"/>
        </w:rPr>
        <w:t>104</w:t>
      </w:r>
      <w:r>
        <w:rPr/>
        <w:t>人。</w:t>
      </w:r>
    </w:p>
    <w:p>
      <w:pPr>
        <w:pStyle w:val="BodyText"/>
        <w:spacing w:line="300" w:lineRule="auto" w:before="13"/>
        <w:ind w:left="513" w:right="0"/>
        <w:jc w:val="left"/>
      </w:pPr>
      <w:r>
        <w:rPr/>
        <w:t>（</w:t>
      </w:r>
      <w:r>
        <w:rPr>
          <w:rFonts w:ascii="Times New Roman" w:hAnsi="Times New Roman" w:cs="Times New Roman" w:eastAsia="Times New Roman" w:hint="default"/>
        </w:rPr>
        <w:t>2</w:t>
      </w:r>
      <w:r>
        <w:rPr/>
        <w:t>）限制性股票激励计划 </w:t>
      </w:r>
      <w:r>
        <w:rPr>
          <w:spacing w:val="-1"/>
        </w:rPr>
        <w:t>计划拟授予的限制性股票总数为</w:t>
      </w:r>
      <w:r>
        <w:rPr>
          <w:rFonts w:ascii="Times New Roman" w:hAnsi="Times New Roman" w:cs="Times New Roman" w:eastAsia="Times New Roman" w:hint="default"/>
          <w:spacing w:val="-1"/>
        </w:rPr>
        <w:t>1,344.10</w:t>
      </w:r>
      <w:r>
        <w:rPr>
          <w:spacing w:val="-1"/>
        </w:rPr>
        <w:t>万股，其中首次授予</w:t>
      </w:r>
      <w:r>
        <w:rPr>
          <w:rFonts w:ascii="Times New Roman" w:hAnsi="Times New Roman" w:cs="Times New Roman" w:eastAsia="Times New Roman" w:hint="default"/>
          <w:spacing w:val="-1"/>
        </w:rPr>
        <w:t>1,198.10</w:t>
      </w:r>
      <w:r>
        <w:rPr>
          <w:spacing w:val="-1"/>
        </w:rPr>
        <w:t>万股限制性股票，预留</w:t>
      </w:r>
      <w:r>
        <w:rPr>
          <w:rFonts w:ascii="Times New Roman" w:hAnsi="Times New Roman" w:cs="Times New Roman" w:eastAsia="Times New Roman" w:hint="default"/>
          <w:spacing w:val="-1"/>
        </w:rPr>
        <w:t>146.00</w:t>
      </w:r>
      <w:r>
        <w:rPr>
          <w:spacing w:val="-1"/>
        </w:rPr>
        <w:t>万股限制性股票。每</w:t>
      </w:r>
    </w:p>
    <w:p>
      <w:pPr>
        <w:pStyle w:val="BodyText"/>
        <w:spacing w:line="240" w:lineRule="auto" w:before="13"/>
        <w:ind w:right="153"/>
        <w:jc w:val="left"/>
      </w:pPr>
      <w:r>
        <w:rPr/>
        <w:t>份限制性股票在满足获授条件的情况下，拥有在有效期内以获授价格获授</w:t>
      </w:r>
      <w:r>
        <w:rPr>
          <w:rFonts w:ascii="Times New Roman" w:hAnsi="Times New Roman" w:cs="Times New Roman" w:eastAsia="Times New Roman" w:hint="default"/>
        </w:rPr>
        <w:t>1</w:t>
      </w:r>
      <w:r>
        <w:rPr/>
        <w:t>股公司股票的权利。</w:t>
      </w:r>
    </w:p>
    <w:p>
      <w:pPr>
        <w:pStyle w:val="BodyText"/>
        <w:spacing w:line="240" w:lineRule="auto" w:before="63"/>
        <w:ind w:left="513" w:right="153"/>
        <w:jc w:val="left"/>
      </w:pPr>
      <w:r>
        <w:rPr/>
        <w:t>（</w:t>
      </w:r>
      <w:r>
        <w:rPr>
          <w:rFonts w:ascii="Times New Roman" w:hAnsi="Times New Roman" w:cs="Times New Roman" w:eastAsia="Times New Roman" w:hint="default"/>
        </w:rPr>
        <w:t>3</w:t>
      </w:r>
      <w:r>
        <w:rPr/>
        <w:t>）激励计划首次授予的限制性股票的授予价格为</w:t>
      </w:r>
      <w:r>
        <w:rPr>
          <w:rFonts w:ascii="Times New Roman" w:hAnsi="Times New Roman" w:cs="Times New Roman" w:eastAsia="Times New Roman" w:hint="default"/>
        </w:rPr>
        <w:t>3.85</w:t>
      </w:r>
      <w:r>
        <w:rPr/>
        <w:t>元</w:t>
      </w:r>
      <w:r>
        <w:rPr>
          <w:rFonts w:ascii="Times New Roman" w:hAnsi="Times New Roman" w:cs="Times New Roman" w:eastAsia="Times New Roman" w:hint="default"/>
        </w:rPr>
        <w:t>/</w:t>
      </w:r>
      <w:r>
        <w:rPr/>
        <w:t>股。激励计划有效期为自首次授予之日起不超过五年。</w:t>
      </w:r>
    </w:p>
    <w:p>
      <w:pPr>
        <w:pStyle w:val="BodyText"/>
        <w:spacing w:line="300" w:lineRule="auto" w:before="63"/>
        <w:ind w:right="151" w:firstLine="365"/>
        <w:jc w:val="both"/>
      </w:pPr>
      <w:r>
        <w:rPr/>
        <w:t>（</w:t>
      </w:r>
      <w:r>
        <w:rPr>
          <w:rFonts w:ascii="Times New Roman" w:hAnsi="Times New Roman" w:cs="Times New Roman" w:eastAsia="Times New Roman" w:hint="default"/>
        </w:rPr>
        <w:t>4</w:t>
      </w:r>
      <w:r>
        <w:rPr/>
        <w:t>）激励计划首次授予激励对象的限制性股票分三期解锁，第一次解锁期自首次授予日起满</w:t>
      </w:r>
      <w:r>
        <w:rPr>
          <w:rFonts w:ascii="Times New Roman" w:hAnsi="Times New Roman" w:cs="Times New Roman" w:eastAsia="Times New Roman" w:hint="default"/>
        </w:rPr>
        <w:t>12</w:t>
      </w:r>
      <w:r>
        <w:rPr/>
        <w:t>个月后的首个交易日起 </w:t>
      </w:r>
      <w:r>
        <w:rPr>
          <w:spacing w:val="-1"/>
        </w:rPr>
        <w:t>至首次授予日起</w:t>
      </w:r>
      <w:r>
        <w:rPr>
          <w:rFonts w:ascii="Times New Roman" w:hAnsi="Times New Roman" w:cs="Times New Roman" w:eastAsia="Times New Roman" w:hint="default"/>
          <w:spacing w:val="-1"/>
        </w:rPr>
        <w:t>24</w:t>
      </w:r>
      <w:r>
        <w:rPr>
          <w:spacing w:val="-1"/>
        </w:rPr>
        <w:t>个月内的最后一个交易日止，可解锁数量占限制性股票数量比例的</w:t>
      </w:r>
      <w:r>
        <w:rPr>
          <w:rFonts w:ascii="Times New Roman" w:hAnsi="Times New Roman" w:cs="Times New Roman" w:eastAsia="Times New Roman" w:hint="default"/>
          <w:spacing w:val="-1"/>
        </w:rPr>
        <w:t>25%</w:t>
      </w:r>
      <w:r>
        <w:rPr>
          <w:spacing w:val="-1"/>
        </w:rPr>
        <w:t>；第二次解锁期自首次授予日起满</w:t>
      </w:r>
      <w:r>
        <w:rPr>
          <w:spacing w:val="-88"/>
        </w:rPr>
        <w:t> </w:t>
      </w:r>
      <w:r>
        <w:rPr>
          <w:spacing w:val="-88"/>
        </w:rPr>
      </w:r>
      <w:r>
        <w:rPr>
          <w:rFonts w:ascii="Times New Roman" w:hAnsi="Times New Roman" w:cs="Times New Roman" w:eastAsia="Times New Roman" w:hint="default"/>
          <w:spacing w:val="-1"/>
        </w:rPr>
        <w:t>24</w:t>
      </w:r>
      <w:r>
        <w:rPr>
          <w:spacing w:val="-1"/>
        </w:rPr>
        <w:t>个月后的首个交易日起至首次授予日起</w:t>
      </w:r>
      <w:r>
        <w:rPr>
          <w:rFonts w:ascii="Times New Roman" w:hAnsi="Times New Roman" w:cs="Times New Roman" w:eastAsia="Times New Roman" w:hint="default"/>
          <w:spacing w:val="-1"/>
        </w:rPr>
        <w:t>36</w:t>
      </w:r>
      <w:r>
        <w:rPr>
          <w:spacing w:val="-1"/>
        </w:rPr>
        <w:t>个月内的最后一个交易日止，可解锁数量占限制性股票数量比例的</w:t>
      </w:r>
      <w:r>
        <w:rPr>
          <w:rFonts w:ascii="Times New Roman" w:hAnsi="Times New Roman" w:cs="Times New Roman" w:eastAsia="Times New Roman" w:hint="default"/>
          <w:spacing w:val="-1"/>
        </w:rPr>
        <w:t>40%</w:t>
      </w:r>
      <w:r>
        <w:rPr>
          <w:spacing w:val="-1"/>
        </w:rPr>
        <w:t>；第三次</w:t>
      </w:r>
      <w:r>
        <w:rPr>
          <w:spacing w:val="-88"/>
        </w:rPr>
        <w:t> </w:t>
      </w:r>
      <w:r>
        <w:rPr>
          <w:spacing w:val="-88"/>
        </w:rPr>
      </w:r>
      <w:r>
        <w:rPr>
          <w:spacing w:val="-2"/>
        </w:rPr>
        <w:t>解锁期自首次授予日起满</w:t>
      </w:r>
      <w:r>
        <w:rPr>
          <w:rFonts w:ascii="Times New Roman" w:hAnsi="Times New Roman" w:cs="Times New Roman" w:eastAsia="Times New Roman" w:hint="default"/>
          <w:spacing w:val="-2"/>
        </w:rPr>
        <w:t>36</w:t>
      </w:r>
      <w:r>
        <w:rPr>
          <w:spacing w:val="-2"/>
        </w:rPr>
        <w:t>个月后的首个交易日起至首次授予日起</w:t>
      </w:r>
      <w:r>
        <w:rPr>
          <w:rFonts w:ascii="Times New Roman" w:hAnsi="Times New Roman" w:cs="Times New Roman" w:eastAsia="Times New Roman" w:hint="default"/>
          <w:spacing w:val="-2"/>
        </w:rPr>
        <w:t>48</w:t>
      </w:r>
      <w:r>
        <w:rPr>
          <w:spacing w:val="-2"/>
        </w:rPr>
        <w:t>个月内的最后一个交易日止，可解锁数量占限制性股票</w:t>
      </w:r>
      <w:r>
        <w:rPr>
          <w:spacing w:val="-62"/>
        </w:rPr>
        <w:t> </w:t>
      </w:r>
      <w:r>
        <w:rPr>
          <w:spacing w:val="-62"/>
        </w:rPr>
      </w:r>
      <w:r>
        <w:rPr/>
        <w:t>数量比例的</w:t>
      </w:r>
      <w:r>
        <w:rPr>
          <w:rFonts w:ascii="Times New Roman" w:hAnsi="Times New Roman" w:cs="Times New Roman" w:eastAsia="Times New Roman" w:hint="default"/>
        </w:rPr>
        <w:t>35%</w:t>
      </w:r>
      <w:r>
        <w:rPr/>
        <w:t>。</w:t>
      </w:r>
    </w:p>
    <w:p>
      <w:pPr>
        <w:pStyle w:val="BodyText"/>
        <w:spacing w:line="300" w:lineRule="auto" w:before="13"/>
        <w:ind w:left="513" w:right="142" w:firstLine="4"/>
        <w:jc w:val="left"/>
      </w:pPr>
      <w:r>
        <w:rPr/>
        <w:t>（</w:t>
      </w:r>
      <w:r>
        <w:rPr>
          <w:rFonts w:ascii="Times New Roman" w:hAnsi="Times New Roman" w:cs="Times New Roman" w:eastAsia="Times New Roman" w:hint="default"/>
        </w:rPr>
        <w:t>5</w:t>
      </w:r>
      <w:r>
        <w:rPr/>
        <w:t>）主要解锁条件 </w:t>
      </w:r>
      <w:r>
        <w:rPr>
          <w:spacing w:val="-1"/>
        </w:rPr>
        <w:t>授予限制性股票各期的解锁条件：第一次解锁期为以</w:t>
      </w:r>
      <w:r>
        <w:rPr>
          <w:rFonts w:ascii="Times New Roman" w:hAnsi="Times New Roman" w:cs="Times New Roman" w:eastAsia="Times New Roman" w:hint="default"/>
          <w:spacing w:val="-1"/>
        </w:rPr>
        <w:t>2013</w:t>
      </w:r>
      <w:r>
        <w:rPr>
          <w:spacing w:val="-1"/>
        </w:rPr>
        <w:t>年为基数，</w:t>
      </w:r>
      <w:r>
        <w:rPr>
          <w:rFonts w:ascii="Times New Roman" w:hAnsi="Times New Roman" w:cs="Times New Roman" w:eastAsia="Times New Roman" w:hint="default"/>
          <w:spacing w:val="-1"/>
        </w:rPr>
        <w:t>2014</w:t>
      </w:r>
      <w:r>
        <w:rPr>
          <w:spacing w:val="-1"/>
        </w:rPr>
        <w:t>年营业收入增长率不低于</w:t>
      </w:r>
      <w:r>
        <w:rPr>
          <w:rFonts w:ascii="Times New Roman" w:hAnsi="Times New Roman" w:cs="Times New Roman" w:eastAsia="Times New Roman" w:hint="default"/>
          <w:spacing w:val="-1"/>
        </w:rPr>
        <w:t>20%</w:t>
      </w:r>
      <w:r>
        <w:rPr>
          <w:spacing w:val="-1"/>
        </w:rPr>
        <w:t>，以</w:t>
      </w:r>
      <w:r>
        <w:rPr>
          <w:rFonts w:ascii="Times New Roman" w:hAnsi="Times New Roman" w:cs="Times New Roman" w:eastAsia="Times New Roman" w:hint="default"/>
          <w:spacing w:val="-1"/>
        </w:rPr>
        <w:t>2013</w:t>
      </w:r>
      <w:r>
        <w:rPr>
          <w:spacing w:val="-1"/>
        </w:rPr>
        <w:t>年净利</w:t>
      </w:r>
    </w:p>
    <w:p>
      <w:pPr>
        <w:pStyle w:val="BodyText"/>
        <w:spacing w:line="300" w:lineRule="auto" w:before="13"/>
        <w:ind w:right="127"/>
        <w:jc w:val="both"/>
      </w:pPr>
      <w:r>
        <w:rPr>
          <w:spacing w:val="-4"/>
        </w:rPr>
        <w:t>润为基数，</w:t>
      </w:r>
      <w:r>
        <w:rPr>
          <w:rFonts w:ascii="Times New Roman" w:hAnsi="Times New Roman" w:cs="Times New Roman" w:eastAsia="Times New Roman" w:hint="default"/>
          <w:spacing w:val="-4"/>
        </w:rPr>
        <w:t>2014</w:t>
      </w:r>
      <w:r>
        <w:rPr>
          <w:spacing w:val="-4"/>
        </w:rPr>
        <w:t>年净利润增长率不低于</w:t>
      </w:r>
      <w:r>
        <w:rPr>
          <w:rFonts w:ascii="Times New Roman" w:hAnsi="Times New Roman" w:cs="Times New Roman" w:eastAsia="Times New Roman" w:hint="default"/>
          <w:spacing w:val="-4"/>
        </w:rPr>
        <w:t>10%</w:t>
      </w:r>
      <w:r>
        <w:rPr>
          <w:spacing w:val="-4"/>
        </w:rPr>
        <w:t>；第二次解锁期为以</w:t>
      </w:r>
      <w:r>
        <w:rPr>
          <w:rFonts w:ascii="Times New Roman" w:hAnsi="Times New Roman" w:cs="Times New Roman" w:eastAsia="Times New Roman" w:hint="default"/>
          <w:spacing w:val="-4"/>
        </w:rPr>
        <w:t>2013</w:t>
      </w:r>
      <w:r>
        <w:rPr>
          <w:spacing w:val="-4"/>
        </w:rPr>
        <w:t>年为基数，</w:t>
      </w:r>
      <w:r>
        <w:rPr>
          <w:rFonts w:ascii="Times New Roman" w:hAnsi="Times New Roman" w:cs="Times New Roman" w:eastAsia="Times New Roman" w:hint="default"/>
          <w:spacing w:val="-4"/>
        </w:rPr>
        <w:t>2015</w:t>
      </w:r>
      <w:r>
        <w:rPr>
          <w:spacing w:val="-4"/>
        </w:rPr>
        <w:t>年营业收入增长率不低于</w:t>
      </w:r>
      <w:r>
        <w:rPr>
          <w:rFonts w:ascii="Times New Roman" w:hAnsi="Times New Roman" w:cs="Times New Roman" w:eastAsia="Times New Roman" w:hint="default"/>
          <w:spacing w:val="-4"/>
        </w:rPr>
        <w:t>40%</w:t>
      </w:r>
      <w:r>
        <w:rPr>
          <w:spacing w:val="-4"/>
        </w:rPr>
        <w:t>，且以</w:t>
      </w:r>
      <w:r>
        <w:rPr>
          <w:rFonts w:ascii="Times New Roman" w:hAnsi="Times New Roman" w:cs="Times New Roman" w:eastAsia="Times New Roman" w:hint="default"/>
          <w:spacing w:val="-4"/>
        </w:rPr>
        <w:t>2013</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年净利润为基数，</w:t>
      </w:r>
      <w:r>
        <w:rPr>
          <w:rFonts w:ascii="Times New Roman" w:hAnsi="Times New Roman" w:cs="Times New Roman" w:eastAsia="Times New Roman" w:hint="default"/>
        </w:rPr>
        <w:t>2015</w:t>
      </w:r>
      <w:r>
        <w:rPr/>
        <w:t>年净利润增长率不低于</w:t>
      </w:r>
      <w:r>
        <w:rPr>
          <w:rFonts w:ascii="Times New Roman" w:hAnsi="Times New Roman" w:cs="Times New Roman" w:eastAsia="Times New Roman" w:hint="default"/>
        </w:rPr>
        <w:t>20%</w:t>
      </w:r>
      <w:r>
        <w:rPr/>
        <w:t>；第三次解锁期为以</w:t>
      </w:r>
      <w:r>
        <w:rPr>
          <w:rFonts w:ascii="Times New Roman" w:hAnsi="Times New Roman" w:cs="Times New Roman" w:eastAsia="Times New Roman" w:hint="default"/>
        </w:rPr>
        <w:t>2013</w:t>
      </w:r>
      <w:r>
        <w:rPr/>
        <w:t>年为基数，</w:t>
      </w:r>
      <w:r>
        <w:rPr>
          <w:rFonts w:ascii="Times New Roman" w:hAnsi="Times New Roman" w:cs="Times New Roman" w:eastAsia="Times New Roman" w:hint="default"/>
        </w:rPr>
        <w:t>2016</w:t>
      </w:r>
      <w:r>
        <w:rPr/>
        <w:t>年营业收入增长率不低于</w:t>
      </w:r>
      <w:r>
        <w:rPr>
          <w:rFonts w:ascii="Times New Roman" w:hAnsi="Times New Roman" w:cs="Times New Roman" w:eastAsia="Times New Roman" w:hint="default"/>
        </w:rPr>
        <w:t>60%</w:t>
      </w:r>
      <w:r>
        <w:rPr/>
        <w:t>， 且以</w:t>
      </w:r>
      <w:r>
        <w:rPr>
          <w:rFonts w:ascii="Times New Roman" w:hAnsi="Times New Roman" w:cs="Times New Roman" w:eastAsia="Times New Roman" w:hint="default"/>
        </w:rPr>
        <w:t>2013</w:t>
      </w:r>
      <w:r>
        <w:rPr/>
        <w:t>年净利润为基数，</w:t>
      </w:r>
      <w:r>
        <w:rPr>
          <w:rFonts w:ascii="Times New Roman" w:hAnsi="Times New Roman" w:cs="Times New Roman" w:eastAsia="Times New Roman" w:hint="default"/>
        </w:rPr>
        <w:t>2016</w:t>
      </w:r>
      <w:r>
        <w:rPr/>
        <w:t>年净利润增长率不低于</w:t>
      </w:r>
      <w:r>
        <w:rPr>
          <w:rFonts w:ascii="Times New Roman" w:hAnsi="Times New Roman" w:cs="Times New Roman" w:eastAsia="Times New Roman" w:hint="default"/>
        </w:rPr>
        <w:t>30%</w:t>
      </w:r>
      <w:r>
        <w:rPr/>
        <w:t>。</w:t>
      </w:r>
    </w:p>
    <w:p>
      <w:pPr>
        <w:pStyle w:val="BodyText"/>
        <w:spacing w:line="300" w:lineRule="auto" w:before="13"/>
        <w:ind w:left="513" w:right="143" w:firstLine="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、计划的实施情况 限制性股票的首次授予日为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日，实际授予的限制性股票为</w:t>
      </w:r>
      <w:r>
        <w:rPr>
          <w:rFonts w:ascii="Times New Roman" w:hAnsi="Times New Roman" w:cs="Times New Roman" w:eastAsia="Times New Roman" w:hint="default"/>
        </w:rPr>
        <w:t>1,198.10</w:t>
      </w:r>
      <w:r>
        <w:rPr/>
        <w:t>万股；实际认购的限制性股票为</w:t>
      </w:r>
      <w:r>
        <w:rPr>
          <w:rFonts w:ascii="Times New Roman" w:hAnsi="Times New Roman" w:cs="Times New Roman" w:eastAsia="Times New Roman" w:hint="default"/>
        </w:rPr>
        <w:t>1,198.10</w:t>
      </w:r>
    </w:p>
    <w:p>
      <w:pPr>
        <w:pStyle w:val="BodyText"/>
        <w:spacing w:line="240" w:lineRule="auto" w:before="13"/>
        <w:ind w:right="153"/>
        <w:jc w:val="left"/>
      </w:pPr>
      <w:r>
        <w:rPr/>
        <w:t>万股。</w:t>
      </w:r>
    </w:p>
    <w:p>
      <w:pPr>
        <w:pStyle w:val="BodyText"/>
        <w:spacing w:line="240" w:lineRule="auto" w:before="76"/>
        <w:ind w:left="513" w:right="153"/>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日，本公司完成了限制性股票授予的股权登记工作。</w:t>
      </w:r>
    </w:p>
    <w:p>
      <w:pPr>
        <w:pStyle w:val="BodyText"/>
        <w:spacing w:line="300" w:lineRule="auto" w:before="63"/>
        <w:ind w:left="513" w:right="133" w:firstLine="67"/>
        <w:jc w:val="left"/>
      </w:pPr>
      <w:r>
        <w:rPr>
          <w:rFonts w:ascii="Times New Roman" w:hAnsi="Times New Roman" w:cs="Times New Roman" w:eastAsia="Times New Roman" w:hint="default"/>
        </w:rPr>
        <w:t>3</w:t>
      </w:r>
      <w:r>
        <w:rPr/>
        <w:t>、确认的成本费用 公司首次授予激励对象的限制性股票数量为</w:t>
      </w:r>
      <w:r>
        <w:rPr>
          <w:rFonts w:ascii="Times New Roman" w:hAnsi="Times New Roman" w:cs="Times New Roman" w:eastAsia="Times New Roman" w:hint="default"/>
        </w:rPr>
        <w:t>1,198.10</w:t>
      </w:r>
      <w:r>
        <w:rPr/>
        <w:t>万股，行权价格为</w:t>
      </w:r>
      <w:r>
        <w:rPr>
          <w:rFonts w:ascii="Times New Roman" w:hAnsi="Times New Roman" w:cs="Times New Roman" w:eastAsia="Times New Roman" w:hint="default"/>
        </w:rPr>
        <w:t>3.85</w:t>
      </w:r>
      <w:r>
        <w:rPr/>
        <w:t>元</w:t>
      </w:r>
      <w:r>
        <w:rPr>
          <w:rFonts w:ascii="Times New Roman" w:hAnsi="Times New Roman" w:cs="Times New Roman" w:eastAsia="Times New Roman" w:hint="default"/>
        </w:rPr>
        <w:t>/</w:t>
      </w:r>
      <w:r>
        <w:rPr/>
        <w:t>股，授予日股票价格为</w:t>
      </w:r>
      <w:r>
        <w:rPr>
          <w:rFonts w:ascii="Times New Roman" w:hAnsi="Times New Roman" w:cs="Times New Roman" w:eastAsia="Times New Roman" w:hint="default"/>
        </w:rPr>
        <w:t>9.18</w:t>
      </w:r>
      <w:r>
        <w:rPr/>
        <w:t>元</w:t>
      </w:r>
      <w:r>
        <w:rPr>
          <w:rFonts w:ascii="Times New Roman" w:hAnsi="Times New Roman" w:cs="Times New Roman" w:eastAsia="Times New Roman" w:hint="default"/>
        </w:rPr>
        <w:t>/</w:t>
      </w:r>
      <w:r>
        <w:rPr/>
        <w:t>股，按照授</w:t>
      </w:r>
    </w:p>
    <w:p>
      <w:pPr>
        <w:pStyle w:val="BodyText"/>
        <w:spacing w:line="300" w:lineRule="auto" w:before="13"/>
        <w:ind w:right="0"/>
        <w:jc w:val="left"/>
      </w:pPr>
      <w:r>
        <w:rPr/>
        <w:t>予日限制性股票的公允价值总额超出授予价格总额部分应确认的总费用为</w:t>
      </w:r>
      <w:r>
        <w:rPr>
          <w:rFonts w:ascii="Times New Roman" w:hAnsi="Times New Roman" w:cs="Times New Roman" w:eastAsia="Times New Roman" w:hint="default"/>
        </w:rPr>
        <w:t>63,858,730.00</w:t>
      </w:r>
      <w:r>
        <w:rPr/>
        <w:t>元。</w:t>
      </w:r>
      <w:r>
        <w:rPr>
          <w:spacing w:val="-3"/>
        </w:rPr>
        <w:t> </w:t>
      </w:r>
      <w:r>
        <w:rPr>
          <w:spacing w:val="-2"/>
        </w:rPr>
        <w:t>股权激励计划应确认的费用在等待期内按会计期间内等待期长度占整个等待期长度的比例进行费用分摊。截止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11"/>
        </w:rPr>
        <w:t> </w:t>
      </w:r>
      <w:r>
        <w:rPr/>
        <w:t>日，公司累计已确认的费用</w:t>
      </w:r>
      <w:r>
        <w:rPr>
          <w:rFonts w:ascii="Times New Roman" w:hAnsi="Times New Roman" w:cs="Times New Roman" w:eastAsia="Times New Roman" w:hint="default"/>
        </w:rPr>
        <w:t>11,260,520.76</w:t>
      </w:r>
      <w:r>
        <w:rPr/>
        <w:t>元，其中</w:t>
      </w:r>
      <w:r>
        <w:rPr>
          <w:rFonts w:ascii="Times New Roman" w:hAnsi="Times New Roman" w:cs="Times New Roman" w:eastAsia="Times New Roman" w:hint="default"/>
        </w:rPr>
        <w:t>2015</w:t>
      </w:r>
      <w:r>
        <w:rPr/>
        <w:t>年度确认的费用为</w:t>
      </w:r>
      <w:r>
        <w:rPr>
          <w:rFonts w:ascii="Times New Roman" w:hAnsi="Times New Roman" w:cs="Times New Roman" w:eastAsia="Times New Roman" w:hint="default"/>
        </w:rPr>
        <w:t>(535,605.75)</w:t>
      </w:r>
      <w:r>
        <w:rPr/>
        <w:t>元。</w:t>
      </w:r>
    </w:p>
    <w:p>
      <w:pPr>
        <w:spacing w:line="240" w:lineRule="auto" w:before="4"/>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44" w:firstLine="360"/>
        <w:jc w:val="left"/>
      </w:pPr>
      <w:r>
        <w:rPr>
          <w:rFonts w:ascii="Times New Roman" w:hAnsi="Times New Roman" w:cs="Times New Roman" w:eastAsia="Times New Roman" w:hint="default"/>
        </w:rPr>
        <w:t>1</w:t>
      </w:r>
      <w:r>
        <w:rPr/>
        <w:t>、根据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日第三届董事会第十二次会议决议，同意本公司回购注销未达到第一期解锁条件及部分已不符合激 励条件的激励对象已获授但未解锁的限制性股票</w:t>
      </w:r>
      <w:r>
        <w:rPr>
          <w:rFonts w:ascii="Times New Roman" w:hAnsi="Times New Roman" w:cs="Times New Roman" w:eastAsia="Times New Roman" w:hint="default"/>
        </w:rPr>
        <w:t>3,032,750</w:t>
      </w:r>
      <w:r>
        <w:rPr/>
        <w:t>股。</w:t>
      </w:r>
    </w:p>
    <w:p>
      <w:pPr>
        <w:pStyle w:val="BodyText"/>
        <w:spacing w:line="300" w:lineRule="auto" w:before="13"/>
        <w:ind w:right="0" w:firstLine="360"/>
        <w:jc w:val="left"/>
      </w:pPr>
      <w:r>
        <w:rPr>
          <w:rFonts w:ascii="Times New Roman" w:hAnsi="Times New Roman" w:cs="Times New Roman" w:eastAsia="Times New Roman" w:hint="default"/>
          <w:spacing w:val="-2"/>
        </w:rPr>
        <w:t>2</w:t>
      </w:r>
      <w:r>
        <w:rPr>
          <w:spacing w:val="-2"/>
        </w:rPr>
        <w:t>、根据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27</w:t>
      </w:r>
      <w:r>
        <w:rPr>
          <w:spacing w:val="-2"/>
        </w:rPr>
        <w:t>日第三届董事会第十六次会议决议，同意本公司回购注销已不符合激励条件的激励对象已获授但未</w:t>
      </w:r>
      <w:r>
        <w:rPr/>
        <w:t> 解锁的限制性股票</w:t>
      </w:r>
      <w:r>
        <w:rPr>
          <w:rFonts w:ascii="Times New Roman" w:hAnsi="Times New Roman" w:cs="Times New Roman" w:eastAsia="Times New Roman" w:hint="default"/>
        </w:rPr>
        <w:t>310,500</w:t>
      </w:r>
      <w:r>
        <w:rPr/>
        <w:t>股。</w:t>
      </w:r>
    </w:p>
    <w:p>
      <w:pPr>
        <w:spacing w:line="240" w:lineRule="auto" w:before="4"/>
        <w:rPr>
          <w:rFonts w:ascii="宋体" w:hAnsi="宋体" w:cs="宋体" w:eastAsia="宋体" w:hint="default"/>
          <w:sz w:val="22"/>
          <w:szCs w:val="22"/>
        </w:rPr>
      </w:pPr>
    </w:p>
    <w:p>
      <w:pPr>
        <w:pStyle w:val="Heading3"/>
        <w:spacing w:line="240" w:lineRule="auto"/>
        <w:ind w:right="153"/>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十四、承诺及或有事项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资产负债表日存在的重要承诺</w:t>
      </w:r>
    </w:p>
    <w:p>
      <w:pPr>
        <w:pStyle w:val="Heading4"/>
        <w:spacing w:line="240" w:lineRule="auto" w:before="117"/>
        <w:ind w:right="153"/>
        <w:jc w:val="left"/>
        <w:rPr>
          <w:b w:val="0"/>
          <w:bCs w:val="0"/>
        </w:rPr>
      </w:pP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日，已签订的正在或准备履行的租赁合同及财务影响</w:t>
      </w:r>
      <w:r>
        <w:rPr>
          <w:b w:val="0"/>
          <w:bCs w:val="0"/>
        </w:rPr>
      </w:r>
    </w:p>
    <w:p>
      <w:pPr>
        <w:pStyle w:val="BodyText"/>
        <w:spacing w:line="300" w:lineRule="auto" w:before="63"/>
        <w:ind w:right="144" w:firstLine="360"/>
        <w:jc w:val="left"/>
      </w:pPr>
      <w:r>
        <w:rPr/>
        <w:t>（</w:t>
      </w:r>
      <w:r>
        <w:rPr>
          <w:rFonts w:ascii="Times New Roman" w:hAnsi="Times New Roman" w:cs="Times New Roman" w:eastAsia="Times New Roman" w:hint="default"/>
        </w:rPr>
        <w:t>1</w:t>
      </w:r>
      <w:r>
        <w:rPr/>
        <w:t>）本公司与深圳英特利投资有限公司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英特利投资</w:t>
      </w:r>
      <w:r>
        <w:rPr>
          <w:rFonts w:ascii="Times New Roman" w:hAnsi="Times New Roman" w:cs="Times New Roman" w:eastAsia="Times New Roman" w:hint="default"/>
        </w:rPr>
        <w:t>”)</w:t>
      </w:r>
      <w:r>
        <w:rPr/>
        <w:t>签订房屋租赁，合同约定：英特利投资将位于松岗同 </w:t>
      </w:r>
      <w:r>
        <w:rPr>
          <w:spacing w:val="-2"/>
        </w:rPr>
        <w:t>富裕工业区的</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3#</w:t>
      </w:r>
      <w:r>
        <w:rPr>
          <w:spacing w:val="-2"/>
        </w:rPr>
        <w:t>厂房和</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5#</w:t>
      </w:r>
      <w:r>
        <w:rPr>
          <w:spacing w:val="-2"/>
        </w:rPr>
        <w:t>宿舍出租给公司使用，总面积</w:t>
      </w:r>
      <w:r>
        <w:rPr>
          <w:rFonts w:ascii="Times New Roman" w:hAnsi="Times New Roman" w:cs="Times New Roman" w:eastAsia="Times New Roman" w:hint="default"/>
          <w:spacing w:val="-2"/>
        </w:rPr>
        <w:t>101,337.14</w:t>
      </w:r>
      <w:r>
        <w:rPr>
          <w:spacing w:val="-2"/>
        </w:rPr>
        <w:t>平方米。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日每月</w:t>
      </w:r>
      <w:r>
        <w:rPr>
          <w:spacing w:val="-47"/>
        </w:rPr>
        <w:t> </w:t>
      </w:r>
      <w:r>
        <w:rPr>
          <w:spacing w:val="-47"/>
        </w:rPr>
      </w:r>
      <w:r>
        <w:rPr/>
        <w:t>租金为人民币</w:t>
      </w:r>
      <w:r>
        <w:rPr>
          <w:rFonts w:ascii="Times New Roman" w:hAnsi="Times New Roman" w:cs="Times New Roman" w:eastAsia="Times New Roman" w:hint="default"/>
        </w:rPr>
        <w:t>1,013,371.40</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日每月租金为人民币</w:t>
      </w:r>
      <w:r>
        <w:rPr>
          <w:rFonts w:ascii="Times New Roman" w:hAnsi="Times New Roman" w:cs="Times New Roman" w:eastAsia="Times New Roman" w:hint="default"/>
        </w:rPr>
        <w:t>1,064,039.97</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6</w:t>
      </w:r>
      <w:r>
        <w:rPr/>
        <w:t>月 </w:t>
      </w:r>
      <w:r>
        <w:rPr>
          <w:rFonts w:ascii="Times New Roman" w:hAnsi="Times New Roman" w:cs="Times New Roman" w:eastAsia="Times New Roman" w:hint="default"/>
        </w:rPr>
        <w:t>30</w:t>
      </w:r>
      <w:r>
        <w:rPr/>
        <w:t>日每月租金为人民币</w:t>
      </w:r>
      <w:r>
        <w:rPr>
          <w:rFonts w:ascii="Times New Roman" w:hAnsi="Times New Roman" w:cs="Times New Roman" w:eastAsia="Times New Roman" w:hint="default"/>
        </w:rPr>
        <w:t>1,117,241.92</w:t>
      </w:r>
      <w:r>
        <w:rPr/>
        <w:t>元。</w:t>
      </w:r>
    </w:p>
    <w:p>
      <w:pPr>
        <w:pStyle w:val="BodyText"/>
        <w:spacing w:line="300" w:lineRule="auto" w:before="13"/>
        <w:ind w:right="144" w:firstLine="360"/>
        <w:jc w:val="left"/>
      </w:pPr>
      <w:r>
        <w:rPr/>
        <w:t>（</w:t>
      </w:r>
      <w:r>
        <w:rPr>
          <w:rFonts w:ascii="Times New Roman" w:hAnsi="Times New Roman" w:cs="Times New Roman" w:eastAsia="Times New Roman" w:hint="default"/>
        </w:rPr>
        <w:t>2</w:t>
      </w:r>
      <w:r>
        <w:rPr/>
        <w:t>）本公司与深圳市同裕洋实业有限公司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同裕洋实业</w:t>
      </w:r>
      <w:r>
        <w:rPr>
          <w:rFonts w:ascii="Times New Roman" w:hAnsi="Times New Roman" w:cs="Times New Roman" w:eastAsia="Times New Roman" w:hint="default"/>
        </w:rPr>
        <w:t>”)</w:t>
      </w:r>
      <w:r>
        <w:rPr/>
        <w:t>签订宿舍租赁合同，合同约定：同裕洋实业将位于 深圳市宝安区松岗街道同富裕工业园兴隆路</w:t>
      </w:r>
      <w:r>
        <w:rPr>
          <w:rFonts w:ascii="Times New Roman" w:hAnsi="Times New Roman" w:cs="Times New Roman" w:eastAsia="Times New Roman" w:hint="default"/>
        </w:rPr>
        <w:t>3</w:t>
      </w:r>
      <w:r>
        <w:rPr/>
        <w:t>号建筑面积</w:t>
      </w:r>
      <w:r>
        <w:rPr>
          <w:rFonts w:ascii="Times New Roman" w:hAnsi="Times New Roman" w:cs="Times New Roman" w:eastAsia="Times New Roman" w:hint="default"/>
        </w:rPr>
        <w:t>5,920.14</w:t>
      </w:r>
      <w:r>
        <w:rPr/>
        <w:t>平方米的宿舍出租给公司作为宿舍使用，</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日至</w:t>
      </w:r>
      <w:r>
        <w:rPr>
          <w:spacing w:val="-3"/>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日每月租金为人民币</w:t>
      </w:r>
      <w:r>
        <w:rPr>
          <w:rFonts w:ascii="Times New Roman" w:hAnsi="Times New Roman" w:cs="Times New Roman" w:eastAsia="Times New Roman" w:hint="default"/>
        </w:rPr>
        <w:t>82,881.96</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日每月租金为人民币</w:t>
      </w:r>
      <w:r>
        <w:rPr>
          <w:rFonts w:ascii="Times New Roman" w:hAnsi="Times New Roman" w:cs="Times New Roman" w:eastAsia="Times New Roman" w:hint="default"/>
        </w:rPr>
        <w:t>87,026.06</w:t>
      </w:r>
      <w:r>
        <w:rPr/>
        <w:t>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 </w:t>
      </w:r>
      <w:r>
        <w:rPr/>
        <w:t>日至</w:t>
      </w:r>
      <w:r>
        <w:rPr>
          <w:rFonts w:ascii="Times New Roman" w:hAnsi="Times New Roman" w:cs="Times New Roman" w:eastAsia="Times New Roman" w:hint="default"/>
        </w:rPr>
        <w:t>2023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日每月租金人民币</w:t>
      </w:r>
      <w:r>
        <w:rPr>
          <w:rFonts w:ascii="Times New Roman" w:hAnsi="Times New Roman" w:cs="Times New Roman" w:eastAsia="Times New Roman" w:hint="default"/>
        </w:rPr>
        <w:t>91,347.76</w:t>
      </w:r>
      <w:r>
        <w:rPr/>
        <w:t>元。</w:t>
      </w:r>
    </w:p>
    <w:p>
      <w:pPr>
        <w:pStyle w:val="BodyText"/>
        <w:spacing w:line="300" w:lineRule="auto" w:before="13"/>
        <w:ind w:left="513" w:right="223"/>
        <w:jc w:val="left"/>
      </w:pPr>
      <w:r>
        <w:rPr>
          <w:rFonts w:ascii="Times New Roman" w:hAnsi="Times New Roman" w:cs="Times New Roman" w:eastAsia="Times New Roman" w:hint="default"/>
          <w:b/>
          <w:bCs/>
        </w:rPr>
        <w:t>2</w:t>
      </w:r>
      <w:r>
        <w:rPr>
          <w:rFonts w:ascii="宋体" w:hAnsi="宋体" w:cs="宋体" w:eastAsia="宋体" w:hint="default"/>
          <w:b/>
          <w:bCs/>
        </w:rPr>
        <w:t>、其他重大财务承诺事项</w:t>
      </w:r>
      <w:r>
        <w:rPr>
          <w:rFonts w:ascii="宋体" w:hAnsi="宋体" w:cs="宋体" w:eastAsia="宋体" w:hint="default"/>
          <w:b/>
          <w:bCs/>
          <w:w w:val="99"/>
        </w:rPr>
        <w:t> </w:t>
      </w: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日与深圳市大沙河创新走廊建设投资管理有限公司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建投公司</w:t>
      </w:r>
      <w:r>
        <w:rPr>
          <w:rFonts w:ascii="Times New Roman" w:hAnsi="Times New Roman" w:cs="Times New Roman" w:eastAsia="Times New Roman" w:hint="default"/>
        </w:rPr>
        <w:t>”)</w:t>
      </w:r>
      <w:r>
        <w:rPr/>
        <w:t>签订《创新大厦临时购房</w:t>
      </w:r>
    </w:p>
    <w:p>
      <w:pPr>
        <w:pStyle w:val="BodyText"/>
        <w:spacing w:line="300" w:lineRule="auto" w:before="13"/>
        <w:ind w:right="139"/>
        <w:jc w:val="left"/>
      </w:pPr>
      <w:r>
        <w:rPr/>
        <w:t>合同》，购买深圳市南山区政府在南山区马家龙工业区兴建的创新大厦，面积为不低于</w:t>
      </w:r>
      <w:r>
        <w:rPr>
          <w:rFonts w:ascii="Times New Roman" w:hAnsi="Times New Roman" w:cs="Times New Roman" w:eastAsia="Times New Roman" w:hint="default"/>
        </w:rPr>
        <w:t>4,000</w:t>
      </w:r>
      <w:r>
        <w:rPr/>
        <w:t>平方米但不超过</w:t>
      </w:r>
      <w:r>
        <w:rPr>
          <w:rFonts w:ascii="Times New Roman" w:hAnsi="Times New Roman" w:cs="Times New Roman" w:eastAsia="Times New Roman" w:hint="default"/>
        </w:rPr>
        <w:t>5,000</w:t>
      </w:r>
      <w:r>
        <w:rPr/>
        <w:t>平方米， 用作办公用途，创新大厦</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日举行奠基仪式，建设期为</w:t>
      </w:r>
      <w:r>
        <w:rPr>
          <w:rFonts w:ascii="Times New Roman" w:hAnsi="Times New Roman" w:cs="Times New Roman" w:eastAsia="Times New Roman" w:hint="default"/>
        </w:rPr>
        <w:t>30</w:t>
      </w:r>
      <w:r>
        <w:rPr/>
        <w:t>个月，合同约定所售房产起售价为人民币</w:t>
      </w:r>
      <w:r>
        <w:rPr>
          <w:rFonts w:ascii="Times New Roman" w:hAnsi="Times New Roman" w:cs="Times New Roman" w:eastAsia="Times New Roman" w:hint="default"/>
        </w:rPr>
        <w:t>15,000</w:t>
      </w:r>
      <w:r>
        <w:rPr/>
        <w:t>元</w:t>
      </w:r>
      <w:r>
        <w:rPr>
          <w:rFonts w:ascii="Times New Roman" w:hAnsi="Times New Roman" w:cs="Times New Roman" w:eastAsia="Times New Roman" w:hint="default"/>
        </w:rPr>
        <w:t>/</w:t>
      </w:r>
      <w:r>
        <w:rPr/>
        <w:t>平方</w:t>
      </w:r>
      <w:r>
        <w:rPr>
          <w:spacing w:val="-3"/>
        </w:rPr>
        <w:t> </w:t>
      </w:r>
      <w:r>
        <w:rPr/>
        <w:t>米</w:t>
      </w:r>
      <w:r>
        <w:rPr>
          <w:rFonts w:ascii="Times New Roman" w:hAnsi="Times New Roman" w:cs="Times New Roman" w:eastAsia="Times New Roman" w:hint="default"/>
        </w:rPr>
        <w:t>(</w:t>
      </w:r>
      <w:r>
        <w:rPr/>
        <w:t>建筑面积</w:t>
      </w:r>
      <w:r>
        <w:rPr>
          <w:rFonts w:ascii="Times New Roman" w:hAnsi="Times New Roman" w:cs="Times New Roman" w:eastAsia="Times New Roman" w:hint="default"/>
        </w:rPr>
        <w:t>)</w:t>
      </w:r>
      <w:r>
        <w:rPr/>
        <w:t>，自起售楼层始，每高一层售价相应增加人民币</w:t>
      </w:r>
      <w:r>
        <w:rPr>
          <w:rFonts w:ascii="Times New Roman" w:hAnsi="Times New Roman" w:cs="Times New Roman" w:eastAsia="Times New Roman" w:hint="default"/>
        </w:rPr>
        <w:t>100</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建筑面积</w:t>
      </w:r>
      <w:r>
        <w:rPr>
          <w:rFonts w:ascii="Times New Roman" w:hAnsi="Times New Roman" w:cs="Times New Roman" w:eastAsia="Times New Roman" w:hint="default"/>
        </w:rPr>
        <w:t>)</w:t>
      </w:r>
      <w:r>
        <w:rPr/>
        <w:t>。在房产所处的楼层、具体建筑面积 </w:t>
      </w:r>
      <w:r>
        <w:rPr>
          <w:spacing w:val="-1"/>
        </w:rPr>
        <w:t>等细节尚未明确之前，暂按起售价及可售建筑面积的上限</w:t>
      </w:r>
      <w:r>
        <w:rPr>
          <w:rFonts w:ascii="Times New Roman" w:hAnsi="Times New Roman" w:cs="Times New Roman" w:eastAsia="Times New Roman" w:hint="default"/>
          <w:spacing w:val="-1"/>
        </w:rPr>
        <w:t>5,000</w:t>
      </w:r>
      <w:r>
        <w:rPr>
          <w:spacing w:val="-1"/>
        </w:rPr>
        <w:t>平方米确定购房款为人民币</w:t>
      </w:r>
      <w:r>
        <w:rPr>
          <w:rFonts w:ascii="Times New Roman" w:hAnsi="Times New Roman" w:cs="Times New Roman" w:eastAsia="Times New Roman" w:hint="default"/>
          <w:spacing w:val="-1"/>
        </w:rPr>
        <w:t>7,500.00</w:t>
      </w:r>
      <w:r>
        <w:rPr>
          <w:spacing w:val="-1"/>
        </w:rPr>
        <w:t>万元整。买卖双方待房产</w:t>
      </w:r>
      <w:r>
        <w:rPr>
          <w:spacing w:val="-72"/>
        </w:rPr>
        <w:t> </w:t>
      </w:r>
      <w:r>
        <w:rPr>
          <w:spacing w:val="-72"/>
        </w:rPr>
      </w:r>
      <w:r>
        <w:rPr/>
        <w:t>的相关细节明确后，退还或补足应支付的款项。截止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日上述购买的房产处于建设当中。</w:t>
      </w:r>
    </w:p>
    <w:p>
      <w:pPr>
        <w:pStyle w:val="Heading4"/>
        <w:spacing w:line="240" w:lineRule="auto" w:before="13"/>
        <w:ind w:right="153"/>
        <w:jc w:val="left"/>
        <w:rPr>
          <w:b w:val="0"/>
          <w:bCs w:val="0"/>
        </w:rPr>
      </w:pPr>
      <w:r>
        <w:rPr>
          <w:rFonts w:ascii="Times New Roman" w:hAnsi="Times New Roman" w:cs="Times New Roman" w:eastAsia="Times New Roman" w:hint="default"/>
        </w:rPr>
        <w:t>3</w:t>
      </w:r>
      <w:r>
        <w:rPr/>
        <w:t>、除存在上述承诺事项外，截至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日止，本公司无其他应披露未披露的重大承诺事项。</w:t>
      </w:r>
      <w:r>
        <w:rPr>
          <w:b w:val="0"/>
          <w:bCs w:val="0"/>
        </w:rPr>
      </w:r>
    </w:p>
    <w:p>
      <w:pPr>
        <w:spacing w:line="240" w:lineRule="auto" w:before="2"/>
        <w:rPr>
          <w:rFonts w:ascii="宋体" w:hAnsi="宋体" w:cs="宋体" w:eastAsia="宋体" w:hint="default"/>
          <w:b/>
          <w:bCs/>
          <w:sz w:val="26"/>
          <w:szCs w:val="26"/>
        </w:rPr>
      </w:pPr>
    </w:p>
    <w:p>
      <w:pPr>
        <w:pStyle w:val="Heading3"/>
        <w:spacing w:line="240" w:lineRule="auto"/>
        <w:ind w:right="15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t>（</w:t>
      </w:r>
      <w:r>
        <w:rPr>
          <w:rFonts w:ascii="Times New Roman" w:hAnsi="Times New Roman" w:cs="Times New Roman" w:eastAsia="Times New Roman" w:hint="default"/>
        </w:rPr>
        <w:t>1</w:t>
      </w:r>
      <w:r>
        <w:rPr/>
        <w:t>）本公司起诉案：</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560"/>
        <w:gridCol w:w="3327"/>
        <w:gridCol w:w="2074"/>
        <w:gridCol w:w="1609"/>
      </w:tblGrid>
      <w:tr>
        <w:trPr>
          <w:trHeight w:val="353" w:hRule="exact"/>
        </w:trPr>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原告</w:t>
            </w:r>
          </w:p>
        </w:tc>
        <w:tc>
          <w:tcPr>
            <w:tcW w:w="33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被告</w:t>
            </w:r>
          </w:p>
        </w:tc>
        <w:tc>
          <w:tcPr>
            <w:tcW w:w="20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事由</w:t>
            </w:r>
          </w:p>
        </w:tc>
        <w:tc>
          <w:tcPr>
            <w:tcW w:w="1609"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left="76" w:right="0"/>
              <w:jc w:val="left"/>
              <w:rPr>
                <w:rFonts w:ascii="宋体" w:hAnsi="宋体" w:cs="宋体" w:eastAsia="宋体" w:hint="default"/>
                <w:sz w:val="18"/>
                <w:szCs w:val="18"/>
              </w:rPr>
            </w:pPr>
            <w:r>
              <w:rPr>
                <w:rFonts w:ascii="宋体" w:hAnsi="宋体" w:cs="宋体" w:eastAsia="宋体" w:hint="default"/>
                <w:sz w:val="18"/>
                <w:szCs w:val="18"/>
              </w:rPr>
              <w:t>涉诉金额（汇总）</w:t>
            </w:r>
          </w:p>
        </w:tc>
      </w:tr>
      <w:tr>
        <w:trPr>
          <w:trHeight w:val="353" w:hRule="exact"/>
        </w:trPr>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3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联翔科技（深圳）有限公司</w:t>
            </w:r>
          </w:p>
        </w:tc>
        <w:tc>
          <w:tcPr>
            <w:tcW w:w="20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财产损害赔偿纠纷</w:t>
            </w:r>
          </w:p>
        </w:tc>
        <w:tc>
          <w:tcPr>
            <w:tcW w:w="160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1,593,760.89</w:t>
            </w:r>
          </w:p>
        </w:tc>
      </w:tr>
      <w:tr>
        <w:trPr>
          <w:trHeight w:val="353" w:hRule="exact"/>
        </w:trPr>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3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深圳市创智成科技股份有限公司</w:t>
            </w:r>
          </w:p>
        </w:tc>
        <w:tc>
          <w:tcPr>
            <w:tcW w:w="20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买卖合同纠纷</w:t>
            </w:r>
          </w:p>
        </w:tc>
        <w:tc>
          <w:tcPr>
            <w:tcW w:w="160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1,769,005.64</w:t>
            </w:r>
          </w:p>
        </w:tc>
      </w:tr>
      <w:tr>
        <w:trPr>
          <w:trHeight w:val="350" w:hRule="exact"/>
        </w:trPr>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3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深圳市轻松点科技有限公司</w:t>
            </w:r>
          </w:p>
        </w:tc>
        <w:tc>
          <w:tcPr>
            <w:tcW w:w="20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财产损害赔偿纠纷</w:t>
            </w:r>
          </w:p>
        </w:tc>
        <w:tc>
          <w:tcPr>
            <w:tcW w:w="160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3,181,741.75</w:t>
            </w:r>
          </w:p>
        </w:tc>
      </w:tr>
      <w:tr>
        <w:trPr>
          <w:trHeight w:val="355" w:hRule="exact"/>
        </w:trPr>
        <w:tc>
          <w:tcPr>
            <w:tcW w:w="1560" w:type="dxa"/>
            <w:tcBorders>
              <w:top w:val="single" w:sz="12" w:space="0" w:color="000000"/>
              <w:left w:val="single" w:sz="6" w:space="0" w:color="000000"/>
              <w:bottom w:val="single" w:sz="12" w:space="0" w:color="000000"/>
              <w:right w:val="single" w:sz="6" w:space="0" w:color="000000"/>
            </w:tcBorders>
          </w:tcPr>
          <w:p>
            <w:pPr/>
          </w:p>
        </w:tc>
        <w:tc>
          <w:tcPr>
            <w:tcW w:w="33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74" w:type="dxa"/>
            <w:tcBorders>
              <w:top w:val="single" w:sz="12" w:space="0" w:color="000000"/>
              <w:left w:val="single" w:sz="6" w:space="0" w:color="000000"/>
              <w:bottom w:val="single" w:sz="12" w:space="0" w:color="000000"/>
              <w:right w:val="single" w:sz="6" w:space="0" w:color="000000"/>
            </w:tcBorders>
          </w:tcPr>
          <w:p>
            <w:pPr/>
          </w:p>
        </w:tc>
        <w:tc>
          <w:tcPr>
            <w:tcW w:w="160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6,544,508.28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before="44"/>
        <w:ind w:right="153"/>
        <w:jc w:val="left"/>
      </w:pPr>
      <w:r>
        <w:rPr/>
        <w:t>（</w:t>
      </w:r>
      <w:r>
        <w:rPr>
          <w:rFonts w:ascii="Times New Roman" w:hAnsi="Times New Roman" w:cs="Times New Roman" w:eastAsia="Times New Roman" w:hint="default"/>
        </w:rPr>
        <w:t>2</w:t>
      </w:r>
      <w:r>
        <w:rPr/>
        <w:t>）本公司被诉案：</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625"/>
        <w:gridCol w:w="3037"/>
        <w:gridCol w:w="1846"/>
        <w:gridCol w:w="2048"/>
      </w:tblGrid>
      <w:tr>
        <w:trPr>
          <w:trHeight w:val="355" w:hRule="exact"/>
        </w:trPr>
        <w:tc>
          <w:tcPr>
            <w:tcW w:w="16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被告</w:t>
            </w:r>
          </w:p>
        </w:tc>
        <w:tc>
          <w:tcPr>
            <w:tcW w:w="30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原告</w:t>
            </w:r>
          </w:p>
        </w:tc>
        <w:tc>
          <w:tcPr>
            <w:tcW w:w="18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事由</w:t>
            </w:r>
          </w:p>
        </w:tc>
        <w:tc>
          <w:tcPr>
            <w:tcW w:w="2048"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left="297" w:right="0"/>
              <w:jc w:val="left"/>
              <w:rPr>
                <w:rFonts w:ascii="宋体" w:hAnsi="宋体" w:cs="宋体" w:eastAsia="宋体" w:hint="default"/>
                <w:sz w:val="18"/>
                <w:szCs w:val="18"/>
              </w:rPr>
            </w:pPr>
            <w:r>
              <w:rPr>
                <w:rFonts w:ascii="宋体" w:hAnsi="宋体" w:cs="宋体" w:eastAsia="宋体" w:hint="default"/>
                <w:sz w:val="18"/>
                <w:szCs w:val="18"/>
              </w:rPr>
              <w:t>涉诉金额（汇总）</w:t>
            </w:r>
          </w:p>
        </w:tc>
      </w:tr>
      <w:tr>
        <w:trPr>
          <w:trHeight w:val="350" w:hRule="exact"/>
        </w:trPr>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30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KONINKLIJKE PHILIPS</w:t>
            </w:r>
            <w:r>
              <w:rPr>
                <w:rFonts w:ascii="Times New Roman"/>
                <w:spacing w:val="-7"/>
                <w:sz w:val="18"/>
              </w:rPr>
              <w:t> </w:t>
            </w:r>
            <w:r>
              <w:rPr>
                <w:rFonts w:ascii="Times New Roman"/>
                <w:sz w:val="18"/>
              </w:rPr>
              <w:t>N,V.</w:t>
            </w:r>
          </w:p>
        </w:tc>
        <w:tc>
          <w:tcPr>
            <w:tcW w:w="18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版权侵权纠纷</w:t>
            </w:r>
          </w:p>
        </w:tc>
        <w:tc>
          <w:tcPr>
            <w:tcW w:w="204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r>
      <w:tr>
        <w:trPr>
          <w:trHeight w:val="353" w:hRule="exact"/>
        </w:trPr>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30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东莞明冠电子有限公司</w:t>
            </w:r>
          </w:p>
        </w:tc>
        <w:tc>
          <w:tcPr>
            <w:tcW w:w="18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财产损害赔偿纠纷</w:t>
            </w:r>
          </w:p>
        </w:tc>
        <w:tc>
          <w:tcPr>
            <w:tcW w:w="204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53" w:hRule="exact"/>
        </w:trPr>
        <w:tc>
          <w:tcPr>
            <w:tcW w:w="1625" w:type="dxa"/>
            <w:tcBorders>
              <w:top w:val="single" w:sz="12" w:space="0" w:color="000000"/>
              <w:left w:val="single" w:sz="6" w:space="0" w:color="000000"/>
              <w:bottom w:val="single" w:sz="12" w:space="0" w:color="000000"/>
              <w:right w:val="single" w:sz="6" w:space="0" w:color="000000"/>
            </w:tcBorders>
          </w:tcPr>
          <w:p>
            <w:pPr/>
          </w:p>
        </w:tc>
        <w:tc>
          <w:tcPr>
            <w:tcW w:w="30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6" w:type="dxa"/>
            <w:tcBorders>
              <w:top w:val="single" w:sz="12" w:space="0" w:color="000000"/>
              <w:left w:val="single" w:sz="6" w:space="0" w:color="000000"/>
              <w:bottom w:val="single" w:sz="12" w:space="0" w:color="000000"/>
              <w:right w:val="single" w:sz="6" w:space="0" w:color="000000"/>
            </w:tcBorders>
          </w:tcPr>
          <w:p>
            <w:pPr/>
          </w:p>
        </w:tc>
        <w:tc>
          <w:tcPr>
            <w:tcW w:w="204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2,000,000.00</w:t>
            </w:r>
          </w:p>
        </w:tc>
      </w:tr>
    </w:tbl>
    <w:p>
      <w:pPr>
        <w:spacing w:line="240" w:lineRule="auto" w:before="5"/>
        <w:rPr>
          <w:rFonts w:ascii="宋体" w:hAnsi="宋体" w:cs="宋体" w:eastAsia="宋体" w:hint="default"/>
          <w:sz w:val="6"/>
          <w:szCs w:val="6"/>
        </w:rPr>
      </w:pPr>
    </w:p>
    <w:p>
      <w:pPr>
        <w:pStyle w:val="BodyText"/>
        <w:spacing w:line="300" w:lineRule="auto" w:before="44"/>
        <w:ind w:right="148" w:firstLine="360"/>
        <w:jc w:val="both"/>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日，荷兰皇家飞利浦公司美国分公司（</w:t>
      </w:r>
      <w:r>
        <w:rPr>
          <w:rFonts w:ascii="Times New Roman" w:hAnsi="Times New Roman" w:cs="Times New Roman" w:eastAsia="Times New Roman" w:hint="default"/>
        </w:rPr>
        <w:t>Koninklijke Philips N.V U.S Philips</w:t>
      </w:r>
      <w:r>
        <w:rPr>
          <w:rFonts w:ascii="Times New Roman" w:hAnsi="Times New Roman" w:cs="Times New Roman" w:eastAsia="Times New Roman" w:hint="default"/>
          <w:spacing w:val="-30"/>
        </w:rPr>
        <w:t> </w:t>
      </w:r>
      <w:r>
        <w:rPr>
          <w:rFonts w:ascii="Times New Roman" w:hAnsi="Times New Roman" w:cs="Times New Roman" w:eastAsia="Times New Roman" w:hint="default"/>
        </w:rPr>
        <w:t>Corporation</w:t>
      </w:r>
      <w:r>
        <w:rPr/>
        <w:t>）向美国地方法 </w:t>
      </w:r>
      <w:r>
        <w:rPr>
          <w:spacing w:val="-1"/>
        </w:rPr>
        <w:t>院起诉本公司及其他七家公司，控告本公司生产的部分平板电脑产品（系</w:t>
      </w:r>
      <w:r>
        <w:rPr>
          <w:rFonts w:ascii="Times New Roman" w:hAnsi="Times New Roman" w:cs="Times New Roman" w:eastAsia="Times New Roman" w:hint="default"/>
          <w:spacing w:val="-1"/>
        </w:rPr>
        <w:t>Android</w:t>
      </w:r>
      <w:r>
        <w:rPr>
          <w:spacing w:val="-1"/>
        </w:rPr>
        <w:t>系统内嵌软件）涉嫌侵犯其拥有的</w:t>
      </w:r>
      <w:r>
        <w:rPr>
          <w:rFonts w:ascii="Times New Roman" w:hAnsi="Times New Roman" w:cs="Times New Roman" w:eastAsia="Times New Roman" w:hint="default"/>
          <w:spacing w:val="-1"/>
        </w:rPr>
        <w:t>8</w:t>
      </w:r>
      <w:r>
        <w:rPr>
          <w:spacing w:val="-1"/>
        </w:rPr>
        <w:t>项专利</w:t>
      </w:r>
      <w:r>
        <w:rPr>
          <w:spacing w:val="-87"/>
        </w:rPr>
        <w:t> </w:t>
      </w:r>
      <w:r>
        <w:rPr>
          <w:spacing w:val="-87"/>
        </w:rPr>
      </w:r>
      <w:r>
        <w:rPr/>
        <w:t>权，要求停止侵犯并赔偿损失及相关费用，被控产品使用的是</w:t>
      </w:r>
      <w:r>
        <w:rPr>
          <w:rFonts w:ascii="Times New Roman" w:hAnsi="Times New Roman" w:cs="Times New Roman" w:eastAsia="Times New Roman" w:hint="default"/>
        </w:rPr>
        <w:t>Android</w:t>
      </w:r>
      <w:r>
        <w:rPr/>
        <w:t>系统，已通过了</w:t>
      </w:r>
      <w:r>
        <w:rPr>
          <w:rFonts w:ascii="Times New Roman" w:hAnsi="Times New Roman" w:cs="Times New Roman" w:eastAsia="Times New Roman" w:hint="default"/>
        </w:rPr>
        <w:t>Google</w:t>
      </w:r>
      <w:r>
        <w:rPr>
          <w:rFonts w:ascii="Times New Roman" w:hAnsi="Times New Roman" w:cs="Times New Roman" w:eastAsia="Times New Roman" w:hint="default"/>
          <w:spacing w:val="-15"/>
        </w:rPr>
        <w:t> </w:t>
      </w:r>
      <w:r>
        <w:rPr/>
        <w:t>的</w:t>
      </w:r>
      <w:r>
        <w:rPr>
          <w:rFonts w:ascii="Times New Roman" w:hAnsi="Times New Roman" w:cs="Times New Roman" w:eastAsia="Times New Roman" w:hint="default"/>
        </w:rPr>
        <w:t>GMS</w:t>
      </w:r>
      <w:r>
        <w:rPr/>
        <w:t>认证。</w:t>
      </w:r>
      <w:r>
        <w:rPr>
          <w:rFonts w:ascii="Times New Roman" w:hAnsi="Times New Roman" w:cs="Times New Roman" w:eastAsia="Times New Roman" w:hint="default"/>
        </w:rPr>
        <w:t>Google</w:t>
      </w:r>
      <w:r>
        <w:rPr/>
        <w:t>已召集所 有被告形成联合抗辩小组，共同积极应诉。</w:t>
      </w:r>
    </w:p>
    <w:p>
      <w:pPr>
        <w:pStyle w:val="BodyText"/>
        <w:spacing w:line="240" w:lineRule="auto" w:before="151"/>
        <w:ind w:left="494" w:right="6891"/>
        <w:jc w:val="center"/>
      </w:pPr>
      <w:r>
        <w:rPr/>
        <w:t>以上未决诉讼不涉及预计负债。</w:t>
      </w:r>
    </w:p>
    <w:p>
      <w:pPr>
        <w:spacing w:line="240" w:lineRule="auto" w:before="0"/>
        <w:rPr>
          <w:rFonts w:ascii="宋体" w:hAnsi="宋体" w:cs="宋体" w:eastAsia="宋体" w:hint="default"/>
          <w:sz w:val="18"/>
          <w:szCs w:val="18"/>
        </w:rPr>
      </w:pPr>
    </w:p>
    <w:p>
      <w:pPr>
        <w:pStyle w:val="Heading3"/>
        <w:spacing w:line="240" w:lineRule="auto" w:before="121"/>
        <w:ind w:right="15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公司不存在需要披露的重要或有事项。</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十五、资产负债表日后事项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83"/>
        <w:gridCol w:w="2306"/>
        <w:gridCol w:w="2391"/>
        <w:gridCol w:w="2391"/>
      </w:tblGrid>
      <w:tr>
        <w:trPr>
          <w:trHeight w:val="161"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0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4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tcBorders>
              <w:left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重要的债务重组</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自然灾害</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外汇汇率重要变动</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53"/>
        <w:jc w:val="left"/>
      </w:pPr>
      <w:r>
        <w:rPr/>
        <w:t>截止本报告日，本公司无应披露未披露的重大资产负债表日后事项。</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153"/>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无</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93"/>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909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93"/>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3"/>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2393" w:type="dxa"/>
            <w:tcBorders>
              <w:top w:val="single" w:sz="4" w:space="0" w:color="000000"/>
              <w:left w:val="single" w:sz="10" w:space="0" w:color="E0FFFF"/>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13" w:space="0" w:color="E0FFFF"/>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3"/>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2"/>
        <w:rPr>
          <w:rFonts w:ascii="宋体" w:hAnsi="宋体" w:cs="宋体" w:eastAsia="宋体" w:hint="default"/>
          <w:b/>
          <w:bCs/>
          <w:sz w:val="26"/>
          <w:szCs w:val="26"/>
        </w:rPr>
      </w:pPr>
    </w:p>
    <w:p>
      <w:pPr>
        <w:pStyle w:val="Heading4"/>
        <w:spacing w:line="240" w:lineRule="auto"/>
        <w:ind w:left="152" w:right="93"/>
        <w:jc w:val="left"/>
        <w:rPr>
          <w:b w:val="0"/>
          <w:bCs w:val="0"/>
        </w:rPr>
      </w:pPr>
      <w:r>
        <w:rPr/>
        <w:t>（二）银行授信事项</w:t>
      </w:r>
      <w:r>
        <w:rPr>
          <w:b w:val="0"/>
          <w:bCs w:val="0"/>
        </w:rPr>
      </w:r>
    </w:p>
    <w:p>
      <w:pPr>
        <w:pStyle w:val="BodyText"/>
        <w:spacing w:line="300" w:lineRule="auto" w:before="76"/>
        <w:ind w:right="94" w:firstLine="360"/>
        <w:jc w:val="left"/>
      </w:pPr>
      <w:r>
        <w:rPr>
          <w:rFonts w:ascii="Times New Roman" w:hAnsi="Times New Roman" w:cs="Times New Roman" w:eastAsia="Times New Roman" w:hint="default"/>
          <w:spacing w:val="-2"/>
        </w:rPr>
        <w:t>1</w:t>
      </w:r>
      <w:r>
        <w:rPr>
          <w:spacing w:val="-2"/>
        </w:rPr>
        <w:t>、本公司于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日向招商银行股份有限公司深圳南山支行签订合同编号为</w:t>
      </w:r>
      <w:r>
        <w:rPr>
          <w:rFonts w:ascii="Times New Roman" w:hAnsi="Times New Roman" w:cs="Times New Roman" w:eastAsia="Times New Roman" w:hint="default"/>
          <w:spacing w:val="-2"/>
        </w:rPr>
        <w:t>2015</w:t>
      </w:r>
      <w:r>
        <w:rPr>
          <w:spacing w:val="-2"/>
        </w:rPr>
        <w:t>年南字第</w:t>
      </w:r>
      <w:r>
        <w:rPr>
          <w:rFonts w:ascii="Times New Roman" w:hAnsi="Times New Roman" w:cs="Times New Roman" w:eastAsia="Times New Roman" w:hint="default"/>
          <w:spacing w:val="-2"/>
        </w:rPr>
        <w:t>0015301069</w:t>
      </w:r>
      <w:r>
        <w:rPr>
          <w:spacing w:val="-2"/>
        </w:rPr>
        <w:t>号的授信协</w:t>
      </w:r>
      <w:r>
        <w:rPr/>
        <w:t> 议，授信额度为人民币叁亿元整。授信期间为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日。其额度可用于贷款、贸易融资、票据贴现、 商业汇票承兑、保函、法人账户透支、国内保理、国内信用证、商票保贴等。</w:t>
      </w:r>
    </w:p>
    <w:p>
      <w:pPr>
        <w:pStyle w:val="BodyText"/>
        <w:spacing w:line="300" w:lineRule="auto" w:before="31"/>
        <w:ind w:right="194" w:firstLine="360"/>
        <w:jc w:val="both"/>
      </w:pPr>
      <w:r>
        <w:rPr>
          <w:rFonts w:ascii="Times New Roman" w:hAnsi="Times New Roman" w:cs="Times New Roman" w:eastAsia="Times New Roman" w:hint="default"/>
        </w:rPr>
        <w:t>2</w:t>
      </w: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日向华夏银行股份有限公司深圳南园支行签订合同编号为</w:t>
      </w:r>
      <w:r>
        <w:rPr>
          <w:rFonts w:ascii="Times New Roman" w:hAnsi="Times New Roman" w:cs="Times New Roman" w:eastAsia="Times New Roman" w:hint="default"/>
        </w:rPr>
        <w:t>SZ01(</w:t>
      </w:r>
      <w:r>
        <w:rPr/>
        <w:t>融资</w:t>
      </w:r>
      <w:r>
        <w:rPr>
          <w:rFonts w:ascii="Times New Roman" w:hAnsi="Times New Roman" w:cs="Times New Roman" w:eastAsia="Times New Roman" w:hint="default"/>
        </w:rPr>
        <w:t>)20150008</w:t>
      </w:r>
      <w:r>
        <w:rPr/>
        <w:t>的授信协议，授 </w:t>
      </w:r>
      <w:r>
        <w:rPr>
          <w:spacing w:val="-2"/>
        </w:rPr>
        <w:t>信额度为人民币壹亿元整。授信期间为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日。其额度包括但不限于贷款、票据承兑、票据贴现、贸</w:t>
      </w:r>
      <w:r>
        <w:rPr>
          <w:spacing w:val="-60"/>
        </w:rPr>
        <w:t> </w:t>
      </w:r>
      <w:r>
        <w:rPr>
          <w:spacing w:val="-60"/>
        </w:rPr>
      </w:r>
      <w:r>
        <w:rPr/>
        <w:t>易融资、保函等。</w:t>
      </w:r>
    </w:p>
    <w:p>
      <w:pPr>
        <w:spacing w:after="0" w:line="300"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14" w:firstLine="360"/>
        <w:jc w:val="left"/>
      </w:pPr>
      <w:r>
        <w:rPr>
          <w:rFonts w:ascii="Times New Roman" w:hAnsi="Times New Roman" w:cs="Times New Roman" w:eastAsia="Times New Roman" w:hint="default"/>
        </w:rPr>
        <w:t>3</w:t>
      </w: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日向中国民生银行股份有限公司深圳分行签订合同编号为</w:t>
      </w:r>
      <w:r>
        <w:rPr>
          <w:rFonts w:ascii="Times New Roman" w:hAnsi="Times New Roman" w:cs="Times New Roman" w:eastAsia="Times New Roman" w:hint="default"/>
        </w:rPr>
        <w:t>2015</w:t>
      </w:r>
      <w:r>
        <w:rPr/>
        <w:t>年深机构四部综额字第</w:t>
      </w:r>
      <w:r>
        <w:rPr>
          <w:rFonts w:ascii="Times New Roman" w:hAnsi="Times New Roman" w:cs="Times New Roman" w:eastAsia="Times New Roman" w:hint="default"/>
        </w:rPr>
        <w:t>002</w:t>
      </w:r>
      <w:r>
        <w:rPr/>
        <w:t>号的 </w:t>
      </w:r>
      <w:r>
        <w:rPr>
          <w:spacing w:val="-3"/>
        </w:rPr>
        <w:t>授信协议，授信额度为人民币贰亿元整。授信期间为</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16</w:t>
      </w:r>
      <w:r>
        <w:rPr>
          <w:spacing w:val="-3"/>
        </w:rPr>
        <w:t>日至</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16</w:t>
      </w:r>
      <w:r>
        <w:rPr>
          <w:spacing w:val="-3"/>
        </w:rPr>
        <w:t>日。其额度包括但不限于贷款、汇票承兑、</w:t>
      </w:r>
      <w:r>
        <w:rPr>
          <w:spacing w:val="-83"/>
        </w:rPr>
        <w:t> </w:t>
      </w:r>
      <w:r>
        <w:rPr>
          <w:spacing w:val="-83"/>
        </w:rPr>
      </w:r>
      <w:r>
        <w:rPr/>
        <w:t>汇票贴现、保函、法人账户透支、外币贷款、出口押汇、开立信用证等。</w:t>
      </w:r>
    </w:p>
    <w:p>
      <w:pPr>
        <w:pStyle w:val="BodyText"/>
        <w:spacing w:line="300" w:lineRule="auto" w:before="31"/>
        <w:ind w:right="114" w:firstLine="360"/>
        <w:jc w:val="left"/>
      </w:pPr>
      <w:r>
        <w:rPr>
          <w:rFonts w:ascii="Times New Roman" w:hAnsi="Times New Roman" w:cs="Times New Roman" w:eastAsia="Times New Roman" w:hint="default"/>
        </w:rPr>
        <w:t>4</w:t>
      </w: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日向上海浦东发展银行股份有限公司深圳分行签订合同编号为</w:t>
      </w:r>
      <w:r>
        <w:rPr>
          <w:rFonts w:ascii="Times New Roman" w:hAnsi="Times New Roman" w:cs="Times New Roman" w:eastAsia="Times New Roman" w:hint="default"/>
        </w:rPr>
        <w:t>BC2015081700000813</w:t>
      </w:r>
      <w:r>
        <w:rPr/>
        <w:t>的授信协 </w:t>
      </w:r>
      <w:r>
        <w:rPr>
          <w:spacing w:val="-2"/>
        </w:rPr>
        <w:t>议，授信额度为人民币壹亿伍仟万元整。授信期间为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17</w:t>
      </w:r>
      <w:r>
        <w:rPr>
          <w:spacing w:val="-2"/>
        </w:rPr>
        <w:t>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17</w:t>
      </w:r>
      <w:r>
        <w:rPr>
          <w:spacing w:val="-2"/>
        </w:rPr>
        <w:t>日。其额度包括但不限于贷款、开立银行</w:t>
      </w:r>
      <w:r>
        <w:rPr>
          <w:spacing w:val="-55"/>
        </w:rPr>
        <w:t> </w:t>
      </w:r>
      <w:r>
        <w:rPr>
          <w:spacing w:val="-55"/>
        </w:rPr>
      </w:r>
      <w:r>
        <w:rPr/>
        <w:t>承兑汇票、开立信用证、进口押汇、出口信用证押汇等。</w:t>
      </w:r>
    </w:p>
    <w:p>
      <w:pPr>
        <w:pStyle w:val="BodyText"/>
        <w:spacing w:line="300" w:lineRule="auto" w:before="31"/>
        <w:ind w:right="209" w:firstLine="360"/>
        <w:jc w:val="both"/>
      </w:pPr>
      <w:r>
        <w:rPr>
          <w:rFonts w:ascii="Times New Roman" w:hAnsi="Times New Roman" w:cs="Times New Roman" w:eastAsia="Times New Roman" w:hint="default"/>
        </w:rPr>
        <w:t>5</w:t>
      </w: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日向兴业银行股份有限公司深圳南新支行签订合同编号为兴银深南新授信字（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0111 </w:t>
      </w:r>
      <w:r>
        <w:rPr>
          <w:spacing w:val="-2"/>
        </w:rPr>
        <w:t>号的授信协议，授信额度为人民币壹亿元整。授信期间为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日。其额度包括但不限于贷款、银</w:t>
      </w:r>
      <w:r>
        <w:rPr>
          <w:spacing w:val="-54"/>
        </w:rPr>
        <w:t> </w:t>
      </w:r>
      <w:r>
        <w:rPr>
          <w:spacing w:val="-54"/>
        </w:rPr>
      </w:r>
      <w:r>
        <w:rPr/>
        <w:t>行承兑汇票。</w:t>
      </w:r>
    </w:p>
    <w:p>
      <w:pPr>
        <w:pStyle w:val="BodyText"/>
        <w:spacing w:line="300" w:lineRule="auto" w:before="31"/>
        <w:ind w:right="209" w:firstLine="360"/>
        <w:jc w:val="both"/>
      </w:pPr>
      <w:r>
        <w:rPr>
          <w:rFonts w:ascii="Times New Roman" w:hAnsi="Times New Roman" w:cs="Times New Roman" w:eastAsia="Times New Roman" w:hint="default"/>
        </w:rPr>
        <w:t>6</w:t>
      </w:r>
      <w:r>
        <w:rPr/>
        <w:t>、本公司于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日向中国银行股份有限公司深圳高新区支行签订合同编号为</w:t>
      </w:r>
      <w:r>
        <w:rPr>
          <w:rFonts w:ascii="Times New Roman" w:hAnsi="Times New Roman" w:cs="Times New Roman" w:eastAsia="Times New Roman" w:hint="default"/>
        </w:rPr>
        <w:t>2015</w:t>
      </w:r>
      <w:r>
        <w:rPr/>
        <w:t>圳中银高额协字第</w:t>
      </w:r>
      <w:r>
        <w:rPr>
          <w:rFonts w:ascii="Times New Roman" w:hAnsi="Times New Roman" w:cs="Times New Roman" w:eastAsia="Times New Roman" w:hint="default"/>
        </w:rPr>
        <w:t>0000678</w:t>
      </w:r>
      <w:r>
        <w:rPr/>
        <w:t>号 </w:t>
      </w:r>
      <w:r>
        <w:rPr>
          <w:spacing w:val="-2"/>
        </w:rPr>
        <w:t>的授信协议，授信额度为人民币玖仟伍佰万元整。授信期间为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15</w:t>
      </w:r>
      <w:r>
        <w:rPr>
          <w:spacing w:val="-2"/>
        </w:rPr>
        <w:t>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15</w:t>
      </w:r>
      <w:r>
        <w:rPr>
          <w:spacing w:val="-2"/>
        </w:rPr>
        <w:t>日。其额度包括但不限于短期贷</w:t>
      </w:r>
      <w:r>
        <w:rPr>
          <w:spacing w:val="-55"/>
        </w:rPr>
        <w:t> </w:t>
      </w:r>
      <w:r>
        <w:rPr>
          <w:spacing w:val="-55"/>
        </w:rPr>
      </w:r>
      <w:r>
        <w:rPr/>
        <w:t>款、法人账户透支、银行承兑汇票、贸易融资、保函、资金业务等。</w:t>
      </w:r>
    </w:p>
    <w:p>
      <w:pPr>
        <w:pStyle w:val="BodyText"/>
        <w:spacing w:line="300" w:lineRule="auto" w:before="31"/>
        <w:ind w:right="114" w:firstLine="360"/>
        <w:jc w:val="left"/>
      </w:pPr>
      <w:r>
        <w:rPr>
          <w:rFonts w:ascii="Times New Roman" w:hAnsi="Times New Roman" w:cs="Times New Roman" w:eastAsia="Times New Roman" w:hint="default"/>
          <w:spacing w:val="-2"/>
        </w:rPr>
        <w:t>7</w:t>
      </w:r>
      <w:r>
        <w:rPr>
          <w:spacing w:val="-2"/>
        </w:rPr>
        <w:t>、本公司于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25</w:t>
      </w:r>
      <w:r>
        <w:rPr>
          <w:spacing w:val="-2"/>
        </w:rPr>
        <w:t>日向平安银行股份有限公司深圳分行签订合同编号为平银公司九部综字</w:t>
      </w:r>
      <w:r>
        <w:rPr>
          <w:rFonts w:ascii="Times New Roman" w:hAnsi="Times New Roman" w:cs="Times New Roman" w:eastAsia="Times New Roman" w:hint="default"/>
          <w:spacing w:val="-2"/>
        </w:rPr>
        <w:t>20151122</w:t>
      </w:r>
      <w:r>
        <w:rPr>
          <w:spacing w:val="-2"/>
        </w:rPr>
        <w:t>第</w:t>
      </w:r>
      <w:r>
        <w:rPr>
          <w:rFonts w:ascii="Times New Roman" w:hAnsi="Times New Roman" w:cs="Times New Roman" w:eastAsia="Times New Roman" w:hint="default"/>
          <w:spacing w:val="-2"/>
        </w:rPr>
        <w:t>001</w:t>
      </w:r>
      <w:r>
        <w:rPr>
          <w:spacing w:val="-2"/>
        </w:rPr>
        <w:t>号的授</w:t>
      </w:r>
      <w:r>
        <w:rPr/>
        <w:t> </w:t>
      </w:r>
      <w:r>
        <w:rPr>
          <w:spacing w:val="-3"/>
        </w:rPr>
        <w:t>信协议，授信额度为人民币捌仟万元整。授信期间为</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25</w:t>
      </w:r>
      <w:r>
        <w:rPr>
          <w:spacing w:val="-3"/>
        </w:rPr>
        <w:t>日至</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25</w:t>
      </w:r>
      <w:r>
        <w:rPr>
          <w:spacing w:val="-3"/>
        </w:rPr>
        <w:t>日。其额度包括但不限于流动资金贷款、</w:t>
      </w:r>
      <w:r>
        <w:rPr>
          <w:spacing w:val="-79"/>
        </w:rPr>
        <w:t> </w:t>
      </w:r>
      <w:r>
        <w:rPr>
          <w:spacing w:val="-79"/>
        </w:rPr>
      </w:r>
      <w:r>
        <w:rPr/>
        <w:t>开立银行承兑汇票或进口信用证、海外代付和进口代付、商票贴现、进</w:t>
      </w:r>
      <w:r>
        <w:rPr>
          <w:rFonts w:ascii="Times New Roman" w:hAnsi="Times New Roman" w:cs="Times New Roman" w:eastAsia="Times New Roman" w:hint="default"/>
        </w:rPr>
        <w:t>/</w:t>
      </w:r>
      <w:r>
        <w:rPr/>
        <w:t>出口押汇、进</w:t>
      </w:r>
      <w:r>
        <w:rPr>
          <w:rFonts w:ascii="Times New Roman" w:hAnsi="Times New Roman" w:cs="Times New Roman" w:eastAsia="Times New Roman" w:hint="default"/>
        </w:rPr>
        <w:t>/</w:t>
      </w:r>
      <w:r>
        <w:rPr/>
        <w:t>出口</w:t>
      </w:r>
      <w:r>
        <w:rPr>
          <w:rFonts w:ascii="Times New Roman" w:hAnsi="Times New Roman" w:cs="Times New Roman" w:eastAsia="Times New Roman" w:hint="default"/>
        </w:rPr>
        <w:t>TT</w:t>
      </w:r>
      <w:r>
        <w:rPr/>
        <w:t>押汇等。</w:t>
      </w:r>
    </w:p>
    <w:p>
      <w:pPr>
        <w:spacing w:line="240" w:lineRule="auto" w:before="11"/>
        <w:rPr>
          <w:rFonts w:ascii="宋体" w:hAnsi="宋体" w:cs="宋体" w:eastAsia="宋体" w:hint="default"/>
          <w:sz w:val="24"/>
          <w:szCs w:val="24"/>
        </w:rPr>
      </w:pPr>
    </w:p>
    <w:p>
      <w:pPr>
        <w:pStyle w:val="BodyText"/>
        <w:spacing w:line="316" w:lineRule="auto"/>
        <w:ind w:left="513" w:right="114" w:hanging="361"/>
        <w:jc w:val="left"/>
      </w:pPr>
      <w:r>
        <w:rPr>
          <w:rFonts w:ascii="宋体" w:hAnsi="宋体" w:cs="宋体" w:eastAsia="宋体" w:hint="default"/>
          <w:b/>
          <w:bCs/>
        </w:rPr>
        <w:t>（二）股东股权质押事项</w:t>
      </w:r>
      <w:r>
        <w:rPr>
          <w:rFonts w:ascii="宋体" w:hAnsi="宋体" w:cs="宋体" w:eastAsia="宋体" w:hint="default"/>
          <w:b/>
          <w:bCs/>
          <w:w w:val="99"/>
        </w:rPr>
        <w:t> </w:t>
      </w:r>
      <w:r>
        <w:rPr>
          <w:spacing w:val="-1"/>
        </w:rPr>
        <w:t>截止</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日，本公司之控股股东夏传武累计质押所持有的本公司股份</w:t>
      </w:r>
      <w:r>
        <w:rPr>
          <w:rFonts w:ascii="Times New Roman" w:hAnsi="Times New Roman" w:cs="Times New Roman" w:eastAsia="Times New Roman" w:hint="default"/>
          <w:spacing w:val="-1"/>
        </w:rPr>
        <w:t>25,100,000</w:t>
      </w:r>
      <w:r>
        <w:rPr>
          <w:spacing w:val="-1"/>
        </w:rPr>
        <w:t>股，占本公司总股本的</w:t>
      </w:r>
      <w:r>
        <w:rPr>
          <w:rFonts w:ascii="Times New Roman" w:hAnsi="Times New Roman" w:cs="Times New Roman" w:eastAsia="Times New Roman" w:hint="default"/>
          <w:spacing w:val="-1"/>
        </w:rPr>
        <w:t>5.14%</w:t>
      </w:r>
      <w:r>
        <w:rPr>
          <w:spacing w:val="-1"/>
        </w:rPr>
        <w:t>。</w:t>
      </w:r>
    </w:p>
    <w:p>
      <w:pPr>
        <w:spacing w:line="240" w:lineRule="auto" w:before="4"/>
        <w:rPr>
          <w:rFonts w:ascii="宋体" w:hAnsi="宋体" w:cs="宋体" w:eastAsia="宋体" w:hint="default"/>
          <w:sz w:val="19"/>
          <w:szCs w:val="19"/>
        </w:rPr>
      </w:pPr>
    </w:p>
    <w:p>
      <w:pPr>
        <w:pStyle w:val="Heading2"/>
        <w:spacing w:line="240" w:lineRule="auto"/>
        <w:ind w:right="114"/>
        <w:jc w:val="left"/>
        <w:rPr>
          <w:b w:val="0"/>
          <w:bCs w:val="0"/>
        </w:rPr>
      </w:pP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4"/>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4"/>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2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273,370,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865.18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12,244,9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94.90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261,125,8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70.28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408,901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,417.34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9,289,850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399,611,56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6.96</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273,370,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865.18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12,244,9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94.90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4.48%</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261,125,8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70.28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408,901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,417.34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9,289,850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2.27%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399,611,56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6.96</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4"/>
        <w:jc w:val="left"/>
      </w:pPr>
      <w:r>
        <w:rPr/>
        <w:t>期末单项金额重大并单项计提坏账准备的应收账款：</w:t>
      </w:r>
    </w:p>
    <w:p>
      <w:pPr>
        <w:spacing w:after="0" w:line="240" w:lineRule="auto"/>
        <w:jc w:val="left"/>
        <w:sectPr>
          <w:pgSz w:w="11910" w:h="16840"/>
          <w:pgMar w:header="745" w:footer="980" w:top="1060" w:bottom="1160" w:left="980" w:right="92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980" w:right="98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242,723,253.30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12,136,162.67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22,512.91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2,251.28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229,243.70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68,773.11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37,807.84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37,807.84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243,012,817.75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12,244,994.90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w:t>
            </w:r>
          </w:p>
        </w:tc>
      </w:tr>
    </w:tbl>
    <w:p>
      <w:pPr>
        <w:pStyle w:val="BodyText"/>
        <w:spacing w:line="360" w:lineRule="auto" w:before="49"/>
        <w:ind w:right="5454"/>
        <w:jc w:val="left"/>
      </w:pPr>
      <w:r>
        <w:rPr/>
        <w:t>确定该组合依据的说明：无 组合中，采用余额百分比法计提坏账准备的应收账款：</w:t>
      </w:r>
    </w:p>
    <w:p>
      <w:pPr>
        <w:pStyle w:val="BodyText"/>
        <w:spacing w:line="340" w:lineRule="auto" w:before="25"/>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组合中，采用其他方法计提坏账准备的应收账款：无</w:t>
      </w:r>
    </w:p>
    <w:p>
      <w:pPr>
        <w:spacing w:line="240" w:lineRule="auto" w:before="5"/>
        <w:rPr>
          <w:rFonts w:ascii="宋体" w:hAnsi="宋体" w:cs="宋体" w:eastAsia="宋体" w:hint="default"/>
          <w:sz w:val="21"/>
          <w:szCs w:val="21"/>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pStyle w:val="BodyText"/>
        <w:spacing w:line="338" w:lineRule="auto" w:before="44"/>
        <w:ind w:right="-11"/>
        <w:jc w:val="left"/>
      </w:pPr>
      <w:r>
        <w:rPr/>
        <w:t>本期计提坏账准备金额</w:t>
      </w:r>
      <w:r>
        <w:rPr>
          <w:spacing w:val="-46"/>
        </w:rPr>
        <w:t> </w:t>
      </w:r>
      <w:r>
        <w:rPr>
          <w:rFonts w:ascii="Times New Roman" w:hAnsi="Times New Roman" w:cs="Times New Roman" w:eastAsia="Times New Roman" w:hint="default"/>
        </w:rPr>
        <w:t>3,184,415.00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460" w:space="2370"/>
            <w:col w:w="112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229,270.48</w:t>
            </w:r>
          </w:p>
        </w:tc>
      </w:tr>
    </w:tbl>
    <w:p>
      <w:pPr>
        <w:pStyle w:val="BodyText"/>
        <w:spacing w:line="240" w:lineRule="auto" w:before="49"/>
        <w:ind w:right="153"/>
        <w:jc w:val="left"/>
      </w:pPr>
      <w:r>
        <w:rPr/>
        <w:t>其中重要的应收账款核销情况：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5"/>
        <w:gridCol w:w="160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3"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5"/>
        <w:gridCol w:w="1616"/>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深圳市云科世纪通信 技术有限责任公司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2,292,704.75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2,292,704.75</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53"/>
        <w:jc w:val="left"/>
      </w:pPr>
      <w:r>
        <w:rPr/>
        <w:t>应收账款核销说明：无</w:t>
      </w:r>
    </w:p>
    <w:p>
      <w:pPr>
        <w:spacing w:line="240" w:lineRule="auto" w:before="0"/>
        <w:rPr>
          <w:rFonts w:ascii="宋体" w:hAnsi="宋体" w:cs="宋体" w:eastAsia="宋体" w:hint="default"/>
          <w:sz w:val="18"/>
          <w:szCs w:val="18"/>
        </w:rPr>
      </w:pPr>
    </w:p>
    <w:p>
      <w:pPr>
        <w:pStyle w:val="Heading3"/>
        <w:spacing w:line="240" w:lineRule="auto" w:before="118"/>
        <w:ind w:right="15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883"/>
        <w:gridCol w:w="1946"/>
        <w:gridCol w:w="1529"/>
        <w:gridCol w:w="2389"/>
      </w:tblGrid>
      <w:tr>
        <w:trPr>
          <w:trHeight w:val="667" w:hRule="exact"/>
        </w:trPr>
        <w:tc>
          <w:tcPr>
            <w:tcW w:w="28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60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2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0"/>
              <w:ind w:left="261" w:right="36"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 额的比例</w:t>
            </w:r>
            <w:r>
              <w:rPr>
                <w:rFonts w:ascii="Times New Roman" w:hAnsi="Times New Roman" w:cs="Times New Roman" w:eastAsia="Times New Roman" w:hint="default"/>
                <w:sz w:val="18"/>
                <w:szCs w:val="18"/>
              </w:rPr>
              <w:t>(%)</w:t>
            </w:r>
          </w:p>
        </w:tc>
        <w:tc>
          <w:tcPr>
            <w:tcW w:w="2389"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556"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53" w:hRule="exact"/>
        </w:trPr>
        <w:tc>
          <w:tcPr>
            <w:tcW w:w="28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69,552,029.52</w:t>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25.44</w:t>
            </w:r>
          </w:p>
        </w:tc>
        <w:tc>
          <w:tcPr>
            <w:tcW w:w="238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3,477,601.48</w:t>
            </w:r>
          </w:p>
        </w:tc>
      </w:tr>
      <w:tr>
        <w:trPr>
          <w:trHeight w:val="350" w:hRule="exact"/>
        </w:trPr>
        <w:tc>
          <w:tcPr>
            <w:tcW w:w="28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44,283,553.91</w:t>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16.20</w:t>
            </w:r>
          </w:p>
        </w:tc>
        <w:tc>
          <w:tcPr>
            <w:tcW w:w="238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2,214,177.70</w:t>
            </w:r>
          </w:p>
        </w:tc>
      </w:tr>
      <w:tr>
        <w:trPr>
          <w:trHeight w:val="353" w:hRule="exact"/>
        </w:trPr>
        <w:tc>
          <w:tcPr>
            <w:tcW w:w="28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38,313,521.51</w:t>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14.02</w:t>
            </w:r>
          </w:p>
        </w:tc>
        <w:tc>
          <w:tcPr>
            <w:tcW w:w="238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1,915,676.08</w:t>
            </w:r>
          </w:p>
        </w:tc>
      </w:tr>
      <w:tr>
        <w:trPr>
          <w:trHeight w:val="353" w:hRule="exact"/>
        </w:trPr>
        <w:tc>
          <w:tcPr>
            <w:tcW w:w="28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天津卓达</w:t>
            </w:r>
          </w:p>
        </w:tc>
        <w:tc>
          <w:tcPr>
            <w:tcW w:w="19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29,512,020.27</w:t>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10.80</w:t>
            </w:r>
          </w:p>
        </w:tc>
        <w:tc>
          <w:tcPr>
            <w:tcW w:w="238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0" w:hRule="exact"/>
        </w:trPr>
        <w:tc>
          <w:tcPr>
            <w:tcW w:w="28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21,451,875.13</w:t>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7.85</w:t>
            </w:r>
          </w:p>
        </w:tc>
        <w:tc>
          <w:tcPr>
            <w:tcW w:w="238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1,072,593.76</w:t>
            </w:r>
          </w:p>
        </w:tc>
      </w:tr>
      <w:tr>
        <w:trPr>
          <w:trHeight w:val="353" w:hRule="exact"/>
        </w:trPr>
        <w:tc>
          <w:tcPr>
            <w:tcW w:w="28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203,113,000.34</w:t>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74.31</w:t>
            </w:r>
          </w:p>
        </w:tc>
        <w:tc>
          <w:tcPr>
            <w:tcW w:w="238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8,680,049.02</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2" w:right="153"/>
        <w:jc w:val="left"/>
      </w:pPr>
      <w:r>
        <w:rPr/>
        <w:t>期末无因金融资产转移而终止确认的应收款项。</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694"/>
        <w:jc w:val="left"/>
      </w:pPr>
      <w:r>
        <w:rPr/>
        <w:t>无 其他说明：无</w:t>
      </w:r>
    </w:p>
    <w:p>
      <w:pPr>
        <w:spacing w:line="240" w:lineRule="auto" w:before="2"/>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402"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505,469,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865.53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1,168,33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7.75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504,301,5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27.78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345,464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,312.20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642,563.8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344,821,74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8.39</w:t>
            </w: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单项金额不重大但</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67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59"/>
              <w:jc w:val="left"/>
              <w:rPr>
                <w:rFonts w:ascii="宋体" w:hAnsi="宋体" w:cs="宋体" w:eastAsia="宋体" w:hint="default"/>
                <w:sz w:val="18"/>
                <w:szCs w:val="18"/>
              </w:rPr>
            </w:pPr>
            <w:r>
              <w:rPr>
                <w:rFonts w:ascii="宋体" w:hAnsi="宋体" w:cs="宋体" w:eastAsia="宋体" w:hint="default"/>
                <w:sz w:val="18"/>
                <w:szCs w:val="18"/>
              </w:rPr>
              <w:t>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505,469,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865.53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1,168,33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7.75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0.23%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504,301,5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27.78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345,464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,312.20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642,563.8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0.19%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344,821,74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8.39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5"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1,551,564.41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77,578.22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990,987.76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99,098.78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2,737,713.69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821,314.11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5,760.00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164,586.64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164,586.64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5,452,052.50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1,168,337.75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21.43%</w:t>
            </w:r>
          </w:p>
        </w:tc>
      </w:tr>
    </w:tbl>
    <w:p>
      <w:pPr>
        <w:pStyle w:val="BodyText"/>
        <w:spacing w:line="357" w:lineRule="auto" w:before="49"/>
        <w:ind w:right="5274"/>
        <w:jc w:val="left"/>
      </w:pPr>
      <w:r>
        <w:rPr/>
        <w:t>确定该组合依据的说明：无 组合中，采用余额百分比法计提坏账准备的其他应收款：</w:t>
      </w:r>
    </w:p>
    <w:p>
      <w:pPr>
        <w:pStyle w:val="BodyText"/>
        <w:spacing w:line="340"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5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pStyle w:val="BodyText"/>
        <w:spacing w:line="340" w:lineRule="auto" w:before="44"/>
        <w:ind w:right="-10"/>
        <w:jc w:val="left"/>
      </w:pPr>
      <w:r>
        <w:rPr/>
        <w:t>本期计提坏账准备金额</w:t>
      </w:r>
      <w:r>
        <w:rPr>
          <w:spacing w:val="-46"/>
        </w:rPr>
        <w:t> </w:t>
      </w:r>
      <w:r>
        <w:rPr>
          <w:rFonts w:ascii="Times New Roman" w:hAnsi="Times New Roman" w:cs="Times New Roman" w:eastAsia="Times New Roman" w:hint="default"/>
        </w:rPr>
        <w:t>525,773.94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325" w:space="2504"/>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4"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58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其中重要的其他应收款核销情况：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5"/>
        <w:gridCol w:w="160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3"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1"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0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53"/>
        <w:jc w:val="left"/>
      </w:pPr>
      <w:r>
        <w:rPr/>
        <w:t>其他应收款核销说明：无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2,703,547.43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4,207,330.71</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34,821,982.90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38,269,641.99</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60,896.33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129,839.70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代垫（付款）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2,314,557.31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2,444,070.45</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465,195,830.13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299,624,155.70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373,051.43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789,273.65</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505,469,865.53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345,464,312.20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5"/>
        <w:gridCol w:w="1616"/>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天津卓达科技发展有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283,135,409.04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56.01%</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深圳市卓大精密模具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92,594,717.03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18.32%</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卓翼科技（香港）有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44,384,410.04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8.78%</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出口退税额</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34,821,982.90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深圳市卓翼智造有限 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34,798,441.68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6.88%</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489,734,960.69</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96.88%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5"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8"/>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8694"/>
        <w:jc w:val="left"/>
      </w:pPr>
      <w:r>
        <w:rPr/>
        <w:t>无 其他说明：无</w:t>
      </w:r>
    </w:p>
    <w:p>
      <w:pPr>
        <w:spacing w:line="240" w:lineRule="auto" w:before="2"/>
        <w:rPr>
          <w:rFonts w:ascii="宋体" w:hAnsi="宋体" w:cs="宋体" w:eastAsia="宋体" w:hint="default"/>
          <w:sz w:val="20"/>
          <w:szCs w:val="20"/>
        </w:rPr>
      </w:pPr>
    </w:p>
    <w:p>
      <w:pPr>
        <w:pStyle w:val="Heading3"/>
        <w:spacing w:line="240" w:lineRule="auto"/>
        <w:ind w:right="15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9"/>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631,784,736.67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631,784,736.67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526,774,736.67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526,774,736.67</w:t>
            </w:r>
          </w:p>
        </w:tc>
      </w:tr>
      <w:tr>
        <w:trPr>
          <w:trHeight w:val="715"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86,775,400.54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86,775,400.54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718,560,137.21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718,560,137.21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526,774,736.67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526,774,736.67</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5"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卓翼科技（香港） 有限公司</w:t>
            </w:r>
          </w:p>
        </w:tc>
        <w:tc>
          <w:tcPr>
            <w:tcW w:w="133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745,520.00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745,520.00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深圳市卓大精密 模具有限公司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66,207,134.01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66,207,134.01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深圳市中广视讯 科技发展有限公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天津卓达科技发 展有限公司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449,822,082.66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449,822,082.66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深圳市卓翼智造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深圳市翼飞投资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526,774,736.67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105,010,000.00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631,784,736.67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69"/>
              <w:jc w:val="left"/>
              <w:rPr>
                <w:rFonts w:ascii="Times New Roman" w:hAnsi="Times New Roman" w:cs="Times New Roman" w:eastAsia="Times New Roman" w:hint="default"/>
                <w:sz w:val="18"/>
                <w:szCs w:val="18"/>
              </w:rPr>
            </w:pPr>
            <w:r>
              <w:rPr>
                <w:rFonts w:ascii="Times New Roman"/>
                <w:sz w:val="18"/>
              </w:rPr>
              <w:t>Haxis</w:t>
            </w:r>
            <w:r>
              <w:rPr>
                <w:rFonts w:ascii="Times New Roman"/>
                <w:spacing w:val="-4"/>
                <w:sz w:val="18"/>
              </w:rPr>
              <w:t> </w:t>
            </w:r>
            <w:r>
              <w:rPr>
                <w:rFonts w:ascii="Times New Roman"/>
                <w:sz w:val="18"/>
              </w:rPr>
              <w:t>GP</w:t>
            </w:r>
            <w:r>
              <w:rPr>
                <w:rFonts w:ascii="Times New Roman"/>
                <w:w w:val="99"/>
                <w:sz w:val="18"/>
              </w:rPr>
              <w:t> </w:t>
            </w:r>
            <w:r>
              <w:rPr>
                <w:rFonts w:ascii="Times New Roman"/>
                <w:sz w:val="18"/>
              </w:rPr>
              <w:t>Ltd</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2"/>
              <w:jc w:val="left"/>
              <w:rPr>
                <w:rFonts w:ascii="Times New Roman" w:hAnsi="Times New Roman" w:cs="Times New Roman" w:eastAsia="Times New Roman" w:hint="default"/>
                <w:sz w:val="18"/>
                <w:szCs w:val="18"/>
              </w:rPr>
            </w:pPr>
            <w:r>
              <w:rPr>
                <w:rFonts w:ascii="Times New Roman"/>
                <w:sz w:val="18"/>
              </w:rPr>
              <w:t>Haxis</w:t>
            </w:r>
            <w:r>
              <w:rPr>
                <w:rFonts w:ascii="Times New Roman"/>
                <w:w w:val="99"/>
                <w:sz w:val="18"/>
              </w:rPr>
              <w:t> </w:t>
            </w:r>
            <w:r>
              <w:rPr>
                <w:rFonts w:ascii="Times New Roman"/>
                <w:sz w:val="18"/>
              </w:rPr>
              <w:t>Fund I </w:t>
            </w:r>
            <w:r>
              <w:rPr>
                <w:rFonts w:ascii="Times New Roman"/>
                <w:spacing w:val="-3"/>
                <w:sz w:val="18"/>
              </w:rPr>
              <w:t>LP</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北京朝歌 数码科技 股份有限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84,000,00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2,745,856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29,544.14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86,775,40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84,000,00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2,745,856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29,544.14</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86,775,40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0.54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86,775,40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5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2,635,499,827.60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2,512,913,827.69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3,153,080,787.71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2,880,996,350.92</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1,422,174,904.73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1,393,199,307.03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48,170,140.87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42,761,498.08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4" w:right="0"/>
              <w:jc w:val="left"/>
              <w:rPr>
                <w:rFonts w:ascii="Times New Roman" w:hAnsi="Times New Roman" w:cs="Times New Roman" w:eastAsia="Times New Roman" w:hint="default"/>
                <w:sz w:val="18"/>
                <w:szCs w:val="18"/>
              </w:rPr>
            </w:pPr>
            <w:r>
              <w:rPr>
                <w:rFonts w:ascii="Times New Roman"/>
                <w:sz w:val="18"/>
              </w:rPr>
              <w:t>4,057,674,732.33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8" w:right="0"/>
              <w:jc w:val="left"/>
              <w:rPr>
                <w:rFonts w:ascii="Times New Roman" w:hAnsi="Times New Roman" w:cs="Times New Roman" w:eastAsia="Times New Roman" w:hint="default"/>
                <w:sz w:val="18"/>
                <w:szCs w:val="18"/>
              </w:rPr>
            </w:pPr>
            <w:r>
              <w:rPr>
                <w:rFonts w:ascii="Times New Roman"/>
                <w:sz w:val="18"/>
              </w:rPr>
              <w:t>3,906,113,134.72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3,201,250,928.58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4" w:right="0"/>
              <w:jc w:val="left"/>
              <w:rPr>
                <w:rFonts w:ascii="Times New Roman" w:hAnsi="Times New Roman" w:cs="Times New Roman" w:eastAsia="Times New Roman" w:hint="default"/>
                <w:sz w:val="18"/>
                <w:szCs w:val="18"/>
              </w:rPr>
            </w:pPr>
            <w:r>
              <w:rPr>
                <w:rFonts w:ascii="Times New Roman"/>
                <w:sz w:val="18"/>
              </w:rPr>
              <w:t>2,923,757,849.00</w:t>
            </w:r>
          </w:p>
        </w:tc>
      </w:tr>
    </w:tbl>
    <w:p>
      <w:pPr>
        <w:pStyle w:val="BodyText"/>
        <w:spacing w:line="240" w:lineRule="auto" w:before="49"/>
        <w:ind w:right="153"/>
        <w:jc w:val="left"/>
      </w:pPr>
      <w:r>
        <w:rPr/>
        <w:t>其他说明：</w:t>
      </w:r>
    </w:p>
    <w:p>
      <w:pPr>
        <w:spacing w:line="240" w:lineRule="auto" w:before="0"/>
        <w:rPr>
          <w:rFonts w:ascii="宋体" w:hAnsi="宋体" w:cs="宋体" w:eastAsia="宋体" w:hint="default"/>
          <w:sz w:val="15"/>
          <w:szCs w:val="15"/>
        </w:rPr>
      </w:pPr>
    </w:p>
    <w:p>
      <w:pPr>
        <w:pStyle w:val="Heading4"/>
        <w:spacing w:line="240" w:lineRule="auto"/>
        <w:ind w:right="153"/>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1</w:t>
      </w:r>
      <w:r>
        <w:rPr/>
        <w:t>、主营业务</w:t>
      </w:r>
      <w:r>
        <w:rPr>
          <w:rFonts w:ascii="Times New Roman" w:hAnsi="Times New Roman" w:cs="Times New Roman" w:eastAsia="Times New Roman" w:hint="default"/>
        </w:rPr>
        <w:t>(</w:t>
      </w:r>
      <w:r>
        <w:rPr/>
        <w:t>分行业</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40" w:lineRule="auto" w:before="11"/>
        <w:rPr>
          <w:rFonts w:ascii="Times New Roman" w:hAnsi="Times New Roman" w:cs="Times New Roman" w:eastAsia="Times New Roman" w:hint="default"/>
          <w:b/>
          <w:bCs/>
          <w:sz w:val="14"/>
          <w:szCs w:val="14"/>
        </w:rPr>
      </w:pPr>
    </w:p>
    <w:tbl>
      <w:tblPr>
        <w:tblW w:w="0" w:type="auto"/>
        <w:jc w:val="left"/>
        <w:tblInd w:w="145" w:type="dxa"/>
        <w:tblLayout w:type="fixed"/>
        <w:tblCellMar>
          <w:top w:w="0" w:type="dxa"/>
          <w:left w:w="0" w:type="dxa"/>
          <w:bottom w:w="0" w:type="dxa"/>
          <w:right w:w="0" w:type="dxa"/>
        </w:tblCellMar>
        <w:tblLook w:val="01E0"/>
      </w:tblPr>
      <w:tblGrid>
        <w:gridCol w:w="2338"/>
        <w:gridCol w:w="1580"/>
        <w:gridCol w:w="1596"/>
        <w:gridCol w:w="1606"/>
        <w:gridCol w:w="1743"/>
      </w:tblGrid>
      <w:tr>
        <w:trPr>
          <w:trHeight w:val="355" w:hRule="exact"/>
        </w:trPr>
        <w:tc>
          <w:tcPr>
            <w:tcW w:w="2338" w:type="dxa"/>
            <w:vMerge w:val="restart"/>
            <w:tcBorders>
              <w:top w:val="single" w:sz="6" w:space="0" w:color="000000"/>
              <w:left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176"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49"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3" w:hRule="exact"/>
        </w:trPr>
        <w:tc>
          <w:tcPr>
            <w:tcW w:w="2338" w:type="dxa"/>
            <w:vMerge/>
            <w:tcBorders>
              <w:left w:val="single" w:sz="6" w:space="0" w:color="000000"/>
              <w:bottom w:val="single" w:sz="12" w:space="0" w:color="000000"/>
              <w:right w:val="single" w:sz="6" w:space="0" w:color="000000"/>
            </w:tcBorders>
          </w:tcPr>
          <w:p>
            <w:pPr/>
          </w:p>
        </w:tc>
        <w:tc>
          <w:tcPr>
            <w:tcW w:w="1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3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0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53" w:hRule="exact"/>
        </w:trPr>
        <w:tc>
          <w:tcPr>
            <w:tcW w:w="23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通讯及设备制造行业</w:t>
            </w:r>
          </w:p>
        </w:tc>
        <w:tc>
          <w:tcPr>
            <w:tcW w:w="1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04" w:right="0"/>
              <w:jc w:val="left"/>
              <w:rPr>
                <w:rFonts w:ascii="Times New Roman" w:hAnsi="Times New Roman" w:cs="Times New Roman" w:eastAsia="Times New Roman" w:hint="default"/>
                <w:sz w:val="18"/>
                <w:szCs w:val="18"/>
              </w:rPr>
            </w:pPr>
            <w:r>
              <w:rPr>
                <w:rFonts w:ascii="Times New Roman"/>
                <w:sz w:val="18"/>
              </w:rPr>
              <w:t>2,635,499,827.60</w:t>
            </w:r>
          </w:p>
        </w:tc>
        <w:tc>
          <w:tcPr>
            <w:tcW w:w="15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2,512,913,827.69</w:t>
            </w:r>
          </w:p>
        </w:tc>
        <w:tc>
          <w:tcPr>
            <w:tcW w:w="16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28" w:right="0"/>
              <w:jc w:val="left"/>
              <w:rPr>
                <w:rFonts w:ascii="Times New Roman" w:hAnsi="Times New Roman" w:cs="Times New Roman" w:eastAsia="Times New Roman" w:hint="default"/>
                <w:sz w:val="18"/>
                <w:szCs w:val="18"/>
              </w:rPr>
            </w:pPr>
            <w:r>
              <w:rPr>
                <w:rFonts w:ascii="Times New Roman"/>
                <w:sz w:val="18"/>
              </w:rPr>
              <w:t>3,153,080,787.71</w:t>
            </w:r>
          </w:p>
        </w:tc>
        <w:tc>
          <w:tcPr>
            <w:tcW w:w="1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65" w:right="0"/>
              <w:jc w:val="left"/>
              <w:rPr>
                <w:rFonts w:ascii="Times New Roman" w:hAnsi="Times New Roman" w:cs="Times New Roman" w:eastAsia="Times New Roman" w:hint="default"/>
                <w:sz w:val="18"/>
                <w:szCs w:val="18"/>
              </w:rPr>
            </w:pPr>
            <w:r>
              <w:rPr>
                <w:rFonts w:ascii="Times New Roman"/>
                <w:sz w:val="18"/>
              </w:rPr>
              <w:t>2,880,996,350.92</w:t>
            </w:r>
          </w:p>
        </w:tc>
      </w:tr>
    </w:tbl>
    <w:p>
      <w:pPr>
        <w:spacing w:line="240" w:lineRule="auto" w:before="3"/>
        <w:rPr>
          <w:rFonts w:ascii="Times New Roman" w:hAnsi="Times New Roman" w:cs="Times New Roman" w:eastAsia="Times New Roman" w:hint="default"/>
          <w:b/>
          <w:bCs/>
          <w:sz w:val="7"/>
          <w:szCs w:val="7"/>
        </w:rPr>
      </w:pPr>
    </w:p>
    <w:p>
      <w:pPr>
        <w:pStyle w:val="Heading4"/>
        <w:spacing w:line="240" w:lineRule="auto" w:before="44"/>
        <w:ind w:right="153"/>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w:t>
      </w:r>
      <w:r>
        <w:rPr/>
        <w:t>、主营业务</w:t>
      </w:r>
      <w:r>
        <w:rPr>
          <w:rFonts w:ascii="Times New Roman" w:hAnsi="Times New Roman" w:cs="Times New Roman" w:eastAsia="Times New Roman" w:hint="default"/>
        </w:rPr>
        <w:t>(</w:t>
      </w:r>
      <w:r>
        <w:rPr/>
        <w:t>分产品</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40" w:lineRule="auto" w:before="2"/>
        <w:rPr>
          <w:rFonts w:ascii="Times New Roman" w:hAnsi="Times New Roman" w:cs="Times New Roman" w:eastAsia="Times New Roman" w:hint="default"/>
          <w:b/>
          <w:bCs/>
          <w:sz w:val="15"/>
          <w:szCs w:val="15"/>
        </w:rPr>
      </w:pPr>
    </w:p>
    <w:tbl>
      <w:tblPr>
        <w:tblW w:w="0" w:type="auto"/>
        <w:jc w:val="left"/>
        <w:tblInd w:w="145" w:type="dxa"/>
        <w:tblLayout w:type="fixed"/>
        <w:tblCellMar>
          <w:top w:w="0" w:type="dxa"/>
          <w:left w:w="0" w:type="dxa"/>
          <w:bottom w:w="0" w:type="dxa"/>
          <w:right w:w="0" w:type="dxa"/>
        </w:tblCellMar>
        <w:tblLook w:val="01E0"/>
      </w:tblPr>
      <w:tblGrid>
        <w:gridCol w:w="2338"/>
        <w:gridCol w:w="1561"/>
        <w:gridCol w:w="1560"/>
        <w:gridCol w:w="1702"/>
        <w:gridCol w:w="1731"/>
      </w:tblGrid>
      <w:tr>
        <w:trPr>
          <w:trHeight w:val="353" w:hRule="exact"/>
        </w:trPr>
        <w:tc>
          <w:tcPr>
            <w:tcW w:w="2338" w:type="dxa"/>
            <w:vMerge w:val="restart"/>
            <w:tcBorders>
              <w:top w:val="single" w:sz="6" w:space="0" w:color="000000"/>
              <w:left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产品</w:t>
            </w:r>
          </w:p>
        </w:tc>
        <w:tc>
          <w:tcPr>
            <w:tcW w:w="3121"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33"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3" w:hRule="exact"/>
        </w:trPr>
        <w:tc>
          <w:tcPr>
            <w:tcW w:w="2338" w:type="dxa"/>
            <w:vMerge/>
            <w:tcBorders>
              <w:left w:val="single" w:sz="6" w:space="0" w:color="000000"/>
              <w:bottom w:val="single" w:sz="12" w:space="0" w:color="000000"/>
              <w:right w:val="single" w:sz="6" w:space="0" w:color="000000"/>
            </w:tcBorders>
          </w:tcPr>
          <w:p>
            <w:pP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9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53" w:hRule="exact"/>
        </w:trPr>
        <w:tc>
          <w:tcPr>
            <w:tcW w:w="23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网络通讯终端类</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1,689,995,998.86</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1,611,311,551.51</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1,784,897,254.47</w:t>
            </w:r>
          </w:p>
        </w:tc>
        <w:tc>
          <w:tcPr>
            <w:tcW w:w="17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1,661,491,145.13</w:t>
            </w:r>
          </w:p>
        </w:tc>
      </w:tr>
      <w:tr>
        <w:trPr>
          <w:trHeight w:val="351" w:hRule="exact"/>
        </w:trPr>
        <w:tc>
          <w:tcPr>
            <w:tcW w:w="23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便携式消费电子类</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904,914,629.35</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868,692,990.98</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3"/>
              <w:jc w:val="right"/>
              <w:rPr>
                <w:rFonts w:ascii="Times New Roman" w:hAnsi="Times New Roman" w:cs="Times New Roman" w:eastAsia="Times New Roman" w:hint="default"/>
                <w:sz w:val="18"/>
                <w:szCs w:val="18"/>
              </w:rPr>
            </w:pPr>
            <w:r>
              <w:rPr>
                <w:rFonts w:ascii="Times New Roman"/>
                <w:spacing w:val="-1"/>
                <w:sz w:val="18"/>
              </w:rPr>
              <w:t>1,184,335,402.46</w:t>
            </w:r>
          </w:p>
        </w:tc>
        <w:tc>
          <w:tcPr>
            <w:tcW w:w="17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1,049,535,997.10</w:t>
            </w:r>
          </w:p>
        </w:tc>
      </w:tr>
      <w:tr>
        <w:trPr>
          <w:trHeight w:val="353" w:hRule="exact"/>
        </w:trPr>
        <w:tc>
          <w:tcPr>
            <w:tcW w:w="23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40,589,199.39</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32,909,285.20</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183,848,130.78</w:t>
            </w:r>
          </w:p>
        </w:tc>
        <w:tc>
          <w:tcPr>
            <w:tcW w:w="17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169,969,208.69</w:t>
            </w:r>
          </w:p>
        </w:tc>
      </w:tr>
      <w:tr>
        <w:trPr>
          <w:trHeight w:val="353" w:hRule="exact"/>
        </w:trPr>
        <w:tc>
          <w:tcPr>
            <w:tcW w:w="23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2,635,499,827.60</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2,512,913,827.69</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3,153,080,787.71</w:t>
            </w:r>
          </w:p>
        </w:tc>
        <w:tc>
          <w:tcPr>
            <w:tcW w:w="17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2,880,996,350.92</w:t>
            </w:r>
          </w:p>
        </w:tc>
      </w:tr>
    </w:tbl>
    <w:p>
      <w:pPr>
        <w:spacing w:line="240" w:lineRule="auto" w:before="3"/>
        <w:rPr>
          <w:rFonts w:ascii="Times New Roman" w:hAnsi="Times New Roman" w:cs="Times New Roman" w:eastAsia="Times New Roman" w:hint="default"/>
          <w:b/>
          <w:bCs/>
          <w:sz w:val="7"/>
          <w:szCs w:val="7"/>
        </w:rPr>
      </w:pPr>
    </w:p>
    <w:p>
      <w:pPr>
        <w:pStyle w:val="Heading4"/>
        <w:spacing w:line="240" w:lineRule="auto" w:before="44"/>
        <w:ind w:right="153"/>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3</w:t>
      </w:r>
      <w:r>
        <w:rPr/>
        <w:t>、主营业务</w:t>
      </w:r>
      <w:r>
        <w:rPr>
          <w:rFonts w:ascii="Times New Roman" w:hAnsi="Times New Roman" w:cs="Times New Roman" w:eastAsia="Times New Roman" w:hint="default"/>
        </w:rPr>
        <w:t>(</w:t>
      </w:r>
      <w:r>
        <w:rPr/>
        <w:t>分地区</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40" w:lineRule="auto" w:before="2"/>
        <w:rPr>
          <w:rFonts w:ascii="Times New Roman" w:hAnsi="Times New Roman" w:cs="Times New Roman" w:eastAsia="Times New Roman" w:hint="default"/>
          <w:b/>
          <w:bCs/>
          <w:sz w:val="15"/>
          <w:szCs w:val="15"/>
        </w:rPr>
      </w:pPr>
    </w:p>
    <w:tbl>
      <w:tblPr>
        <w:tblW w:w="0" w:type="auto"/>
        <w:jc w:val="left"/>
        <w:tblInd w:w="145" w:type="dxa"/>
        <w:tblLayout w:type="fixed"/>
        <w:tblCellMar>
          <w:top w:w="0" w:type="dxa"/>
          <w:left w:w="0" w:type="dxa"/>
          <w:bottom w:w="0" w:type="dxa"/>
          <w:right w:w="0" w:type="dxa"/>
        </w:tblCellMar>
        <w:tblLook w:val="01E0"/>
      </w:tblPr>
      <w:tblGrid>
        <w:gridCol w:w="2228"/>
        <w:gridCol w:w="1582"/>
        <w:gridCol w:w="1567"/>
        <w:gridCol w:w="1692"/>
        <w:gridCol w:w="1681"/>
      </w:tblGrid>
      <w:tr>
        <w:trPr>
          <w:trHeight w:val="355" w:hRule="exact"/>
        </w:trPr>
        <w:tc>
          <w:tcPr>
            <w:tcW w:w="2228"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销售区域</w:t>
            </w:r>
          </w:p>
        </w:tc>
        <w:tc>
          <w:tcPr>
            <w:tcW w:w="3149"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73"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0" w:hRule="exact"/>
        </w:trPr>
        <w:tc>
          <w:tcPr>
            <w:tcW w:w="2228" w:type="dxa"/>
            <w:vMerge/>
            <w:tcBorders>
              <w:left w:val="single" w:sz="6" w:space="0" w:color="000000"/>
              <w:bottom w:val="single" w:sz="12" w:space="0" w:color="000000"/>
              <w:right w:val="single" w:sz="6" w:space="0" w:color="000000"/>
            </w:tcBorders>
          </w:tcPr>
          <w:p>
            <w:pP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8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75"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53" w:hRule="exact"/>
        </w:trPr>
        <w:tc>
          <w:tcPr>
            <w:tcW w:w="22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1,728,715,910.45</w:t>
            </w:r>
          </w:p>
        </w:tc>
        <w:tc>
          <w:tcPr>
            <w:tcW w:w="15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1,647,503,233.15</w:t>
            </w:r>
          </w:p>
        </w:tc>
        <w:tc>
          <w:tcPr>
            <w:tcW w:w="16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17" w:right="0"/>
              <w:jc w:val="left"/>
              <w:rPr>
                <w:rFonts w:ascii="Times New Roman" w:hAnsi="Times New Roman" w:cs="Times New Roman" w:eastAsia="Times New Roman" w:hint="default"/>
                <w:sz w:val="18"/>
                <w:szCs w:val="18"/>
              </w:rPr>
            </w:pPr>
            <w:r>
              <w:rPr>
                <w:rFonts w:ascii="Times New Roman"/>
                <w:sz w:val="18"/>
              </w:rPr>
              <w:t>2,057,455,576.51</w:t>
            </w:r>
          </w:p>
        </w:tc>
        <w:tc>
          <w:tcPr>
            <w:tcW w:w="16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1,909,376,527.96</w:t>
            </w:r>
          </w:p>
        </w:tc>
      </w:tr>
      <w:tr>
        <w:trPr>
          <w:trHeight w:val="353" w:hRule="exact"/>
        </w:trPr>
        <w:tc>
          <w:tcPr>
            <w:tcW w:w="22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906,783,917.15</w:t>
            </w:r>
          </w:p>
        </w:tc>
        <w:tc>
          <w:tcPr>
            <w:tcW w:w="15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865,410,594.54</w:t>
            </w:r>
          </w:p>
        </w:tc>
        <w:tc>
          <w:tcPr>
            <w:tcW w:w="16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17" w:right="0"/>
              <w:jc w:val="left"/>
              <w:rPr>
                <w:rFonts w:ascii="Times New Roman" w:hAnsi="Times New Roman" w:cs="Times New Roman" w:eastAsia="Times New Roman" w:hint="default"/>
                <w:sz w:val="18"/>
                <w:szCs w:val="18"/>
              </w:rPr>
            </w:pPr>
            <w:r>
              <w:rPr>
                <w:rFonts w:ascii="Times New Roman"/>
                <w:sz w:val="18"/>
              </w:rPr>
              <w:t>1,095,625,211.20</w:t>
            </w:r>
          </w:p>
        </w:tc>
        <w:tc>
          <w:tcPr>
            <w:tcW w:w="16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971,619,822.96</w:t>
            </w:r>
          </w:p>
        </w:tc>
      </w:tr>
      <w:tr>
        <w:trPr>
          <w:trHeight w:val="353" w:hRule="exact"/>
        </w:trPr>
        <w:tc>
          <w:tcPr>
            <w:tcW w:w="22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2,635,499,827.60</w:t>
            </w:r>
          </w:p>
        </w:tc>
        <w:tc>
          <w:tcPr>
            <w:tcW w:w="15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2,512,913,827.69</w:t>
            </w:r>
          </w:p>
        </w:tc>
        <w:tc>
          <w:tcPr>
            <w:tcW w:w="16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17" w:right="0"/>
              <w:jc w:val="left"/>
              <w:rPr>
                <w:rFonts w:ascii="Times New Roman" w:hAnsi="Times New Roman" w:cs="Times New Roman" w:eastAsia="Times New Roman" w:hint="default"/>
                <w:sz w:val="18"/>
                <w:szCs w:val="18"/>
              </w:rPr>
            </w:pPr>
            <w:r>
              <w:rPr>
                <w:rFonts w:ascii="Times New Roman"/>
                <w:sz w:val="18"/>
              </w:rPr>
              <w:t>3,153,080,787.71</w:t>
            </w:r>
          </w:p>
        </w:tc>
        <w:tc>
          <w:tcPr>
            <w:tcW w:w="16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2,880,996,350.92</w:t>
            </w:r>
          </w:p>
        </w:tc>
      </w:tr>
    </w:tbl>
    <w:p>
      <w:pPr>
        <w:spacing w:line="240" w:lineRule="auto" w:before="3"/>
        <w:rPr>
          <w:rFonts w:ascii="Times New Roman" w:hAnsi="Times New Roman" w:cs="Times New Roman" w:eastAsia="Times New Roman" w:hint="default"/>
          <w:b/>
          <w:bCs/>
          <w:sz w:val="7"/>
          <w:szCs w:val="7"/>
        </w:rPr>
      </w:pPr>
    </w:p>
    <w:p>
      <w:pPr>
        <w:pStyle w:val="Heading4"/>
        <w:spacing w:line="240" w:lineRule="auto" w:before="44"/>
        <w:ind w:right="153"/>
        <w:jc w:val="left"/>
        <w:rPr>
          <w:b w:val="0"/>
          <w:bCs w:val="0"/>
        </w:rPr>
      </w:pPr>
      <w:r>
        <w:rPr>
          <w:rFonts w:ascii="Times New Roman" w:hAnsi="Times New Roman" w:cs="Times New Roman" w:eastAsia="Times New Roman" w:hint="default"/>
        </w:rPr>
        <w:t>4</w:t>
      </w:r>
      <w:r>
        <w:rPr/>
        <w:t>、公司前五名客户的营业收入情况</w:t>
      </w:r>
      <w:r>
        <w:rPr>
          <w:b w:val="0"/>
          <w:bCs w:val="0"/>
        </w:rPr>
      </w:r>
    </w:p>
    <w:p>
      <w:pPr>
        <w:spacing w:line="240" w:lineRule="auto" w:before="5"/>
        <w:rPr>
          <w:rFonts w:ascii="宋体" w:hAnsi="宋体" w:cs="宋体" w:eastAsia="宋体" w:hint="default"/>
          <w:b/>
          <w:bCs/>
          <w:sz w:val="13"/>
          <w:szCs w:val="13"/>
        </w:rPr>
      </w:pPr>
    </w:p>
    <w:tbl>
      <w:tblPr>
        <w:tblW w:w="0" w:type="auto"/>
        <w:jc w:val="left"/>
        <w:tblInd w:w="145" w:type="dxa"/>
        <w:tblLayout w:type="fixed"/>
        <w:tblCellMar>
          <w:top w:w="0" w:type="dxa"/>
          <w:left w:w="0" w:type="dxa"/>
          <w:bottom w:w="0" w:type="dxa"/>
          <w:right w:w="0" w:type="dxa"/>
        </w:tblCellMar>
        <w:tblLook w:val="01E0"/>
      </w:tblPr>
      <w:tblGrid>
        <w:gridCol w:w="3683"/>
        <w:gridCol w:w="2607"/>
        <w:gridCol w:w="2489"/>
      </w:tblGrid>
      <w:tr>
        <w:trPr>
          <w:trHeight w:val="356" w:hRule="exact"/>
        </w:trPr>
        <w:tc>
          <w:tcPr>
            <w:tcW w:w="36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6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4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38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占营业收入的比例</w:t>
            </w:r>
            <w:r>
              <w:rPr>
                <w:rFonts w:ascii="Times New Roman" w:hAnsi="Times New Roman" w:cs="Times New Roman" w:eastAsia="Times New Roman" w:hint="default"/>
                <w:sz w:val="18"/>
                <w:szCs w:val="18"/>
              </w:rPr>
              <w:t>(%)</w:t>
            </w:r>
          </w:p>
        </w:tc>
      </w:tr>
      <w:tr>
        <w:trPr>
          <w:trHeight w:val="350" w:hRule="exact"/>
        </w:trPr>
        <w:tc>
          <w:tcPr>
            <w:tcW w:w="36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第一名（全资子公司）</w:t>
            </w:r>
          </w:p>
        </w:tc>
        <w:tc>
          <w:tcPr>
            <w:tcW w:w="26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1,463,687,202.10</w:t>
            </w:r>
          </w:p>
        </w:tc>
        <w:tc>
          <w:tcPr>
            <w:tcW w:w="24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36.07</w:t>
            </w:r>
          </w:p>
        </w:tc>
      </w:tr>
      <w:tr>
        <w:trPr>
          <w:trHeight w:val="353" w:hRule="exact"/>
        </w:trPr>
        <w:tc>
          <w:tcPr>
            <w:tcW w:w="36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6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1,183,889,727.74</w:t>
            </w:r>
          </w:p>
        </w:tc>
        <w:tc>
          <w:tcPr>
            <w:tcW w:w="24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29.18</w:t>
            </w:r>
          </w:p>
        </w:tc>
      </w:tr>
      <w:tr>
        <w:trPr>
          <w:trHeight w:val="350" w:hRule="exact"/>
        </w:trPr>
        <w:tc>
          <w:tcPr>
            <w:tcW w:w="36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第三名（全资子公司）</w:t>
            </w:r>
          </w:p>
        </w:tc>
        <w:tc>
          <w:tcPr>
            <w:tcW w:w="26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632,564,586.22</w:t>
            </w:r>
          </w:p>
        </w:tc>
        <w:tc>
          <w:tcPr>
            <w:tcW w:w="24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15.59</w:t>
            </w:r>
          </w:p>
        </w:tc>
      </w:tr>
      <w:tr>
        <w:trPr>
          <w:trHeight w:val="353" w:hRule="exact"/>
        </w:trPr>
        <w:tc>
          <w:tcPr>
            <w:tcW w:w="36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6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117,561,611.83</w:t>
            </w:r>
          </w:p>
        </w:tc>
        <w:tc>
          <w:tcPr>
            <w:tcW w:w="24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2.90</w:t>
            </w:r>
          </w:p>
        </w:tc>
      </w:tr>
      <w:tr>
        <w:trPr>
          <w:trHeight w:val="353" w:hRule="exact"/>
        </w:trPr>
        <w:tc>
          <w:tcPr>
            <w:tcW w:w="36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6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111,223,312.84</w:t>
            </w:r>
          </w:p>
        </w:tc>
        <w:tc>
          <w:tcPr>
            <w:tcW w:w="24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2.74</w:t>
            </w:r>
          </w:p>
        </w:tc>
      </w:tr>
      <w:tr>
        <w:trPr>
          <w:trHeight w:val="353" w:hRule="exact"/>
        </w:trPr>
        <w:tc>
          <w:tcPr>
            <w:tcW w:w="36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3,508,926,440.73</w:t>
            </w:r>
          </w:p>
        </w:tc>
        <w:tc>
          <w:tcPr>
            <w:tcW w:w="24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86.48</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2,745,856.40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3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金融资产在持有期间的投资收益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9"/>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9"/>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6,446,951.05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1,444,030.03</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9,192,807.45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1,444,030.03</w:t>
            </w: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3"/>
        <w:jc w:val="left"/>
      </w:pPr>
      <w:r>
        <w:rPr/>
        <w:t>无</w:t>
      </w:r>
    </w:p>
    <w:p>
      <w:pPr>
        <w:spacing w:line="240" w:lineRule="auto" w:before="3"/>
        <w:rPr>
          <w:rFonts w:ascii="宋体" w:hAnsi="宋体" w:cs="宋体" w:eastAsia="宋体" w:hint="default"/>
          <w:sz w:val="25"/>
          <w:szCs w:val="25"/>
        </w:rPr>
      </w:pPr>
    </w:p>
    <w:p>
      <w:pPr>
        <w:pStyle w:val="Heading2"/>
        <w:spacing w:line="240" w:lineRule="auto"/>
        <w:ind w:right="153"/>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-733,095.18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13,485,081.28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6,446,951.05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46,583.63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-3,279,526.32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4"/>
              <w:ind w:right="15"/>
              <w:jc w:val="right"/>
              <w:rPr>
                <w:rFonts w:ascii="Times New Roman" w:hAnsi="Times New Roman" w:cs="Times New Roman" w:eastAsia="Times New Roman" w:hint="default"/>
                <w:sz w:val="18"/>
                <w:szCs w:val="18"/>
              </w:rPr>
            </w:pPr>
            <w:r>
              <w:rPr>
                <w:rFonts w:ascii="Times New Roman"/>
                <w:spacing w:val="-1"/>
                <w:sz w:val="18"/>
              </w:rPr>
              <w:t>15,965,994.46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5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4"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-0.11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-0.11</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-0.15</w:t>
            </w:r>
          </w:p>
        </w:tc>
      </w:tr>
    </w:tbl>
    <w:p>
      <w:pPr>
        <w:spacing w:line="240" w:lineRule="auto" w:before="3"/>
        <w:rPr>
          <w:rFonts w:ascii="宋体" w:hAnsi="宋体" w:cs="宋体" w:eastAsia="宋体" w:hint="default"/>
          <w:b/>
          <w:bCs/>
          <w:sz w:val="19"/>
          <w:szCs w:val="19"/>
        </w:rPr>
      </w:pPr>
    </w:p>
    <w:p>
      <w:pPr>
        <w:pStyle w:val="Heading3"/>
        <w:spacing w:line="240" w:lineRule="auto" w:before="36"/>
        <w:ind w:right="15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5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6"/>
        <w:gridCol w:w="1914"/>
        <w:gridCol w:w="1912"/>
        <w:gridCol w:w="1916"/>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净资产</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8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-54,229,745.00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44,323,268.61</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1,340,400,893.24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4" w:right="0"/>
              <w:jc w:val="left"/>
              <w:rPr>
                <w:rFonts w:ascii="Times New Roman" w:hAnsi="Times New Roman" w:cs="Times New Roman" w:eastAsia="Times New Roman" w:hint="default"/>
                <w:sz w:val="18"/>
                <w:szCs w:val="18"/>
              </w:rPr>
            </w:pPr>
            <w:r>
              <w:rPr>
                <w:rFonts w:ascii="Times New Roman"/>
                <w:sz w:val="18"/>
              </w:rPr>
              <w:t>1,395,606,639.23</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3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5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境外会计准则名称：</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1773" w:space="7056"/>
            <w:col w:w="112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95"/>
        <w:gridCol w:w="1825"/>
        <w:gridCol w:w="1914"/>
        <w:gridCol w:w="1912"/>
        <w:gridCol w:w="1916"/>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净资产</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
        </w:tc>
        <w:tc>
          <w:tcPr>
            <w:tcW w:w="3739" w:type="dxa"/>
            <w:gridSpan w:val="2"/>
            <w:vMerge/>
            <w:tcBorders>
              <w:left w:val="single" w:sz="4" w:space="0" w:color="000000"/>
              <w:bottom w:val="single" w:sz="4" w:space="0" w:color="000000"/>
              <w:right w:val="single" w:sz="4" w:space="0" w:color="000000"/>
            </w:tcBorders>
            <w:shd w:val="clear" w:color="auto" w:fill="D2D2D2"/>
          </w:tcPr>
          <w:p>
            <w:pP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4"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2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82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92" w:right="0"/>
              <w:jc w:val="left"/>
              <w:rPr>
                <w:rFonts w:ascii="Times New Roman" w:hAnsi="Times New Roman" w:cs="Times New Roman" w:eastAsia="Times New Roman" w:hint="default"/>
                <w:sz w:val="18"/>
                <w:szCs w:val="18"/>
              </w:rPr>
            </w:pPr>
            <w:r>
              <w:rPr>
                <w:rFonts w:ascii="Times New Roman"/>
                <w:sz w:val="18"/>
              </w:rPr>
              <w:t>-54,229,745.00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44,323,268.61</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1,340,400,893.24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4" w:right="0"/>
              <w:jc w:val="left"/>
              <w:rPr>
                <w:rFonts w:ascii="Times New Roman" w:hAnsi="Times New Roman" w:cs="Times New Roman" w:eastAsia="Times New Roman" w:hint="default"/>
                <w:sz w:val="18"/>
                <w:szCs w:val="18"/>
              </w:rPr>
            </w:pPr>
            <w:r>
              <w:rPr>
                <w:rFonts w:ascii="Times New Roman"/>
                <w:sz w:val="18"/>
              </w:rPr>
              <w:t>1,395,606,639.23</w:t>
            </w:r>
          </w:p>
        </w:tc>
      </w:tr>
      <w:tr>
        <w:trPr>
          <w:trHeight w:val="401" w:hRule="exact"/>
        </w:trPr>
        <w:tc>
          <w:tcPr>
            <w:tcW w:w="956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3"/>
        <w:spacing w:line="259" w:lineRule="auto" w:before="36"/>
        <w:ind w:right="15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53"/>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type w:val="continuous"/>
          <w:pgSz w:w="11910" w:h="16840"/>
          <w:pgMar w:top="1060" w:bottom="116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153"/>
        <w:jc w:val="left"/>
        <w:rPr>
          <w:b w:val="0"/>
          <w:bCs w:val="0"/>
        </w:rPr>
      </w:pPr>
      <w:bookmarkStart w:name="_bookmark9" w:id="10"/>
      <w:bookmarkEnd w:id="10"/>
      <w:r>
        <w:rPr>
          <w:b w:val="0"/>
          <w:bCs w:val="0"/>
        </w:rPr>
      </w:r>
      <w:r>
        <w:rPr/>
        <w:t>第十一节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4" w:lineRule="auto"/>
        <w:ind w:left="498" w:right="2408"/>
        <w:jc w:val="left"/>
      </w:pPr>
      <w:r>
        <w:rPr/>
        <w:t>一、载有法定代表人、主管会计工作负责人、会计机构负责人签名并盖章的会计报表。 二、载有会计师事务所盖章、注册会计师签名并盖章的审计报告原件。 三、报告期内在中国证监会指定网站上公开披露过的所有公司文件的正本及公告的原稿。 四、载有法定代表人签名的</w:t>
      </w:r>
      <w:r>
        <w:rPr>
          <w:rFonts w:ascii="Times New Roman" w:hAnsi="Times New Roman" w:cs="Times New Roman" w:eastAsia="Times New Roman" w:hint="default"/>
        </w:rPr>
        <w:t>2015</w:t>
      </w:r>
      <w:r>
        <w:rPr/>
        <w:t>年年度报告全文。 五、备查文件备置地点：公司证券部办公室。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60" w:lineRule="auto" w:before="126"/>
        <w:ind w:left="7085" w:right="861" w:hanging="360"/>
        <w:jc w:val="left"/>
      </w:pPr>
      <w:r>
        <w:rPr/>
        <w:t>深圳市卓翼科技股份有限公司 董事长：夏传武</w:t>
      </w:r>
    </w:p>
    <w:p>
      <w:pPr>
        <w:pStyle w:val="BodyText"/>
        <w:spacing w:line="240" w:lineRule="auto" w:before="25"/>
        <w:ind w:left="0" w:right="1058"/>
        <w:jc w:val="right"/>
      </w:pPr>
      <w:r>
        <w:rPr/>
        <w:t>二○一六年三月三十一日</w:t>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Gothic">
    <w:altName w:val="MS Gothic"/>
    <w:charset w:val="0"/>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13892pt;width:6.5pt;height:11pt;mso-position-horizontal-relative:page;mso-position-vertical-relative:page;z-index:-11000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099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10999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099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099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106</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1099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099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1100032" type="#_x0000_t202" filled="false" stroked="false">
          <v:textbox inset="0,0,0,0">
            <w:txbxContent>
              <w:p>
                <w:pPr>
                  <w:pStyle w:val="BodyText"/>
                  <w:spacing w:line="214" w:lineRule="exact"/>
                  <w:ind w:left="20" w:right="0"/>
                  <w:jc w:val="left"/>
                </w:pPr>
                <w:r>
                  <w:rPr/>
                  <w:t>深圳市卓翼科技股份有限公司</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429"/>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zowee.com.cn/" TargetMode="External"/><Relationship Id="rId10" Type="http://schemas.openxmlformats.org/officeDocument/2006/relationships/hyperlink" Target="mailto:message@zowee.com.cn" TargetMode="External"/><Relationship Id="rId11" Type="http://schemas.openxmlformats.org/officeDocument/2006/relationships/hyperlink" Target="http://www.cninfo.com.cn/" TargetMode="External"/><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hyperlink" Target="http://irm.cninfo.com.cn/" TargetMode="External"/><Relationship Id="rId15" Type="http://schemas.openxmlformats.org/officeDocument/2006/relationships/image" Target="media/image4.jpe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深圳市卓翼科技股份有限公司</dc:creator>
  <dc:title>深圳市卓翼科技股份有限公司2015年年度报告全文</dc:title>
  <dcterms:created xsi:type="dcterms:W3CDTF">2020-05-04T13:23:47Z</dcterms:created>
  <dcterms:modified xsi:type="dcterms:W3CDTF">2020-05-04T13:23:47Z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2016-03-30T00:00:00Z</vt:filetime>
  </property>
  <property fmtid="{D5CDD505-2E9C-101B-9397-08002B2CF9AE}" pid="3" name="Creator">
    <vt:lpwstr>Microsoft® Office Word 2007</vt:lpwstr>
  </property>
  <property fmtid="{D5CDD505-2E9C-101B-9397-08002B2CF9AE}" pid="4" name="LastSaved">
    <vt:filetime>2020-05-04T00:00:00Z</vt:filetime>
  </property>
</Properties>
</file>