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8"/>
          <w:szCs w:val="28"/>
        </w:rPr>
      </w:pPr>
    </w:p>
    <w:p>
      <w:pPr>
        <w:spacing w:line="580" w:lineRule="exact" w:before="0"/>
        <w:ind w:left="0" w:right="983" w:firstLine="0"/>
        <w:jc w:val="center"/>
        <w:rPr>
          <w:rFonts w:ascii="宋体" w:hAnsi="宋体" w:cs="宋体" w:eastAsia="宋体" w:hint="default"/>
          <w:sz w:val="48"/>
          <w:szCs w:val="48"/>
        </w:rPr>
      </w:pPr>
      <w:r>
        <w:rPr/>
        <w:pict>
          <v:group style="position:absolute;margin-left:55.200001pt;margin-top:-90.555pt;width:485pt;height:.1pt;mso-position-horizontal-relative:page;mso-position-vertical-relative:paragraph;z-index:0" coordorigin="1104,-1811" coordsize="9700,2">
            <v:shape style="position:absolute;left:1104;top:-1811;width:9700;height:2" coordorigin="1104,-1811" coordsize="9700,0" path="m1104,-1811l10804,-1811e" filled="false" stroked="true" strokeweight=".48pt" strokecolor="#000000">
              <v:path arrowok="t"/>
            </v:shape>
            <w10:wrap type="none"/>
          </v:group>
        </w:pict>
      </w:r>
      <w:r>
        <w:rPr>
          <w:rFonts w:ascii="宋体" w:hAnsi="宋体" w:cs="宋体" w:eastAsia="宋体" w:hint="default"/>
          <w:b/>
          <w:bCs/>
          <w:sz w:val="48"/>
          <w:szCs w:val="48"/>
        </w:rPr>
        <w:t>深圳市卓翼科技股份有限公司</w:t>
      </w:r>
      <w:r>
        <w:rPr>
          <w:rFonts w:ascii="宋体" w:hAnsi="宋体" w:cs="宋体" w:eastAsia="宋体" w:hint="default"/>
          <w:sz w:val="48"/>
          <w:szCs w:val="48"/>
        </w:rPr>
      </w:r>
    </w:p>
    <w:p>
      <w:pPr>
        <w:spacing w:before="337"/>
        <w:ind w:left="0" w:right="977" w:firstLine="0"/>
        <w:jc w:val="center"/>
        <w:rPr>
          <w:rFonts w:ascii="宋体" w:hAnsi="宋体" w:cs="宋体" w:eastAsia="宋体" w:hint="default"/>
          <w:sz w:val="30"/>
          <w:szCs w:val="30"/>
        </w:rPr>
      </w:pPr>
      <w:r>
        <w:rPr>
          <w:rFonts w:ascii="宋体" w:hAnsi="宋体" w:cs="宋体" w:eastAsia="宋体" w:hint="default"/>
          <w:b/>
          <w:bCs/>
          <w:sz w:val="30"/>
          <w:szCs w:val="30"/>
        </w:rPr>
        <w:t>（</w:t>
      </w:r>
      <w:r>
        <w:rPr>
          <w:rFonts w:ascii="宋体" w:hAnsi="宋体" w:cs="宋体" w:eastAsia="宋体" w:hint="default"/>
          <w:b/>
          <w:bCs/>
          <w:sz w:val="30"/>
          <w:szCs w:val="30"/>
        </w:rPr>
        <w:t>SHENZHEN ZOWEE TECHNOLOGY CO.,</w:t>
      </w:r>
      <w:r>
        <w:rPr>
          <w:rFonts w:ascii="宋体" w:hAnsi="宋体" w:cs="宋体" w:eastAsia="宋体" w:hint="default"/>
          <w:b/>
          <w:bCs/>
          <w:spacing w:val="-6"/>
          <w:sz w:val="30"/>
          <w:szCs w:val="30"/>
        </w:rPr>
        <w:t> </w:t>
      </w:r>
      <w:r>
        <w:rPr>
          <w:rFonts w:ascii="宋体" w:hAnsi="宋体" w:cs="宋体" w:eastAsia="宋体" w:hint="default"/>
          <w:b/>
          <w:bCs/>
          <w:sz w:val="30"/>
          <w:szCs w:val="30"/>
        </w:rPr>
        <w:t>LTD.</w:t>
      </w:r>
      <w:r>
        <w:rPr>
          <w:rFonts w:ascii="宋体" w:hAnsi="宋体" w:cs="宋体" w:eastAsia="宋体" w:hint="default"/>
          <w:b/>
          <w:bCs/>
          <w:sz w:val="30"/>
          <w:szCs w:val="30"/>
        </w:rPr>
        <w:t>）</w:t>
      </w:r>
      <w:r>
        <w:rPr>
          <w:rFonts w:ascii="宋体" w:hAnsi="宋体" w:cs="宋体" w:eastAsia="宋体" w:hint="default"/>
          <w:sz w:val="30"/>
          <w:szCs w:val="3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p>
      <w:pPr>
        <w:spacing w:line="2790" w:lineRule="exact"/>
        <w:ind w:left="2385" w:right="0" w:firstLine="0"/>
        <w:rPr>
          <w:rFonts w:ascii="宋体" w:hAnsi="宋体" w:cs="宋体" w:eastAsia="宋体" w:hint="default"/>
          <w:sz w:val="20"/>
          <w:szCs w:val="20"/>
        </w:rPr>
      </w:pPr>
      <w:r>
        <w:rPr>
          <w:rFonts w:ascii="宋体" w:hAnsi="宋体" w:cs="宋体" w:eastAsia="宋体" w:hint="default"/>
          <w:position w:val="-55"/>
          <w:sz w:val="20"/>
          <w:szCs w:val="20"/>
        </w:rPr>
        <w:drawing>
          <wp:inline distT="0" distB="0" distL="0" distR="0">
            <wp:extent cx="3287303" cy="1771650"/>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3287303" cy="1771650"/>
                    </a:xfrm>
                    <a:prstGeom prst="rect">
                      <a:avLst/>
                    </a:prstGeom>
                  </pic:spPr>
                </pic:pic>
              </a:graphicData>
            </a:graphic>
          </wp:inline>
        </w:drawing>
      </w:r>
      <w:r>
        <w:rPr>
          <w:rFonts w:ascii="宋体" w:hAnsi="宋体" w:cs="宋体" w:eastAsia="宋体" w:hint="default"/>
          <w:position w:val="-55"/>
          <w:sz w:val="20"/>
          <w:szCs w:val="20"/>
        </w:rPr>
      </w:r>
    </w:p>
    <w:p>
      <w:pPr>
        <w:spacing w:line="240" w:lineRule="auto" w:before="8"/>
        <w:rPr>
          <w:rFonts w:ascii="宋体" w:hAnsi="宋体" w:cs="宋体" w:eastAsia="宋体" w:hint="default"/>
          <w:b/>
          <w:bCs/>
          <w:sz w:val="27"/>
          <w:szCs w:val="27"/>
        </w:rPr>
      </w:pPr>
    </w:p>
    <w:p>
      <w:pPr>
        <w:spacing w:line="540" w:lineRule="exact" w:before="0"/>
        <w:ind w:left="0" w:right="978" w:firstLine="0"/>
        <w:jc w:val="center"/>
        <w:rPr>
          <w:rFonts w:ascii="宋体" w:hAnsi="宋体" w:cs="宋体" w:eastAsia="宋体" w:hint="default"/>
          <w:sz w:val="44"/>
          <w:szCs w:val="44"/>
        </w:rPr>
      </w:pPr>
      <w:r>
        <w:rPr>
          <w:rFonts w:ascii="宋体" w:hAnsi="宋体" w:cs="宋体" w:eastAsia="宋体" w:hint="default"/>
          <w:b/>
          <w:bCs/>
          <w:sz w:val="44"/>
          <w:szCs w:val="44"/>
        </w:rPr>
        <w:t>2018</w:t>
      </w:r>
      <w:r>
        <w:rPr>
          <w:rFonts w:ascii="宋体" w:hAnsi="宋体" w:cs="宋体" w:eastAsia="宋体" w:hint="default"/>
          <w:b/>
          <w:bCs/>
          <w:spacing w:val="-116"/>
          <w:sz w:val="44"/>
          <w:szCs w:val="44"/>
        </w:rPr>
        <w:t> </w:t>
      </w:r>
      <w:r>
        <w:rPr>
          <w:rFonts w:ascii="宋体" w:hAnsi="宋体" w:cs="宋体" w:eastAsia="宋体" w:hint="default"/>
          <w:b/>
          <w:bCs/>
          <w:sz w:val="44"/>
          <w:szCs w:val="44"/>
        </w:rPr>
        <w:t>年年度报告</w:t>
      </w:r>
      <w:r>
        <w:rPr>
          <w:rFonts w:ascii="宋体" w:hAnsi="宋体" w:cs="宋体" w:eastAsia="宋体" w:hint="default"/>
          <w:sz w:val="44"/>
          <w:szCs w:val="44"/>
        </w:rPr>
      </w: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0"/>
        <w:rPr>
          <w:rFonts w:ascii="宋体" w:hAnsi="宋体" w:cs="宋体" w:eastAsia="宋体" w:hint="default"/>
          <w:b/>
          <w:bCs/>
          <w:sz w:val="44"/>
          <w:szCs w:val="44"/>
        </w:rPr>
      </w:pPr>
    </w:p>
    <w:p>
      <w:pPr>
        <w:spacing w:line="240" w:lineRule="auto" w:before="4"/>
        <w:rPr>
          <w:rFonts w:ascii="宋体" w:hAnsi="宋体" w:cs="宋体" w:eastAsia="宋体" w:hint="default"/>
          <w:b/>
          <w:bCs/>
          <w:sz w:val="34"/>
          <w:szCs w:val="34"/>
        </w:rPr>
      </w:pPr>
    </w:p>
    <w:p>
      <w:pPr>
        <w:spacing w:before="0"/>
        <w:ind w:left="0" w:right="977"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2019</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4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86" w:footer="1019" w:top="1100" w:bottom="1200" w:left="980" w:right="0"/>
        </w:sectPr>
      </w:pPr>
    </w:p>
    <w:p>
      <w:pPr>
        <w:spacing w:line="20" w:lineRule="exact"/>
        <w:ind w:left="119" w:right="0" w:firstLine="0"/>
        <w:rPr>
          <w:rFonts w:ascii="宋体" w:hAnsi="宋体" w:cs="宋体" w:eastAsia="宋体" w:hint="default"/>
          <w:sz w:val="2"/>
          <w:szCs w:val="2"/>
        </w:rPr>
      </w:pPr>
      <w:r>
        <w:rPr>
          <w:rFonts w:ascii="宋体" w:hAnsi="宋体" w:cs="宋体" w:eastAsia="宋体" w:hint="default"/>
          <w:sz w:val="2"/>
          <w:szCs w:val="2"/>
        </w:rPr>
        <w:pict>
          <v:group style="width:485.5pt;height:.5pt;mso-position-horizontal-relative:char;mso-position-vertical-relative:line" coordorigin="0,0" coordsize="9710,10">
            <v:group style="position:absolute;left:5;top:5;width:9700;height:2" coordorigin="5,5" coordsize="9700,2">
              <v:shape style="position:absolute;left:5;top:5;width:9700;height:2" coordorigin="5,5" coordsize="9700,0" path="m5,5l9704,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8"/>
          <w:szCs w:val="18"/>
        </w:rPr>
      </w:pPr>
    </w:p>
    <w:p>
      <w:pPr>
        <w:pStyle w:val="Heading1"/>
        <w:spacing w:line="240" w:lineRule="auto"/>
        <w:ind w:left="2805" w:right="0"/>
        <w:jc w:val="left"/>
        <w:rPr>
          <w:b w:val="0"/>
          <w:bCs w:val="0"/>
        </w:rPr>
      </w:pPr>
      <w:bookmarkStart w:name="第一节 重要提示、目录和释义" w:id="1"/>
      <w:bookmarkEnd w:id="1"/>
      <w:r>
        <w:rPr>
          <w:b w:val="0"/>
          <w:bCs w:val="0"/>
        </w:rPr>
      </w:r>
      <w:bookmarkStart w:name="_bookmark0" w:id="2"/>
      <w:bookmarkEnd w:id="2"/>
      <w:r>
        <w:rPr>
          <w:b w:val="0"/>
          <w:bCs w:val="0"/>
        </w:rPr>
      </w:r>
      <w:r>
        <w:rPr/>
        <w:t>第一节</w:t>
      </w:r>
      <w:r>
        <w:rPr>
          <w:spacing w:val="-11"/>
        </w:rPr>
        <w:t> </w:t>
      </w:r>
      <w:r>
        <w:rPr/>
        <w:t>重要提示、目录和释义</w:t>
      </w:r>
      <w:r>
        <w:rPr>
          <w:b w:val="0"/>
          <w:bCs w:val="0"/>
        </w:rPr>
      </w:r>
    </w:p>
    <w:p>
      <w:pPr>
        <w:spacing w:line="240" w:lineRule="auto" w:before="0"/>
        <w:rPr>
          <w:rFonts w:ascii="宋体" w:hAnsi="宋体" w:cs="宋体" w:eastAsia="宋体" w:hint="default"/>
          <w:b/>
          <w:bCs/>
          <w:sz w:val="32"/>
          <w:szCs w:val="32"/>
        </w:rPr>
      </w:pPr>
    </w:p>
    <w:p>
      <w:pPr>
        <w:spacing w:line="408" w:lineRule="auto" w:before="211"/>
        <w:ind w:left="154" w:right="1141" w:firstLine="562"/>
        <w:jc w:val="both"/>
        <w:rPr>
          <w:rFonts w:ascii="宋体" w:hAnsi="宋体" w:cs="宋体" w:eastAsia="宋体" w:hint="default"/>
          <w:sz w:val="28"/>
          <w:szCs w:val="28"/>
        </w:rPr>
      </w:pPr>
      <w:r>
        <w:rPr>
          <w:rFonts w:ascii="宋体" w:hAnsi="宋体" w:cs="宋体" w:eastAsia="宋体" w:hint="default"/>
          <w:b/>
          <w:bCs/>
          <w:spacing w:val="3"/>
          <w:w w:val="95"/>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实、准确、完整，不存在虚假记载、误导性陈述或重大遗漏，并承担个别和连</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1"/>
        <w:ind w:left="154" w:right="1132" w:firstLine="562"/>
        <w:jc w:val="both"/>
        <w:rPr>
          <w:rFonts w:ascii="宋体" w:hAnsi="宋体" w:cs="宋体" w:eastAsia="宋体" w:hint="default"/>
          <w:sz w:val="28"/>
          <w:szCs w:val="28"/>
        </w:rPr>
      </w:pPr>
      <w:r>
        <w:rPr>
          <w:rFonts w:ascii="宋体" w:hAnsi="宋体" w:cs="宋体" w:eastAsia="宋体" w:hint="default"/>
          <w:b/>
          <w:bCs/>
          <w:w w:val="95"/>
          <w:sz w:val="28"/>
          <w:szCs w:val="28"/>
        </w:rPr>
        <w:t>公司负责人昌智、主管会计工作负责人谢从雄及会计机构负责人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会计主管</w:t>
      </w:r>
      <w:r>
        <w:rPr>
          <w:rFonts w:ascii="宋体" w:hAnsi="宋体" w:cs="宋体" w:eastAsia="宋体" w:hint="default"/>
          <w:b/>
          <w:bCs/>
          <w:spacing w:val="1"/>
          <w:w w:val="99"/>
          <w:sz w:val="28"/>
          <w:szCs w:val="28"/>
        </w:rPr>
        <w:t> </w:t>
      </w:r>
      <w:r>
        <w:rPr>
          <w:rFonts w:ascii="宋体" w:hAnsi="宋体" w:cs="宋体" w:eastAsia="宋体" w:hint="default"/>
          <w:b/>
          <w:bCs/>
          <w:sz w:val="28"/>
          <w:szCs w:val="28"/>
        </w:rPr>
        <w:t>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韦彪声明：保证年度报告中财务报告的真实、准确、完整。</w:t>
      </w:r>
      <w:r>
        <w:rPr>
          <w:rFonts w:ascii="宋体" w:hAnsi="宋体" w:cs="宋体" w:eastAsia="宋体" w:hint="default"/>
          <w:sz w:val="28"/>
          <w:szCs w:val="28"/>
        </w:rPr>
      </w:r>
    </w:p>
    <w:p>
      <w:pPr>
        <w:spacing w:line="472" w:lineRule="auto" w:before="147"/>
        <w:ind w:left="716" w:right="0"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本年度报告涉及未来相关经营计划、目标、发展战略等前瞻性陈述，属于</w:t>
      </w:r>
      <w:r>
        <w:rPr>
          <w:rFonts w:ascii="宋体" w:hAnsi="宋体" w:cs="宋体" w:eastAsia="宋体" w:hint="default"/>
          <w:spacing w:val="3"/>
          <w:sz w:val="28"/>
          <w:szCs w:val="28"/>
        </w:rPr>
      </w:r>
    </w:p>
    <w:p>
      <w:pPr>
        <w:spacing w:line="410" w:lineRule="auto" w:before="0"/>
        <w:ind w:left="154" w:right="0" w:firstLine="0"/>
        <w:jc w:val="left"/>
        <w:rPr>
          <w:rFonts w:ascii="宋体" w:hAnsi="宋体" w:cs="宋体" w:eastAsia="宋体" w:hint="default"/>
          <w:sz w:val="28"/>
          <w:szCs w:val="28"/>
        </w:rPr>
      </w:pPr>
      <w:r>
        <w:rPr>
          <w:rFonts w:ascii="宋体" w:hAnsi="宋体" w:cs="宋体" w:eastAsia="宋体" w:hint="default"/>
          <w:b/>
          <w:bCs/>
          <w:spacing w:val="3"/>
          <w:w w:val="95"/>
          <w:sz w:val="28"/>
          <w:szCs w:val="28"/>
        </w:rPr>
        <w:t>计划性事项，并不构成公司对投资者的实质承诺，投资者及相关人士均应当对</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z w:val="28"/>
          <w:szCs w:val="28"/>
        </w:rPr>
        <w:t>此保持足够的风险认识，并且应当理解计划、预测与承诺之间的差异。</w:t>
      </w:r>
      <w:r>
        <w:rPr>
          <w:rFonts w:ascii="宋体" w:hAnsi="宋体" w:cs="宋体" w:eastAsia="宋体" w:hint="default"/>
          <w:sz w:val="28"/>
          <w:szCs w:val="28"/>
        </w:rPr>
      </w:r>
    </w:p>
    <w:p>
      <w:pPr>
        <w:spacing w:line="410" w:lineRule="auto" w:before="158"/>
        <w:ind w:left="154" w:right="1132" w:firstLine="562"/>
        <w:jc w:val="both"/>
        <w:rPr>
          <w:rFonts w:ascii="宋体" w:hAnsi="宋体" w:cs="宋体" w:eastAsia="宋体" w:hint="default"/>
          <w:sz w:val="28"/>
          <w:szCs w:val="28"/>
        </w:rPr>
      </w:pPr>
      <w:r>
        <w:rPr>
          <w:rFonts w:ascii="宋体" w:hAnsi="宋体" w:cs="宋体" w:eastAsia="宋体" w:hint="default"/>
          <w:b/>
          <w:bCs/>
          <w:spacing w:val="3"/>
          <w:w w:val="95"/>
          <w:sz w:val="28"/>
          <w:szCs w:val="28"/>
        </w:rPr>
        <w:t>公司在本报告第四节”经营情况讨论与分析“中“公司未来发展的展望”</w:t>
      </w:r>
      <w:r>
        <w:rPr>
          <w:rFonts w:ascii="宋体" w:hAnsi="宋体" w:cs="宋体" w:eastAsia="宋体" w:hint="default"/>
          <w:b/>
          <w:bCs/>
          <w:w w:val="99"/>
          <w:sz w:val="28"/>
          <w:szCs w:val="28"/>
        </w:rPr>
        <w:t> </w:t>
      </w:r>
      <w:r>
        <w:rPr>
          <w:rFonts w:ascii="宋体" w:hAnsi="宋体" w:cs="宋体" w:eastAsia="宋体" w:hint="default"/>
          <w:b/>
          <w:bCs/>
          <w:sz w:val="28"/>
          <w:szCs w:val="28"/>
        </w:rPr>
        <w:t>部分描述了公司未来经营中可能面临的风险，敬请广大投资者注意查阅。</w:t>
      </w:r>
      <w:r>
        <w:rPr>
          <w:rFonts w:ascii="宋体" w:hAnsi="宋体" w:cs="宋体" w:eastAsia="宋体" w:hint="default"/>
          <w:sz w:val="28"/>
          <w:szCs w:val="28"/>
        </w:rPr>
      </w:r>
    </w:p>
    <w:p>
      <w:pPr>
        <w:spacing w:before="158"/>
        <w:ind w:left="716" w:right="0" w:firstLine="0"/>
        <w:jc w:val="left"/>
        <w:rPr>
          <w:rFonts w:ascii="宋体" w:hAnsi="宋体" w:cs="宋体" w:eastAsia="宋体" w:hint="default"/>
          <w:sz w:val="28"/>
          <w:szCs w:val="28"/>
        </w:rPr>
      </w:pPr>
      <w:r>
        <w:rPr>
          <w:rFonts w:ascii="宋体" w:hAnsi="宋体" w:cs="宋体" w:eastAsia="宋体" w:hint="default"/>
          <w:b/>
          <w:bCs/>
          <w:sz w:val="28"/>
          <w:szCs w:val="28"/>
        </w:rPr>
        <w:t>公司计划不派发现金红利，不送红股，不以公积金转增股本。</w:t>
      </w:r>
      <w:r>
        <w:rPr>
          <w:rFonts w:ascii="宋体" w:hAnsi="宋体" w:cs="宋体" w:eastAsia="宋体" w:hint="default"/>
          <w:sz w:val="28"/>
          <w:szCs w:val="28"/>
        </w:rPr>
      </w:r>
    </w:p>
    <w:p>
      <w:pPr>
        <w:spacing w:after="0"/>
        <w:jc w:val="left"/>
        <w:rPr>
          <w:rFonts w:ascii="宋体" w:hAnsi="宋体" w:cs="宋体" w:eastAsia="宋体" w:hint="default"/>
          <w:sz w:val="28"/>
          <w:szCs w:val="28"/>
        </w:rPr>
        <w:sectPr>
          <w:footerReference w:type="default" r:id="rId8"/>
          <w:pgSz w:w="11910" w:h="16840"/>
          <w:pgMar w:footer="1019" w:header="786" w:top="1100" w:bottom="1200" w:left="980" w:right="0"/>
          <w:pgNumType w:start="2"/>
        </w:sectPr>
      </w:pPr>
    </w:p>
    <w:p>
      <w:pPr>
        <w:spacing w:line="20" w:lineRule="exact"/>
        <w:ind w:left="119" w:right="0" w:firstLine="0"/>
        <w:rPr>
          <w:rFonts w:ascii="宋体" w:hAnsi="宋体" w:cs="宋体" w:eastAsia="宋体" w:hint="default"/>
          <w:sz w:val="2"/>
          <w:szCs w:val="2"/>
        </w:rPr>
      </w:pPr>
      <w:r>
        <w:rPr>
          <w:rFonts w:ascii="宋体" w:hAnsi="宋体" w:cs="宋体" w:eastAsia="宋体" w:hint="default"/>
          <w:sz w:val="2"/>
          <w:szCs w:val="2"/>
        </w:rPr>
        <w:pict>
          <v:group style="width:485.5pt;height:.5pt;mso-position-horizontal-relative:char;mso-position-vertical-relative:line" coordorigin="0,0" coordsize="9710,10">
            <v:group style="position:absolute;left:5;top:5;width:9700;height:2" coordorigin="5,5" coordsize="9700,2">
              <v:shape style="position:absolute;left:5;top:5;width:9700;height:2" coordorigin="5,5" coordsize="9700,0" path="m5,5l9704,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p>
      <w:pPr>
        <w:tabs>
          <w:tab w:pos="723" w:val="left" w:leader="none"/>
        </w:tabs>
        <w:spacing w:line="460" w:lineRule="exact" w:before="0"/>
        <w:ind w:left="0" w:right="977"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3"/>
        <w:rPr>
          <w:rFonts w:ascii="宋体" w:hAnsi="宋体" w:cs="宋体" w:eastAsia="宋体" w:hint="default"/>
          <w:b/>
          <w:bCs/>
          <w:sz w:val="48"/>
          <w:szCs w:val="48"/>
        </w:rPr>
      </w:pPr>
    </w:p>
    <w:sdt>
      <w:sdtPr>
        <w:docPartObj>
          <w:docPartGallery w:val="Table of Contents"/>
          <w:docPartUnique/>
        </w:docPartObj>
      </w:sdtPr>
      <w:sdtEndPr/>
      <w:sdtContent>
        <w:p>
          <w:pPr>
            <w:pStyle w:val="TOC1"/>
            <w:tabs>
              <w:tab w:pos="9793" w:val="right" w:leader="dot"/>
            </w:tabs>
            <w:spacing w:line="240" w:lineRule="auto" w:before="0"/>
            <w:ind w:right="0"/>
            <w:jc w:val="left"/>
            <w:rPr>
              <w:rFonts w:ascii="宋体" w:hAnsi="宋体" w:cs="宋体" w:eastAsia="宋体" w:hint="default"/>
            </w:rPr>
          </w:pPr>
          <w:r>
            <w:fldChar w:fldCharType="begin"/>
          </w:r>
          <w:r>
            <w:instrText>TOC \o "1-1" \h \z \u </w:instrText>
          </w:r>
          <w:r>
            <w:fldChar w:fldCharType="separate"/>
          </w:r>
          <w:hyperlink w:history="true" w:anchor="_bookmark0">
            <w:r>
              <w:rPr/>
              <w:t>第一节 重要提示、目录和释义</w:t>
            </w:r>
            <w:r>
              <w:rPr>
                <w:rFonts w:ascii="宋体" w:hAnsi="宋体" w:cs="宋体" w:eastAsia="宋体" w:hint="default"/>
              </w:rPr>
              <w:tab/>
              <w:t>2</w:t>
            </w:r>
          </w:hyperlink>
        </w:p>
        <w:p>
          <w:pPr>
            <w:pStyle w:val="TOC1"/>
            <w:tabs>
              <w:tab w:pos="9793" w:val="right" w:leader="dot"/>
            </w:tabs>
            <w:spacing w:line="240" w:lineRule="auto"/>
            <w:ind w:right="0"/>
            <w:jc w:val="left"/>
            <w:rPr>
              <w:rFonts w:ascii="宋体" w:hAnsi="宋体" w:cs="宋体" w:eastAsia="宋体" w:hint="default"/>
            </w:rPr>
          </w:pPr>
          <w:hyperlink w:history="true" w:anchor="_bookmark1">
            <w:r>
              <w:rPr/>
              <w:t>第二节 公司简介和主要财务指标</w:t>
            </w:r>
            <w:r>
              <w:rPr>
                <w:rFonts w:ascii="宋体" w:hAnsi="宋体" w:cs="宋体" w:eastAsia="宋体" w:hint="default"/>
              </w:rPr>
              <w:tab/>
              <w:t>6</w:t>
            </w:r>
          </w:hyperlink>
        </w:p>
        <w:p>
          <w:pPr>
            <w:pStyle w:val="TOC1"/>
            <w:tabs>
              <w:tab w:pos="9793" w:val="right" w:leader="dot"/>
            </w:tabs>
            <w:spacing w:line="240" w:lineRule="auto" w:before="194"/>
            <w:ind w:right="0"/>
            <w:jc w:val="left"/>
            <w:rPr>
              <w:rFonts w:ascii="宋体" w:hAnsi="宋体" w:cs="宋体" w:eastAsia="宋体" w:hint="default"/>
            </w:rPr>
          </w:pPr>
          <w:hyperlink w:history="true" w:anchor="_bookmark2">
            <w:r>
              <w:rPr/>
              <w:t>第三节 公司业务概要</w:t>
            </w:r>
            <w:r>
              <w:rPr>
                <w:rFonts w:ascii="宋体" w:hAnsi="宋体" w:cs="宋体" w:eastAsia="宋体" w:hint="default"/>
              </w:rPr>
              <w:tab/>
              <w:t>10</w:t>
            </w:r>
          </w:hyperlink>
        </w:p>
        <w:p>
          <w:pPr>
            <w:pStyle w:val="TOC1"/>
            <w:tabs>
              <w:tab w:pos="9793" w:val="right" w:leader="dot"/>
            </w:tabs>
            <w:spacing w:line="240" w:lineRule="auto"/>
            <w:ind w:right="0"/>
            <w:jc w:val="left"/>
            <w:rPr>
              <w:rFonts w:ascii="宋体" w:hAnsi="宋体" w:cs="宋体" w:eastAsia="宋体" w:hint="default"/>
            </w:rPr>
          </w:pPr>
          <w:hyperlink w:history="true" w:anchor="_bookmark3">
            <w:r>
              <w:rPr/>
              <w:t>第四节 经营情况讨论与分析</w:t>
            </w:r>
            <w:r>
              <w:rPr>
                <w:rFonts w:ascii="宋体" w:hAnsi="宋体" w:cs="宋体" w:eastAsia="宋体" w:hint="default"/>
              </w:rPr>
              <w:tab/>
              <w:t>17</w:t>
            </w:r>
          </w:hyperlink>
        </w:p>
        <w:p>
          <w:pPr>
            <w:pStyle w:val="TOC1"/>
            <w:tabs>
              <w:tab w:pos="9793" w:val="right" w:leader="dot"/>
            </w:tabs>
            <w:spacing w:line="240" w:lineRule="auto"/>
            <w:ind w:right="0"/>
            <w:jc w:val="left"/>
            <w:rPr>
              <w:rFonts w:ascii="宋体" w:hAnsi="宋体" w:cs="宋体" w:eastAsia="宋体" w:hint="default"/>
            </w:rPr>
          </w:pPr>
          <w:hyperlink w:history="true" w:anchor="_bookmark4">
            <w:r>
              <w:rPr/>
              <w:t>第五节 重要事项</w:t>
            </w:r>
            <w:r>
              <w:rPr>
                <w:rFonts w:ascii="宋体" w:hAnsi="宋体" w:cs="宋体" w:eastAsia="宋体" w:hint="default"/>
              </w:rPr>
              <w:tab/>
              <w:t>41</w:t>
            </w:r>
          </w:hyperlink>
        </w:p>
        <w:p>
          <w:pPr>
            <w:pStyle w:val="TOC1"/>
            <w:tabs>
              <w:tab w:pos="9793" w:val="right" w:leader="dot"/>
            </w:tabs>
            <w:spacing w:line="240" w:lineRule="auto" w:before="194"/>
            <w:ind w:right="0"/>
            <w:jc w:val="left"/>
            <w:rPr>
              <w:rFonts w:ascii="宋体" w:hAnsi="宋体" w:cs="宋体" w:eastAsia="宋体" w:hint="default"/>
            </w:rPr>
          </w:pPr>
          <w:hyperlink w:history="true" w:anchor="_bookmark5">
            <w:r>
              <w:rPr/>
              <w:t>第六节 股份变动及股东情况</w:t>
            </w:r>
            <w:r>
              <w:rPr>
                <w:rFonts w:ascii="宋体" w:hAnsi="宋体" w:cs="宋体" w:eastAsia="宋体" w:hint="default"/>
              </w:rPr>
              <w:tab/>
              <w:t>69</w:t>
            </w:r>
          </w:hyperlink>
        </w:p>
        <w:p>
          <w:pPr>
            <w:pStyle w:val="TOC1"/>
            <w:tabs>
              <w:tab w:pos="9793" w:val="right" w:leader="dot"/>
            </w:tabs>
            <w:spacing w:line="240" w:lineRule="auto"/>
            <w:ind w:right="0"/>
            <w:jc w:val="left"/>
            <w:rPr>
              <w:rFonts w:ascii="宋体" w:hAnsi="宋体" w:cs="宋体" w:eastAsia="宋体" w:hint="default"/>
            </w:rPr>
          </w:pPr>
          <w:hyperlink w:history="true" w:anchor="_bookmark6">
            <w:r>
              <w:rPr/>
              <w:t>第七节 优先股相关情况</w:t>
            </w:r>
            <w:r>
              <w:rPr>
                <w:rFonts w:ascii="宋体" w:hAnsi="宋体" w:cs="宋体" w:eastAsia="宋体" w:hint="default"/>
              </w:rPr>
              <w:tab/>
              <w:t>78</w:t>
            </w:r>
          </w:hyperlink>
        </w:p>
        <w:p>
          <w:pPr>
            <w:pStyle w:val="TOC1"/>
            <w:tabs>
              <w:tab w:pos="9793" w:val="right" w:leader="dot"/>
            </w:tabs>
            <w:spacing w:line="240" w:lineRule="auto" w:before="194"/>
            <w:ind w:right="0"/>
            <w:jc w:val="left"/>
            <w:rPr>
              <w:rFonts w:ascii="宋体" w:hAnsi="宋体" w:cs="宋体" w:eastAsia="宋体" w:hint="default"/>
            </w:rPr>
          </w:pPr>
          <w:hyperlink w:history="true" w:anchor="_bookmark7">
            <w:r>
              <w:rPr/>
              <w:t>第八节 董事、监事、高级管理人员和员工情况</w:t>
            </w:r>
            <w:r>
              <w:rPr>
                <w:rFonts w:ascii="宋体" w:hAnsi="宋体" w:cs="宋体" w:eastAsia="宋体" w:hint="default"/>
              </w:rPr>
              <w:tab/>
              <w:t>79</w:t>
            </w:r>
          </w:hyperlink>
        </w:p>
        <w:p>
          <w:pPr>
            <w:pStyle w:val="TOC1"/>
            <w:tabs>
              <w:tab w:pos="9793" w:val="right" w:leader="dot"/>
            </w:tabs>
            <w:spacing w:line="240" w:lineRule="auto" w:before="194"/>
            <w:ind w:right="0"/>
            <w:jc w:val="left"/>
            <w:rPr>
              <w:rFonts w:ascii="宋体" w:hAnsi="宋体" w:cs="宋体" w:eastAsia="宋体" w:hint="default"/>
            </w:rPr>
          </w:pPr>
          <w:hyperlink w:history="true" w:anchor="_bookmark8">
            <w:r>
              <w:rPr/>
              <w:t>第九节 公司治理</w:t>
            </w:r>
            <w:r>
              <w:rPr>
                <w:rFonts w:ascii="宋体" w:hAnsi="宋体" w:cs="宋体" w:eastAsia="宋体" w:hint="default"/>
              </w:rPr>
              <w:tab/>
              <w:t>90</w:t>
            </w:r>
          </w:hyperlink>
        </w:p>
        <w:p>
          <w:pPr>
            <w:pStyle w:val="TOC1"/>
            <w:tabs>
              <w:tab w:pos="9793" w:val="right" w:leader="dot"/>
            </w:tabs>
            <w:spacing w:line="240" w:lineRule="auto"/>
            <w:ind w:right="0"/>
            <w:jc w:val="left"/>
            <w:rPr>
              <w:rFonts w:ascii="宋体" w:hAnsi="宋体" w:cs="宋体" w:eastAsia="宋体" w:hint="default"/>
            </w:rPr>
          </w:pPr>
          <w:hyperlink w:history="true" w:anchor="_bookmark9">
            <w:r>
              <w:rPr/>
              <w:t>第十节 公司债券相关情况</w:t>
            </w:r>
            <w:r>
              <w:rPr>
                <w:rFonts w:ascii="宋体" w:hAnsi="宋体" w:cs="宋体" w:eastAsia="宋体" w:hint="default"/>
              </w:rPr>
              <w:tab/>
              <w:t>99</w:t>
            </w:r>
          </w:hyperlink>
        </w:p>
        <w:p>
          <w:pPr>
            <w:pStyle w:val="TOC1"/>
            <w:tabs>
              <w:tab w:pos="9793" w:val="right" w:leader="dot"/>
            </w:tabs>
            <w:spacing w:line="240" w:lineRule="auto"/>
            <w:ind w:right="0"/>
            <w:jc w:val="left"/>
            <w:rPr>
              <w:rFonts w:ascii="宋体" w:hAnsi="宋体" w:cs="宋体" w:eastAsia="宋体" w:hint="default"/>
            </w:rPr>
          </w:pPr>
          <w:hyperlink w:history="true" w:anchor="_bookmark10">
            <w:r>
              <w:rPr/>
              <w:t>第十一节 财务报告</w:t>
            </w:r>
            <w:r>
              <w:rPr>
                <w:rFonts w:ascii="宋体" w:hAnsi="宋体" w:cs="宋体" w:eastAsia="宋体" w:hint="default"/>
              </w:rPr>
              <w:tab/>
              <w:t>100</w:t>
            </w:r>
          </w:hyperlink>
        </w:p>
        <w:p>
          <w:pPr>
            <w:pStyle w:val="TOC1"/>
            <w:tabs>
              <w:tab w:pos="9793" w:val="right" w:leader="dot"/>
            </w:tabs>
            <w:spacing w:line="240" w:lineRule="auto" w:before="194"/>
            <w:ind w:right="0"/>
            <w:jc w:val="left"/>
            <w:rPr>
              <w:rFonts w:ascii="宋体" w:hAnsi="宋体" w:cs="宋体" w:eastAsia="宋体" w:hint="default"/>
            </w:rPr>
          </w:pPr>
          <w:hyperlink w:history="true" w:anchor="_bookmark11">
            <w:r>
              <w:rPr/>
              <w:t>第十二节 备查文件目录</w:t>
            </w:r>
            <w:r>
              <w:rPr>
                <w:rFonts w:ascii="宋体" w:hAnsi="宋体" w:cs="宋体" w:eastAsia="宋体" w:hint="default"/>
              </w:rPr>
              <w:tab/>
              <w:t>240</w:t>
            </w:r>
          </w:hyperlink>
        </w:p>
        <w:p>
          <w:pPr/>
          <w:r>
            <w:fldChar w:fldCharType="end"/>
          </w:r>
        </w:p>
      </w:sdtContent>
    </w:sdt>
    <w:p>
      <w:pPr>
        <w:spacing w:after="0"/>
        <w:sectPr>
          <w:pgSz w:w="11910" w:h="16840"/>
          <w:pgMar w:header="786" w:footer="1019" w:top="1100" w:bottom="1200" w:left="980" w:right="0"/>
        </w:sectPr>
      </w:pPr>
    </w:p>
    <w:p>
      <w:pPr>
        <w:spacing w:line="240" w:lineRule="auto" w:before="0"/>
        <w:rPr>
          <w:rFonts w:ascii="宋体" w:hAnsi="宋体" w:cs="宋体" w:eastAsia="宋体" w:hint="default"/>
          <w:sz w:val="32"/>
          <w:szCs w:val="32"/>
        </w:rPr>
      </w:pPr>
    </w:p>
    <w:p>
      <w:pPr>
        <w:spacing w:line="240" w:lineRule="auto" w:before="11"/>
        <w:rPr>
          <w:rFonts w:ascii="宋体" w:hAnsi="宋体" w:cs="宋体" w:eastAsia="宋体" w:hint="default"/>
          <w:sz w:val="45"/>
          <w:szCs w:val="45"/>
        </w:rPr>
      </w:pPr>
    </w:p>
    <w:p>
      <w:pPr>
        <w:spacing w:before="0"/>
        <w:ind w:left="0" w:right="976"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525"/>
        <w:gridCol w:w="621"/>
        <w:gridCol w:w="5424"/>
      </w:tblGrid>
      <w:tr>
        <w:trPr>
          <w:trHeight w:val="401" w:hRule="exact"/>
        </w:trPr>
        <w:tc>
          <w:tcPr>
            <w:tcW w:w="35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本公司、公司、卓翼科技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深圳市卓翼科技股份有限公司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中国证监会、证监会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证监局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中国证券监督管理委员会深圳监管局</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深交所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深圳市卓翼科技股份有限公司章程</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股东大会、董事会、监事会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深圳市卓翼科技股份有限公司股东大会、董事会、监事会</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卓翼智造</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深圳市卓翼智造有限公司，系公司全资子公司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天津卓达</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天津卓达科技发展有限公司，系公司全资子公司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卓大精密</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深圳市卓大精密模具有限公司，系公司全资子公司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中广物联</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深圳市中广物联科技有限公司，系公司全资子公司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翼飞投资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深圳市翼飞投资有限公司，系公司全资子公司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卓博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深圳市卓博机器人有限公司，系公司全资子公司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卓翼光显</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江西卓翼光显科技有限公司，系公司全资子公司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卓翼香港</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卓翼科技（香港）有限公司，系公司全资子公司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中广互联</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中广互联（厦门）信息科技有限公司，系中广物联之全资子公司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卓华联盛</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西安卓华联盛科技有限公司，系中广物联之全资子公司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卓翼营销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卓翼营销有限公司，系中广物联之香港全资子公司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深创谷</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深圳市深创谷技术服务有限公司，系翼飞投资之参股公司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深创谷（香港）</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深创谷技术（香港）有限公司，系深创谷之全资子公司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翼加投资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深圳市翼加投资管理企业（有限合伙</w:t>
            </w:r>
            <w:r>
              <w:rPr>
                <w:rFonts w:ascii="宋体" w:hAnsi="宋体" w:cs="宋体" w:eastAsia="宋体" w:hint="default"/>
                <w:spacing w:val="-90"/>
                <w:sz w:val="18"/>
                <w:szCs w:val="18"/>
              </w:rPr>
              <w:t>）</w:t>
            </w:r>
            <w:r>
              <w:rPr>
                <w:rFonts w:ascii="宋体" w:hAnsi="宋体" w:cs="宋体" w:eastAsia="宋体" w:hint="default"/>
                <w:sz w:val="18"/>
                <w:szCs w:val="18"/>
              </w:rPr>
              <w:t>，系翼飞投资投资的公司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71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3c</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103" w:right="190"/>
              <w:jc w:val="left"/>
              <w:rPr>
                <w:rFonts w:ascii="宋体" w:hAnsi="宋体" w:cs="宋体" w:eastAsia="宋体" w:hint="default"/>
                <w:sz w:val="18"/>
                <w:szCs w:val="18"/>
              </w:rPr>
            </w:pPr>
            <w:r>
              <w:rPr>
                <w:rFonts w:ascii="宋体" w:hAnsi="宋体" w:cs="宋体" w:eastAsia="宋体" w:hint="default"/>
                <w:sz w:val="18"/>
                <w:szCs w:val="18"/>
              </w:rPr>
              <w:t>对电脑（</w:t>
            </w:r>
            <w:r>
              <w:rPr>
                <w:rFonts w:ascii="Times New Roman" w:hAnsi="Times New Roman" w:cs="Times New Roman" w:eastAsia="Times New Roman" w:hint="default"/>
                <w:sz w:val="18"/>
                <w:szCs w:val="18"/>
              </w:rPr>
              <w:t>Computer</w:t>
            </w:r>
            <w:r>
              <w:rPr>
                <w:rFonts w:ascii="宋体" w:hAnsi="宋体" w:cs="宋体" w:eastAsia="宋体" w:hint="default"/>
                <w:sz w:val="18"/>
                <w:szCs w:val="18"/>
              </w:rPr>
              <w:t>）及其周边、通讯（</w:t>
            </w:r>
            <w:r>
              <w:rPr>
                <w:rFonts w:ascii="Times New Roman" w:hAnsi="Times New Roman" w:cs="Times New Roman" w:eastAsia="Times New Roman" w:hint="default"/>
                <w:sz w:val="18"/>
                <w:szCs w:val="18"/>
              </w:rPr>
              <w:t>Communication</w:t>
            </w:r>
            <w:r>
              <w:rPr>
                <w:rFonts w:ascii="宋体" w:hAnsi="宋体" w:cs="宋体" w:eastAsia="宋体" w:hint="default"/>
                <w:sz w:val="18"/>
                <w:szCs w:val="18"/>
              </w:rPr>
              <w:t>，多半是手 机）和消费电子（</w:t>
            </w:r>
            <w:r>
              <w:rPr>
                <w:rFonts w:ascii="Times New Roman" w:hAnsi="Times New Roman" w:cs="Times New Roman" w:eastAsia="Times New Roman" w:hint="default"/>
                <w:sz w:val="18"/>
                <w:szCs w:val="18"/>
              </w:rPr>
              <w:t>Consumer</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Electronics</w:t>
            </w:r>
            <w:r>
              <w:rPr>
                <w:rFonts w:ascii="宋体" w:hAnsi="宋体" w:cs="宋体" w:eastAsia="宋体" w:hint="default"/>
                <w:sz w:val="18"/>
                <w:szCs w:val="18"/>
              </w:rPr>
              <w:t>）等三种产品的代称</w:t>
            </w:r>
          </w:p>
        </w:tc>
      </w:tr>
      <w:tr>
        <w:trPr>
          <w:trHeight w:val="1026"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ODM</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103" w:right="101"/>
              <w:jc w:val="both"/>
              <w:rPr>
                <w:rFonts w:ascii="宋体" w:hAnsi="宋体" w:cs="宋体" w:eastAsia="宋体" w:hint="default"/>
                <w:sz w:val="18"/>
                <w:szCs w:val="18"/>
              </w:rPr>
            </w:pPr>
            <w:r>
              <w:rPr>
                <w:rFonts w:ascii="Times New Roman" w:hAnsi="Times New Roman" w:cs="Times New Roman" w:eastAsia="Times New Roman" w:hint="default"/>
                <w:w w:val="99"/>
                <w:sz w:val="18"/>
                <w:szCs w:val="18"/>
              </w:rPr>
              <w:t>Original</w:t>
            </w:r>
            <w:r>
              <w:rPr>
                <w:rFonts w:ascii="Times New Roman" w:hAnsi="Times New Roman" w:cs="Times New Roman" w:eastAsia="Times New Roman" w:hint="default"/>
                <w:spacing w:val="6"/>
                <w:w w:val="99"/>
                <w:sz w:val="18"/>
                <w:szCs w:val="18"/>
              </w:rPr>
              <w:t> </w:t>
            </w:r>
            <w:r>
              <w:rPr>
                <w:rFonts w:ascii="Times New Roman" w:hAnsi="Times New Roman" w:cs="Times New Roman" w:eastAsia="Times New Roman" w:hint="default"/>
                <w:w w:val="99"/>
                <w:sz w:val="18"/>
                <w:szCs w:val="18"/>
              </w:rPr>
              <w:t>Design</w:t>
            </w:r>
            <w:r>
              <w:rPr>
                <w:rFonts w:ascii="Times New Roman" w:hAnsi="Times New Roman" w:cs="Times New Roman" w:eastAsia="Times New Roman" w:hint="default"/>
                <w:spacing w:val="6"/>
                <w:w w:val="99"/>
                <w:sz w:val="18"/>
                <w:szCs w:val="18"/>
              </w:rPr>
              <w:t> </w:t>
            </w:r>
            <w:r>
              <w:rPr>
                <w:rFonts w:ascii="Times New Roman" w:hAnsi="Times New Roman" w:cs="Times New Roman" w:eastAsia="Times New Roman" w:hint="default"/>
                <w:spacing w:val="-6"/>
                <w:w w:val="99"/>
                <w:sz w:val="18"/>
                <w:szCs w:val="18"/>
              </w:rPr>
              <w:t>Manufacture</w:t>
            </w:r>
            <w:r>
              <w:rPr>
                <w:rFonts w:ascii="宋体" w:hAnsi="宋体" w:cs="宋体" w:eastAsia="宋体" w:hint="default"/>
                <w:spacing w:val="-6"/>
                <w:w w:val="99"/>
                <w:sz w:val="18"/>
                <w:szCs w:val="18"/>
              </w:rPr>
              <w:t>（自主设计制造），结构、外观、工艺等</w:t>
            </w:r>
            <w:r>
              <w:rPr>
                <w:rFonts w:ascii="宋体" w:hAnsi="宋体" w:cs="宋体" w:eastAsia="宋体" w:hint="default"/>
                <w:spacing w:val="-87"/>
                <w:w w:val="99"/>
                <w:sz w:val="18"/>
                <w:szCs w:val="18"/>
              </w:rPr>
              <w:t> </w:t>
            </w:r>
            <w:r>
              <w:rPr>
                <w:rFonts w:ascii="宋体" w:hAnsi="宋体" w:cs="宋体" w:eastAsia="宋体" w:hint="default"/>
                <w:spacing w:val="-87"/>
                <w:w w:val="99"/>
                <w:sz w:val="18"/>
                <w:szCs w:val="18"/>
              </w:rPr>
            </w:r>
            <w:r>
              <w:rPr>
                <w:rFonts w:ascii="宋体" w:hAnsi="宋体" w:cs="宋体" w:eastAsia="宋体" w:hint="default"/>
                <w:spacing w:val="-1"/>
                <w:sz w:val="18"/>
                <w:szCs w:val="18"/>
              </w:rPr>
              <w:t>均由生产商自主开发，由客户下订单后进行生产，产品以客户的品</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牌进行销售。</w:t>
            </w:r>
          </w:p>
        </w:tc>
      </w:tr>
      <w:tr>
        <w:trPr>
          <w:trHeight w:val="67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EMS</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Electronic</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Manufacturing</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4"/>
                <w:w w:val="99"/>
                <w:sz w:val="18"/>
                <w:szCs w:val="18"/>
              </w:rPr>
              <w:t>Services</w:t>
            </w:r>
            <w:r>
              <w:rPr>
                <w:rFonts w:ascii="宋体" w:hAnsi="宋体" w:cs="宋体" w:eastAsia="宋体" w:hint="default"/>
                <w:spacing w:val="-4"/>
                <w:w w:val="99"/>
                <w:sz w:val="18"/>
                <w:szCs w:val="18"/>
              </w:rPr>
              <w:t>（电子制造服务），公司为品牌生</w:t>
            </w:r>
            <w:r>
              <w:rPr>
                <w:rFonts w:ascii="宋体" w:hAnsi="宋体" w:cs="宋体" w:eastAsia="宋体" w:hint="default"/>
                <w:spacing w:val="-73"/>
                <w:w w:val="99"/>
                <w:sz w:val="18"/>
                <w:szCs w:val="18"/>
              </w:rPr>
              <w:t> </w:t>
            </w:r>
            <w:r>
              <w:rPr>
                <w:rFonts w:ascii="宋体" w:hAnsi="宋体" w:cs="宋体" w:eastAsia="宋体" w:hint="default"/>
                <w:spacing w:val="-73"/>
                <w:w w:val="99"/>
                <w:sz w:val="18"/>
                <w:szCs w:val="18"/>
              </w:rPr>
            </w:r>
            <w:r>
              <w:rPr>
                <w:rFonts w:ascii="宋体" w:hAnsi="宋体" w:cs="宋体" w:eastAsia="宋体" w:hint="default"/>
                <w:spacing w:val="-1"/>
                <w:sz w:val="18"/>
                <w:szCs w:val="18"/>
              </w:rPr>
              <w:t>产商提供原材料的采购、产品的制造和相关的物流配送、售后服务</w:t>
            </w:r>
          </w:p>
        </w:tc>
      </w:tr>
    </w:tbl>
    <w:p>
      <w:pPr>
        <w:spacing w:after="0" w:line="300" w:lineRule="auto"/>
        <w:jc w:val="left"/>
        <w:rPr>
          <w:rFonts w:ascii="宋体" w:hAnsi="宋体" w:cs="宋体" w:eastAsia="宋体" w:hint="default"/>
          <w:sz w:val="18"/>
          <w:szCs w:val="18"/>
        </w:rPr>
        <w:sectPr>
          <w:headerReference w:type="default" r:id="rId9"/>
          <w:pgSz w:w="11910" w:h="16840"/>
          <w:pgMar w:header="917"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3525"/>
        <w:gridCol w:w="621"/>
        <w:gridCol w:w="5424"/>
      </w:tblGrid>
      <w:tr>
        <w:trPr>
          <w:trHeight w:val="362" w:hRule="exact"/>
        </w:trPr>
        <w:tc>
          <w:tcPr>
            <w:tcW w:w="3525" w:type="dxa"/>
            <w:tcBorders>
              <w:top w:val="single" w:sz="4" w:space="0" w:color="000000"/>
              <w:left w:val="single" w:sz="4" w:space="0" w:color="000000"/>
              <w:bottom w:val="single" w:sz="4" w:space="0" w:color="000000"/>
              <w:right w:val="single" w:sz="4" w:space="0" w:color="000000"/>
            </w:tcBorders>
          </w:tcPr>
          <w:p>
            <w:pP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等环节服务。</w:t>
            </w:r>
          </w:p>
        </w:tc>
      </w:tr>
      <w:tr>
        <w:trPr>
          <w:trHeight w:val="133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Times New Roman" w:hAnsi="Times New Roman" w:cs="Times New Roman" w:eastAsia="Times New Roman" w:hint="default"/>
                <w:sz w:val="18"/>
                <w:szCs w:val="18"/>
              </w:rPr>
            </w:pPr>
            <w:r>
              <w:rPr>
                <w:rFonts w:ascii="Times New Roman"/>
                <w:sz w:val="18"/>
              </w:rPr>
              <w:t>JDM</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00"/>
              <w:jc w:val="both"/>
              <w:rPr>
                <w:rFonts w:ascii="宋体" w:hAnsi="宋体" w:cs="宋体" w:eastAsia="宋体" w:hint="default"/>
                <w:sz w:val="18"/>
                <w:szCs w:val="18"/>
              </w:rPr>
            </w:pPr>
            <w:r>
              <w:rPr>
                <w:rFonts w:ascii="Times New Roman" w:hAnsi="Times New Roman" w:cs="Times New Roman" w:eastAsia="Times New Roman" w:hint="default"/>
                <w:sz w:val="18"/>
                <w:szCs w:val="18"/>
              </w:rPr>
              <w:t>Joint Design.</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Manufacture</w:t>
            </w:r>
            <w:r>
              <w:rPr>
                <w:rFonts w:ascii="宋体" w:hAnsi="宋体" w:cs="宋体" w:eastAsia="宋体" w:hint="default"/>
                <w:sz w:val="18"/>
                <w:szCs w:val="18"/>
              </w:rPr>
              <w:t>（联合设计制造）</w:t>
            </w:r>
            <w:r>
              <w:rPr>
                <w:rFonts w:ascii="Times New Roman" w:hAnsi="Times New Roman" w:cs="Times New Roman" w:eastAsia="Times New Roman" w:hint="default"/>
                <w:sz w:val="18"/>
                <w:szCs w:val="18"/>
              </w:rPr>
              <w:t>,</w:t>
            </w:r>
            <w:r>
              <w:rPr>
                <w:rFonts w:ascii="宋体" w:hAnsi="宋体" w:cs="宋体" w:eastAsia="宋体" w:hint="default"/>
                <w:sz w:val="18"/>
                <w:szCs w:val="18"/>
              </w:rPr>
              <w:t>公司与主要客戶就核心</w:t>
            </w:r>
            <w:r>
              <w:rPr>
                <w:rFonts w:ascii="宋体" w:hAnsi="宋体" w:cs="宋体" w:eastAsia="宋体" w:hint="default"/>
                <w:w w:val="99"/>
                <w:sz w:val="18"/>
                <w:szCs w:val="18"/>
              </w:rPr>
              <w:t> </w:t>
            </w:r>
            <w:r>
              <w:rPr>
                <w:rFonts w:ascii="宋体" w:hAnsi="宋体" w:cs="宋体" w:eastAsia="宋体" w:hint="default"/>
                <w:spacing w:val="-1"/>
                <w:sz w:val="18"/>
                <w:szCs w:val="18"/>
              </w:rPr>
              <w:t>产品从事共同开发，并提供完整解決方案。也就是说公司将会参与</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1"/>
                <w:sz w:val="18"/>
                <w:szCs w:val="18"/>
              </w:rPr>
              <w:t>客户研发、设计产品的过程，双方把产品设计出来后，公司进行小</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型量产与验证，客戶再根据测试结果修改产品功能和结构。</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元、万元</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人民币元、人民币万元</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报告期、本报告期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报告期末</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p>
      <w:pPr>
        <w:pStyle w:val="Heading1"/>
        <w:spacing w:line="240" w:lineRule="auto"/>
        <w:ind w:left="2644" w:right="0"/>
        <w:jc w:val="left"/>
        <w:rPr>
          <w:b w:val="0"/>
          <w:bCs w:val="0"/>
        </w:rPr>
      </w:pPr>
      <w:bookmarkStart w:name="第二节 公司简介和主要财务指标" w:id="3"/>
      <w:bookmarkEnd w:id="3"/>
      <w:r>
        <w:rPr>
          <w:b w:val="0"/>
          <w:bCs w:val="0"/>
        </w:rPr>
      </w:r>
      <w:bookmarkStart w:name="_bookmark1" w:id="4"/>
      <w:bookmarkEnd w:id="4"/>
      <w:r>
        <w:rPr>
          <w:b w:val="0"/>
          <w:bCs w:val="0"/>
        </w:rPr>
      </w:r>
      <w:r>
        <w:rPr/>
        <w:t>第二节</w:t>
      </w:r>
      <w:r>
        <w:rPr>
          <w:spacing w:val="-11"/>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公司信息" w:id="5"/>
      <w:bookmarkEnd w:id="5"/>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84"/>
        <w:gridCol w:w="2954"/>
        <w:gridCol w:w="2157"/>
        <w:gridCol w:w="2176"/>
      </w:tblGrid>
      <w:tr>
        <w:trPr>
          <w:trHeight w:val="408"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卓翼科技</w:t>
            </w:r>
          </w:p>
        </w:tc>
        <w:tc>
          <w:tcPr>
            <w:tcW w:w="21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002369</w:t>
            </w:r>
          </w:p>
        </w:tc>
      </w:tr>
      <w:tr>
        <w:trPr>
          <w:trHeight w:val="396"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28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深圳市卓翼科技股份有限公司</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卓翼科技</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SHENZHEN ZOWEE TECHNOLOGY CO.,</w:t>
            </w:r>
            <w:r>
              <w:rPr>
                <w:rFonts w:ascii="Times New Roman"/>
                <w:spacing w:val="-14"/>
                <w:sz w:val="18"/>
              </w:rPr>
              <w:t> </w:t>
            </w:r>
            <w:r>
              <w:rPr>
                <w:rFonts w:ascii="Times New Roman"/>
                <w:spacing w:val="-5"/>
                <w:sz w:val="18"/>
              </w:rPr>
              <w:t>LTD.</w:t>
            </w:r>
          </w:p>
        </w:tc>
      </w:tr>
      <w:tr>
        <w:trPr>
          <w:trHeight w:val="714"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89"/>
              <w:jc w:val="left"/>
              <w:rPr>
                <w:rFonts w:ascii="宋体" w:hAnsi="宋体" w:cs="宋体" w:eastAsia="宋体" w:hint="default"/>
                <w:sz w:val="18"/>
                <w:szCs w:val="18"/>
              </w:rPr>
            </w:pPr>
            <w:r>
              <w:rPr>
                <w:rFonts w:ascii="宋体" w:hAnsi="宋体" w:cs="宋体" w:eastAsia="宋体" w:hint="default"/>
                <w:sz w:val="18"/>
                <w:szCs w:val="18"/>
              </w:rPr>
              <w:t>公司的外文名称缩写（如 有）</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ZOWEE</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昌智</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深圳市南山区西丽平山民企科技工业园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栋</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518055</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深圳市南山区西丽平山民企科技工业园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栋</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518055</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hyperlink r:id="rId10">
              <w:r>
                <w:rPr>
                  <w:rFonts w:ascii="Times New Roman"/>
                  <w:sz w:val="18"/>
                </w:rPr>
                <w:t>www.zowee.com.cn</w:t>
              </w:r>
            </w:hyperlink>
          </w:p>
        </w:tc>
      </w:tr>
      <w:tr>
        <w:trPr>
          <w:trHeight w:val="403"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hyperlink r:id="rId11">
              <w:r>
                <w:rPr>
                  <w:rFonts w:ascii="Times New Roman"/>
                  <w:sz w:val="18"/>
                </w:rPr>
                <w:t>message@zowee.com.cn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84"/>
        <w:gridCol w:w="3630"/>
        <w:gridCol w:w="3656"/>
      </w:tblGrid>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魏代英</w:t>
            </w:r>
          </w:p>
        </w:tc>
        <w:tc>
          <w:tcPr>
            <w:tcW w:w="3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张富涵</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深圳市南山区西丽平山民企科技工业园</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栋</w:t>
            </w:r>
          </w:p>
        </w:tc>
        <w:tc>
          <w:tcPr>
            <w:tcW w:w="3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深圳市南山区西丽平山民企科技工业园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栋</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0755-26986749</w:t>
            </w:r>
          </w:p>
        </w:tc>
        <w:tc>
          <w:tcPr>
            <w:tcW w:w="3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0755-26986749</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0755-26986712</w:t>
            </w:r>
          </w:p>
        </w:tc>
        <w:tc>
          <w:tcPr>
            <w:tcW w:w="3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0755-26986712</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hyperlink r:id="rId11">
              <w:r>
                <w:rPr>
                  <w:rFonts w:ascii="Times New Roman"/>
                  <w:sz w:val="18"/>
                </w:rPr>
                <w:t>message@zowee.com.cn</w:t>
              </w:r>
            </w:hyperlink>
          </w:p>
        </w:tc>
        <w:tc>
          <w:tcPr>
            <w:tcW w:w="3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hyperlink r:id="rId11">
              <w:r>
                <w:rPr>
                  <w:rFonts w:ascii="Times New Roman"/>
                  <w:sz w:val="18"/>
                </w:rPr>
                <w:t>message@zowee.com.cn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3"/>
        <w:gridCol w:w="5576"/>
      </w:tblGrid>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《中国证券报》</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hyperlink r:id="rId12">
              <w:r>
                <w:rPr>
                  <w:rFonts w:ascii="Times New Roman"/>
                  <w:sz w:val="18"/>
                </w:rPr>
                <w:t>www.cninfo.com.cn</w:t>
              </w:r>
            </w:hyperlink>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公司证券部</w:t>
            </w:r>
          </w:p>
        </w:tc>
      </w:tr>
    </w:tbl>
    <w:p>
      <w:pPr>
        <w:spacing w:after="0" w:line="240"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7"/>
        <w:rPr>
          <w:rFonts w:ascii="宋体" w:hAnsi="宋体" w:cs="宋体" w:eastAsia="宋体" w:hint="default"/>
          <w:b/>
          <w:bCs/>
          <w:sz w:val="18"/>
          <w:szCs w:val="18"/>
        </w:rPr>
      </w:pPr>
    </w:p>
    <w:p>
      <w:pPr>
        <w:pStyle w:val="Heading2"/>
        <w:spacing w:line="240" w:lineRule="auto" w:before="26"/>
        <w:ind w:right="0"/>
        <w:jc w:val="left"/>
        <w:rPr>
          <w:b w:val="0"/>
          <w:bCs w:val="0"/>
        </w:rPr>
      </w:pPr>
      <w:bookmarkStart w:name="四、注册变更情况" w:id="8"/>
      <w:bookmarkEnd w:id="8"/>
      <w:r>
        <w:rPr>
          <w:b w:val="0"/>
          <w:bCs w:val="0"/>
        </w:rPr>
      </w:r>
      <w:r>
        <w:rPr/>
        <w:t>四、注册变更情况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0"/>
        <w:gridCol w:w="63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914403007586256618</w:t>
            </w:r>
          </w:p>
        </w:tc>
      </w:tr>
      <w:tr>
        <w:trPr>
          <w:trHeight w:val="352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1"/>
                <w:szCs w:val="21"/>
              </w:rPr>
            </w:pPr>
          </w:p>
          <w:p>
            <w:pPr>
              <w:pStyle w:val="TableParagraph"/>
              <w:spacing w:line="319" w:lineRule="auto"/>
              <w:ind w:left="103" w:right="101"/>
              <w:jc w:val="left"/>
              <w:rPr>
                <w:rFonts w:ascii="宋体" w:hAnsi="宋体" w:cs="宋体" w:eastAsia="宋体" w:hint="default"/>
                <w:sz w:val="18"/>
                <w:szCs w:val="18"/>
              </w:rPr>
            </w:pPr>
            <w:r>
              <w:rPr>
                <w:rFonts w:ascii="宋体" w:hAnsi="宋体" w:cs="宋体" w:eastAsia="宋体" w:hint="default"/>
                <w:spacing w:val="-6"/>
                <w:sz w:val="18"/>
                <w:szCs w:val="18"/>
              </w:rPr>
              <w:t>公司上市以来主营业务的变化情况（如</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有）</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1"/>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日，经深圳市市场监督管理局核准，公司经营范围变更为：计 </w:t>
            </w:r>
            <w:r>
              <w:rPr>
                <w:rFonts w:ascii="宋体" w:hAnsi="宋体" w:cs="宋体" w:eastAsia="宋体" w:hint="default"/>
                <w:spacing w:val="-2"/>
                <w:sz w:val="18"/>
                <w:szCs w:val="18"/>
              </w:rPr>
              <w:t>算机周边板卡、消费数码产品、通讯网络产品、音响产品、广播电影电视器材、</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5"/>
                <w:w w:val="99"/>
                <w:sz w:val="18"/>
                <w:szCs w:val="18"/>
              </w:rPr>
              <w:t>调制解调器（不含卫星电视广播地面接收设施）、</w:t>
            </w:r>
            <w:r>
              <w:rPr>
                <w:rFonts w:ascii="Times New Roman" w:hAnsi="Times New Roman" w:cs="Times New Roman" w:eastAsia="Times New Roman" w:hint="default"/>
                <w:spacing w:val="-5"/>
                <w:w w:val="99"/>
                <w:sz w:val="18"/>
                <w:szCs w:val="18"/>
              </w:rPr>
              <w:t>U</w:t>
            </w:r>
            <w:r>
              <w:rPr>
                <w:rFonts w:ascii="Times New Roman" w:hAnsi="Times New Roman" w:cs="Times New Roman" w:eastAsia="Times New Roman" w:hint="default"/>
                <w:w w:val="99"/>
                <w:sz w:val="18"/>
                <w:szCs w:val="18"/>
              </w:rPr>
              <w:t> </w:t>
            </w:r>
            <w:r>
              <w:rPr>
                <w:rFonts w:ascii="宋体" w:hAnsi="宋体" w:cs="宋体" w:eastAsia="宋体" w:hint="default"/>
                <w:spacing w:val="-2"/>
                <w:w w:val="99"/>
                <w:sz w:val="18"/>
                <w:szCs w:val="18"/>
              </w:rPr>
              <w:t>盘、</w:t>
            </w:r>
            <w:r>
              <w:rPr>
                <w:rFonts w:ascii="Times New Roman" w:hAnsi="Times New Roman" w:cs="Times New Roman" w:eastAsia="Times New Roman" w:hint="default"/>
                <w:spacing w:val="-2"/>
                <w:w w:val="99"/>
                <w:sz w:val="18"/>
                <w:szCs w:val="18"/>
              </w:rPr>
              <w:t>MP3</w:t>
            </w:r>
            <w:r>
              <w:rPr>
                <w:rFonts w:ascii="宋体" w:hAnsi="宋体" w:cs="宋体" w:eastAsia="宋体" w:hint="default"/>
                <w:spacing w:val="-2"/>
                <w:w w:val="99"/>
                <w:sz w:val="18"/>
                <w:szCs w:val="18"/>
              </w:rPr>
              <w:t>、</w:t>
            </w:r>
            <w:r>
              <w:rPr>
                <w:rFonts w:ascii="Times New Roman" w:hAnsi="Times New Roman" w:cs="Times New Roman" w:eastAsia="Times New Roman" w:hint="default"/>
                <w:spacing w:val="-2"/>
                <w:w w:val="99"/>
                <w:sz w:val="18"/>
                <w:szCs w:val="18"/>
              </w:rPr>
              <w:t>MP4</w:t>
            </w:r>
            <w:r>
              <w:rPr>
                <w:rFonts w:ascii="宋体" w:hAnsi="宋体" w:cs="宋体" w:eastAsia="宋体" w:hint="default"/>
                <w:spacing w:val="-2"/>
                <w:w w:val="99"/>
                <w:sz w:val="18"/>
                <w:szCs w:val="18"/>
              </w:rPr>
              <w:t>、数字电视</w:t>
            </w:r>
            <w:r>
              <w:rPr>
                <w:rFonts w:ascii="宋体" w:hAnsi="宋体" w:cs="宋体" w:eastAsia="宋体" w:hint="default"/>
                <w:spacing w:val="-64"/>
                <w:w w:val="99"/>
                <w:sz w:val="18"/>
                <w:szCs w:val="18"/>
              </w:rPr>
              <w:t> </w:t>
            </w:r>
            <w:r>
              <w:rPr>
                <w:rFonts w:ascii="宋体" w:hAnsi="宋体" w:cs="宋体" w:eastAsia="宋体" w:hint="default"/>
                <w:spacing w:val="-64"/>
                <w:w w:val="99"/>
                <w:sz w:val="18"/>
                <w:szCs w:val="18"/>
              </w:rPr>
            </w:r>
            <w:r>
              <w:rPr>
                <w:rFonts w:ascii="宋体" w:hAnsi="宋体" w:cs="宋体" w:eastAsia="宋体" w:hint="default"/>
                <w:spacing w:val="-5"/>
                <w:sz w:val="18"/>
                <w:szCs w:val="18"/>
              </w:rPr>
              <w:t>系统用户终端接收机、网络交换机、无线网络适配器、无线路由器、</w:t>
            </w:r>
            <w:r>
              <w:rPr>
                <w:rFonts w:ascii="Times New Roman" w:hAnsi="Times New Roman" w:cs="Times New Roman" w:eastAsia="Times New Roman" w:hint="default"/>
                <w:spacing w:val="-5"/>
                <w:sz w:val="18"/>
                <w:szCs w:val="18"/>
              </w:rPr>
              <w:t>VOIP</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网关、</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Times New Roman" w:hAnsi="Times New Roman" w:cs="Times New Roman" w:eastAsia="Times New Roman" w:hint="default"/>
                <w:w w:val="99"/>
                <w:sz w:val="18"/>
                <w:szCs w:val="18"/>
              </w:rPr>
              <w:t>VOIP </w:t>
            </w:r>
            <w:r>
              <w:rPr>
                <w:rFonts w:ascii="宋体" w:hAnsi="宋体" w:cs="宋体" w:eastAsia="宋体" w:hint="default"/>
                <w:w w:val="99"/>
                <w:sz w:val="18"/>
                <w:szCs w:val="18"/>
              </w:rPr>
              <w:t>电话、</w:t>
            </w:r>
            <w:r>
              <w:rPr>
                <w:rFonts w:ascii="Times New Roman" w:hAnsi="Times New Roman" w:cs="Times New Roman" w:eastAsia="Times New Roman" w:hint="default"/>
                <w:w w:val="99"/>
                <w:sz w:val="18"/>
                <w:szCs w:val="18"/>
              </w:rPr>
              <w:t>IP </w:t>
            </w:r>
            <w:r>
              <w:rPr>
                <w:rFonts w:ascii="宋体" w:hAnsi="宋体" w:cs="宋体" w:eastAsia="宋体" w:hint="default"/>
                <w:spacing w:val="-4"/>
                <w:sz w:val="18"/>
                <w:szCs w:val="18"/>
              </w:rPr>
              <w:t>机顶盒的组装生产（在许可有效期内生产）；手机和平板电脑等</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4"/>
                <w:sz w:val="18"/>
                <w:szCs w:val="18"/>
              </w:rPr>
              <w:t>移动手持终端的生产（由分支机构经营，执照另行申办）；技术开发、购销、电</w:t>
            </w:r>
            <w:r>
              <w:rPr>
                <w:rFonts w:ascii="宋体" w:hAnsi="宋体" w:cs="宋体" w:eastAsia="宋体" w:hint="default"/>
                <w:sz w:val="18"/>
                <w:szCs w:val="18"/>
              </w:rPr>
              <w:t> </w:t>
            </w:r>
            <w:r>
              <w:rPr>
                <w:rFonts w:ascii="宋体" w:hAnsi="宋体" w:cs="宋体" w:eastAsia="宋体" w:hint="default"/>
                <w:spacing w:val="-4"/>
                <w:sz w:val="18"/>
                <w:szCs w:val="18"/>
              </w:rPr>
              <w:t>子产品的购销及其他国内商业、物资供销业（不含专营、专控、专卖商品）；经</w:t>
            </w:r>
            <w:r>
              <w:rPr>
                <w:rFonts w:ascii="宋体" w:hAnsi="宋体" w:cs="宋体" w:eastAsia="宋体" w:hint="default"/>
                <w:sz w:val="18"/>
                <w:szCs w:val="18"/>
              </w:rPr>
              <w:t> 营进出口业务（法律、行政法规、国务院决定禁止的项目除外，限制的项目须 </w:t>
            </w:r>
            <w:r>
              <w:rPr>
                <w:rFonts w:ascii="宋体" w:hAnsi="宋体" w:cs="宋体" w:eastAsia="宋体" w:hint="default"/>
                <w:spacing w:val="-4"/>
                <w:sz w:val="18"/>
                <w:szCs w:val="18"/>
              </w:rPr>
              <w:t>取得许可后方可经营）；机械设备租赁（不配备操作人员的机械设备租赁，不包</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括金融租赁活动）；汽车租赁（不包括带操作人员的汽车出租）；计算机与通讯</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设备租赁。</w:t>
            </w:r>
          </w:p>
        </w:tc>
      </w:tr>
      <w:tr>
        <w:trPr>
          <w:trHeight w:val="1338"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103" w:right="102"/>
              <w:jc w:val="both"/>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年，公司原控股股东、实际控制人田昱先生因减持公司股份后，所持股份 少于夏传武先生，夏传武先生成为公司第一大股东。根据相关法律、法规的规 定，自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日起，公司控股股东、实际控制人由田昱先生变更为夏 传武先生。</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五、其他有关资料" w:id="9"/>
      <w:bookmarkEnd w:id="9"/>
      <w:r>
        <w:rPr>
          <w:b w:val="0"/>
          <w:bCs w:val="0"/>
        </w:rPr>
      </w:r>
      <w:r>
        <w:rPr/>
        <w:t>五、其他有关资料</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公司聘请的会计师事务所</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4"/>
        <w:gridCol w:w="6385"/>
      </w:tblGrid>
      <w:tr>
        <w:trPr>
          <w:trHeight w:val="402" w:hRule="exact"/>
        </w:trPr>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亚太（集团）会计师事务所（特殊普通合伙）</w:t>
            </w:r>
          </w:p>
        </w:tc>
      </w:tr>
      <w:tr>
        <w:trPr>
          <w:trHeight w:val="402" w:hRule="exact"/>
        </w:trPr>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深圳市福田区滨河大道</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5022 </w:t>
            </w:r>
            <w:r>
              <w:rPr>
                <w:rFonts w:ascii="宋体" w:hAnsi="宋体" w:cs="宋体" w:eastAsia="宋体" w:hint="default"/>
                <w:sz w:val="18"/>
                <w:szCs w:val="18"/>
              </w:rPr>
              <w:t>号联合广场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 </w:t>
            </w:r>
            <w:r>
              <w:rPr>
                <w:rFonts w:ascii="宋体" w:hAnsi="宋体" w:cs="宋体" w:eastAsia="宋体" w:hint="default"/>
                <w:sz w:val="18"/>
                <w:szCs w:val="18"/>
              </w:rPr>
              <w:t>座</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2" w:hRule="exact"/>
        </w:trPr>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周英、林丹妮</w:t>
            </w:r>
          </w:p>
        </w:tc>
      </w:tr>
    </w:tbl>
    <w:p>
      <w:pPr>
        <w:pStyle w:val="BodyText"/>
        <w:spacing w:line="240" w:lineRule="auto" w:before="51"/>
        <w:ind w:right="0"/>
        <w:jc w:val="left"/>
      </w:pPr>
      <w:r>
        <w:rPr/>
        <w:t>公司聘请的报告期内履行持续督导职责的保荐机构</w:t>
      </w:r>
    </w:p>
    <w:p>
      <w:pPr>
        <w:pStyle w:val="BodyText"/>
        <w:spacing w:line="240" w:lineRule="auto" w:before="117"/>
        <w:ind w:right="0"/>
        <w:jc w:val="left"/>
      </w:pPr>
      <w:r>
        <w:rPr/>
        <w:t>√ 适用 □ 不适用</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0"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东兴证券股份有限公司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103" w:right="119"/>
              <w:jc w:val="left"/>
              <w:rPr>
                <w:rFonts w:ascii="宋体" w:hAnsi="宋体" w:cs="宋体" w:eastAsia="宋体" w:hint="default"/>
                <w:sz w:val="18"/>
                <w:szCs w:val="18"/>
              </w:rPr>
            </w:pPr>
            <w:r>
              <w:rPr>
                <w:rFonts w:ascii="宋体" w:hAnsi="宋体" w:cs="宋体" w:eastAsia="宋体" w:hint="default"/>
                <w:sz w:val="18"/>
                <w:szCs w:val="18"/>
              </w:rPr>
              <w:t>北京市西城区金融大街</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 新盛大厦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 </w:t>
            </w:r>
            <w:r>
              <w:rPr>
                <w:rFonts w:ascii="宋体" w:hAnsi="宋体" w:cs="宋体" w:eastAsia="宋体" w:hint="default"/>
                <w:sz w:val="18"/>
                <w:szCs w:val="18"/>
              </w:rPr>
              <w:t>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辛蕾、王华</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pStyle w:val="BodyText"/>
        <w:spacing w:line="240" w:lineRule="auto" w:before="51"/>
        <w:ind w:right="0"/>
        <w:jc w:val="left"/>
      </w:pPr>
      <w:r>
        <w:rPr/>
        <w:t>公司聘请的报告期内履行持续督导职责的财务顾问</w:t>
      </w:r>
    </w:p>
    <w:p>
      <w:pPr>
        <w:pStyle w:val="BodyText"/>
        <w:spacing w:line="240" w:lineRule="auto" w:before="117"/>
        <w:ind w:right="0"/>
        <w:jc w:val="left"/>
      </w:pPr>
      <w:r>
        <w:rPr/>
        <w:t>□ 适用 √ 不适用</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六、主要会计数据和财务指标" w:id="10"/>
      <w:bookmarkEnd w:id="10"/>
      <w:r>
        <w:rPr>
          <w:b w:val="0"/>
          <w:bCs w:val="0"/>
        </w:rPr>
      </w:r>
      <w:r>
        <w:rPr/>
        <w:t>六、主要会计数据和财务指标</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公司是否需追溯调整或重述以前年度会计数据</w:t>
      </w:r>
    </w:p>
    <w:p>
      <w:pPr>
        <w:pStyle w:val="BodyText"/>
        <w:spacing w:line="240" w:lineRule="auto" w:before="117"/>
        <w:ind w:right="0"/>
        <w:jc w:val="left"/>
      </w:pPr>
      <w:r>
        <w:rPr/>
        <w:t>□ 是 √ 否</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621"/>
        <w:gridCol w:w="1739"/>
        <w:gridCol w:w="1736"/>
        <w:gridCol w:w="1738"/>
        <w:gridCol w:w="1735"/>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3"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3,144,616,237.11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2,763,249,181.84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13.80%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2,697,981,963.79</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-102,804,664.07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20,490,737.56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-601.71%</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16,820,012.13</w:t>
            </w:r>
          </w:p>
        </w:tc>
      </w:tr>
    </w:tbl>
    <w:p>
      <w:pPr>
        <w:spacing w:after="0" w:line="240" w:lineRule="auto"/>
        <w:jc w:val="righ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2621"/>
        <w:gridCol w:w="1739"/>
        <w:gridCol w:w="1736"/>
        <w:gridCol w:w="1738"/>
        <w:gridCol w:w="1735"/>
      </w:tblGrid>
      <w:tr>
        <w:trPr>
          <w:trHeight w:val="36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c>
          <w:tcPr>
            <w:tcW w:w="1738" w:type="dxa"/>
            <w:tcBorders>
              <w:top w:val="single" w:sz="4" w:space="0" w:color="000000"/>
              <w:left w:val="single" w:sz="4" w:space="0" w:color="000000"/>
              <w:bottom w:val="single" w:sz="4" w:space="0" w:color="000000"/>
              <w:right w:val="single" w:sz="4" w:space="0" w:color="000000"/>
            </w:tcBorders>
          </w:tcPr>
          <w:p>
            <w:pPr/>
          </w:p>
        </w:tc>
        <w:tc>
          <w:tcPr>
            <w:tcW w:w="173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66"/>
              <w:jc w:val="left"/>
              <w:rPr>
                <w:rFonts w:ascii="宋体" w:hAnsi="宋体" w:cs="宋体" w:eastAsia="宋体" w:hint="default"/>
                <w:sz w:val="18"/>
                <w:szCs w:val="18"/>
              </w:rPr>
            </w:pPr>
            <w:r>
              <w:rPr>
                <w:rFonts w:ascii="宋体" w:hAnsi="宋体" w:cs="宋体" w:eastAsia="宋体" w:hint="default"/>
                <w:sz w:val="18"/>
                <w:szCs w:val="18"/>
              </w:rPr>
              <w:t>归属于上市公司股东的扣除非 经常性损益的净利润（元）</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-130,953,613.18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4,800,668.52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-2,827.82%</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-239,093.55</w:t>
            </w:r>
            <w:r>
              <w:rPr>
                <w:rFonts w:ascii="Times New Roman"/>
                <w:sz w:val="18"/>
              </w:rPr>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84,496,455.56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43,479,991.14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94.33%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263,577,529.47</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-0.18</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-550.00%</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0.04</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-0.18</w:t>
            </w:r>
            <w:r>
              <w:rPr>
                <w:rFonts w:ascii="Times New Roman"/>
                <w:sz w:val="18"/>
              </w:rPr>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-550.00%</w:t>
            </w:r>
            <w:r>
              <w:rPr>
                <w:rFonts w:ascii="Times New Roman"/>
                <w:sz w:val="18"/>
              </w:rPr>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0.04</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-5.01%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-6.04%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1.25%</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73" w:right="142" w:hanging="630"/>
              <w:jc w:val="left"/>
              <w:rPr>
                <w:rFonts w:ascii="宋体" w:hAnsi="宋体" w:cs="宋体" w:eastAsia="宋体" w:hint="default"/>
                <w:sz w:val="18"/>
                <w:szCs w:val="18"/>
              </w:rPr>
            </w:pPr>
            <w:r>
              <w:rPr>
                <w:rFonts w:ascii="宋体" w:hAnsi="宋体" w:cs="宋体" w:eastAsia="宋体" w:hint="default"/>
                <w:sz w:val="18"/>
                <w:szCs w:val="18"/>
              </w:rPr>
              <w:t>本年末比上年末增 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3,469,550,546.16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4,071,419,892.53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-14.78%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2,631,675,203.18</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1,985,095,802.85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2,122,428,198.66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-6.47%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1,348,442,170.79</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七、境内外会计准则下会计数据差异" w:id="11"/>
      <w:bookmarkEnd w:id="11"/>
      <w:r>
        <w:rPr>
          <w:b w:val="0"/>
          <w:bCs w:val="0"/>
        </w:rPr>
      </w:r>
      <w:r>
        <w:rPr/>
        <w:t>七、境内外会计准则下会计数据差异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同时按照国际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1392"/>
        <w:jc w:val="left"/>
      </w:pPr>
      <w:r>
        <w:rPr/>
        <w:t>□ 适用 √ 不适用 公司报告期不存在按照国际会计准则与按照中国会计准则披露的财务报告中净利润和净资产差异情况。</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2、同时按照境外会计准则与按照中国会计准则披露的财务报告中净利润和净资产差异情况" w:id="13"/>
      <w:bookmarkEnd w:id="13"/>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2652"/>
        <w:jc w:val="left"/>
      </w:pPr>
      <w:r>
        <w:rPr/>
        <w:t>□ 适用 √ 不适用 公司报告期不存在按照境外会计准则与按照中国会计准则披露的财务报告中净利润和净资产差异情况。</w:t>
      </w:r>
    </w:p>
    <w:p>
      <w:pPr>
        <w:spacing w:line="240" w:lineRule="auto" w:before="3"/>
        <w:rPr>
          <w:rFonts w:ascii="宋体" w:hAnsi="宋体" w:cs="宋体" w:eastAsia="宋体" w:hint="default"/>
          <w:sz w:val="18"/>
          <w:szCs w:val="18"/>
        </w:rPr>
      </w:pPr>
    </w:p>
    <w:p>
      <w:pPr>
        <w:pStyle w:val="Heading2"/>
        <w:spacing w:line="240" w:lineRule="auto"/>
        <w:ind w:right="0"/>
        <w:jc w:val="left"/>
        <w:rPr>
          <w:b w:val="0"/>
          <w:bCs w:val="0"/>
        </w:rPr>
      </w:pPr>
      <w:bookmarkStart w:name="八、分季度主要财务指标" w:id="14"/>
      <w:bookmarkEnd w:id="14"/>
      <w:r>
        <w:rPr>
          <w:b w:val="0"/>
          <w:bCs w:val="0"/>
        </w:rPr>
      </w:r>
      <w:r>
        <w:rPr/>
        <w:t>八、分季度主要财务指标</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21"/>
        <w:gridCol w:w="1740"/>
        <w:gridCol w:w="1739"/>
        <w:gridCol w:w="1740"/>
        <w:gridCol w:w="1729"/>
      </w:tblGrid>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4"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777,325,391.29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842,936,664.63</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01" w:right="0"/>
              <w:jc w:val="left"/>
              <w:rPr>
                <w:rFonts w:ascii="Times New Roman" w:hAnsi="Times New Roman" w:cs="Times New Roman" w:eastAsia="Times New Roman" w:hint="default"/>
                <w:sz w:val="18"/>
                <w:szCs w:val="18"/>
              </w:rPr>
            </w:pPr>
            <w:r>
              <w:rPr>
                <w:rFonts w:ascii="Times New Roman"/>
                <w:sz w:val="18"/>
              </w:rPr>
              <w:t>644,997,652.64</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92" w:right="0"/>
              <w:jc w:val="left"/>
              <w:rPr>
                <w:rFonts w:ascii="Times New Roman" w:hAnsi="Times New Roman" w:cs="Times New Roman" w:eastAsia="Times New Roman" w:hint="default"/>
                <w:sz w:val="18"/>
                <w:szCs w:val="18"/>
              </w:rPr>
            </w:pPr>
            <w:r>
              <w:rPr>
                <w:rFonts w:ascii="Times New Roman"/>
                <w:sz w:val="18"/>
              </w:rPr>
              <w:t>879,356,528.55</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17,468,387.99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17,015,634.21</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91" w:right="0"/>
              <w:jc w:val="left"/>
              <w:rPr>
                <w:rFonts w:ascii="Times New Roman" w:hAnsi="Times New Roman" w:cs="Times New Roman" w:eastAsia="Times New Roman" w:hint="default"/>
                <w:sz w:val="18"/>
                <w:szCs w:val="18"/>
              </w:rPr>
            </w:pPr>
            <w:r>
              <w:rPr>
                <w:rFonts w:ascii="Times New Roman"/>
                <w:sz w:val="18"/>
              </w:rPr>
              <w:t>10,534,916.88</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32" w:right="0"/>
              <w:jc w:val="left"/>
              <w:rPr>
                <w:rFonts w:ascii="Times New Roman" w:hAnsi="Times New Roman" w:cs="Times New Roman" w:eastAsia="Times New Roman" w:hint="default"/>
                <w:sz w:val="18"/>
                <w:szCs w:val="18"/>
              </w:rPr>
            </w:pPr>
            <w:r>
              <w:rPr>
                <w:rFonts w:ascii="Times New Roman"/>
                <w:sz w:val="18"/>
              </w:rPr>
              <w:t>-147,823,603.15</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66"/>
              <w:jc w:val="left"/>
              <w:rPr>
                <w:rFonts w:ascii="宋体" w:hAnsi="宋体" w:cs="宋体" w:eastAsia="宋体" w:hint="default"/>
                <w:sz w:val="18"/>
                <w:szCs w:val="18"/>
              </w:rPr>
            </w:pPr>
            <w:r>
              <w:rPr>
                <w:rFonts w:ascii="宋体" w:hAnsi="宋体" w:cs="宋体" w:eastAsia="宋体" w:hint="default"/>
                <w:sz w:val="18"/>
                <w:szCs w:val="18"/>
              </w:rPr>
              <w:t>归属于上市公司股东的扣除非 经常性损益的净利润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14,881,296.40</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-10,911,661.27</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91" w:right="0"/>
              <w:jc w:val="left"/>
              <w:rPr>
                <w:rFonts w:ascii="Times New Roman" w:hAnsi="Times New Roman" w:cs="Times New Roman" w:eastAsia="Times New Roman" w:hint="default"/>
                <w:sz w:val="18"/>
                <w:szCs w:val="18"/>
              </w:rPr>
            </w:pPr>
            <w:r>
              <w:rPr>
                <w:rFonts w:ascii="Times New Roman"/>
                <w:sz w:val="18"/>
              </w:rPr>
              <w:t>10,220,252.23</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32" w:right="0"/>
              <w:jc w:val="left"/>
              <w:rPr>
                <w:rFonts w:ascii="Times New Roman" w:hAnsi="Times New Roman" w:cs="Times New Roman" w:eastAsia="Times New Roman" w:hint="default"/>
                <w:sz w:val="18"/>
                <w:szCs w:val="18"/>
              </w:rPr>
            </w:pPr>
            <w:r>
              <w:rPr>
                <w:rFonts w:ascii="Times New Roman"/>
                <w:sz w:val="18"/>
              </w:rPr>
              <w:t>-145,143,500.54</w:t>
            </w:r>
          </w:p>
        </w:tc>
      </w:tr>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-38,695,019.34</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61,797,088.15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31" w:right="0"/>
              <w:jc w:val="left"/>
              <w:rPr>
                <w:rFonts w:ascii="Times New Roman" w:hAnsi="Times New Roman" w:cs="Times New Roman" w:eastAsia="Times New Roman" w:hint="default"/>
                <w:sz w:val="18"/>
                <w:szCs w:val="18"/>
              </w:rPr>
            </w:pPr>
            <w:r>
              <w:rPr>
                <w:rFonts w:ascii="Times New Roman"/>
                <w:sz w:val="18"/>
              </w:rPr>
              <w:t>-62,302,520.53</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92" w:right="0"/>
              <w:jc w:val="left"/>
              <w:rPr>
                <w:rFonts w:ascii="Times New Roman" w:hAnsi="Times New Roman" w:cs="Times New Roman" w:eastAsia="Times New Roman" w:hint="default"/>
                <w:sz w:val="18"/>
                <w:szCs w:val="18"/>
              </w:rPr>
            </w:pPr>
            <w:r>
              <w:rPr>
                <w:rFonts w:ascii="Times New Roman"/>
                <w:sz w:val="18"/>
              </w:rPr>
              <w:t>123,696,907.28</w:t>
            </w:r>
          </w:p>
        </w:tc>
      </w:tr>
    </w:tbl>
    <w:p>
      <w:pPr>
        <w:pStyle w:val="BodyText"/>
        <w:spacing w:line="240" w:lineRule="auto" w:before="51"/>
        <w:ind w:right="0"/>
        <w:jc w:val="left"/>
      </w:pPr>
      <w:r>
        <w:rPr/>
        <w:t>上述财务指标或其加总数是否与公司已披露季度报告、半年度报告相关财务指标存在重大差异</w:t>
      </w:r>
    </w:p>
    <w:p>
      <w:pPr>
        <w:pStyle w:val="BodyText"/>
        <w:spacing w:line="240" w:lineRule="auto" w:before="116"/>
        <w:ind w:right="0"/>
        <w:jc w:val="left"/>
      </w:pPr>
      <w:r>
        <w:rPr/>
        <w:t>□ 是 √ 否</w:t>
      </w:r>
    </w:p>
    <w:p>
      <w:pPr>
        <w:spacing w:after="0" w:line="240" w:lineRule="auto"/>
        <w:jc w:val="left"/>
        <w:sectPr>
          <w:pgSz w:w="11910" w:h="16840"/>
          <w:pgMar w:header="917" w:footer="1019" w:top="1120" w:bottom="1200" w:left="980" w:right="0"/>
        </w:sectPr>
      </w:pPr>
    </w:p>
    <w:p>
      <w:pPr>
        <w:spacing w:line="240" w:lineRule="auto" w:before="5"/>
        <w:rPr>
          <w:rFonts w:ascii="宋体" w:hAnsi="宋体" w:cs="宋体" w:eastAsia="宋体" w:hint="default"/>
          <w:sz w:val="18"/>
          <w:szCs w:val="18"/>
        </w:rPr>
      </w:pPr>
    </w:p>
    <w:p>
      <w:pPr>
        <w:pStyle w:val="Heading2"/>
        <w:spacing w:line="240" w:lineRule="auto" w:before="26"/>
        <w:ind w:right="0"/>
        <w:jc w:val="left"/>
        <w:rPr>
          <w:b w:val="0"/>
          <w:bCs w:val="0"/>
        </w:rPr>
      </w:pPr>
      <w:bookmarkStart w:name="九、非经常性损益项目及金额" w:id="15"/>
      <w:bookmarkEnd w:id="15"/>
      <w:r>
        <w:rPr>
          <w:b w:val="0"/>
          <w:bCs w:val="0"/>
        </w:rPr>
      </w:r>
      <w:r>
        <w:rPr/>
        <w:t>九、非经常性损益项目及金额</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297"/>
        <w:gridCol w:w="1520"/>
        <w:gridCol w:w="1520"/>
        <w:gridCol w:w="1522"/>
        <w:gridCol w:w="1710"/>
      </w:tblGrid>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23"/>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 减值准备的冲销部分）</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18,606,240.49</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-868,257.10</w:t>
            </w:r>
            <w:r>
              <w:rPr>
                <w:rFonts w:ascii="Times New Roman"/>
                <w:sz w:val="18"/>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-824,641.42</w:t>
            </w:r>
            <w:r>
              <w:rPr>
                <w:rFonts w:ascii="Times New Roman"/>
                <w:sz w:val="18"/>
              </w:rPr>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301"/>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 还、减免</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197,829.23</w:t>
            </w: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23"/>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 密切相关，按照国家统一标准定额或定 量享受的政府补助除外）</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12,528,101.08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17,595,744.99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22,904,803.50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23"/>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 金占用费</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305,883.86</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104,606.42</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21"/>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 保值业务外，持有交易性金融资产、交 易性金融负债产生的公允价值变动损 益，以及处置交易性金融资产、交易性 金融负债和可供出售金融资产取得的投 资收益</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159,983.73</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23"/>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 出</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2,499,046.17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1,533,587.63</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-3,618,487.02</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5,790,330.48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2,768,835.71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1,667,159.53</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-7.99</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28,148,949.11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15,690,069.04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17,059,105.68</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spacing w:val="-3"/>
        </w:rPr>
        <w:t>对公司根据《公开发行证券的公司信息披露解释性公告第</w:t>
      </w:r>
      <w:r>
        <w:rPr>
          <w:spacing w:val="-39"/>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号——非经常性损益》定义界定的非经常性损益项目，以及把《公</w:t>
      </w:r>
    </w:p>
    <w:p>
      <w:pPr>
        <w:pStyle w:val="BodyText"/>
        <w:spacing w:line="302" w:lineRule="auto" w:before="61"/>
        <w:ind w:right="1118"/>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spacing w:val="-3"/>
        </w:rPr>
        <w:t>号——非经常性损益》中列举的非经常性损益项目界定为经常性损益的项目，应</w:t>
      </w:r>
      <w:r>
        <w:rPr/>
        <w:t> 说明原因</w:t>
      </w:r>
    </w:p>
    <w:p>
      <w:pPr>
        <w:pStyle w:val="BodyText"/>
        <w:spacing w:line="240" w:lineRule="auto" w:before="70"/>
        <w:ind w:right="0"/>
        <w:jc w:val="left"/>
      </w:pPr>
      <w:r>
        <w:rPr/>
        <w:t>□ 适用 √ 不适用</w:t>
      </w:r>
    </w:p>
    <w:p>
      <w:pPr>
        <w:pStyle w:val="BodyText"/>
        <w:spacing w:line="302" w:lineRule="auto" w:before="115"/>
        <w:ind w:right="1115"/>
        <w:jc w:val="left"/>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号——非经常性损益》定义、列举的非经常性损益</w:t>
      </w:r>
      <w:r>
        <w:rPr/>
        <w:t> 项目界定为经常性损益的项目的情形。</w:t>
      </w:r>
    </w:p>
    <w:p>
      <w:pPr>
        <w:spacing w:after="0" w:line="302" w:lineRule="auto"/>
        <w:jc w:val="left"/>
        <w:sectPr>
          <w:pgSz w:w="11910" w:h="16840"/>
          <w:pgMar w:header="917" w:footer="1019" w:top="1120" w:bottom="120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1"/>
        <w:spacing w:line="240" w:lineRule="auto"/>
        <w:ind w:left="3447" w:right="0"/>
        <w:jc w:val="left"/>
        <w:rPr>
          <w:b w:val="0"/>
          <w:bCs w:val="0"/>
        </w:rPr>
      </w:pPr>
      <w:bookmarkStart w:name="第三节 公司业务概要" w:id="16"/>
      <w:bookmarkEnd w:id="16"/>
      <w:r>
        <w:rPr>
          <w:b w:val="0"/>
          <w:bCs w:val="0"/>
        </w:rPr>
      </w:r>
      <w:bookmarkStart w:name="_bookmark2" w:id="17"/>
      <w:bookmarkEnd w:id="17"/>
      <w:r>
        <w:rPr>
          <w:b w:val="0"/>
          <w:bCs w:val="0"/>
        </w:rPr>
      </w:r>
      <w:r>
        <w:rPr/>
        <w:t>第三节</w:t>
      </w:r>
      <w:r>
        <w:rPr>
          <w:spacing w:val="-7"/>
        </w:rPr>
        <w:t> </w:t>
      </w:r>
      <w:r>
        <w:rPr/>
        <w:t>公司业务概要</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报告期内公司从事的主要业务" w:id="18"/>
      <w:bookmarkEnd w:id="18"/>
      <w:r>
        <w:rPr>
          <w:b w:val="0"/>
          <w:bCs w:val="0"/>
        </w:rPr>
      </w:r>
      <w:r>
        <w:rPr/>
        <w:t>一、报告期内公司从事的主要业务</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692"/>
        <w:jc w:val="left"/>
      </w:pPr>
      <w:r>
        <w:rPr/>
        <w:t>公司是否需要遵守特殊行业的披露要求 否</w:t>
      </w:r>
    </w:p>
    <w:p>
      <w:pPr>
        <w:pStyle w:val="BodyText"/>
        <w:spacing w:line="477" w:lineRule="auto" w:before="103"/>
        <w:ind w:right="1042" w:firstLine="360"/>
        <w:jc w:val="both"/>
      </w:pPr>
      <w:r>
        <w:rPr>
          <w:spacing w:val="-4"/>
        </w:rPr>
        <w:t>公司作为国内大型</w:t>
      </w:r>
      <w:r>
        <w:rPr>
          <w:rFonts w:ascii="宋体" w:hAnsi="宋体" w:cs="宋体" w:eastAsia="宋体" w:hint="default"/>
          <w:spacing w:val="-4"/>
        </w:rPr>
        <w:t>3C</w:t>
      </w:r>
      <w:r>
        <w:rPr>
          <w:spacing w:val="-4"/>
        </w:rPr>
        <w:t>产品和智能硬件产品的方案提供商，主营</w:t>
      </w:r>
      <w:r>
        <w:rPr>
          <w:rFonts w:ascii="宋体" w:hAnsi="宋体" w:cs="宋体" w:eastAsia="宋体" w:hint="default"/>
          <w:spacing w:val="-4"/>
        </w:rPr>
        <w:t>3C</w:t>
      </w:r>
      <w:r>
        <w:rPr>
          <w:spacing w:val="-4"/>
        </w:rPr>
        <w:t>及智能硬件等产品的研发、设计、生产制造与销售服务。</w:t>
      </w:r>
      <w:r>
        <w:rPr/>
        <w:t> </w:t>
      </w:r>
      <w:r>
        <w:rPr>
          <w:spacing w:val="-4"/>
        </w:rPr>
        <w:t>产品涉及网络通讯类产品、消费电子类产品及智能硬件类产品三大核心板块，核心客户包括小米、华为、三星、诺基亚贝尔、</w:t>
      </w:r>
      <w:r>
        <w:rPr>
          <w:spacing w:val="-44"/>
        </w:rPr>
        <w:t> </w:t>
      </w:r>
      <w:r>
        <w:rPr>
          <w:spacing w:val="-44"/>
        </w:rPr>
      </w:r>
      <w:r>
        <w:rPr/>
        <w:t>迅雷等知名品牌商。报告期内，公司主营业务未发生重大变化。</w:t>
      </w:r>
    </w:p>
    <w:p>
      <w:pPr>
        <w:pStyle w:val="BodyText"/>
        <w:spacing w:line="477" w:lineRule="auto" w:before="54"/>
        <w:ind w:right="1132" w:firstLine="360"/>
        <w:jc w:val="both"/>
      </w:pPr>
      <w:r>
        <w:rPr>
          <w:spacing w:val="-2"/>
        </w:rPr>
        <w:t>公司借助多年制造工程工艺技术积累及精益制造能力，运用领先的柔性生产模式，能够精确匹配不同客户订单之间的个</w:t>
      </w:r>
      <w:r>
        <w:rPr/>
        <w:t> </w:t>
      </w:r>
      <w:r>
        <w:rPr>
          <w:spacing w:val="-2"/>
        </w:rPr>
        <w:t>性化需求，快速响应市场，促使产品能及时上市。同时，公司密切关注相关行业的变化趋势，提前布局新技术、新产品，以</w:t>
      </w:r>
      <w:r>
        <w:rPr>
          <w:spacing w:val="-71"/>
        </w:rPr>
        <w:t> </w:t>
      </w:r>
      <w:r>
        <w:rPr>
          <w:spacing w:val="-71"/>
        </w:rPr>
      </w:r>
      <w:r>
        <w:rPr/>
        <w:t>研发驱动转型，提升综合实力。</w:t>
      </w:r>
    </w:p>
    <w:p>
      <w:pPr>
        <w:pStyle w:val="Heading5"/>
        <w:spacing w:line="477" w:lineRule="auto" w:before="54"/>
        <w:ind w:left="636" w:right="8463"/>
        <w:jc w:val="left"/>
        <w:rPr>
          <w:b w:val="0"/>
          <w:bCs w:val="0"/>
        </w:rPr>
      </w:pPr>
      <w:r>
        <w:rPr/>
        <w:t>（一）主要产品及用途</w:t>
      </w:r>
      <w:r>
        <w:rPr>
          <w:w w:val="99"/>
        </w:rPr>
        <w:t> </w:t>
      </w:r>
      <w:r>
        <w:rPr>
          <w:rFonts w:ascii="宋体" w:hAnsi="宋体" w:cs="宋体" w:eastAsia="宋体" w:hint="default"/>
        </w:rPr>
        <w:t>1</w:t>
      </w:r>
      <w:r>
        <w:rPr/>
        <w:t>、网络通讯类产品</w:t>
      </w:r>
      <w:r>
        <w:rPr>
          <w:b w:val="0"/>
          <w:bCs w:val="0"/>
        </w:rPr>
      </w:r>
    </w:p>
    <w:p>
      <w:pPr>
        <w:pStyle w:val="BodyText"/>
        <w:spacing w:line="508" w:lineRule="auto" w:before="116"/>
        <w:ind w:left="515" w:right="3624" w:firstLine="121"/>
        <w:jc w:val="left"/>
        <w:rPr>
          <w:rFonts w:ascii="宋体" w:hAnsi="宋体" w:cs="宋体" w:eastAsia="宋体" w:hint="default"/>
        </w:rPr>
      </w:pPr>
      <w:r>
        <w:rPr/>
        <w:drawing>
          <wp:inline distT="0" distB="0" distL="0" distR="0">
            <wp:extent cx="170815" cy="170814"/>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3" cstate="print"/>
                    <a:stretch>
                      <a:fillRect/>
                    </a:stretch>
                  </pic:blipFill>
                  <pic:spPr>
                    <a:xfrm>
                      <a:off x="0" y="0"/>
                      <a:ext cx="170815" cy="170814"/>
                    </a:xfrm>
                    <a:prstGeom prst="rect">
                      <a:avLst/>
                    </a:prstGeom>
                  </pic:spPr>
                </pic:pic>
              </a:graphicData>
            </a:graphic>
          </wp:inline>
        </w:drawing>
      </w:r>
      <w:r>
        <w:rPr/>
      </w:r>
      <w:r>
        <w:rPr>
          <w:rFonts w:ascii="宋体" w:hAnsi="宋体" w:cs="宋体" w:eastAsia="宋体" w:hint="default"/>
          <w:b/>
          <w:bCs/>
        </w:rPr>
        <w:t>主要产品：</w:t>
      </w:r>
      <w:r>
        <w:rPr/>
        <w:t>无线网卡、光纤接入设备、</w:t>
      </w:r>
      <w:r>
        <w:rPr>
          <w:rFonts w:ascii="宋体" w:hAnsi="宋体" w:cs="宋体" w:eastAsia="宋体" w:hint="default"/>
        </w:rPr>
        <w:t>4G</w:t>
      </w:r>
      <w:r>
        <w:rPr/>
        <w:t>路由器、</w:t>
      </w:r>
      <w:r>
        <w:rPr>
          <w:rFonts w:ascii="宋体" w:hAnsi="宋体" w:cs="宋体" w:eastAsia="宋体" w:hint="default"/>
        </w:rPr>
        <w:t>4G LTE</w:t>
      </w:r>
      <w:r>
        <w:rPr/>
        <w:t>网关、单双频模块等；</w:t>
      </w:r>
      <w:r>
        <w:rPr>
          <w:spacing w:val="-2"/>
        </w:rPr>
        <w:t> </w:t>
      </w:r>
      <w:r>
        <w:rPr/>
        <w:drawing>
          <wp:inline distT="0" distB="0" distL="0" distR="0">
            <wp:extent cx="170815" cy="170814"/>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170815" cy="170814"/>
                    </a:xfrm>
                    <a:prstGeom prst="rect">
                      <a:avLst/>
                    </a:prstGeom>
                  </pic:spPr>
                </pic:pic>
              </a:graphicData>
            </a:graphic>
          </wp:inline>
        </w:drawing>
      </w:r>
      <w:r>
        <w:rPr/>
      </w:r>
      <w:r>
        <w:rPr>
          <w:rFonts w:ascii="宋体" w:hAnsi="宋体" w:cs="宋体" w:eastAsia="宋体" w:hint="default"/>
          <w:b/>
          <w:bCs/>
          <w:w w:val="95"/>
        </w:rPr>
        <w:t>主要客户：</w:t>
      </w:r>
      <w:r>
        <w:rPr>
          <w:w w:val="95"/>
        </w:rPr>
        <w:t>华为、诺基亚贝尔、三星、创维、欧普照明、</w:t>
      </w:r>
      <w:r>
        <w:rPr>
          <w:rFonts w:ascii="宋体" w:hAnsi="宋体" w:cs="宋体" w:eastAsia="宋体" w:hint="default"/>
          <w:w w:val="95"/>
        </w:rPr>
        <w:t>360</w:t>
      </w:r>
      <w:r>
        <w:rPr>
          <w:w w:val="95"/>
        </w:rPr>
        <w:t>、</w:t>
      </w:r>
      <w:r>
        <w:rPr>
          <w:rFonts w:ascii="宋体" w:hAnsi="宋体" w:cs="宋体" w:eastAsia="宋体" w:hint="default"/>
          <w:w w:val="95"/>
        </w:rPr>
        <w:t>D-Link</w:t>
      </w:r>
      <w:r>
        <w:rPr>
          <w:w w:val="95"/>
        </w:rPr>
        <w:t>、迅雷等；</w:t>
      </w:r>
      <w:r>
        <w:rPr>
          <w:spacing w:val="66"/>
          <w:w w:val="95"/>
        </w:rPr>
        <w:t> </w:t>
      </w:r>
      <w:r>
        <w:rPr/>
        <w:drawing>
          <wp:inline distT="0" distB="0" distL="0" distR="0">
            <wp:extent cx="170815" cy="170814"/>
            <wp:effectExtent l="0" t="0" r="0" b="0"/>
            <wp:docPr id="7" name="image3.png" descr=""/>
            <wp:cNvGraphicFramePr>
              <a:graphicFrameLocks noChangeAspect="1"/>
            </wp:cNvGraphicFramePr>
            <a:graphic>
              <a:graphicData uri="http://schemas.openxmlformats.org/drawingml/2006/picture">
                <pic:pic>
                  <pic:nvPicPr>
                    <pic:cNvPr id="8" name="image3.png"/>
                    <pic:cNvPicPr/>
                  </pic:nvPicPr>
                  <pic:blipFill>
                    <a:blip r:embed="rId13" cstate="print"/>
                    <a:stretch>
                      <a:fillRect/>
                    </a:stretch>
                  </pic:blipFill>
                  <pic:spPr>
                    <a:xfrm>
                      <a:off x="0" y="0"/>
                      <a:ext cx="170815" cy="170814"/>
                    </a:xfrm>
                    <a:prstGeom prst="rect">
                      <a:avLst/>
                    </a:prstGeom>
                  </pic:spPr>
                </pic:pic>
              </a:graphicData>
            </a:graphic>
          </wp:inline>
        </w:drawing>
      </w:r>
      <w:r>
        <w:rPr/>
      </w:r>
      <w:r>
        <w:rPr>
          <w:rFonts w:ascii="宋体" w:hAnsi="宋体" w:cs="宋体" w:eastAsia="宋体" w:hint="default"/>
          <w:b/>
          <w:bCs/>
        </w:rPr>
        <w:t>产品图片：</w:t>
      </w:r>
      <w:r>
        <w:rPr>
          <w:rFonts w:ascii="宋体" w:hAnsi="宋体" w:cs="宋体" w:eastAsia="宋体" w:hint="default"/>
        </w:rPr>
      </w:r>
    </w:p>
    <w:p>
      <w:pPr>
        <w:spacing w:line="240" w:lineRule="auto" w:before="8"/>
        <w:rPr>
          <w:rFonts w:ascii="宋体" w:hAnsi="宋体" w:cs="宋体" w:eastAsia="宋体" w:hint="default"/>
          <w:b/>
          <w:bCs/>
          <w:sz w:val="18"/>
          <w:szCs w:val="18"/>
        </w:rPr>
      </w:pPr>
    </w:p>
    <w:p>
      <w:pPr>
        <w:spacing w:line="2640" w:lineRule="exact"/>
        <w:ind w:left="815" w:right="0" w:firstLine="0"/>
        <w:rPr>
          <w:rFonts w:ascii="宋体" w:hAnsi="宋体" w:cs="宋体" w:eastAsia="宋体" w:hint="default"/>
          <w:sz w:val="20"/>
          <w:szCs w:val="20"/>
        </w:rPr>
      </w:pPr>
      <w:r>
        <w:rPr>
          <w:rFonts w:ascii="宋体" w:hAnsi="宋体" w:cs="宋体" w:eastAsia="宋体" w:hint="default"/>
          <w:position w:val="-52"/>
          <w:sz w:val="20"/>
          <w:szCs w:val="20"/>
        </w:rPr>
        <w:drawing>
          <wp:inline distT="0" distB="0" distL="0" distR="0">
            <wp:extent cx="5314950" cy="1676400"/>
            <wp:effectExtent l="0" t="0" r="0" b="0"/>
            <wp:docPr id="9" name="image4.jpeg" descr=""/>
            <wp:cNvGraphicFramePr>
              <a:graphicFrameLocks noChangeAspect="1"/>
            </wp:cNvGraphicFramePr>
            <a:graphic>
              <a:graphicData uri="http://schemas.openxmlformats.org/drawingml/2006/picture">
                <pic:pic>
                  <pic:nvPicPr>
                    <pic:cNvPr id="10" name="image4.jpeg"/>
                    <pic:cNvPicPr/>
                  </pic:nvPicPr>
                  <pic:blipFill>
                    <a:blip r:embed="rId14" cstate="print"/>
                    <a:stretch>
                      <a:fillRect/>
                    </a:stretch>
                  </pic:blipFill>
                  <pic:spPr>
                    <a:xfrm>
                      <a:off x="0" y="0"/>
                      <a:ext cx="5314950" cy="1676400"/>
                    </a:xfrm>
                    <a:prstGeom prst="rect">
                      <a:avLst/>
                    </a:prstGeom>
                  </pic:spPr>
                </pic:pic>
              </a:graphicData>
            </a:graphic>
          </wp:inline>
        </w:drawing>
      </w:r>
      <w:r>
        <w:rPr>
          <w:rFonts w:ascii="宋体" w:hAnsi="宋体" w:cs="宋体" w:eastAsia="宋体" w:hint="default"/>
          <w:position w:val="-52"/>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7"/>
          <w:szCs w:val="17"/>
        </w:rPr>
      </w:pPr>
    </w:p>
    <w:p>
      <w:pPr>
        <w:pStyle w:val="BodyText"/>
        <w:spacing w:line="477" w:lineRule="auto"/>
        <w:ind w:right="0" w:firstLine="360"/>
        <w:jc w:val="left"/>
      </w:pPr>
      <w:r>
        <w:rPr>
          <w:spacing w:val="-2"/>
        </w:rPr>
        <w:t>随着万物广泛互联、人机深度交互的新时代到来，智能终端的日益普及较大程度提升了网络频宽需求与移动通信技术的</w:t>
      </w:r>
      <w:r>
        <w:rPr/>
        <w:t> 升级，也推升了通信网络设备出货率的持续高增长。</w:t>
      </w:r>
    </w:p>
    <w:p>
      <w:pPr>
        <w:pStyle w:val="Heading5"/>
        <w:spacing w:line="212" w:lineRule="exact"/>
        <w:ind w:left="636" w:right="0"/>
        <w:jc w:val="left"/>
        <w:rPr>
          <w:b w:val="0"/>
          <w:bCs w:val="0"/>
        </w:rPr>
      </w:pPr>
      <w:r>
        <w:rPr>
          <w:rFonts w:ascii="宋体" w:hAnsi="宋体" w:cs="宋体" w:eastAsia="宋体" w:hint="default"/>
        </w:rPr>
        <w:t>2</w:t>
      </w:r>
      <w:r>
        <w:rPr/>
        <w:t>、消费电子类产品：</w:t>
      </w:r>
      <w:r>
        <w:rPr>
          <w:b w:val="0"/>
          <w:bCs w:val="0"/>
        </w:rPr>
      </w:r>
    </w:p>
    <w:p>
      <w:pPr>
        <w:spacing w:line="240" w:lineRule="auto" w:before="7"/>
        <w:rPr>
          <w:rFonts w:ascii="宋体" w:hAnsi="宋体" w:cs="宋体" w:eastAsia="宋体" w:hint="default"/>
          <w:b/>
          <w:bCs/>
          <w:sz w:val="16"/>
          <w:szCs w:val="16"/>
        </w:rPr>
      </w:pPr>
    </w:p>
    <w:p>
      <w:pPr>
        <w:spacing w:before="0"/>
        <w:ind w:left="635" w:right="0" w:firstLine="0"/>
        <w:jc w:val="left"/>
        <w:rPr>
          <w:rFonts w:ascii="宋体" w:hAnsi="宋体" w:cs="宋体" w:eastAsia="宋体" w:hint="default"/>
          <w:sz w:val="18"/>
          <w:szCs w:val="18"/>
        </w:rPr>
      </w:pPr>
      <w:r>
        <w:rPr/>
        <w:drawing>
          <wp:inline distT="0" distB="0" distL="0" distR="0">
            <wp:extent cx="170815" cy="170815"/>
            <wp:effectExtent l="0" t="0" r="0" b="0"/>
            <wp:docPr id="11" name="image3.png" descr=""/>
            <wp:cNvGraphicFramePr>
              <a:graphicFrameLocks noChangeAspect="1"/>
            </wp:cNvGraphicFramePr>
            <a:graphic>
              <a:graphicData uri="http://schemas.openxmlformats.org/drawingml/2006/picture">
                <pic:pic>
                  <pic:nvPicPr>
                    <pic:cNvPr id="12" name="image3.png"/>
                    <pic:cNvPicPr/>
                  </pic:nvPicPr>
                  <pic:blipFill>
                    <a:blip r:embed="rId13" cstate="print"/>
                    <a:stretch>
                      <a:fillRect/>
                    </a:stretch>
                  </pic:blipFill>
                  <pic:spPr>
                    <a:xfrm>
                      <a:off x="0" y="0"/>
                      <a:ext cx="170815" cy="170815"/>
                    </a:xfrm>
                    <a:prstGeom prst="rect">
                      <a:avLst/>
                    </a:prstGeom>
                  </pic:spPr>
                </pic:pic>
              </a:graphicData>
            </a:graphic>
          </wp:inline>
        </w:drawing>
      </w:r>
      <w:r>
        <w:rPr/>
      </w:r>
      <w:r>
        <w:rPr>
          <w:rFonts w:ascii="宋体" w:hAnsi="宋体" w:cs="宋体" w:eastAsia="宋体" w:hint="default"/>
          <w:b/>
          <w:bCs/>
          <w:sz w:val="18"/>
          <w:szCs w:val="18"/>
        </w:rPr>
        <w:t>主要产品：</w:t>
      </w:r>
      <w:r>
        <w:rPr>
          <w:rFonts w:ascii="宋体" w:hAnsi="宋体" w:cs="宋体" w:eastAsia="宋体" w:hint="default"/>
          <w:sz w:val="18"/>
          <w:szCs w:val="18"/>
        </w:rPr>
        <w:t>智能手机、移动电源、平板电脑等；</w:t>
      </w:r>
    </w:p>
    <w:p>
      <w:pPr>
        <w:spacing w:after="0"/>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40" w:lineRule="auto" w:before="44"/>
        <w:ind w:left="905" w:right="0"/>
        <w:jc w:val="left"/>
      </w:pPr>
      <w:r>
        <w:rPr/>
        <w:pict>
          <v:shape style="position:absolute;margin-left:80.800003pt;margin-top:-.738298pt;width:13.45pt;height:13.45pt;mso-position-horizontal-relative:page;mso-position-vertical-relative:paragraph;z-index:1096" type="#_x0000_t75" stroked="false">
            <v:imagedata r:id="rId13" o:title=""/>
          </v:shape>
        </w:pict>
      </w:r>
      <w:r>
        <w:rPr>
          <w:rFonts w:ascii="宋体" w:hAnsi="宋体" w:cs="宋体" w:eastAsia="宋体" w:hint="default"/>
          <w:b/>
          <w:bCs/>
        </w:rPr>
        <w:t>主要客户：</w:t>
      </w:r>
      <w:r>
        <w:rPr/>
        <w:t>小米及其生态链公司、</w:t>
      </w:r>
      <w:r>
        <w:rPr>
          <w:rFonts w:ascii="宋体" w:hAnsi="宋体" w:cs="宋体" w:eastAsia="宋体" w:hint="default"/>
        </w:rPr>
        <w:t>oppo</w:t>
      </w:r>
      <w:r>
        <w:rPr/>
        <w:t>、</w:t>
      </w:r>
      <w:r>
        <w:rPr>
          <w:rFonts w:ascii="宋体" w:hAnsi="宋体" w:cs="宋体" w:eastAsia="宋体" w:hint="default"/>
        </w:rPr>
        <w:t>360</w:t>
      </w:r>
      <w:r>
        <w:rPr/>
        <w:t>、</w:t>
      </w:r>
      <w:r>
        <w:rPr>
          <w:rFonts w:ascii="宋体" w:hAnsi="宋体" w:cs="宋体" w:eastAsia="宋体" w:hint="default"/>
        </w:rPr>
        <w:t>TOSHIBA</w:t>
      </w:r>
      <w:r>
        <w:rPr/>
        <w:t>等；</w:t>
      </w:r>
    </w:p>
    <w:p>
      <w:pPr>
        <w:spacing w:line="240" w:lineRule="auto" w:before="4"/>
        <w:rPr>
          <w:rFonts w:ascii="宋体" w:hAnsi="宋体" w:cs="宋体" w:eastAsia="宋体" w:hint="default"/>
          <w:sz w:val="26"/>
          <w:szCs w:val="26"/>
        </w:rPr>
      </w:pPr>
    </w:p>
    <w:p>
      <w:pPr>
        <w:pStyle w:val="Heading5"/>
        <w:spacing w:line="240" w:lineRule="auto" w:before="44"/>
        <w:ind w:left="784" w:right="0"/>
        <w:jc w:val="left"/>
        <w:rPr>
          <w:b w:val="0"/>
          <w:bCs w:val="0"/>
        </w:rPr>
      </w:pPr>
      <w:r>
        <w:rPr/>
        <w:pict>
          <v:shape style="position:absolute;margin-left:74.75pt;margin-top:-.738311pt;width:13.45pt;height:13.45pt;mso-position-horizontal-relative:page;mso-position-vertical-relative:paragraph;z-index:1120" type="#_x0000_t75" stroked="false">
            <v:imagedata r:id="rId13" o:title=""/>
          </v:shape>
        </w:pict>
      </w:r>
      <w:r>
        <w:rPr/>
        <w:t>产品图片：</w:t>
      </w:r>
      <w:r>
        <w:rPr>
          <w:b w:val="0"/>
          <w:bCs w:val="0"/>
        </w:rPr>
      </w:r>
    </w:p>
    <w:p>
      <w:pPr>
        <w:spacing w:line="240" w:lineRule="auto" w:before="1"/>
        <w:rPr>
          <w:rFonts w:ascii="宋体" w:hAnsi="宋体" w:cs="宋体" w:eastAsia="宋体" w:hint="default"/>
          <w:b/>
          <w:bCs/>
          <w:sz w:val="18"/>
          <w:szCs w:val="18"/>
        </w:rPr>
      </w:pPr>
    </w:p>
    <w:p>
      <w:pPr>
        <w:spacing w:line="1755" w:lineRule="exact"/>
        <w:ind w:left="154" w:right="0" w:firstLine="0"/>
        <w:rPr>
          <w:rFonts w:ascii="宋体" w:hAnsi="宋体" w:cs="宋体" w:eastAsia="宋体" w:hint="default"/>
          <w:sz w:val="20"/>
          <w:szCs w:val="20"/>
        </w:rPr>
      </w:pPr>
      <w:r>
        <w:rPr>
          <w:rFonts w:ascii="宋体" w:hAnsi="宋体" w:cs="宋体" w:eastAsia="宋体" w:hint="default"/>
          <w:position w:val="-34"/>
          <w:sz w:val="20"/>
          <w:szCs w:val="20"/>
        </w:rPr>
        <w:drawing>
          <wp:inline distT="0" distB="0" distL="0" distR="0">
            <wp:extent cx="5334000" cy="1114425"/>
            <wp:effectExtent l="0" t="0" r="0" b="0"/>
            <wp:docPr id="13" name="image5.jpeg" descr=""/>
            <wp:cNvGraphicFramePr>
              <a:graphicFrameLocks noChangeAspect="1"/>
            </wp:cNvGraphicFramePr>
            <a:graphic>
              <a:graphicData uri="http://schemas.openxmlformats.org/drawingml/2006/picture">
                <pic:pic>
                  <pic:nvPicPr>
                    <pic:cNvPr id="14" name="image5.jpeg"/>
                    <pic:cNvPicPr/>
                  </pic:nvPicPr>
                  <pic:blipFill>
                    <a:blip r:embed="rId15" cstate="print"/>
                    <a:stretch>
                      <a:fillRect/>
                    </a:stretch>
                  </pic:blipFill>
                  <pic:spPr>
                    <a:xfrm>
                      <a:off x="0" y="0"/>
                      <a:ext cx="5334000" cy="1114425"/>
                    </a:xfrm>
                    <a:prstGeom prst="rect">
                      <a:avLst/>
                    </a:prstGeom>
                  </pic:spPr>
                </pic:pic>
              </a:graphicData>
            </a:graphic>
          </wp:inline>
        </w:drawing>
      </w:r>
      <w:r>
        <w:rPr>
          <w:rFonts w:ascii="宋体" w:hAnsi="宋体" w:cs="宋体" w:eastAsia="宋体" w:hint="default"/>
          <w:position w:val="-34"/>
          <w:sz w:val="20"/>
          <w:szCs w:val="20"/>
        </w:rPr>
      </w:r>
    </w:p>
    <w:p>
      <w:pPr>
        <w:spacing w:line="240" w:lineRule="auto" w:before="10"/>
        <w:rPr>
          <w:rFonts w:ascii="宋体" w:hAnsi="宋体" w:cs="宋体" w:eastAsia="宋体" w:hint="default"/>
          <w:b/>
          <w:bCs/>
          <w:sz w:val="25"/>
          <w:szCs w:val="25"/>
        </w:rPr>
      </w:pPr>
    </w:p>
    <w:p>
      <w:pPr>
        <w:pStyle w:val="BodyText"/>
        <w:spacing w:line="240" w:lineRule="auto" w:before="44"/>
        <w:ind w:left="634" w:right="0"/>
        <w:jc w:val="left"/>
      </w:pPr>
      <w:r>
        <w:rPr>
          <w:spacing w:val="1"/>
        </w:rPr>
        <w:t>就智能手机</w:t>
      </w:r>
      <w:r>
        <w:rPr>
          <w:spacing w:val="2"/>
        </w:rPr>
        <w:t>市</w:t>
      </w:r>
      <w:r>
        <w:rPr>
          <w:spacing w:val="1"/>
        </w:rPr>
        <w:t>场举例，随</w:t>
      </w:r>
      <w:r>
        <w:rPr>
          <w:spacing w:val="2"/>
        </w:rPr>
        <w:t>着</w:t>
      </w:r>
      <w:r>
        <w:rPr>
          <w:spacing w:val="1"/>
        </w:rPr>
        <w:t>柔性折叠屏</w:t>
      </w:r>
      <w:r>
        <w:rPr>
          <w:spacing w:val="4"/>
        </w:rPr>
        <w:t>、</w:t>
      </w:r>
      <w:r>
        <w:rPr>
          <w:rFonts w:ascii="宋体" w:hAnsi="宋体" w:cs="宋体" w:eastAsia="宋体" w:hint="default"/>
          <w:spacing w:val="1"/>
        </w:rPr>
        <w:t>5G</w:t>
      </w:r>
      <w:r>
        <w:rPr>
          <w:spacing w:val="1"/>
        </w:rPr>
        <w:t>等概念落地</w:t>
      </w:r>
      <w:r>
        <w:rPr>
          <w:spacing w:val="2"/>
        </w:rPr>
        <w:t>商</w:t>
      </w:r>
      <w:r>
        <w:rPr>
          <w:spacing w:val="1"/>
        </w:rPr>
        <w:t>用加速，智</w:t>
      </w:r>
      <w:r>
        <w:rPr>
          <w:spacing w:val="2"/>
        </w:rPr>
        <w:t>能</w:t>
      </w:r>
      <w:r>
        <w:rPr>
          <w:spacing w:val="1"/>
        </w:rPr>
        <w:t>手机会迎</w:t>
      </w:r>
      <w:r>
        <w:rPr>
          <w:spacing w:val="3"/>
        </w:rPr>
        <w:t>来</w:t>
      </w:r>
      <w:r>
        <w:rPr>
          <w:spacing w:val="2"/>
        </w:rPr>
        <w:t>“</w:t>
      </w:r>
      <w:r>
        <w:rPr>
          <w:spacing w:val="1"/>
        </w:rPr>
        <w:t>换机潮</w:t>
      </w:r>
      <w:r>
        <w:rPr>
          <w:spacing w:val="-89"/>
        </w:rPr>
        <w:t>”</w:t>
      </w:r>
      <w:r>
        <w:rPr>
          <w:spacing w:val="1"/>
        </w:rPr>
        <w:t>，有</w:t>
      </w:r>
      <w:r>
        <w:rPr>
          <w:spacing w:val="2"/>
        </w:rPr>
        <w:t>效</w:t>
      </w:r>
      <w:r>
        <w:rPr>
          <w:spacing w:val="1"/>
        </w:rPr>
        <w:t>拉动世界手</w:t>
      </w:r>
      <w:r>
        <w:rPr>
          <w:spacing w:val="2"/>
        </w:rPr>
        <w:t>机</w:t>
      </w:r>
      <w:r>
        <w:rPr/>
        <w:t>需</w:t>
      </w:r>
    </w:p>
    <w:p>
      <w:pPr>
        <w:pStyle w:val="BodyText"/>
        <w:spacing w:line="240" w:lineRule="auto" w:before="76"/>
        <w:ind w:right="0"/>
        <w:jc w:val="left"/>
      </w:pPr>
      <w:r>
        <w:rPr/>
        <w:t>求。</w:t>
      </w:r>
    </w:p>
    <w:p>
      <w:pPr>
        <w:spacing w:line="484" w:lineRule="auto" w:before="76"/>
        <w:ind w:left="635" w:right="0" w:firstLine="0"/>
        <w:jc w:val="left"/>
        <w:rPr>
          <w:rFonts w:ascii="宋体" w:hAnsi="宋体" w:cs="宋体" w:eastAsia="宋体" w:hint="default"/>
          <w:sz w:val="18"/>
          <w:szCs w:val="18"/>
        </w:rPr>
      </w:pPr>
      <w:r>
        <w:rPr>
          <w:rFonts w:ascii="宋体" w:hAnsi="宋体" w:cs="宋体" w:eastAsia="宋体" w:hint="default"/>
          <w:b/>
          <w:bCs/>
          <w:w w:val="95"/>
          <w:sz w:val="18"/>
          <w:szCs w:val="18"/>
        </w:rPr>
        <w:t>3</w:t>
      </w:r>
      <w:r>
        <w:rPr>
          <w:rFonts w:ascii="宋体" w:hAnsi="宋体" w:cs="宋体" w:eastAsia="宋体" w:hint="default"/>
          <w:b/>
          <w:bCs/>
          <w:w w:val="95"/>
          <w:sz w:val="18"/>
          <w:szCs w:val="18"/>
        </w:rPr>
        <w:t>、智能硬件类产品：                                           </w:t>
      </w:r>
      <w:r>
        <w:rPr>
          <w:rFonts w:ascii="宋体" w:hAnsi="宋体" w:cs="宋体" w:eastAsia="宋体" w:hint="default"/>
          <w:b/>
          <w:bCs/>
          <w:spacing w:val="73"/>
          <w:w w:val="95"/>
          <w:sz w:val="18"/>
          <w:szCs w:val="18"/>
        </w:rPr>
        <w:t> </w:t>
      </w:r>
      <w:r>
        <w:rPr>
          <w:rFonts w:ascii="宋体" w:hAnsi="宋体" w:cs="宋体" w:eastAsia="宋体" w:hint="default"/>
          <w:b/>
          <w:bCs/>
          <w:spacing w:val="73"/>
          <w:w w:val="95"/>
          <w:sz w:val="18"/>
          <w:szCs w:val="18"/>
        </w:rPr>
      </w:r>
      <w:r>
        <w:rPr>
          <w:rFonts w:ascii="宋体" w:hAnsi="宋体" w:cs="宋体" w:eastAsia="宋体" w:hint="default"/>
          <w:b/>
          <w:bCs/>
          <w:spacing w:val="73"/>
          <w:w w:val="95"/>
          <w:sz w:val="18"/>
          <w:szCs w:val="18"/>
        </w:rPr>
      </w:r>
      <w:r>
        <w:rPr>
          <w:rFonts w:ascii="宋体" w:hAnsi="宋体" w:cs="宋体" w:eastAsia="宋体" w:hint="default"/>
          <w:b/>
          <w:bCs/>
          <w:w w:val="99"/>
          <w:sz w:val="18"/>
          <w:szCs w:val="18"/>
        </w:rPr>
        <w:drawing>
          <wp:inline distT="0" distB="0" distL="0" distR="0">
            <wp:extent cx="170815" cy="170815"/>
            <wp:effectExtent l="0" t="0" r="0" b="0"/>
            <wp:docPr id="15" name="image3.png" descr=""/>
            <wp:cNvGraphicFramePr>
              <a:graphicFrameLocks noChangeAspect="1"/>
            </wp:cNvGraphicFramePr>
            <a:graphic>
              <a:graphicData uri="http://schemas.openxmlformats.org/drawingml/2006/picture">
                <pic:pic>
                  <pic:nvPicPr>
                    <pic:cNvPr id="16" name="image3.png"/>
                    <pic:cNvPicPr/>
                  </pic:nvPicPr>
                  <pic:blipFill>
                    <a:blip r:embed="rId13" cstate="print"/>
                    <a:stretch>
                      <a:fillRect/>
                    </a:stretch>
                  </pic:blipFill>
                  <pic:spPr>
                    <a:xfrm>
                      <a:off x="0" y="0"/>
                      <a:ext cx="170815" cy="170815"/>
                    </a:xfrm>
                    <a:prstGeom prst="rect">
                      <a:avLst/>
                    </a:prstGeom>
                  </pic:spPr>
                </pic:pic>
              </a:graphicData>
            </a:graphic>
          </wp:inline>
        </w:drawing>
      </w:r>
      <w:r>
        <w:rPr>
          <w:rFonts w:ascii="宋体" w:hAnsi="宋体" w:cs="宋体" w:eastAsia="宋体" w:hint="default"/>
          <w:b/>
          <w:bCs/>
          <w:w w:val="99"/>
          <w:sz w:val="18"/>
          <w:szCs w:val="18"/>
        </w:rPr>
      </w:r>
      <w:r>
        <w:rPr>
          <w:rFonts w:ascii="宋体" w:hAnsi="宋体" w:cs="宋体" w:eastAsia="宋体" w:hint="default"/>
          <w:b/>
          <w:bCs/>
          <w:w w:val="95"/>
          <w:sz w:val="18"/>
          <w:szCs w:val="18"/>
        </w:rPr>
        <w:t>主要产品：</w:t>
      </w:r>
      <w:r>
        <w:rPr>
          <w:rFonts w:ascii="宋体" w:hAnsi="宋体" w:cs="宋体" w:eastAsia="宋体" w:hint="default"/>
          <w:w w:val="95"/>
          <w:sz w:val="18"/>
          <w:szCs w:val="18"/>
        </w:rPr>
        <w:t>智能手环、智能摄像头、智能语音系统及智能音箱、行车记录仪、玩客云等；</w:t>
      </w:r>
      <w:r>
        <w:rPr>
          <w:rFonts w:ascii="宋体" w:hAnsi="宋体" w:cs="宋体" w:eastAsia="宋体" w:hint="default"/>
          <w:spacing w:val="12"/>
          <w:w w:val="95"/>
          <w:sz w:val="18"/>
          <w:szCs w:val="18"/>
        </w:rPr>
        <w:t> </w:t>
      </w:r>
      <w:r>
        <w:rPr>
          <w:rFonts w:ascii="宋体" w:hAnsi="宋体" w:cs="宋体" w:eastAsia="宋体" w:hint="default"/>
          <w:spacing w:val="12"/>
          <w:w w:val="95"/>
          <w:sz w:val="18"/>
          <w:szCs w:val="18"/>
        </w:rPr>
      </w:r>
      <w:r>
        <w:rPr>
          <w:rFonts w:ascii="宋体" w:hAnsi="宋体" w:cs="宋体" w:eastAsia="宋体" w:hint="default"/>
          <w:sz w:val="18"/>
          <w:szCs w:val="18"/>
        </w:rPr>
        <w:drawing>
          <wp:inline distT="0" distB="0" distL="0" distR="0">
            <wp:extent cx="170815" cy="170814"/>
            <wp:effectExtent l="0" t="0" r="0" b="0"/>
            <wp:docPr id="17" name="image3.png" descr=""/>
            <wp:cNvGraphicFramePr>
              <a:graphicFrameLocks noChangeAspect="1"/>
            </wp:cNvGraphicFramePr>
            <a:graphic>
              <a:graphicData uri="http://schemas.openxmlformats.org/drawingml/2006/picture">
                <pic:pic>
                  <pic:nvPicPr>
                    <pic:cNvPr id="18" name="image3.png"/>
                    <pic:cNvPicPr/>
                  </pic:nvPicPr>
                  <pic:blipFill>
                    <a:blip r:embed="rId13" cstate="print"/>
                    <a:stretch>
                      <a:fillRect/>
                    </a:stretch>
                  </pic:blipFill>
                  <pic:spPr>
                    <a:xfrm>
                      <a:off x="0" y="0"/>
                      <a:ext cx="170815" cy="170814"/>
                    </a:xfrm>
                    <a:prstGeom prst="rect">
                      <a:avLst/>
                    </a:prstGeom>
                  </pic:spPr>
                </pic:pic>
              </a:graphicData>
            </a:graphic>
          </wp:inline>
        </w:drawing>
      </w:r>
      <w:r>
        <w:rPr>
          <w:rFonts w:ascii="宋体" w:hAnsi="宋体" w:cs="宋体" w:eastAsia="宋体" w:hint="default"/>
          <w:sz w:val="18"/>
          <w:szCs w:val="18"/>
        </w:rPr>
      </w:r>
      <w:r>
        <w:rPr>
          <w:rFonts w:ascii="宋体" w:hAnsi="宋体" w:cs="宋体" w:eastAsia="宋体" w:hint="default"/>
          <w:b/>
          <w:bCs/>
          <w:sz w:val="18"/>
          <w:szCs w:val="18"/>
        </w:rPr>
        <w:t>主要客户：</w:t>
      </w:r>
      <w:r>
        <w:rPr>
          <w:rFonts w:ascii="宋体" w:hAnsi="宋体" w:cs="宋体" w:eastAsia="宋体" w:hint="default"/>
          <w:sz w:val="18"/>
          <w:szCs w:val="18"/>
        </w:rPr>
        <w:t>小米及其生态链公司、华为、</w:t>
      </w:r>
      <w:r>
        <w:rPr>
          <w:rFonts w:ascii="宋体" w:hAnsi="宋体" w:cs="宋体" w:eastAsia="宋体" w:hint="default"/>
          <w:sz w:val="18"/>
          <w:szCs w:val="18"/>
        </w:rPr>
        <w:t>360</w:t>
      </w:r>
      <w:r>
        <w:rPr>
          <w:rFonts w:ascii="宋体" w:hAnsi="宋体" w:cs="宋体" w:eastAsia="宋体" w:hint="default"/>
          <w:sz w:val="18"/>
          <w:szCs w:val="18"/>
        </w:rPr>
        <w:t>、迅雷等；</w:t>
      </w:r>
    </w:p>
    <w:p>
      <w:pPr>
        <w:pStyle w:val="Heading5"/>
        <w:spacing w:line="240" w:lineRule="auto" w:before="28"/>
        <w:ind w:left="604" w:right="0"/>
        <w:jc w:val="left"/>
        <w:rPr>
          <w:b w:val="0"/>
          <w:bCs w:val="0"/>
        </w:rPr>
      </w:pPr>
      <w:r>
        <w:rPr>
          <w:b w:val="0"/>
          <w:bCs w:val="0"/>
        </w:rPr>
        <w:drawing>
          <wp:inline distT="0" distB="0" distL="0" distR="0">
            <wp:extent cx="170815" cy="170814"/>
            <wp:effectExtent l="0" t="0" r="0" b="0"/>
            <wp:docPr id="19" name="image3.png" descr=""/>
            <wp:cNvGraphicFramePr>
              <a:graphicFrameLocks noChangeAspect="1"/>
            </wp:cNvGraphicFramePr>
            <a:graphic>
              <a:graphicData uri="http://schemas.openxmlformats.org/drawingml/2006/picture">
                <pic:pic>
                  <pic:nvPicPr>
                    <pic:cNvPr id="20" name="image3.png"/>
                    <pic:cNvPicPr/>
                  </pic:nvPicPr>
                  <pic:blipFill>
                    <a:blip r:embed="rId13" cstate="print"/>
                    <a:stretch>
                      <a:fillRect/>
                    </a:stretch>
                  </pic:blipFill>
                  <pic:spPr>
                    <a:xfrm>
                      <a:off x="0" y="0"/>
                      <a:ext cx="170815" cy="170814"/>
                    </a:xfrm>
                    <a:prstGeom prst="rect">
                      <a:avLst/>
                    </a:prstGeom>
                  </pic:spPr>
                </pic:pic>
              </a:graphicData>
            </a:graphic>
          </wp:inline>
        </w:drawing>
      </w:r>
      <w:r>
        <w:rPr>
          <w:b w:val="0"/>
          <w:bCs w:val="0"/>
        </w:rPr>
      </w:r>
      <w:r>
        <w:rPr/>
        <w:t>产品图片：</w:t>
      </w:r>
      <w:r>
        <w:rPr>
          <w:b w:val="0"/>
          <w:bCs w:val="0"/>
        </w:rPr>
      </w:r>
    </w:p>
    <w:p>
      <w:pPr>
        <w:spacing w:line="240" w:lineRule="auto" w:before="2"/>
        <w:rPr>
          <w:rFonts w:ascii="宋体" w:hAnsi="宋体" w:cs="宋体" w:eastAsia="宋体" w:hint="default"/>
          <w:b/>
          <w:bCs/>
          <w:sz w:val="17"/>
          <w:szCs w:val="17"/>
        </w:rPr>
      </w:pPr>
    </w:p>
    <w:p>
      <w:pPr>
        <w:spacing w:line="2715" w:lineRule="exact"/>
        <w:ind w:left="154" w:right="0" w:firstLine="0"/>
        <w:rPr>
          <w:rFonts w:ascii="宋体" w:hAnsi="宋体" w:cs="宋体" w:eastAsia="宋体" w:hint="default"/>
          <w:sz w:val="20"/>
          <w:szCs w:val="20"/>
        </w:rPr>
      </w:pPr>
      <w:r>
        <w:rPr>
          <w:rFonts w:ascii="宋体" w:hAnsi="宋体" w:cs="宋体" w:eastAsia="宋体" w:hint="default"/>
          <w:position w:val="-53"/>
          <w:sz w:val="20"/>
          <w:szCs w:val="20"/>
        </w:rPr>
        <w:drawing>
          <wp:inline distT="0" distB="0" distL="0" distR="0">
            <wp:extent cx="5314950" cy="1724025"/>
            <wp:effectExtent l="0" t="0" r="0" b="0"/>
            <wp:docPr id="21" name="image6.jpeg" descr=""/>
            <wp:cNvGraphicFramePr>
              <a:graphicFrameLocks noChangeAspect="1"/>
            </wp:cNvGraphicFramePr>
            <a:graphic>
              <a:graphicData uri="http://schemas.openxmlformats.org/drawingml/2006/picture">
                <pic:pic>
                  <pic:nvPicPr>
                    <pic:cNvPr id="22" name="image6.jpeg"/>
                    <pic:cNvPicPr/>
                  </pic:nvPicPr>
                  <pic:blipFill>
                    <a:blip r:embed="rId16" cstate="print"/>
                    <a:stretch>
                      <a:fillRect/>
                    </a:stretch>
                  </pic:blipFill>
                  <pic:spPr>
                    <a:xfrm>
                      <a:off x="0" y="0"/>
                      <a:ext cx="5314950" cy="1724025"/>
                    </a:xfrm>
                    <a:prstGeom prst="rect">
                      <a:avLst/>
                    </a:prstGeom>
                  </pic:spPr>
                </pic:pic>
              </a:graphicData>
            </a:graphic>
          </wp:inline>
        </w:drawing>
      </w:r>
      <w:r>
        <w:rPr>
          <w:rFonts w:ascii="宋体" w:hAnsi="宋体" w:cs="宋体" w:eastAsia="宋体" w:hint="default"/>
          <w:position w:val="-53"/>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pStyle w:val="BodyText"/>
        <w:spacing w:line="477" w:lineRule="auto"/>
        <w:ind w:right="1129" w:firstLine="360"/>
        <w:jc w:val="both"/>
      </w:pPr>
      <w:r>
        <w:rPr/>
        <w:t>公司已形成以小米生态链、</w:t>
      </w:r>
      <w:r>
        <w:rPr>
          <w:rFonts w:ascii="宋体" w:hAnsi="宋体" w:cs="宋体" w:eastAsia="宋体" w:hint="default"/>
        </w:rPr>
        <w:t>360</w:t>
      </w:r>
      <w:r>
        <w:rPr/>
        <w:t>智能硬件和华为接入产品及阿里公共云等智能产品的研发和制造体系，并积极参与到华 </w:t>
      </w:r>
      <w:r>
        <w:rPr>
          <w:spacing w:val="-2"/>
        </w:rPr>
        <w:t>为着力打造的“华为</w:t>
      </w:r>
      <w:r>
        <w:rPr>
          <w:rFonts w:ascii="宋体" w:hAnsi="宋体" w:cs="宋体" w:eastAsia="宋体" w:hint="default"/>
          <w:spacing w:val="-2"/>
        </w:rPr>
        <w:t>H-link</w:t>
      </w:r>
      <w:r>
        <w:rPr>
          <w:spacing w:val="-2"/>
        </w:rPr>
        <w:t>生态品牌——华为智选”生态系统。随着“万物互联”时代的不断发展，公司多技术整合能力的</w:t>
      </w:r>
      <w:r>
        <w:rPr>
          <w:spacing w:val="-60"/>
        </w:rPr>
        <w:t> </w:t>
      </w:r>
      <w:r>
        <w:rPr>
          <w:spacing w:val="-60"/>
        </w:rPr>
      </w:r>
      <w:r>
        <w:rPr/>
        <w:t>优势将充分发挥。</w:t>
      </w:r>
    </w:p>
    <w:p>
      <w:pPr>
        <w:pStyle w:val="Heading5"/>
        <w:spacing w:line="240" w:lineRule="auto" w:before="54"/>
        <w:ind w:left="636" w:right="0"/>
        <w:jc w:val="left"/>
        <w:rPr>
          <w:b w:val="0"/>
          <w:bCs w:val="0"/>
        </w:rPr>
      </w:pPr>
      <w:r>
        <w:rPr>
          <w:rFonts w:ascii="宋体" w:hAnsi="宋体" w:cs="宋体" w:eastAsia="宋体" w:hint="default"/>
        </w:rPr>
        <w:t>4</w:t>
      </w:r>
      <w:r>
        <w:rPr/>
        <w:t>、智能装备及工业机器人</w:t>
      </w:r>
      <w:r>
        <w:rPr>
          <w:b w:val="0"/>
          <w:bCs w:val="0"/>
        </w:rPr>
      </w:r>
    </w:p>
    <w:p>
      <w:pPr>
        <w:spacing w:line="240" w:lineRule="auto" w:before="6"/>
        <w:rPr>
          <w:rFonts w:ascii="宋体" w:hAnsi="宋体" w:cs="宋体" w:eastAsia="宋体" w:hint="default"/>
          <w:b/>
          <w:bCs/>
          <w:sz w:val="22"/>
          <w:szCs w:val="22"/>
        </w:rPr>
      </w:pPr>
    </w:p>
    <w:p>
      <w:pPr>
        <w:pStyle w:val="Heading5"/>
        <w:spacing w:line="240" w:lineRule="auto"/>
        <w:ind w:left="635" w:right="0"/>
        <w:jc w:val="left"/>
        <w:rPr>
          <w:b w:val="0"/>
          <w:bCs w:val="0"/>
        </w:rPr>
      </w:pPr>
      <w:r>
        <w:rPr>
          <w:b w:val="0"/>
          <w:bCs w:val="0"/>
        </w:rPr>
        <w:drawing>
          <wp:inline distT="0" distB="0" distL="0" distR="0">
            <wp:extent cx="170815" cy="170814"/>
            <wp:effectExtent l="0" t="0" r="0" b="0"/>
            <wp:docPr id="23" name="image3.png" descr=""/>
            <wp:cNvGraphicFramePr>
              <a:graphicFrameLocks noChangeAspect="1"/>
            </wp:cNvGraphicFramePr>
            <a:graphic>
              <a:graphicData uri="http://schemas.openxmlformats.org/drawingml/2006/picture">
                <pic:pic>
                  <pic:nvPicPr>
                    <pic:cNvPr id="24" name="image3.png"/>
                    <pic:cNvPicPr/>
                  </pic:nvPicPr>
                  <pic:blipFill>
                    <a:blip r:embed="rId13" cstate="print"/>
                    <a:stretch>
                      <a:fillRect/>
                    </a:stretch>
                  </pic:blipFill>
                  <pic:spPr>
                    <a:xfrm>
                      <a:off x="0" y="0"/>
                      <a:ext cx="170815" cy="170814"/>
                    </a:xfrm>
                    <a:prstGeom prst="rect">
                      <a:avLst/>
                    </a:prstGeom>
                  </pic:spPr>
                </pic:pic>
              </a:graphicData>
            </a:graphic>
          </wp:inline>
        </w:drawing>
      </w:r>
      <w:r>
        <w:rPr>
          <w:b w:val="0"/>
          <w:bCs w:val="0"/>
        </w:rPr>
      </w:r>
      <w:r>
        <w:rPr/>
        <w:t>主要产品：</w:t>
      </w:r>
      <w:r>
        <w:rPr>
          <w:b w:val="0"/>
          <w:bCs w:val="0"/>
        </w:rPr>
      </w:r>
    </w:p>
    <w:p>
      <w:pPr>
        <w:pStyle w:val="BodyText"/>
        <w:spacing w:line="477" w:lineRule="auto" w:before="267"/>
        <w:ind w:right="1040" w:firstLine="360"/>
        <w:jc w:val="both"/>
      </w:pPr>
      <w:r>
        <w:rPr>
          <w:spacing w:val="-2"/>
        </w:rPr>
        <w:t>（</w:t>
      </w:r>
      <w:r>
        <w:rPr>
          <w:rFonts w:ascii="宋体" w:hAnsi="宋体" w:cs="宋体" w:eastAsia="宋体" w:hint="default"/>
          <w:spacing w:val="-2"/>
        </w:rPr>
        <w:t>1</w:t>
      </w:r>
      <w:r>
        <w:rPr>
          <w:spacing w:val="-2"/>
        </w:rPr>
        <w:t>）智能装备：公司自研的全数字高速自动点胶机、全自动视觉贴膜机、高速分板机、自动翻板贴标机、自动组装机、</w:t>
      </w:r>
      <w:r>
        <w:rPr/>
        <w:t> 自动翻板激光镭雕机、双头伺服自能螺丝机等；</w:t>
      </w:r>
    </w:p>
    <w:p>
      <w:pPr>
        <w:pStyle w:val="BodyText"/>
        <w:spacing w:line="540" w:lineRule="auto" w:before="54"/>
        <w:ind w:left="694" w:right="5082" w:hanging="180"/>
        <w:jc w:val="left"/>
        <w:rPr>
          <w:rFonts w:ascii="宋体" w:hAnsi="宋体" w:cs="宋体" w:eastAsia="宋体" w:hint="default"/>
        </w:rPr>
      </w:pPr>
      <w:r>
        <w:rPr/>
        <w:t>（</w:t>
      </w:r>
      <w:r>
        <w:rPr>
          <w:rFonts w:ascii="宋体" w:hAnsi="宋体" w:cs="宋体" w:eastAsia="宋体" w:hint="default"/>
        </w:rPr>
        <w:t>2</w:t>
      </w:r>
      <w:r>
        <w:rPr/>
        <w:t>）工业机器人：</w:t>
      </w:r>
      <w:r>
        <w:rPr>
          <w:rFonts w:ascii="宋体" w:hAnsi="宋体" w:cs="宋体" w:eastAsia="宋体" w:hint="default"/>
        </w:rPr>
        <w:t>SCARA</w:t>
      </w:r>
      <w:r>
        <w:rPr/>
        <w:t>机器人、</w:t>
      </w:r>
      <w:r>
        <w:rPr>
          <w:rFonts w:ascii="宋体" w:hAnsi="宋体" w:cs="宋体" w:eastAsia="宋体" w:hint="default"/>
        </w:rPr>
        <w:t>Stewart</w:t>
      </w:r>
      <w:r>
        <w:rPr/>
        <w:t>机器人、协作机器人等。 </w:t>
      </w:r>
      <w:r>
        <w:rPr/>
        <w:drawing>
          <wp:inline distT="0" distB="0" distL="0" distR="0">
            <wp:extent cx="170815" cy="170815"/>
            <wp:effectExtent l="0" t="0" r="0" b="0"/>
            <wp:docPr id="25" name="image3.png" descr=""/>
            <wp:cNvGraphicFramePr>
              <a:graphicFrameLocks noChangeAspect="1"/>
            </wp:cNvGraphicFramePr>
            <a:graphic>
              <a:graphicData uri="http://schemas.openxmlformats.org/drawingml/2006/picture">
                <pic:pic>
                  <pic:nvPicPr>
                    <pic:cNvPr id="26" name="image3.png"/>
                    <pic:cNvPicPr/>
                  </pic:nvPicPr>
                  <pic:blipFill>
                    <a:blip r:embed="rId13" cstate="print"/>
                    <a:stretch>
                      <a:fillRect/>
                    </a:stretch>
                  </pic:blipFill>
                  <pic:spPr>
                    <a:xfrm>
                      <a:off x="0" y="0"/>
                      <a:ext cx="170815" cy="170815"/>
                    </a:xfrm>
                    <a:prstGeom prst="rect">
                      <a:avLst/>
                    </a:prstGeom>
                  </pic:spPr>
                </pic:pic>
              </a:graphicData>
            </a:graphic>
          </wp:inline>
        </w:drawing>
      </w:r>
      <w:r>
        <w:rPr/>
      </w:r>
      <w:r>
        <w:rPr>
          <w:rFonts w:ascii="宋体" w:hAnsi="宋体" w:cs="宋体" w:eastAsia="宋体" w:hint="default"/>
          <w:b/>
          <w:bCs/>
        </w:rPr>
        <w:t>产品图片：</w:t>
      </w:r>
      <w:r>
        <w:rPr>
          <w:rFonts w:ascii="宋体" w:hAnsi="宋体" w:cs="宋体" w:eastAsia="宋体" w:hint="default"/>
        </w:rPr>
      </w:r>
    </w:p>
    <w:p>
      <w:pPr>
        <w:spacing w:after="0" w:line="540" w:lineRule="auto"/>
        <w:jc w:val="left"/>
        <w:rPr>
          <w:rFonts w:ascii="宋体" w:hAnsi="宋体" w:cs="宋体" w:eastAsia="宋体" w:hint="default"/>
        </w:rPr>
        <w:sectPr>
          <w:pgSz w:w="11910" w:h="16840"/>
          <w:pgMar w:header="917" w:footer="1019" w:top="1120" w:bottom="120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1"/>
          <w:szCs w:val="11"/>
        </w:rPr>
      </w:pPr>
    </w:p>
    <w:p>
      <w:pPr>
        <w:spacing w:line="5820" w:lineRule="exact"/>
        <w:ind w:left="154" w:right="0" w:firstLine="0"/>
        <w:rPr>
          <w:rFonts w:ascii="宋体" w:hAnsi="宋体" w:cs="宋体" w:eastAsia="宋体" w:hint="default"/>
          <w:sz w:val="20"/>
          <w:szCs w:val="20"/>
        </w:rPr>
      </w:pPr>
      <w:r>
        <w:rPr>
          <w:rFonts w:ascii="宋体" w:hAnsi="宋体" w:cs="宋体" w:eastAsia="宋体" w:hint="default"/>
          <w:position w:val="-115"/>
          <w:sz w:val="20"/>
          <w:szCs w:val="20"/>
        </w:rPr>
        <w:drawing>
          <wp:inline distT="0" distB="0" distL="0" distR="0">
            <wp:extent cx="5391150" cy="3695700"/>
            <wp:effectExtent l="0" t="0" r="0" b="0"/>
            <wp:docPr id="27" name="image7.jpeg" descr=""/>
            <wp:cNvGraphicFramePr>
              <a:graphicFrameLocks noChangeAspect="1"/>
            </wp:cNvGraphicFramePr>
            <a:graphic>
              <a:graphicData uri="http://schemas.openxmlformats.org/drawingml/2006/picture">
                <pic:pic>
                  <pic:nvPicPr>
                    <pic:cNvPr id="28" name="image7.jpeg"/>
                    <pic:cNvPicPr/>
                  </pic:nvPicPr>
                  <pic:blipFill>
                    <a:blip r:embed="rId17" cstate="print"/>
                    <a:stretch>
                      <a:fillRect/>
                    </a:stretch>
                  </pic:blipFill>
                  <pic:spPr>
                    <a:xfrm>
                      <a:off x="0" y="0"/>
                      <a:ext cx="5391150" cy="3695700"/>
                    </a:xfrm>
                    <a:prstGeom prst="rect">
                      <a:avLst/>
                    </a:prstGeom>
                  </pic:spPr>
                </pic:pic>
              </a:graphicData>
            </a:graphic>
          </wp:inline>
        </w:drawing>
      </w:r>
      <w:r>
        <w:rPr>
          <w:rFonts w:ascii="宋体" w:hAnsi="宋体" w:cs="宋体" w:eastAsia="宋体" w:hint="default"/>
          <w:position w:val="-115"/>
          <w:sz w:val="20"/>
          <w:szCs w:val="20"/>
        </w:rPr>
      </w:r>
    </w:p>
    <w:p>
      <w:pPr>
        <w:spacing w:line="240" w:lineRule="auto" w:before="7"/>
        <w:rPr>
          <w:rFonts w:ascii="宋体" w:hAnsi="宋体" w:cs="宋体" w:eastAsia="宋体" w:hint="default"/>
          <w:b/>
          <w:bCs/>
          <w:sz w:val="7"/>
          <w:szCs w:val="7"/>
        </w:rPr>
      </w:pPr>
    </w:p>
    <w:p>
      <w:pPr>
        <w:pStyle w:val="BodyText"/>
        <w:spacing w:line="477" w:lineRule="auto" w:before="44"/>
        <w:ind w:right="1131" w:firstLine="360"/>
        <w:jc w:val="both"/>
      </w:pPr>
      <w:r>
        <w:rPr>
          <w:spacing w:val="-2"/>
        </w:rPr>
        <w:t>公司从</w:t>
      </w:r>
      <w:r>
        <w:rPr>
          <w:rFonts w:ascii="宋体" w:hAnsi="宋体" w:cs="宋体" w:eastAsia="宋体" w:hint="default"/>
          <w:spacing w:val="-2"/>
        </w:rPr>
        <w:t>2012</w:t>
      </w:r>
      <w:r>
        <w:rPr>
          <w:spacing w:val="-2"/>
        </w:rPr>
        <w:t>年开始组建自动化设备研发部门，经过几年耕耘已初见成效，研发了一系列用于生产的自动化设备及自动化</w:t>
      </w:r>
      <w:r>
        <w:rPr/>
        <w:t> </w:t>
      </w:r>
      <w:r>
        <w:rPr>
          <w:spacing w:val="-2"/>
        </w:rPr>
        <w:t>无人生产线，降低了公司对于生产线设备外购的成本压力，同时对降低生产线的生产制造成本起到良好的促进作用，在业务</w:t>
      </w:r>
      <w:r>
        <w:rPr>
          <w:spacing w:val="-66"/>
        </w:rPr>
        <w:t> </w:t>
      </w:r>
      <w:r>
        <w:rPr>
          <w:spacing w:val="-66"/>
        </w:rPr>
      </w:r>
      <w:r>
        <w:rPr>
          <w:spacing w:val="-4"/>
        </w:rPr>
        <w:t>方面提升了公司与主要客户合作的粘合度；公司自研</w:t>
      </w:r>
      <w:r>
        <w:rPr>
          <w:rFonts w:ascii="宋体" w:hAnsi="宋体" w:cs="宋体" w:eastAsia="宋体" w:hint="default"/>
          <w:spacing w:val="-4"/>
        </w:rPr>
        <w:t>MES</w:t>
      </w:r>
      <w:r>
        <w:rPr>
          <w:spacing w:val="-4"/>
        </w:rPr>
        <w:t>智慧工厂系统（生产过程执行管理系统），能在互联网模式下实现生</w:t>
      </w:r>
      <w:r>
        <w:rPr>
          <w:spacing w:val="-40"/>
        </w:rPr>
        <w:t> </w:t>
      </w:r>
      <w:r>
        <w:rPr>
          <w:spacing w:val="-40"/>
        </w:rPr>
      </w:r>
      <w:r>
        <w:rPr>
          <w:spacing w:val="-2"/>
        </w:rPr>
        <w:t>产信息和自动化设备之间的高效运作，架设了生产信息和全自动化产线设备之间的传输数据链，将科学合理的生产指令直接</w:t>
      </w:r>
      <w:r>
        <w:rPr>
          <w:spacing w:val="-64"/>
        </w:rPr>
        <w:t> </w:t>
      </w:r>
      <w:r>
        <w:rPr>
          <w:spacing w:val="-64"/>
        </w:rPr>
      </w:r>
      <w:r>
        <w:rPr/>
        <w:t>下达给全自动生产线，达到科学生产、降本增效的目的。</w:t>
      </w:r>
    </w:p>
    <w:p>
      <w:pPr>
        <w:pStyle w:val="BodyText"/>
        <w:spacing w:line="477" w:lineRule="auto" w:before="54"/>
        <w:ind w:right="1130" w:firstLine="360"/>
        <w:jc w:val="both"/>
      </w:pPr>
      <w:r>
        <w:rPr>
          <w:spacing w:val="-2"/>
        </w:rPr>
        <w:t>另外，公司在不断寻求路径将自动化能力产业化，与行业内知名品牌商（如：松下）建立了良好的合作关系，为将来对</w:t>
      </w:r>
      <w:r>
        <w:rPr/>
        <w:t> 外输出成套的软硬一体自动化解决方案奠定基础。</w:t>
      </w:r>
    </w:p>
    <w:p>
      <w:pPr>
        <w:pStyle w:val="BodyText"/>
        <w:spacing w:line="477" w:lineRule="auto" w:before="54"/>
        <w:ind w:right="1131" w:firstLine="360"/>
        <w:jc w:val="both"/>
      </w:pPr>
      <w:r>
        <w:rPr>
          <w:spacing w:val="-2"/>
        </w:rPr>
        <w:t>子公司卓博机器人自成立以来，已经组建了工业机器人的机械设计、电路硬件设计、机器人核心算法、运动控制软件设</w:t>
      </w:r>
      <w:r>
        <w:rPr/>
        <w:t> </w:t>
      </w:r>
      <w:r>
        <w:rPr>
          <w:spacing w:val="-2"/>
        </w:rPr>
        <w:t>计的完整研发队伍。目前已经完成了平面机器人的全部设计工作，正在进行可靠性测试。预计</w:t>
      </w:r>
      <w:r>
        <w:rPr>
          <w:rFonts w:ascii="宋体" w:hAnsi="宋体" w:cs="宋体" w:eastAsia="宋体" w:hint="default"/>
          <w:spacing w:val="-2"/>
        </w:rPr>
        <w:t>2019</w:t>
      </w:r>
      <w:r>
        <w:rPr>
          <w:spacing w:val="-2"/>
        </w:rPr>
        <w:t>年下半年可用于公司内部</w:t>
      </w:r>
      <w:r>
        <w:rPr>
          <w:spacing w:val="-61"/>
        </w:rPr>
        <w:t> </w:t>
      </w:r>
      <w:r>
        <w:rPr/>
        <w:t>的自动化生产线，替代目前外购的日系产品。</w:t>
      </w:r>
    </w:p>
    <w:p>
      <w:pPr>
        <w:spacing w:line="523" w:lineRule="auto" w:before="54"/>
        <w:ind w:left="515" w:right="6792" w:firstLine="121"/>
        <w:jc w:val="left"/>
        <w:rPr>
          <w:rFonts w:ascii="宋体" w:hAnsi="宋体" w:cs="宋体" w:eastAsia="宋体" w:hint="default"/>
          <w:sz w:val="18"/>
          <w:szCs w:val="18"/>
        </w:rPr>
      </w:pPr>
      <w:r>
        <w:rPr>
          <w:rFonts w:ascii="宋体" w:hAnsi="宋体" w:cs="宋体" w:eastAsia="宋体" w:hint="default"/>
          <w:b/>
          <w:bCs/>
          <w:w w:val="95"/>
          <w:sz w:val="18"/>
          <w:szCs w:val="18"/>
        </w:rPr>
        <w:t>5</w:t>
      </w:r>
      <w:r>
        <w:rPr>
          <w:rFonts w:ascii="宋体" w:hAnsi="宋体" w:cs="宋体" w:eastAsia="宋体" w:hint="default"/>
          <w:b/>
          <w:bCs/>
          <w:w w:val="95"/>
          <w:sz w:val="18"/>
          <w:szCs w:val="18"/>
        </w:rPr>
        <w:t>、光电显示业务    </w:t>
      </w:r>
      <w:r>
        <w:rPr>
          <w:rFonts w:ascii="宋体" w:hAnsi="宋体" w:cs="宋体" w:eastAsia="宋体" w:hint="default"/>
          <w:b/>
          <w:bCs/>
          <w:spacing w:val="55"/>
          <w:w w:val="95"/>
          <w:sz w:val="18"/>
          <w:szCs w:val="18"/>
        </w:rPr>
        <w:t> </w:t>
      </w:r>
      <w:r>
        <w:rPr>
          <w:rFonts w:ascii="宋体" w:hAnsi="宋体" w:cs="宋体" w:eastAsia="宋体" w:hint="default"/>
          <w:b/>
          <w:bCs/>
          <w:spacing w:val="55"/>
          <w:w w:val="95"/>
          <w:sz w:val="18"/>
          <w:szCs w:val="18"/>
        </w:rPr>
      </w:r>
      <w:r>
        <w:rPr>
          <w:rFonts w:ascii="宋体" w:hAnsi="宋体" w:cs="宋体" w:eastAsia="宋体" w:hint="default"/>
          <w:b/>
          <w:bCs/>
          <w:spacing w:val="55"/>
          <w:w w:val="95"/>
          <w:sz w:val="18"/>
          <w:szCs w:val="18"/>
        </w:rPr>
      </w:r>
      <w:r>
        <w:rPr>
          <w:rFonts w:ascii="宋体" w:hAnsi="宋体" w:cs="宋体" w:eastAsia="宋体" w:hint="default"/>
          <w:b/>
          <w:bCs/>
          <w:w w:val="99"/>
          <w:sz w:val="18"/>
          <w:szCs w:val="18"/>
        </w:rPr>
        <w:drawing>
          <wp:inline distT="0" distB="0" distL="0" distR="0">
            <wp:extent cx="170815" cy="170814"/>
            <wp:effectExtent l="0" t="0" r="0" b="0"/>
            <wp:docPr id="29" name="image3.png" descr=""/>
            <wp:cNvGraphicFramePr>
              <a:graphicFrameLocks noChangeAspect="1"/>
            </wp:cNvGraphicFramePr>
            <a:graphic>
              <a:graphicData uri="http://schemas.openxmlformats.org/drawingml/2006/picture">
                <pic:pic>
                  <pic:nvPicPr>
                    <pic:cNvPr id="30" name="image3.png"/>
                    <pic:cNvPicPr/>
                  </pic:nvPicPr>
                  <pic:blipFill>
                    <a:blip r:embed="rId13" cstate="print"/>
                    <a:stretch>
                      <a:fillRect/>
                    </a:stretch>
                  </pic:blipFill>
                  <pic:spPr>
                    <a:xfrm>
                      <a:off x="0" y="0"/>
                      <a:ext cx="170815" cy="170814"/>
                    </a:xfrm>
                    <a:prstGeom prst="rect">
                      <a:avLst/>
                    </a:prstGeom>
                  </pic:spPr>
                </pic:pic>
              </a:graphicData>
            </a:graphic>
          </wp:inline>
        </w:drawing>
      </w:r>
      <w:r>
        <w:rPr>
          <w:rFonts w:ascii="宋体" w:hAnsi="宋体" w:cs="宋体" w:eastAsia="宋体" w:hint="default"/>
          <w:b/>
          <w:bCs/>
          <w:w w:val="99"/>
          <w:sz w:val="18"/>
          <w:szCs w:val="18"/>
        </w:rPr>
      </w:r>
      <w:r>
        <w:rPr>
          <w:rFonts w:ascii="宋体" w:hAnsi="宋体" w:cs="宋体" w:eastAsia="宋体" w:hint="default"/>
          <w:b/>
          <w:bCs/>
          <w:w w:val="95"/>
          <w:sz w:val="18"/>
          <w:szCs w:val="18"/>
        </w:rPr>
        <w:t>主要产品：</w:t>
      </w:r>
      <w:r>
        <w:rPr>
          <w:rFonts w:ascii="宋体" w:hAnsi="宋体" w:cs="宋体" w:eastAsia="宋体" w:hint="default"/>
          <w:w w:val="95"/>
          <w:sz w:val="18"/>
          <w:szCs w:val="18"/>
        </w:rPr>
        <w:t>LED</w:t>
      </w:r>
      <w:r>
        <w:rPr>
          <w:rFonts w:ascii="宋体" w:hAnsi="宋体" w:cs="宋体" w:eastAsia="宋体" w:hint="default"/>
          <w:w w:val="95"/>
          <w:sz w:val="18"/>
          <w:szCs w:val="18"/>
        </w:rPr>
        <w:t>灯条、量子点材料等；</w:t>
      </w:r>
      <w:r>
        <w:rPr>
          <w:rFonts w:ascii="宋体" w:hAnsi="宋体" w:cs="宋体" w:eastAsia="宋体" w:hint="default"/>
          <w:spacing w:val="66"/>
          <w:w w:val="95"/>
          <w:sz w:val="18"/>
          <w:szCs w:val="18"/>
        </w:rPr>
        <w:t> </w:t>
      </w:r>
      <w:r>
        <w:rPr>
          <w:rFonts w:ascii="宋体" w:hAnsi="宋体" w:cs="宋体" w:eastAsia="宋体" w:hint="default"/>
          <w:sz w:val="18"/>
          <w:szCs w:val="18"/>
        </w:rPr>
        <w:drawing>
          <wp:inline distT="0" distB="0" distL="0" distR="0">
            <wp:extent cx="170815" cy="170814"/>
            <wp:effectExtent l="0" t="0" r="0" b="0"/>
            <wp:docPr id="31" name="image3.png" descr=""/>
            <wp:cNvGraphicFramePr>
              <a:graphicFrameLocks noChangeAspect="1"/>
            </wp:cNvGraphicFramePr>
            <a:graphic>
              <a:graphicData uri="http://schemas.openxmlformats.org/drawingml/2006/picture">
                <pic:pic>
                  <pic:nvPicPr>
                    <pic:cNvPr id="32" name="image3.png"/>
                    <pic:cNvPicPr/>
                  </pic:nvPicPr>
                  <pic:blipFill>
                    <a:blip r:embed="rId13" cstate="print"/>
                    <a:stretch>
                      <a:fillRect/>
                    </a:stretch>
                  </pic:blipFill>
                  <pic:spPr>
                    <a:xfrm>
                      <a:off x="0" y="0"/>
                      <a:ext cx="170815" cy="170814"/>
                    </a:xfrm>
                    <a:prstGeom prst="rect">
                      <a:avLst/>
                    </a:prstGeom>
                  </pic:spPr>
                </pic:pic>
              </a:graphicData>
            </a:graphic>
          </wp:inline>
        </w:drawing>
      </w:r>
      <w:r>
        <w:rPr>
          <w:rFonts w:ascii="宋体" w:hAnsi="宋体" w:cs="宋体" w:eastAsia="宋体" w:hint="default"/>
          <w:sz w:val="18"/>
          <w:szCs w:val="18"/>
        </w:rPr>
      </w:r>
      <w:r>
        <w:rPr>
          <w:rFonts w:ascii="宋体" w:hAnsi="宋体" w:cs="宋体" w:eastAsia="宋体" w:hint="default"/>
          <w:b/>
          <w:bCs/>
          <w:sz w:val="18"/>
          <w:szCs w:val="18"/>
        </w:rPr>
        <w:t>产品图片：</w:t>
      </w:r>
      <w:r>
        <w:rPr>
          <w:rFonts w:ascii="宋体" w:hAnsi="宋体" w:cs="宋体" w:eastAsia="宋体" w:hint="default"/>
          <w:sz w:val="18"/>
          <w:szCs w:val="18"/>
        </w:rPr>
      </w:r>
    </w:p>
    <w:p>
      <w:pPr>
        <w:spacing w:after="0" w:line="523"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2"/>
        <w:rPr>
          <w:rFonts w:ascii="宋体" w:hAnsi="宋体" w:cs="宋体" w:eastAsia="宋体" w:hint="default"/>
          <w:b/>
          <w:bCs/>
          <w:sz w:val="25"/>
          <w:szCs w:val="25"/>
        </w:rPr>
      </w:pPr>
    </w:p>
    <w:p>
      <w:pPr>
        <w:spacing w:line="1822" w:lineRule="exact"/>
        <w:ind w:left="154" w:right="0" w:firstLine="0"/>
        <w:rPr>
          <w:rFonts w:ascii="宋体" w:hAnsi="宋体" w:cs="宋体" w:eastAsia="宋体" w:hint="default"/>
          <w:sz w:val="20"/>
          <w:szCs w:val="20"/>
        </w:rPr>
      </w:pPr>
      <w:r>
        <w:rPr>
          <w:rFonts w:ascii="宋体" w:hAnsi="宋体" w:cs="宋体" w:eastAsia="宋体" w:hint="default"/>
          <w:position w:val="-35"/>
          <w:sz w:val="20"/>
          <w:szCs w:val="20"/>
        </w:rPr>
        <w:drawing>
          <wp:inline distT="0" distB="0" distL="0" distR="0">
            <wp:extent cx="5310557" cy="1157477"/>
            <wp:effectExtent l="0" t="0" r="0" b="0"/>
            <wp:docPr id="33" name="image8.jpeg" descr=""/>
            <wp:cNvGraphicFramePr>
              <a:graphicFrameLocks noChangeAspect="1"/>
            </wp:cNvGraphicFramePr>
            <a:graphic>
              <a:graphicData uri="http://schemas.openxmlformats.org/drawingml/2006/picture">
                <pic:pic>
                  <pic:nvPicPr>
                    <pic:cNvPr id="34" name="image8.jpeg"/>
                    <pic:cNvPicPr/>
                  </pic:nvPicPr>
                  <pic:blipFill>
                    <a:blip r:embed="rId18" cstate="print"/>
                    <a:stretch>
                      <a:fillRect/>
                    </a:stretch>
                  </pic:blipFill>
                  <pic:spPr>
                    <a:xfrm>
                      <a:off x="0" y="0"/>
                      <a:ext cx="5310557" cy="1157477"/>
                    </a:xfrm>
                    <a:prstGeom prst="rect">
                      <a:avLst/>
                    </a:prstGeom>
                  </pic:spPr>
                </pic:pic>
              </a:graphicData>
            </a:graphic>
          </wp:inline>
        </w:drawing>
      </w:r>
      <w:r>
        <w:rPr>
          <w:rFonts w:ascii="宋体" w:hAnsi="宋体" w:cs="宋体" w:eastAsia="宋体" w:hint="default"/>
          <w:position w:val="-35"/>
          <w:sz w:val="20"/>
          <w:szCs w:val="20"/>
        </w:rPr>
      </w:r>
    </w:p>
    <w:p>
      <w:pPr>
        <w:spacing w:line="240" w:lineRule="auto" w:before="5"/>
        <w:rPr>
          <w:rFonts w:ascii="宋体" w:hAnsi="宋体" w:cs="宋体" w:eastAsia="宋体" w:hint="default"/>
          <w:b/>
          <w:bCs/>
          <w:sz w:val="5"/>
          <w:szCs w:val="5"/>
        </w:rPr>
      </w:pPr>
    </w:p>
    <w:p>
      <w:pPr>
        <w:pStyle w:val="BodyText"/>
        <w:spacing w:line="477" w:lineRule="auto" w:before="44"/>
        <w:ind w:left="514" w:right="1032"/>
        <w:jc w:val="left"/>
      </w:pPr>
      <w:r>
        <w:rPr/>
        <w:t>公司光电显示事业部从</w:t>
      </w:r>
      <w:r>
        <w:rPr>
          <w:rFonts w:ascii="宋体" w:hAnsi="宋体" w:cs="宋体" w:eastAsia="宋体" w:hint="default"/>
        </w:rPr>
        <w:t>2015</w:t>
      </w:r>
      <w:r>
        <w:rPr/>
        <w:t>年开始自主研发量子点材料和相关工艺，并与客户合作生产批量出货了</w:t>
      </w:r>
      <w:r>
        <w:rPr>
          <w:rFonts w:ascii="宋体" w:hAnsi="宋体" w:cs="宋体" w:eastAsia="宋体" w:hint="default"/>
        </w:rPr>
        <w:t>LED</w:t>
      </w:r>
      <w:r>
        <w:rPr/>
        <w:t>灯条等产品。 </w:t>
      </w:r>
      <w:r>
        <w:rPr>
          <w:rFonts w:ascii="宋体" w:hAnsi="宋体" w:cs="宋体" w:eastAsia="宋体" w:hint="default"/>
        </w:rPr>
        <w:t>2017</w:t>
      </w:r>
      <w:r>
        <w:rPr/>
        <w:t>年，公司从美国引进量子点设备及相关技术，专注做量子点材料的研发，目前，公司量子点材料已处于测试阶段。 </w:t>
      </w:r>
      <w:r>
        <w:rPr>
          <w:rFonts w:ascii="宋体" w:hAnsi="宋体" w:cs="宋体" w:eastAsia="宋体" w:hint="default"/>
          <w:spacing w:val="-2"/>
        </w:rPr>
        <w:t>QLED</w:t>
      </w:r>
      <w:r>
        <w:rPr>
          <w:spacing w:val="-2"/>
        </w:rPr>
        <w:t>技术目前主要是应用于电视等液晶屏市场，正引领高端电视行业的新风向，未来随着</w:t>
      </w:r>
      <w:r>
        <w:rPr>
          <w:rFonts w:ascii="宋体" w:hAnsi="宋体" w:cs="宋体" w:eastAsia="宋体" w:hint="default"/>
          <w:spacing w:val="-2"/>
        </w:rPr>
        <w:t>QLED</w:t>
      </w:r>
      <w:r>
        <w:rPr>
          <w:spacing w:val="-2"/>
        </w:rPr>
        <w:t>技术的应用与市场渐趋成</w:t>
      </w:r>
    </w:p>
    <w:p>
      <w:pPr>
        <w:pStyle w:val="BodyText"/>
        <w:spacing w:line="477" w:lineRule="auto" w:before="54"/>
        <w:ind w:right="1026"/>
        <w:jc w:val="left"/>
      </w:pPr>
      <w:r>
        <w:rPr>
          <w:spacing w:val="-3"/>
        </w:rPr>
        <w:t>熟，也必然可以推向包含电视液晶屏、</w:t>
      </w:r>
      <w:r>
        <w:rPr>
          <w:rFonts w:ascii="宋体" w:hAnsi="宋体" w:cs="宋体" w:eastAsia="宋体" w:hint="default"/>
          <w:spacing w:val="-3"/>
        </w:rPr>
        <w:t>PC</w:t>
      </w:r>
      <w:r>
        <w:rPr>
          <w:spacing w:val="-3"/>
        </w:rPr>
        <w:t>端以及小型消费电子等覆盖范围更广的显示市场。公司很看好未来</w:t>
      </w:r>
      <w:r>
        <w:rPr>
          <w:rFonts w:ascii="宋体" w:hAnsi="宋体" w:cs="宋体" w:eastAsia="宋体" w:hint="default"/>
          <w:spacing w:val="-3"/>
        </w:rPr>
        <w:t>QLED</w:t>
      </w:r>
      <w:r>
        <w:rPr>
          <w:spacing w:val="-3"/>
        </w:rPr>
        <w:t>行业的发展，</w:t>
      </w:r>
      <w:r>
        <w:rPr/>
        <w:t> 相信在技术上的不断突破和成熟，会真正改变整个显示行业格局。</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1"/>
          <w:szCs w:val="21"/>
        </w:rPr>
      </w:pPr>
    </w:p>
    <w:p>
      <w:pPr>
        <w:pStyle w:val="BodyText"/>
        <w:spacing w:line="477" w:lineRule="auto"/>
        <w:ind w:left="514" w:right="0" w:firstLine="1"/>
        <w:jc w:val="left"/>
      </w:pPr>
      <w:r>
        <w:rPr>
          <w:rFonts w:ascii="宋体" w:hAnsi="宋体" w:cs="宋体" w:eastAsia="宋体" w:hint="default"/>
          <w:b/>
          <w:bCs/>
        </w:rPr>
        <w:t>（二）主要经营模式</w:t>
      </w:r>
      <w:r>
        <w:rPr>
          <w:rFonts w:ascii="宋体" w:hAnsi="宋体" w:cs="宋体" w:eastAsia="宋体" w:hint="default"/>
          <w:b/>
          <w:bCs/>
          <w:w w:val="99"/>
        </w:rPr>
        <w:t> </w:t>
      </w:r>
      <w:r>
        <w:rPr>
          <w:spacing w:val="-2"/>
        </w:rPr>
        <w:t>公司主要以</w:t>
      </w:r>
      <w:r>
        <w:rPr>
          <w:rFonts w:ascii="宋体" w:hAnsi="宋体" w:cs="宋体" w:eastAsia="宋体" w:hint="default"/>
          <w:spacing w:val="-2"/>
        </w:rPr>
        <w:t>ODM/EMS</w:t>
      </w:r>
      <w:r>
        <w:rPr>
          <w:spacing w:val="-2"/>
        </w:rPr>
        <w:t>等模式为国内外的品牌渠道商提供合约制造服务。其中，</w:t>
      </w:r>
      <w:r>
        <w:rPr>
          <w:rFonts w:ascii="宋体" w:hAnsi="宋体" w:cs="宋体" w:eastAsia="宋体" w:hint="default"/>
          <w:spacing w:val="-2"/>
        </w:rPr>
        <w:t>ODM</w:t>
      </w:r>
      <w:r>
        <w:rPr>
          <w:spacing w:val="-2"/>
        </w:rPr>
        <w:t>模式下，公司为品牌商提供的服务包括</w:t>
      </w:r>
    </w:p>
    <w:p>
      <w:pPr>
        <w:pStyle w:val="BodyText"/>
        <w:spacing w:line="477" w:lineRule="auto" w:before="54"/>
        <w:ind w:right="1122"/>
        <w:jc w:val="left"/>
      </w:pPr>
      <w:r>
        <w:rPr/>
        <w:t>从市场研究、产品设计开发、原材料采购一直到产品制造；</w:t>
      </w:r>
      <w:r>
        <w:rPr>
          <w:rFonts w:ascii="宋体" w:hAnsi="宋体" w:cs="宋体" w:eastAsia="宋体" w:hint="default"/>
        </w:rPr>
        <w:t>EMS</w:t>
      </w:r>
      <w:r>
        <w:rPr/>
        <w:t>模式下，公司为品牌商提供包括原材料采购、产品制造和相</w:t>
      </w:r>
      <w:r>
        <w:rPr>
          <w:spacing w:val="-82"/>
        </w:rPr>
        <w:t> </w:t>
      </w:r>
      <w:r>
        <w:rPr>
          <w:spacing w:val="-82"/>
        </w:rPr>
      </w:r>
      <w:r>
        <w:rPr/>
        <w:t>关物流配送、售后等服务。</w:t>
      </w:r>
    </w:p>
    <w:p>
      <w:pPr>
        <w:pStyle w:val="BodyText"/>
        <w:spacing w:line="477" w:lineRule="auto" w:before="54"/>
        <w:ind w:left="514" w:right="0"/>
        <w:jc w:val="left"/>
      </w:pPr>
      <w:r>
        <w:rPr/>
        <w:t>此外，公司也尝试</w:t>
      </w:r>
      <w:r>
        <w:rPr>
          <w:rFonts w:ascii="宋体" w:hAnsi="宋体" w:cs="宋体" w:eastAsia="宋体" w:hint="default"/>
        </w:rPr>
        <w:t>JDM</w:t>
      </w:r>
      <w:r>
        <w:rPr/>
        <w:t>（联合设计制造）模式，通过与品牌客户进行共同研发，加强客户粘着力，实现资源共享。 </w:t>
      </w:r>
      <w:r>
        <w:rPr>
          <w:spacing w:val="-2"/>
        </w:rPr>
        <w:t>未来，公司将不断优化产品布局和业务模式，提高高附加值产品占比，深耕市场，巩固核心客户，加大新客户的开发和</w:t>
      </w:r>
    </w:p>
    <w:p>
      <w:pPr>
        <w:pStyle w:val="BodyText"/>
        <w:spacing w:line="240" w:lineRule="auto" w:before="54"/>
        <w:ind w:right="0"/>
        <w:jc w:val="left"/>
      </w:pPr>
      <w:r>
        <w:rPr/>
        <w:t>新兴产品的研究应用，提升公司的盈利能力。</w:t>
      </w:r>
    </w:p>
    <w:p>
      <w:pPr>
        <w:spacing w:line="240" w:lineRule="auto" w:before="10"/>
        <w:rPr>
          <w:rFonts w:ascii="宋体" w:hAnsi="宋体" w:cs="宋体" w:eastAsia="宋体" w:hint="default"/>
          <w:sz w:val="17"/>
          <w:szCs w:val="17"/>
        </w:rPr>
      </w:pPr>
    </w:p>
    <w:p>
      <w:pPr>
        <w:pStyle w:val="Heading5"/>
        <w:spacing w:line="240" w:lineRule="auto"/>
        <w:ind w:right="0"/>
        <w:jc w:val="left"/>
        <w:rPr>
          <w:b w:val="0"/>
          <w:bCs w:val="0"/>
        </w:rPr>
      </w:pPr>
      <w:r>
        <w:rPr/>
        <w:t>（三）公司所属行业的发展状况</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19" w:firstLine="360"/>
        <w:jc w:val="left"/>
      </w:pPr>
      <w:r>
        <w:rPr>
          <w:spacing w:val="-2"/>
        </w:rPr>
        <w:t>详见“第四节</w:t>
      </w:r>
      <w:r>
        <w:rPr>
          <w:spacing w:val="19"/>
        </w:rPr>
        <w:t> </w:t>
      </w:r>
      <w:r>
        <w:rPr>
          <w:spacing w:val="-4"/>
        </w:rPr>
        <w:t>经营情况讨论与分析”之“九、公司未来发展的展望”之“（一）公司现处的行业格局和发展趋势”相关</w:t>
      </w:r>
      <w:r>
        <w:rPr>
          <w:spacing w:val="1"/>
        </w:rPr>
        <w:t> </w:t>
      </w:r>
      <w:r>
        <w:rPr/>
        <w:t>内容。</w:t>
      </w:r>
    </w:p>
    <w:p>
      <w:pPr>
        <w:spacing w:line="240" w:lineRule="auto" w:before="7"/>
        <w:rPr>
          <w:rFonts w:ascii="宋体" w:hAnsi="宋体" w:cs="宋体" w:eastAsia="宋体" w:hint="default"/>
          <w:sz w:val="17"/>
          <w:szCs w:val="17"/>
        </w:rPr>
      </w:pPr>
    </w:p>
    <w:p>
      <w:pPr>
        <w:pStyle w:val="Heading2"/>
        <w:spacing w:line="240" w:lineRule="auto"/>
        <w:ind w:right="0"/>
        <w:jc w:val="left"/>
        <w:rPr>
          <w:b w:val="0"/>
          <w:bCs w:val="0"/>
        </w:rPr>
      </w:pPr>
      <w:bookmarkStart w:name="二、主要资产重大变化情况" w:id="19"/>
      <w:bookmarkEnd w:id="19"/>
      <w:r>
        <w:rPr>
          <w:b w:val="0"/>
          <w:bCs w:val="0"/>
        </w:rPr>
      </w:r>
      <w:r>
        <w:rPr/>
        <w:t>二、主要资产重大变化情况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主要资产重大变化情况" w:id="20"/>
      <w:bookmarkEnd w:id="20"/>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052"/>
        <w:gridCol w:w="6517"/>
      </w:tblGrid>
      <w:tr>
        <w:trPr>
          <w:trHeight w:val="764"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714"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03"/>
              <w:jc w:val="left"/>
              <w:rPr>
                <w:rFonts w:ascii="宋体" w:hAnsi="宋体" w:cs="宋体" w:eastAsia="宋体" w:hint="default"/>
                <w:sz w:val="18"/>
                <w:szCs w:val="18"/>
              </w:rPr>
            </w:pPr>
            <w:r>
              <w:rPr>
                <w:rFonts w:ascii="宋体" w:hAnsi="宋体" w:cs="宋体" w:eastAsia="宋体" w:hint="default"/>
                <w:sz w:val="18"/>
                <w:szCs w:val="18"/>
              </w:rPr>
              <w:t>主要系本期长期股权投资减持北京朝歌数码科技股份有限公司股权，期末剩余股 权转为可供出售金融资产所致。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主要系本期天津基地房屋及建筑物达到可使用状态转固定资产所致。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本期较上期基本无变化。</w:t>
            </w:r>
          </w:p>
        </w:tc>
      </w:tr>
      <w:tr>
        <w:trPr>
          <w:trHeight w:val="714"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02"/>
              <w:jc w:val="left"/>
              <w:rPr>
                <w:rFonts w:ascii="宋体" w:hAnsi="宋体" w:cs="宋体" w:eastAsia="宋体" w:hint="default"/>
                <w:sz w:val="18"/>
                <w:szCs w:val="18"/>
              </w:rPr>
            </w:pPr>
            <w:r>
              <w:rPr>
                <w:rFonts w:ascii="宋体" w:hAnsi="宋体" w:cs="宋体" w:eastAsia="宋体" w:hint="default"/>
                <w:sz w:val="18"/>
                <w:szCs w:val="18"/>
              </w:rPr>
              <w:t>主要系本期天津基地房屋及建筑物达到可使用状态转为固定资产与厦门软件园三 期办公楼转为投资性房地产所致。</w:t>
            </w:r>
          </w:p>
        </w:tc>
      </w:tr>
    </w:tbl>
    <w:p>
      <w:pPr>
        <w:spacing w:after="0" w:line="316"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b/>
          <w:bCs/>
          <w:sz w:val="23"/>
          <w:szCs w:val="23"/>
        </w:rPr>
      </w:pPr>
    </w:p>
    <w:tbl>
      <w:tblPr>
        <w:tblW w:w="0" w:type="auto"/>
        <w:jc w:val="left"/>
        <w:tblInd w:w="149" w:type="dxa"/>
        <w:tblLayout w:type="fixed"/>
        <w:tblCellMar>
          <w:top w:w="0" w:type="dxa"/>
          <w:left w:w="0" w:type="dxa"/>
          <w:bottom w:w="0" w:type="dxa"/>
          <w:right w:w="0" w:type="dxa"/>
        </w:tblCellMar>
        <w:tblLook w:val="01E0"/>
      </w:tblPr>
      <w:tblGrid>
        <w:gridCol w:w="3052"/>
        <w:gridCol w:w="6517"/>
      </w:tblGrid>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主要系本期客户采用票据结算货款的方式减少所致。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主要系本期客户采用票据结算货款的方式减少所致。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主要系本期预付工程款减少所致。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主要系存货储备需求减少，和本期加大存货跌价计提及存货报废处理所致。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主要系上期购买的理财产品本期到期赎回所致。</w:t>
            </w:r>
          </w:p>
        </w:tc>
      </w:tr>
      <w:tr>
        <w:trPr>
          <w:trHeight w:val="714"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1" w:right="103"/>
              <w:jc w:val="left"/>
              <w:rPr>
                <w:rFonts w:ascii="宋体" w:hAnsi="宋体" w:cs="宋体" w:eastAsia="宋体" w:hint="default"/>
                <w:sz w:val="18"/>
                <w:szCs w:val="18"/>
              </w:rPr>
            </w:pPr>
            <w:r>
              <w:rPr>
                <w:rFonts w:ascii="宋体" w:hAnsi="宋体" w:cs="宋体" w:eastAsia="宋体" w:hint="default"/>
                <w:sz w:val="18"/>
                <w:szCs w:val="18"/>
              </w:rPr>
              <w:t>主要系本期长期股权投资减持北京朝歌数码科技股份有限公司股权，期末剩余股 权转为可供出售金融资产所致。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主要系本期将厦门软件园三期办公楼转为投资性房地产所致。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主要系本期扩大生产，加大生产用工、治具投入所致。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主要系本期可弥补亏损增加与资产减值损失增加计提递延所得税资产所致。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主要系本期预付设备、工程款减少所致。</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主要境外资产情况" w:id="21"/>
      <w:bookmarkEnd w:id="21"/>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三、核心竞争力分析" w:id="22"/>
      <w:bookmarkEnd w:id="22"/>
      <w:r>
        <w:rPr>
          <w:b w:val="0"/>
          <w:bCs w:val="0"/>
        </w:rPr>
      </w:r>
      <w:r>
        <w:rPr/>
        <w:t>三、核心竞争力分析</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692"/>
        <w:jc w:val="left"/>
      </w:pPr>
      <w:r>
        <w:rPr/>
        <w:t>公司是否需要遵守特殊行业的披露要求 否</w:t>
      </w:r>
    </w:p>
    <w:p>
      <w:pPr>
        <w:pStyle w:val="BodyText"/>
        <w:spacing w:line="477" w:lineRule="auto" w:before="103"/>
        <w:ind w:right="1132" w:firstLine="360"/>
        <w:jc w:val="both"/>
      </w:pPr>
      <w:r>
        <w:rPr>
          <w:spacing w:val="-2"/>
        </w:rPr>
        <w:t>经过十几年的发展与沉淀，公司以服务客户为中心，坚持“大客户、大制造、大创新”的中心思想，依托核心能力形成</w:t>
      </w:r>
      <w:r>
        <w:rPr/>
        <w:t> 的公司竞争优势，主要体现在以下几个方面：</w:t>
      </w:r>
    </w:p>
    <w:p>
      <w:pPr>
        <w:pStyle w:val="BodyText"/>
        <w:spacing w:line="477" w:lineRule="auto" w:before="54"/>
        <w:ind w:left="514" w:right="0"/>
        <w:jc w:val="left"/>
      </w:pPr>
      <w:r>
        <w:rPr>
          <w:rFonts w:ascii="宋体" w:hAnsi="宋体" w:cs="宋体" w:eastAsia="宋体" w:hint="default"/>
        </w:rPr>
        <w:t>1</w:t>
      </w:r>
      <w:r>
        <w:rPr/>
        <w:t>、技术积累与研发优势 </w:t>
      </w:r>
      <w:r>
        <w:rPr>
          <w:spacing w:val="-2"/>
        </w:rPr>
        <w:t>公司积极响应国家政策，在新一代电子信息产业领域汇集研发实力，聚焦电子智能制造的前沿技术，致力于新产品的研</w:t>
      </w:r>
    </w:p>
    <w:p>
      <w:pPr>
        <w:pStyle w:val="BodyText"/>
        <w:spacing w:line="477" w:lineRule="auto" w:before="54"/>
        <w:ind w:right="1118"/>
        <w:jc w:val="left"/>
      </w:pPr>
      <w:r>
        <w:rPr>
          <w:spacing w:val="-2"/>
        </w:rPr>
        <w:t>发创新与生产实践。依靠经验丰富、行动高效的研发设计团队，公司能够积极响应客户需求，牢牢把握产品和市场的发展方</w:t>
      </w:r>
      <w:r>
        <w:rPr>
          <w:spacing w:val="-66"/>
        </w:rPr>
        <w:t> </w:t>
      </w:r>
      <w:r>
        <w:rPr>
          <w:spacing w:val="-66"/>
        </w:rPr>
      </w:r>
      <w:r>
        <w:rPr/>
        <w:t>向。</w:t>
      </w:r>
    </w:p>
    <w:p>
      <w:pPr>
        <w:pStyle w:val="BodyText"/>
        <w:spacing w:line="477" w:lineRule="auto" w:before="54"/>
        <w:ind w:right="1131" w:firstLine="360"/>
        <w:jc w:val="both"/>
      </w:pPr>
      <w:r>
        <w:rPr/>
        <w:t>公司作为国家级高新技术企业，拥有发明及实用新型等</w:t>
      </w:r>
      <w:r>
        <w:rPr>
          <w:rFonts w:ascii="宋体" w:hAnsi="宋体" w:cs="宋体" w:eastAsia="宋体" w:hint="default"/>
        </w:rPr>
        <w:t>100</w:t>
      </w:r>
      <w:r>
        <w:rPr/>
        <w:t>余项专利，并自研了一系列自动化装备，从组装、测试、包 </w:t>
      </w:r>
      <w:r>
        <w:rPr>
          <w:spacing w:val="-2"/>
        </w:rPr>
        <w:t>装等多方面实现人工替代，形成了深厚的自动化技术储备与领先的研发实力，为不断提高生产效率和产品质量提供了有力保</w:t>
      </w:r>
      <w:r>
        <w:rPr>
          <w:spacing w:val="-64"/>
        </w:rPr>
        <w:t> </w:t>
      </w:r>
      <w:r>
        <w:rPr>
          <w:spacing w:val="-64"/>
        </w:rPr>
      </w:r>
      <w:r>
        <w:rPr>
          <w:spacing w:val="-2"/>
        </w:rPr>
        <w:t>障。同时，公司依托技术基础和研发优势，能够更好地顺应行业发展趋势，将业务领域扩展延伸至工业互联网生态圈中的云</w:t>
      </w:r>
      <w:r>
        <w:rPr>
          <w:spacing w:val="-66"/>
        </w:rPr>
        <w:t> </w:t>
      </w:r>
      <w:r>
        <w:rPr>
          <w:spacing w:val="-66"/>
        </w:rPr>
      </w:r>
      <w:r>
        <w:rPr/>
        <w:t>网层和平台层，为实现向工业互联网平台智能制造的转型升级打下坚实的基础。</w:t>
      </w:r>
    </w:p>
    <w:p>
      <w:pPr>
        <w:pStyle w:val="BodyText"/>
        <w:spacing w:line="477" w:lineRule="auto" w:before="54"/>
        <w:ind w:left="514" w:right="1122"/>
        <w:jc w:val="left"/>
      </w:pPr>
      <w:r>
        <w:rPr>
          <w:rFonts w:ascii="宋体" w:hAnsi="宋体" w:cs="宋体" w:eastAsia="宋体" w:hint="default"/>
        </w:rPr>
        <w:t>2</w:t>
      </w:r>
      <w:r>
        <w:rPr/>
        <w:t>、产品与客户优势 得益于前瞻性的市场布局及大客户战略，公司积累了包括小米、华为、迅雷、</w:t>
      </w:r>
      <w:r>
        <w:rPr>
          <w:rFonts w:ascii="宋体" w:hAnsi="宋体" w:cs="宋体" w:eastAsia="宋体" w:hint="default"/>
        </w:rPr>
        <w:t>360</w:t>
      </w:r>
      <w:r>
        <w:rPr/>
        <w:t>、诺基亚贝尔、中国移动等一系列知</w:t>
      </w:r>
    </w:p>
    <w:p>
      <w:pPr>
        <w:pStyle w:val="BodyText"/>
        <w:spacing w:line="477" w:lineRule="auto" w:before="54"/>
        <w:ind w:right="1032"/>
        <w:jc w:val="left"/>
      </w:pPr>
      <w:r>
        <w:rPr>
          <w:spacing w:val="-4"/>
        </w:rPr>
        <w:t>名品牌客户，合作产品覆盖</w:t>
      </w:r>
      <w:r>
        <w:rPr>
          <w:rFonts w:ascii="宋体" w:hAnsi="宋体" w:cs="宋体" w:eastAsia="宋体" w:hint="default"/>
          <w:spacing w:val="-4"/>
        </w:rPr>
        <w:t>3C</w:t>
      </w:r>
      <w:r>
        <w:rPr>
          <w:spacing w:val="-4"/>
        </w:rPr>
        <w:t>、智能硬件、工业机器人、物联网、光电显示等多个领域，凭借着公司突出的大客户服务能力，</w:t>
      </w:r>
      <w:r>
        <w:rPr>
          <w:spacing w:val="-40"/>
        </w:rPr>
        <w:t> </w:t>
      </w:r>
      <w:r>
        <w:rPr>
          <w:spacing w:val="-40"/>
        </w:rPr>
      </w:r>
      <w:r>
        <w:rPr/>
        <w:t>公司受到了客户一致好评，</w:t>
      </w:r>
      <w:r>
        <w:rPr>
          <w:rFonts w:ascii="宋体" w:hAnsi="宋体" w:cs="宋体" w:eastAsia="宋体" w:hint="default"/>
        </w:rPr>
        <w:t>2018</w:t>
      </w:r>
      <w:r>
        <w:rPr/>
        <w:t>年度获得了小米、欧普照明等客户授予的“最佳交付奖”及“优秀供应商奖”等多个奖项。</w:t>
      </w:r>
    </w:p>
    <w:p>
      <w:pPr>
        <w:spacing w:after="0" w:line="477" w:lineRule="auto"/>
        <w:jc w:val="left"/>
        <w:sectPr>
          <w:pgSz w:w="11910" w:h="16840"/>
          <w:pgMar w:header="917" w:footer="1019" w:top="1120" w:bottom="1200" w:left="980" w:right="0"/>
        </w:sectPr>
      </w:pPr>
    </w:p>
    <w:p>
      <w:pPr>
        <w:spacing w:line="240" w:lineRule="auto" w:before="3"/>
        <w:rPr>
          <w:rFonts w:ascii="宋体" w:hAnsi="宋体" w:cs="宋体" w:eastAsia="宋体" w:hint="default"/>
          <w:sz w:val="26"/>
          <w:szCs w:val="26"/>
        </w:rPr>
      </w:pPr>
    </w:p>
    <w:p>
      <w:pPr>
        <w:tabs>
          <w:tab w:pos="5093" w:val="left" w:leader="none"/>
        </w:tabs>
        <w:spacing w:line="2754" w:lineRule="exact"/>
        <w:ind w:left="884" w:right="0" w:firstLine="0"/>
        <w:rPr>
          <w:rFonts w:ascii="宋体" w:hAnsi="宋体" w:cs="宋体" w:eastAsia="宋体" w:hint="default"/>
          <w:sz w:val="20"/>
          <w:szCs w:val="20"/>
        </w:rPr>
      </w:pPr>
      <w:r>
        <w:rPr>
          <w:rFonts w:ascii="宋体"/>
          <w:position w:val="-54"/>
          <w:sz w:val="20"/>
        </w:rPr>
        <w:drawing>
          <wp:inline distT="0" distB="0" distL="0" distR="0">
            <wp:extent cx="2542672" cy="1747647"/>
            <wp:effectExtent l="0" t="0" r="0" b="0"/>
            <wp:docPr id="35" name="image9.jpeg" descr=""/>
            <wp:cNvGraphicFramePr>
              <a:graphicFrameLocks noChangeAspect="1"/>
            </wp:cNvGraphicFramePr>
            <a:graphic>
              <a:graphicData uri="http://schemas.openxmlformats.org/drawingml/2006/picture">
                <pic:pic>
                  <pic:nvPicPr>
                    <pic:cNvPr id="36" name="image9.jpeg"/>
                    <pic:cNvPicPr/>
                  </pic:nvPicPr>
                  <pic:blipFill>
                    <a:blip r:embed="rId19" cstate="print"/>
                    <a:stretch>
                      <a:fillRect/>
                    </a:stretch>
                  </pic:blipFill>
                  <pic:spPr>
                    <a:xfrm>
                      <a:off x="0" y="0"/>
                      <a:ext cx="2542672" cy="1747647"/>
                    </a:xfrm>
                    <a:prstGeom prst="rect">
                      <a:avLst/>
                    </a:prstGeom>
                  </pic:spPr>
                </pic:pic>
              </a:graphicData>
            </a:graphic>
          </wp:inline>
        </w:drawing>
      </w:r>
      <w:r>
        <w:rPr>
          <w:rFonts w:ascii="宋体"/>
          <w:position w:val="-54"/>
          <w:sz w:val="20"/>
        </w:rPr>
      </w:r>
      <w:r>
        <w:rPr>
          <w:rFonts w:ascii="宋体"/>
          <w:position w:val="-54"/>
          <w:sz w:val="20"/>
        </w:rPr>
        <w:tab/>
      </w:r>
      <w:r>
        <w:rPr>
          <w:rFonts w:ascii="宋体"/>
          <w:position w:val="-54"/>
          <w:sz w:val="20"/>
        </w:rPr>
        <w:drawing>
          <wp:inline distT="0" distB="0" distL="0" distR="0">
            <wp:extent cx="2541450" cy="1747647"/>
            <wp:effectExtent l="0" t="0" r="0" b="0"/>
            <wp:docPr id="37" name="image10.jpeg" descr=""/>
            <wp:cNvGraphicFramePr>
              <a:graphicFrameLocks noChangeAspect="1"/>
            </wp:cNvGraphicFramePr>
            <a:graphic>
              <a:graphicData uri="http://schemas.openxmlformats.org/drawingml/2006/picture">
                <pic:pic>
                  <pic:nvPicPr>
                    <pic:cNvPr id="38" name="image10.jpeg"/>
                    <pic:cNvPicPr/>
                  </pic:nvPicPr>
                  <pic:blipFill>
                    <a:blip r:embed="rId20" cstate="print"/>
                    <a:stretch>
                      <a:fillRect/>
                    </a:stretch>
                  </pic:blipFill>
                  <pic:spPr>
                    <a:xfrm>
                      <a:off x="0" y="0"/>
                      <a:ext cx="2541450" cy="1747647"/>
                    </a:xfrm>
                    <a:prstGeom prst="rect">
                      <a:avLst/>
                    </a:prstGeom>
                  </pic:spPr>
                </pic:pic>
              </a:graphicData>
            </a:graphic>
          </wp:inline>
        </w:drawing>
      </w:r>
      <w:r>
        <w:rPr>
          <w:rFonts w:ascii="宋体"/>
          <w:position w:val="-54"/>
          <w:sz w:val="20"/>
        </w:rPr>
      </w:r>
    </w:p>
    <w:p>
      <w:pPr>
        <w:spacing w:line="240" w:lineRule="auto" w:before="8"/>
        <w:rPr>
          <w:rFonts w:ascii="宋体" w:hAnsi="宋体" w:cs="宋体" w:eastAsia="宋体" w:hint="default"/>
          <w:sz w:val="4"/>
          <w:szCs w:val="4"/>
        </w:rPr>
      </w:pPr>
    </w:p>
    <w:p>
      <w:pPr>
        <w:pStyle w:val="BodyText"/>
        <w:spacing w:line="240" w:lineRule="auto" w:before="44"/>
        <w:ind w:left="514" w:right="0"/>
        <w:jc w:val="left"/>
      </w:pPr>
      <w:r>
        <w:rPr>
          <w:rFonts w:ascii="宋体" w:hAnsi="宋体" w:cs="宋体" w:eastAsia="宋体" w:hint="default"/>
        </w:rPr>
        <w:t>3</w:t>
      </w:r>
      <w:r>
        <w:rPr/>
        <w:t>、规模制造优势</w:t>
      </w:r>
    </w:p>
    <w:p>
      <w:pPr>
        <w:spacing w:line="240" w:lineRule="auto" w:before="5"/>
        <w:rPr>
          <w:rFonts w:ascii="宋体" w:hAnsi="宋体" w:cs="宋体" w:eastAsia="宋体" w:hint="default"/>
          <w:sz w:val="14"/>
          <w:szCs w:val="14"/>
        </w:rPr>
      </w:pPr>
    </w:p>
    <w:p>
      <w:pPr>
        <w:pStyle w:val="BodyText"/>
        <w:spacing w:line="477" w:lineRule="auto" w:before="44"/>
        <w:ind w:right="1129" w:firstLine="360"/>
        <w:jc w:val="both"/>
      </w:pPr>
      <w:r>
        <w:rPr/>
        <w:t>公司作为效益驱动型的一站式智能终端产品、智能制造软硬一体化整体解决方案提供商，拥有</w:t>
      </w:r>
      <w:r>
        <w:rPr>
          <w:rFonts w:ascii="宋体" w:hAnsi="宋体" w:cs="宋体" w:eastAsia="宋体" w:hint="default"/>
        </w:rPr>
        <w:t>70</w:t>
      </w:r>
      <w:r>
        <w:rPr/>
        <w:t>多条先进的</w:t>
      </w:r>
      <w:r>
        <w:rPr>
          <w:rFonts w:ascii="宋体" w:hAnsi="宋体" w:cs="宋体" w:eastAsia="宋体" w:hint="default"/>
        </w:rPr>
        <w:t>SMT</w:t>
      </w:r>
      <w:r>
        <w:rPr/>
        <w:t>生产线 </w:t>
      </w:r>
      <w:r>
        <w:rPr>
          <w:spacing w:val="-2"/>
        </w:rPr>
        <w:t>体，具备精密和高效的贴片和组装能力，产品质量稳定可靠，产品上量速度快。公司拥有深圳、天津两大制造基地，未来将</w:t>
      </w:r>
      <w:r>
        <w:rPr>
          <w:spacing w:val="-68"/>
        </w:rPr>
        <w:t> </w:t>
      </w:r>
      <w:r>
        <w:rPr>
          <w:spacing w:val="-68"/>
        </w:rPr>
      </w:r>
      <w:r>
        <w:rPr/>
        <w:t>进一步扩大生产规模，以满足客户不断升级的产品需求。</w:t>
      </w:r>
    </w:p>
    <w:p>
      <w:pPr>
        <w:spacing w:line="240" w:lineRule="auto" w:before="9"/>
        <w:rPr>
          <w:rFonts w:ascii="宋体" w:hAnsi="宋体" w:cs="宋体" w:eastAsia="宋体" w:hint="default"/>
          <w:sz w:val="5"/>
          <w:szCs w:val="5"/>
        </w:rPr>
      </w:pPr>
    </w:p>
    <w:p>
      <w:pPr>
        <w:spacing w:line="4163" w:lineRule="exact"/>
        <w:ind w:left="810"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5303253" cy="2643663"/>
            <wp:effectExtent l="0" t="0" r="0" b="0"/>
            <wp:docPr id="39" name="image11.png" descr=""/>
            <wp:cNvGraphicFramePr>
              <a:graphicFrameLocks noChangeAspect="1"/>
            </wp:cNvGraphicFramePr>
            <a:graphic>
              <a:graphicData uri="http://schemas.openxmlformats.org/drawingml/2006/picture">
                <pic:pic>
                  <pic:nvPicPr>
                    <pic:cNvPr id="40" name="image11.png"/>
                    <pic:cNvPicPr/>
                  </pic:nvPicPr>
                  <pic:blipFill>
                    <a:blip r:embed="rId21" cstate="print"/>
                    <a:stretch>
                      <a:fillRect/>
                    </a:stretch>
                  </pic:blipFill>
                  <pic:spPr>
                    <a:xfrm>
                      <a:off x="0" y="0"/>
                      <a:ext cx="5303253" cy="2643663"/>
                    </a:xfrm>
                    <a:prstGeom prst="rect">
                      <a:avLst/>
                    </a:prstGeom>
                  </pic:spPr>
                </pic:pic>
              </a:graphicData>
            </a:graphic>
          </wp:inline>
        </w:drawing>
      </w:r>
      <w:r>
        <w:rPr>
          <w:rFonts w:ascii="宋体" w:hAnsi="宋体" w:cs="宋体" w:eastAsia="宋体" w:hint="default"/>
          <w:position w:val="-82"/>
          <w:sz w:val="20"/>
          <w:szCs w:val="20"/>
        </w:rPr>
      </w:r>
    </w:p>
    <w:p>
      <w:pPr>
        <w:spacing w:line="240" w:lineRule="auto" w:before="2"/>
        <w:rPr>
          <w:rFonts w:ascii="宋体" w:hAnsi="宋体" w:cs="宋体" w:eastAsia="宋体" w:hint="default"/>
          <w:sz w:val="14"/>
          <w:szCs w:val="14"/>
        </w:rPr>
      </w:pPr>
    </w:p>
    <w:p>
      <w:pPr>
        <w:pStyle w:val="BodyText"/>
        <w:spacing w:line="477" w:lineRule="auto"/>
        <w:ind w:left="514" w:right="1032"/>
        <w:jc w:val="left"/>
      </w:pPr>
      <w:r>
        <w:rPr>
          <w:rFonts w:ascii="宋体" w:hAnsi="宋体" w:cs="宋体" w:eastAsia="宋体" w:hint="default"/>
        </w:rPr>
        <w:t>4</w:t>
      </w:r>
      <w:r>
        <w:rPr/>
        <w:t>、成本控制优势 公司聚焦主业，高度重视智能工厂建设，不断提高智能化、自动化水平。公司专门成立了自动化事业部及机器人公司，</w:t>
      </w:r>
    </w:p>
    <w:p>
      <w:pPr>
        <w:pStyle w:val="BodyText"/>
        <w:spacing w:line="477" w:lineRule="auto" w:before="54"/>
        <w:ind w:left="514" w:right="0" w:hanging="360"/>
        <w:jc w:val="left"/>
      </w:pPr>
      <w:r>
        <w:rPr/>
        <w:t>负责自动化设备的开发设计和生产线自动化改造，并将成功经验推广到其他生产基地。 </w:t>
      </w:r>
      <w:r>
        <w:rPr>
          <w:spacing w:val="-2"/>
        </w:rPr>
        <w:t>目前公司通过用自动化设备代替人工，完成了测试线、包装线的部分线体改造，有效地降低了用工成本，提升了生产效</w:t>
      </w:r>
    </w:p>
    <w:p>
      <w:pPr>
        <w:pStyle w:val="BodyText"/>
        <w:spacing w:line="477" w:lineRule="auto" w:before="54"/>
        <w:ind w:right="0"/>
        <w:jc w:val="left"/>
      </w:pPr>
      <w:r>
        <w:rPr>
          <w:spacing w:val="-2"/>
        </w:rPr>
        <w:t>率。同时，公司的供应链体系表现突出，对供应商进行严格的考核和筛选，提升供应商的供货质量和水平，拥有较强的采购</w:t>
      </w:r>
      <w:r>
        <w:rPr>
          <w:spacing w:val="-66"/>
        </w:rPr>
        <w:t> </w:t>
      </w:r>
      <w:r>
        <w:rPr>
          <w:spacing w:val="-66"/>
        </w:rPr>
      </w:r>
      <w:r>
        <w:rPr/>
        <w:t>议价能力，能够很好地满足客户的需求。</w:t>
      </w:r>
    </w:p>
    <w:p>
      <w:pPr>
        <w:spacing w:after="0" w:line="477" w:lineRule="auto"/>
        <w:jc w:val="left"/>
        <w:sectPr>
          <w:pgSz w:w="11910" w:h="16840"/>
          <w:pgMar w:header="917" w:footer="1019" w:top="1120" w:bottom="1200" w:left="980" w:right="0"/>
        </w:sectPr>
      </w:pPr>
    </w:p>
    <w:p>
      <w:pPr>
        <w:spacing w:line="240" w:lineRule="auto" w:before="2"/>
        <w:rPr>
          <w:rFonts w:ascii="宋体" w:hAnsi="宋体" w:cs="宋体" w:eastAsia="宋体" w:hint="default"/>
          <w:sz w:val="24"/>
          <w:szCs w:val="24"/>
        </w:rPr>
      </w:pPr>
    </w:p>
    <w:p>
      <w:pPr>
        <w:spacing w:line="4965" w:lineRule="exact"/>
        <w:ind w:left="634" w:right="0" w:firstLine="0"/>
        <w:rPr>
          <w:rFonts w:ascii="宋体" w:hAnsi="宋体" w:cs="宋体" w:eastAsia="宋体" w:hint="default"/>
          <w:sz w:val="20"/>
          <w:szCs w:val="20"/>
        </w:rPr>
      </w:pPr>
      <w:r>
        <w:rPr>
          <w:rFonts w:ascii="宋体" w:hAnsi="宋体" w:cs="宋体" w:eastAsia="宋体" w:hint="default"/>
          <w:position w:val="-98"/>
          <w:sz w:val="20"/>
          <w:szCs w:val="20"/>
        </w:rPr>
        <w:drawing>
          <wp:inline distT="0" distB="0" distL="0" distR="0">
            <wp:extent cx="4983057" cy="3152870"/>
            <wp:effectExtent l="0" t="0" r="0" b="0"/>
            <wp:docPr id="41" name="image12.jpeg" descr=""/>
            <wp:cNvGraphicFramePr>
              <a:graphicFrameLocks noChangeAspect="1"/>
            </wp:cNvGraphicFramePr>
            <a:graphic>
              <a:graphicData uri="http://schemas.openxmlformats.org/drawingml/2006/picture">
                <pic:pic>
                  <pic:nvPicPr>
                    <pic:cNvPr id="42" name="image12.jpeg"/>
                    <pic:cNvPicPr/>
                  </pic:nvPicPr>
                  <pic:blipFill>
                    <a:blip r:embed="rId22" cstate="print"/>
                    <a:stretch>
                      <a:fillRect/>
                    </a:stretch>
                  </pic:blipFill>
                  <pic:spPr>
                    <a:xfrm>
                      <a:off x="0" y="0"/>
                      <a:ext cx="4983057" cy="3152870"/>
                    </a:xfrm>
                    <a:prstGeom prst="rect">
                      <a:avLst/>
                    </a:prstGeom>
                  </pic:spPr>
                </pic:pic>
              </a:graphicData>
            </a:graphic>
          </wp:inline>
        </w:drawing>
      </w:r>
      <w:r>
        <w:rPr>
          <w:rFonts w:ascii="宋体" w:hAnsi="宋体" w:cs="宋体" w:eastAsia="宋体" w:hint="default"/>
          <w:position w:val="-98"/>
          <w:sz w:val="20"/>
          <w:szCs w:val="20"/>
        </w:rPr>
      </w:r>
    </w:p>
    <w:p>
      <w:pPr>
        <w:spacing w:line="240" w:lineRule="auto" w:before="6"/>
        <w:rPr>
          <w:rFonts w:ascii="宋体" w:hAnsi="宋体" w:cs="宋体" w:eastAsia="宋体" w:hint="default"/>
          <w:sz w:val="28"/>
          <w:szCs w:val="28"/>
        </w:rPr>
      </w:pPr>
    </w:p>
    <w:p>
      <w:pPr>
        <w:pStyle w:val="BodyText"/>
        <w:spacing w:line="477" w:lineRule="auto" w:before="44"/>
        <w:ind w:left="514" w:right="0"/>
        <w:jc w:val="left"/>
      </w:pPr>
      <w:r>
        <w:rPr>
          <w:rFonts w:ascii="宋体" w:hAnsi="宋体" w:cs="宋体" w:eastAsia="宋体" w:hint="default"/>
        </w:rPr>
        <w:t>5</w:t>
      </w:r>
      <w:r>
        <w:rPr/>
        <w:t>、快速响应优势 </w:t>
      </w:r>
      <w:r>
        <w:rPr>
          <w:spacing w:val="-4"/>
        </w:rPr>
        <w:t>电子产品日新月异，从</w:t>
      </w:r>
      <w:r>
        <w:rPr>
          <w:rFonts w:ascii="宋体" w:hAnsi="宋体" w:cs="宋体" w:eastAsia="宋体" w:hint="default"/>
          <w:spacing w:val="-4"/>
        </w:rPr>
        <w:t>2G</w:t>
      </w:r>
      <w:r>
        <w:rPr>
          <w:spacing w:val="-4"/>
        </w:rPr>
        <w:t>、</w:t>
      </w:r>
      <w:r>
        <w:rPr>
          <w:rFonts w:ascii="宋体" w:hAnsi="宋体" w:cs="宋体" w:eastAsia="宋体" w:hint="default"/>
          <w:spacing w:val="-4"/>
        </w:rPr>
        <w:t>3G</w:t>
      </w:r>
      <w:r>
        <w:rPr>
          <w:spacing w:val="-4"/>
        </w:rPr>
        <w:t>时代过渡到</w:t>
      </w:r>
      <w:r>
        <w:rPr>
          <w:rFonts w:ascii="宋体" w:hAnsi="宋体" w:cs="宋体" w:eastAsia="宋体" w:hint="default"/>
          <w:spacing w:val="-4"/>
        </w:rPr>
        <w:t>4G</w:t>
      </w:r>
      <w:r>
        <w:rPr>
          <w:spacing w:val="-4"/>
        </w:rPr>
        <w:t>时代，也即将迎来</w:t>
      </w:r>
      <w:r>
        <w:rPr>
          <w:rFonts w:ascii="宋体" w:hAnsi="宋体" w:cs="宋体" w:eastAsia="宋体" w:hint="default"/>
          <w:spacing w:val="-4"/>
        </w:rPr>
        <w:t>5G</w:t>
      </w:r>
      <w:r>
        <w:rPr>
          <w:spacing w:val="-4"/>
        </w:rPr>
        <w:t>的全面商业化落地，随着全面屏、柔性屏等应用的到来，</w:t>
      </w:r>
    </w:p>
    <w:p>
      <w:pPr>
        <w:pStyle w:val="BodyText"/>
        <w:spacing w:line="477" w:lineRule="auto" w:before="54"/>
        <w:ind w:left="514" w:right="1122" w:hanging="360"/>
        <w:jc w:val="left"/>
      </w:pPr>
      <w:r>
        <w:rPr/>
        <w:t>相关开发商及供应厂商都将面临更为严苛的要求。 公司能提前布局，及时把握市场，不断导入迎合市场需求的新产品，同时，公司拥有自研</w:t>
      </w:r>
      <w:r>
        <w:rPr>
          <w:rFonts w:ascii="宋体" w:hAnsi="宋体" w:cs="宋体" w:eastAsia="宋体" w:hint="default"/>
        </w:rPr>
        <w:t>MES</w:t>
      </w:r>
      <w:r>
        <w:rPr/>
        <w:t>智慧工厂系统（生产过程</w:t>
      </w:r>
    </w:p>
    <w:p>
      <w:pPr>
        <w:pStyle w:val="BodyText"/>
        <w:spacing w:line="477" w:lineRule="auto" w:before="54"/>
        <w:ind w:right="0"/>
        <w:jc w:val="left"/>
      </w:pPr>
      <w:r>
        <w:rPr>
          <w:spacing w:val="-2"/>
        </w:rPr>
        <w:t>执行管理系统），能在互联网模式下实现生产信息和自动化设备之间的高效运作，架设了生产信息和全自动化产线设备之间</w:t>
      </w:r>
      <w:r>
        <w:rPr>
          <w:spacing w:val="-64"/>
        </w:rPr>
        <w:t> </w:t>
      </w:r>
      <w:r>
        <w:rPr>
          <w:spacing w:val="-64"/>
        </w:rPr>
      </w:r>
      <w:r>
        <w:rPr/>
        <w:t>的传输数据链，将科学合理的生产指令直接下达给全自动生产线，帮助更多客户更快更高效地将最新产品导入市场。</w:t>
      </w:r>
    </w:p>
    <w:p>
      <w:pPr>
        <w:spacing w:line="240" w:lineRule="auto" w:before="5"/>
        <w:rPr>
          <w:rFonts w:ascii="宋体" w:hAnsi="宋体" w:cs="宋体" w:eastAsia="宋体" w:hint="default"/>
          <w:sz w:val="7"/>
          <w:szCs w:val="7"/>
        </w:rPr>
      </w:pPr>
    </w:p>
    <w:p>
      <w:pPr>
        <w:spacing w:line="3474" w:lineRule="exact"/>
        <w:ind w:left="154" w:right="0" w:firstLine="0"/>
        <w:rPr>
          <w:rFonts w:ascii="宋体" w:hAnsi="宋体" w:cs="宋体" w:eastAsia="宋体" w:hint="default"/>
          <w:sz w:val="20"/>
          <w:szCs w:val="20"/>
        </w:rPr>
      </w:pPr>
      <w:r>
        <w:rPr>
          <w:rFonts w:ascii="宋体" w:hAnsi="宋体" w:cs="宋体" w:eastAsia="宋体" w:hint="default"/>
          <w:position w:val="-68"/>
          <w:sz w:val="20"/>
          <w:szCs w:val="20"/>
        </w:rPr>
        <w:drawing>
          <wp:inline distT="0" distB="0" distL="0" distR="0">
            <wp:extent cx="4442416" cy="2205990"/>
            <wp:effectExtent l="0" t="0" r="0" b="0"/>
            <wp:docPr id="43" name="image13.jpeg" descr=""/>
            <wp:cNvGraphicFramePr>
              <a:graphicFrameLocks noChangeAspect="1"/>
            </wp:cNvGraphicFramePr>
            <a:graphic>
              <a:graphicData uri="http://schemas.openxmlformats.org/drawingml/2006/picture">
                <pic:pic>
                  <pic:nvPicPr>
                    <pic:cNvPr id="44" name="image13.jpeg"/>
                    <pic:cNvPicPr/>
                  </pic:nvPicPr>
                  <pic:blipFill>
                    <a:blip r:embed="rId23" cstate="print"/>
                    <a:stretch>
                      <a:fillRect/>
                    </a:stretch>
                  </pic:blipFill>
                  <pic:spPr>
                    <a:xfrm>
                      <a:off x="0" y="0"/>
                      <a:ext cx="4442416" cy="2205990"/>
                    </a:xfrm>
                    <a:prstGeom prst="rect">
                      <a:avLst/>
                    </a:prstGeom>
                  </pic:spPr>
                </pic:pic>
              </a:graphicData>
            </a:graphic>
          </wp:inline>
        </w:drawing>
      </w:r>
      <w:r>
        <w:rPr>
          <w:rFonts w:ascii="宋体" w:hAnsi="宋体" w:cs="宋体" w:eastAsia="宋体" w:hint="default"/>
          <w:position w:val="-68"/>
          <w:sz w:val="20"/>
          <w:szCs w:val="20"/>
        </w:rPr>
      </w:r>
    </w:p>
    <w:p>
      <w:pPr>
        <w:spacing w:after="0" w:line="3474" w:lineRule="exact"/>
        <w:rPr>
          <w:rFonts w:ascii="宋体" w:hAnsi="宋体" w:cs="宋体" w:eastAsia="宋体" w:hint="default"/>
          <w:sz w:val="20"/>
          <w:szCs w:val="20"/>
        </w:rPr>
        <w:sectPr>
          <w:pgSz w:w="11910" w:h="16840"/>
          <w:pgMar w:header="917" w:footer="1019" w:top="1120" w:bottom="120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pStyle w:val="Heading1"/>
        <w:spacing w:line="240" w:lineRule="auto"/>
        <w:ind w:left="2966" w:right="0"/>
        <w:jc w:val="left"/>
        <w:rPr>
          <w:b w:val="0"/>
          <w:bCs w:val="0"/>
        </w:rPr>
      </w:pPr>
      <w:bookmarkStart w:name="第四节 经营情况讨论与分析" w:id="23"/>
      <w:bookmarkEnd w:id="23"/>
      <w:r>
        <w:rPr>
          <w:b w:val="0"/>
          <w:bCs w:val="0"/>
        </w:rPr>
      </w:r>
      <w:bookmarkStart w:name="_bookmark3" w:id="24"/>
      <w:bookmarkEnd w:id="24"/>
      <w:r>
        <w:rPr>
          <w:b w:val="0"/>
          <w:bCs w:val="0"/>
        </w:rPr>
      </w:r>
      <w:r>
        <w:rPr/>
        <w:t>第四节</w:t>
      </w:r>
      <w:r>
        <w:rPr>
          <w:spacing w:val="-10"/>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概述" w:id="25"/>
      <w:bookmarkEnd w:id="25"/>
      <w:r>
        <w:rPr>
          <w:b w:val="0"/>
          <w:bCs w:val="0"/>
        </w:rPr>
      </w:r>
      <w:r>
        <w:rPr/>
        <w:t>一、概述</w:t>
      </w:r>
      <w:r>
        <w:rPr>
          <w:b w:val="0"/>
          <w:bCs w:val="0"/>
        </w:rPr>
      </w:r>
    </w:p>
    <w:p>
      <w:pPr>
        <w:spacing w:line="240" w:lineRule="auto" w:before="7"/>
        <w:rPr>
          <w:rFonts w:ascii="宋体" w:hAnsi="宋体" w:cs="宋体" w:eastAsia="宋体" w:hint="default"/>
          <w:b/>
          <w:bCs/>
          <w:sz w:val="32"/>
          <w:szCs w:val="32"/>
        </w:rPr>
      </w:pPr>
    </w:p>
    <w:p>
      <w:pPr>
        <w:pStyle w:val="BodyText"/>
        <w:spacing w:line="477" w:lineRule="auto"/>
        <w:ind w:right="0" w:firstLine="360"/>
        <w:jc w:val="left"/>
      </w:pPr>
      <w:r>
        <w:rPr>
          <w:rFonts w:ascii="宋体" w:hAnsi="宋体" w:cs="宋体" w:eastAsia="宋体" w:hint="default"/>
          <w:spacing w:val="-2"/>
        </w:rPr>
        <w:t>2018</w:t>
      </w:r>
      <w:r>
        <w:rPr>
          <w:spacing w:val="-2"/>
        </w:rPr>
        <w:t>年是我国推进供给侧结构性改革的深化之年，在中美贸易争端、原材料价格高位运行等背景下，制造行业竞争更加</w:t>
      </w:r>
      <w:r>
        <w:rPr/>
        <w:t> </w:t>
      </w:r>
      <w:r>
        <w:rPr>
          <w:spacing w:val="-2"/>
        </w:rPr>
        <w:t>激烈。面对复杂的国内外形势，公司董事会及管理层紧密围绕“</w:t>
      </w:r>
      <w:r>
        <w:rPr>
          <w:rFonts w:ascii="宋体" w:hAnsi="宋体" w:cs="宋体" w:eastAsia="宋体" w:hint="default"/>
          <w:spacing w:val="-2"/>
        </w:rPr>
        <w:t>1+N+X</w:t>
      </w:r>
      <w:r>
        <w:rPr>
          <w:spacing w:val="-2"/>
        </w:rPr>
        <w:t>”的产品发展体系，坚持“大制造、大客户、大创新”</w:t>
      </w:r>
      <w:r>
        <w:rPr>
          <w:spacing w:val="-60"/>
        </w:rPr>
        <w:t> </w:t>
      </w:r>
      <w:r>
        <w:rPr>
          <w:spacing w:val="-60"/>
        </w:rPr>
      </w:r>
      <w:r>
        <w:rPr>
          <w:spacing w:val="-2"/>
        </w:rPr>
        <w:t>的经营发展战略，聚焦主业，持续深耕客户，扩大规模生产优势，在网络通讯、消费电子、物联网等领域，为品牌商提供高</w:t>
      </w:r>
      <w:r>
        <w:rPr>
          <w:spacing w:val="-72"/>
        </w:rPr>
        <w:t> </w:t>
      </w:r>
      <w:r>
        <w:rPr>
          <w:spacing w:val="-72"/>
        </w:rPr>
      </w:r>
      <w:r>
        <w:rPr/>
        <w:t>端智能制造服务。</w:t>
      </w:r>
    </w:p>
    <w:p>
      <w:pPr>
        <w:pStyle w:val="BodyText"/>
        <w:spacing w:line="477" w:lineRule="auto" w:before="54"/>
        <w:ind w:right="1024" w:firstLine="360"/>
        <w:jc w:val="left"/>
      </w:pPr>
      <w:r>
        <w:rPr>
          <w:rFonts w:ascii="宋体" w:hAnsi="宋体" w:cs="宋体" w:eastAsia="宋体" w:hint="default"/>
        </w:rPr>
        <w:t>2019</w:t>
      </w:r>
      <w:r>
        <w:rPr/>
        <w:t>年初，公司首次挤入</w:t>
      </w:r>
      <w:r>
        <w:rPr>
          <w:rFonts w:ascii="宋体" w:hAnsi="宋体" w:cs="宋体" w:eastAsia="宋体" w:hint="default"/>
        </w:rPr>
        <w:t>MMI</w:t>
      </w:r>
      <w:r>
        <w:rPr/>
        <w:t>（权威市场调研机构</w:t>
      </w:r>
      <w:r>
        <w:rPr>
          <w:rFonts w:ascii="宋体" w:hAnsi="宋体" w:cs="宋体" w:eastAsia="宋体" w:hint="default"/>
        </w:rPr>
        <w:t>Manufacturing</w:t>
      </w:r>
      <w:r>
        <w:rPr>
          <w:rFonts w:ascii="宋体" w:hAnsi="宋体" w:cs="宋体" w:eastAsia="宋体" w:hint="default"/>
          <w:spacing w:val="-41"/>
        </w:rPr>
        <w:t> </w:t>
      </w:r>
      <w:r>
        <w:rPr>
          <w:rFonts w:ascii="宋体" w:hAnsi="宋体" w:cs="宋体" w:eastAsia="宋体" w:hint="default"/>
        </w:rPr>
        <w:t>Market</w:t>
      </w:r>
      <w:r>
        <w:rPr>
          <w:rFonts w:ascii="宋体" w:hAnsi="宋体" w:cs="宋体" w:eastAsia="宋体" w:hint="default"/>
          <w:spacing w:val="-41"/>
        </w:rPr>
        <w:t> </w:t>
      </w:r>
      <w:r>
        <w:rPr>
          <w:rFonts w:ascii="宋体" w:hAnsi="宋体" w:cs="宋体" w:eastAsia="宋体" w:hint="default"/>
        </w:rPr>
        <w:t>Inside</w:t>
      </w:r>
      <w:r>
        <w:rPr/>
        <w:t>）发布的</w:t>
      </w:r>
      <w:r>
        <w:rPr>
          <w:rFonts w:ascii="宋体" w:hAnsi="宋体" w:cs="宋体" w:eastAsia="宋体" w:hint="default"/>
        </w:rPr>
        <w:t>2019</w:t>
      </w:r>
      <w:r>
        <w:rPr/>
        <w:t>全球</w:t>
      </w:r>
      <w:r>
        <w:rPr>
          <w:rFonts w:ascii="宋体" w:hAnsi="宋体" w:cs="宋体" w:eastAsia="宋体" w:hint="default"/>
        </w:rPr>
        <w:t>EMS</w:t>
      </w:r>
      <w:r>
        <w:rPr/>
        <w:t>制造商</w:t>
      </w:r>
      <w:r>
        <w:rPr>
          <w:rFonts w:ascii="宋体" w:hAnsi="宋体" w:cs="宋体" w:eastAsia="宋体" w:hint="default"/>
        </w:rPr>
        <w:t>50</w:t>
      </w:r>
      <w:r>
        <w:rPr/>
        <w:t>强榜单， 代表着行业对公司制造与研发设计实力的认可。作为全球</w:t>
      </w:r>
      <w:r>
        <w:rPr>
          <w:rFonts w:ascii="宋体" w:hAnsi="宋体" w:cs="宋体" w:eastAsia="宋体" w:hint="default"/>
        </w:rPr>
        <w:t>ODM/EMS</w:t>
      </w:r>
      <w:r>
        <w:rPr/>
        <w:t>领导厂商之一，公司致力于提供差异化及定制化的服务，</w:t>
      </w:r>
      <w:r>
        <w:rPr>
          <w:spacing w:val="-83"/>
        </w:rPr>
        <w:t> </w:t>
      </w:r>
      <w:r>
        <w:rPr>
          <w:spacing w:val="-83"/>
        </w:rPr>
      </w:r>
      <w:r>
        <w:rPr>
          <w:spacing w:val="-2"/>
        </w:rPr>
        <w:t>最大限度为客户创造价值。报告期内，公司继续加大智能制造领域的研发力度，在西安设立研发子公司，夯实公司核心技术</w:t>
      </w:r>
      <w:r>
        <w:rPr>
          <w:spacing w:val="-65"/>
        </w:rPr>
        <w:t> </w:t>
      </w:r>
      <w:r>
        <w:rPr>
          <w:spacing w:val="-65"/>
        </w:rPr>
      </w:r>
      <w:r>
        <w:rPr>
          <w:spacing w:val="-4"/>
        </w:rPr>
        <w:t>优势；贴近客户布局产业基地，建立更完整的全球供应体系。同时，在自动化设备领域，公司自研的工业机器人已初见成效，</w:t>
      </w:r>
      <w:r>
        <w:rPr>
          <w:spacing w:val="-44"/>
        </w:rPr>
        <w:t> </w:t>
      </w:r>
      <w:r>
        <w:rPr>
          <w:spacing w:val="-44"/>
        </w:rPr>
      </w:r>
      <w:r>
        <w:rPr>
          <w:spacing w:val="-2"/>
        </w:rPr>
        <w:t>未来既能满足公司内部需求又能通过市场化增厚公司利润。未来公司将具备优秀能力为客户提供以工业机器人及工业互联网</w:t>
      </w:r>
      <w:r>
        <w:rPr>
          <w:spacing w:val="-64"/>
        </w:rPr>
        <w:t> </w:t>
      </w:r>
      <w:r>
        <w:rPr>
          <w:spacing w:val="-64"/>
        </w:rPr>
      </w:r>
      <w:r>
        <w:rPr/>
        <w:t>为核心的智能制造综合服务。</w:t>
      </w:r>
    </w:p>
    <w:p>
      <w:pPr>
        <w:pStyle w:val="BodyText"/>
        <w:spacing w:line="477" w:lineRule="auto" w:before="54"/>
        <w:ind w:left="514" w:right="7332"/>
        <w:jc w:val="left"/>
      </w:pPr>
      <w:r>
        <w:rPr/>
        <w:t>报告期内，公司主要开展了以下工作： </w:t>
      </w:r>
      <w:r>
        <w:rPr>
          <w:rFonts w:ascii="宋体" w:hAnsi="宋体" w:cs="宋体" w:eastAsia="宋体" w:hint="default"/>
        </w:rPr>
        <w:t>1</w:t>
      </w:r>
      <w:r>
        <w:rPr/>
        <w:t>、持续聚焦主业，优化业务结构</w:t>
      </w:r>
    </w:p>
    <w:p>
      <w:pPr>
        <w:pStyle w:val="BodyText"/>
        <w:spacing w:line="475" w:lineRule="auto" w:before="54"/>
        <w:ind w:right="1131" w:firstLine="360"/>
        <w:jc w:val="both"/>
      </w:pPr>
      <w:r>
        <w:rPr/>
        <w:t>在</w:t>
      </w:r>
      <w:r>
        <w:rPr>
          <w:rFonts w:ascii="宋体" w:hAnsi="宋体" w:cs="宋体" w:eastAsia="宋体" w:hint="default"/>
        </w:rPr>
        <w:t>3C</w:t>
      </w:r>
      <w:r>
        <w:rPr/>
        <w:t>电子领域，公司实施大客户战略，积极与小米、华为、</w:t>
      </w:r>
      <w:r>
        <w:rPr>
          <w:rFonts w:ascii="宋体" w:hAnsi="宋体" w:cs="宋体" w:eastAsia="宋体" w:hint="default"/>
        </w:rPr>
        <w:t>360</w:t>
      </w:r>
      <w:r>
        <w:rPr/>
        <w:t>等国内知名品牌商建立长期稳定的合作关系，并持续引 </w:t>
      </w:r>
      <w:r>
        <w:rPr>
          <w:spacing w:val="-2"/>
        </w:rPr>
        <w:t>入新客户和新业务，以扩大行业市场份额。报告期内，公司不断优化业务布局与产品结构，凭借深厚的制造实力与持续提升</w:t>
      </w:r>
      <w:r>
        <w:rPr>
          <w:spacing w:val="-66"/>
        </w:rPr>
        <w:t> </w:t>
      </w:r>
      <w:r>
        <w:rPr>
          <w:spacing w:val="-66"/>
        </w:rPr>
      </w:r>
      <w:r>
        <w:rPr/>
        <w:t>的技术水平，加大市场开拓力度，获得公司营业收入的一定增长。</w:t>
      </w:r>
    </w:p>
    <w:p>
      <w:pPr>
        <w:pStyle w:val="BodyText"/>
        <w:spacing w:line="477" w:lineRule="auto" w:before="56"/>
        <w:ind w:right="1133" w:firstLine="360"/>
        <w:jc w:val="both"/>
      </w:pPr>
      <w:r>
        <w:rPr>
          <w:spacing w:val="-2"/>
        </w:rPr>
        <w:t>在物联网和智能硬件领域，公司以客户为导向，不断延伸业务产业链，拓宽产业布局。报告期内，公司根据客户的应用</w:t>
      </w:r>
      <w:r>
        <w:rPr/>
        <w:t> </w:t>
      </w:r>
      <w:r>
        <w:rPr>
          <w:spacing w:val="-2"/>
        </w:rPr>
        <w:t>要求，设计定制化的产品。产品主要应用于智能家居、智能影像、可穿戴式设备、车联网等领域。同时，加快量子点等新业</w:t>
      </w:r>
      <w:r>
        <w:rPr>
          <w:spacing w:val="-72"/>
        </w:rPr>
        <w:t> </w:t>
      </w:r>
      <w:r>
        <w:rPr>
          <w:spacing w:val="-72"/>
        </w:rPr>
      </w:r>
      <w:r>
        <w:rPr/>
        <w:t>务的开发力度，以提供新的利润增长点。</w:t>
      </w:r>
    </w:p>
    <w:p>
      <w:pPr>
        <w:pStyle w:val="BodyText"/>
        <w:spacing w:line="477" w:lineRule="auto" w:before="54"/>
        <w:ind w:left="514" w:right="0"/>
        <w:jc w:val="left"/>
      </w:pPr>
      <w:r>
        <w:rPr>
          <w:rFonts w:ascii="宋体" w:hAnsi="宋体" w:cs="宋体" w:eastAsia="宋体" w:hint="default"/>
        </w:rPr>
        <w:t>2</w:t>
      </w:r>
      <w:r>
        <w:rPr/>
        <w:t>、坚持创新驱动，不断激发企业活力 </w:t>
      </w:r>
      <w:r>
        <w:rPr>
          <w:spacing w:val="-2"/>
        </w:rPr>
        <w:t>为了紧跟时代潮流，把握市场机会，公司一直致力于提升自身技术储备，设有专业团队专注于自动化设备、物联网等产</w:t>
      </w:r>
    </w:p>
    <w:p>
      <w:pPr>
        <w:pStyle w:val="BodyText"/>
        <w:spacing w:line="477" w:lineRule="auto" w:before="54"/>
        <w:ind w:right="1122"/>
        <w:jc w:val="left"/>
      </w:pPr>
      <w:r>
        <w:rPr/>
        <w:t>品的研发和应用，拥有发明、实用新型等</w:t>
      </w:r>
      <w:r>
        <w:rPr>
          <w:rFonts w:ascii="宋体" w:hAnsi="宋体" w:cs="宋体" w:eastAsia="宋体" w:hint="default"/>
        </w:rPr>
        <w:t>100</w:t>
      </w:r>
      <w:r>
        <w:rPr/>
        <w:t>余项专利。借助自身技术储备优势，公司研发生产出了自动化装备、工业机器</w:t>
      </w:r>
      <w:r>
        <w:rPr>
          <w:spacing w:val="-83"/>
        </w:rPr>
        <w:t> </w:t>
      </w:r>
      <w:r>
        <w:rPr>
          <w:spacing w:val="-83"/>
        </w:rPr>
      </w:r>
      <w:r>
        <w:rPr/>
        <w:t>人及挖矿机，打造自主智能硬件品牌，未来将进一步加快相关产业规模化。</w:t>
      </w:r>
    </w:p>
    <w:p>
      <w:pPr>
        <w:pStyle w:val="BodyText"/>
        <w:spacing w:line="477" w:lineRule="auto" w:before="54"/>
        <w:ind w:right="0" w:firstLine="360"/>
        <w:jc w:val="left"/>
      </w:pPr>
      <w:r>
        <w:rPr>
          <w:spacing w:val="-4"/>
        </w:rPr>
        <w:t>报告期，公司在已有技术基础上，重点研制开发工业互联网核心软硬件产品及技术，继续坚持创新驱动，建设创新平台，</w:t>
      </w:r>
      <w:r>
        <w:rPr/>
        <w:t> </w:t>
      </w:r>
      <w:r>
        <w:rPr>
          <w:spacing w:val="-2"/>
        </w:rPr>
        <w:t>培育新产品市场，加大智能产品技术创新投入，加快新产品的应用技术开发，进一步提高各类智能产品的质量和可靠性，提</w:t>
      </w:r>
      <w:r>
        <w:rPr>
          <w:spacing w:val="-66"/>
        </w:rPr>
        <w:t> </w:t>
      </w:r>
      <w:r>
        <w:rPr>
          <w:spacing w:val="-66"/>
        </w:rPr>
      </w:r>
      <w:r>
        <w:rPr/>
        <w:t>升企业综合盈利能力。</w:t>
      </w:r>
    </w:p>
    <w:p>
      <w:pPr>
        <w:spacing w:after="0" w:line="477" w:lineRule="auto"/>
        <w:jc w:val="left"/>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left="514" w:right="1032"/>
        <w:jc w:val="left"/>
      </w:pPr>
      <w:r>
        <w:rPr>
          <w:rFonts w:ascii="宋体" w:hAnsi="宋体" w:cs="宋体" w:eastAsia="宋体" w:hint="default"/>
        </w:rPr>
        <w:t>3</w:t>
      </w:r>
      <w:r>
        <w:rPr/>
        <w:t>、深化智能制造，推进工业互联网建设 经过多年制造工艺积累，公司目前研发并装备了系列产品的全自动化生产线，实现自动化上下料、焊接、点胶、装配、</w:t>
      </w:r>
    </w:p>
    <w:p>
      <w:pPr>
        <w:pStyle w:val="BodyText"/>
        <w:spacing w:line="477" w:lineRule="auto" w:before="54"/>
        <w:ind w:left="514" w:right="0" w:hanging="360"/>
        <w:jc w:val="left"/>
      </w:pPr>
      <w:r>
        <w:rPr/>
        <w:t>超声、测试以及包装等多工序的全程自动化生产，逐步通过以机器人替代人工，提升生产效率。 </w:t>
      </w:r>
      <w:r>
        <w:rPr>
          <w:spacing w:val="-2"/>
        </w:rPr>
        <w:t>发展自动化的同时，公司同步在加速信息系统的发展，自研的</w:t>
      </w:r>
      <w:r>
        <w:rPr>
          <w:rFonts w:ascii="宋体" w:hAnsi="宋体" w:cs="宋体" w:eastAsia="宋体" w:hint="default"/>
          <w:spacing w:val="-2"/>
        </w:rPr>
        <w:t>MES</w:t>
      </w:r>
      <w:r>
        <w:rPr>
          <w:spacing w:val="-2"/>
        </w:rPr>
        <w:t>制造执行系统已结合</w:t>
      </w:r>
      <w:r>
        <w:rPr>
          <w:rFonts w:ascii="宋体" w:hAnsi="宋体" w:cs="宋体" w:eastAsia="宋体" w:hint="default"/>
          <w:spacing w:val="-2"/>
        </w:rPr>
        <w:t>IE</w:t>
      </w:r>
      <w:r>
        <w:rPr>
          <w:spacing w:val="-2"/>
        </w:rPr>
        <w:t>精益制造，导入了</w:t>
      </w:r>
      <w:r>
        <w:rPr>
          <w:rFonts w:ascii="宋体" w:hAnsi="宋体" w:cs="宋体" w:eastAsia="宋体" w:hint="default"/>
          <w:spacing w:val="-2"/>
        </w:rPr>
        <w:t>JIT</w:t>
      </w:r>
      <w:r>
        <w:rPr>
          <w:spacing w:val="-2"/>
        </w:rPr>
        <w:t>供料模式</w:t>
      </w:r>
    </w:p>
    <w:p>
      <w:pPr>
        <w:pStyle w:val="BodyText"/>
        <w:spacing w:line="477" w:lineRule="auto" w:before="54"/>
        <w:ind w:right="1131"/>
        <w:jc w:val="both"/>
      </w:pPr>
      <w:r>
        <w:rPr>
          <w:spacing w:val="-2"/>
        </w:rPr>
        <w:t>（即根据生产计划和生产工艺路线，生成相关供料计划使物料供应部门能够在准确的时间、把准确的物料、以准确的方式和</w:t>
      </w:r>
      <w:r>
        <w:rPr>
          <w:spacing w:val="-66"/>
        </w:rPr>
        <w:t> </w:t>
      </w:r>
      <w:r>
        <w:rPr>
          <w:spacing w:val="-66"/>
        </w:rPr>
      </w:r>
      <w:r>
        <w:rPr>
          <w:spacing w:val="-2"/>
        </w:rPr>
        <w:t>准确的数目送到准确的工位），减少物料传递的中间环节，配合自动化生产线，实时监控各类设备运行状况，实现设备、产</w:t>
      </w:r>
      <w:r>
        <w:rPr>
          <w:spacing w:val="-64"/>
        </w:rPr>
        <w:t> </w:t>
      </w:r>
      <w:r>
        <w:rPr>
          <w:spacing w:val="-64"/>
        </w:rPr>
      </w:r>
      <w:r>
        <w:rPr/>
        <w:t>线、生产和运营的互联互通，打造可视化生产车间，持续推进工业互联网建设。</w:t>
      </w:r>
    </w:p>
    <w:p>
      <w:pPr>
        <w:pStyle w:val="BodyText"/>
        <w:spacing w:line="477" w:lineRule="auto" w:before="54"/>
        <w:ind w:left="514" w:right="0"/>
        <w:jc w:val="left"/>
      </w:pPr>
      <w:r>
        <w:rPr>
          <w:rFonts w:ascii="宋体" w:hAnsi="宋体" w:cs="宋体" w:eastAsia="宋体" w:hint="default"/>
        </w:rPr>
        <w:t>4</w:t>
      </w:r>
      <w:r>
        <w:rPr/>
        <w:t>、借力资本市场，进行相关投资布局 </w:t>
      </w:r>
      <w:r>
        <w:rPr>
          <w:spacing w:val="-2"/>
        </w:rPr>
        <w:t>公司在聚焦主业的同时，积极寻求外延式发展的机会。报告期内，公司根据实际情况，转让了参股公司北京朝歌数码科</w:t>
      </w:r>
    </w:p>
    <w:p>
      <w:pPr>
        <w:pStyle w:val="BodyText"/>
        <w:spacing w:line="477" w:lineRule="auto" w:before="54"/>
        <w:ind w:right="1129"/>
        <w:jc w:val="both"/>
      </w:pPr>
      <w:r>
        <w:rPr/>
        <w:t>技股份有限公司部分股权，取得了较好的投资回报。同时，参股的宁波容百新能源科技股份有限公司于</w:t>
      </w:r>
      <w:r>
        <w:rPr>
          <w:rFonts w:ascii="宋体" w:hAnsi="宋体" w:cs="宋体" w:eastAsia="宋体" w:hint="default"/>
        </w:rPr>
        <w:t>2019</w:t>
      </w:r>
      <w:r>
        <w:rPr/>
        <w:t>年</w:t>
      </w:r>
      <w:r>
        <w:rPr>
          <w:rFonts w:ascii="宋体" w:hAnsi="宋体" w:cs="宋体" w:eastAsia="宋体" w:hint="default"/>
        </w:rPr>
        <w:t>3</w:t>
      </w:r>
      <w:r>
        <w:rPr/>
        <w:t>月成为上海</w:t>
      </w:r>
      <w:r>
        <w:rPr>
          <w:spacing w:val="-81"/>
        </w:rPr>
        <w:t> </w:t>
      </w:r>
      <w:r>
        <w:rPr>
          <w:spacing w:val="-2"/>
        </w:rPr>
        <w:t>证券交易所首批受理的申请科创板上市的公司。公司参股的深圳南山架桥卓越智能装备投资合伙企业（有限合伙）也正积极</w:t>
      </w:r>
      <w:r>
        <w:rPr>
          <w:spacing w:val="-66"/>
        </w:rPr>
        <w:t> </w:t>
      </w:r>
      <w:r>
        <w:rPr>
          <w:spacing w:val="-66"/>
        </w:rPr>
      </w:r>
      <w:r>
        <w:rPr/>
        <w:t>寻找优质标的进行投资。这些投资行为一定程度上为实现公司的战略目标奠定了基础。</w:t>
      </w:r>
    </w:p>
    <w:p>
      <w:pPr>
        <w:pStyle w:val="BodyText"/>
        <w:spacing w:line="477" w:lineRule="auto" w:before="54"/>
        <w:ind w:right="1130" w:firstLine="360"/>
        <w:jc w:val="both"/>
      </w:pPr>
      <w:r>
        <w:rPr>
          <w:rFonts w:ascii="宋体" w:hAnsi="宋体" w:cs="宋体" w:eastAsia="宋体" w:hint="default"/>
        </w:rPr>
        <w:t>2018</w:t>
      </w:r>
      <w:r>
        <w:rPr/>
        <w:t>年</w:t>
      </w:r>
      <w:r>
        <w:rPr>
          <w:rFonts w:ascii="宋体" w:hAnsi="宋体" w:cs="宋体" w:eastAsia="宋体" w:hint="default"/>
        </w:rPr>
        <w:t>9</w:t>
      </w:r>
      <w:r>
        <w:rPr/>
        <w:t>月，公司与武汉政府签订战略合作框架协议，拟在武汉东湖高新区建设智能终端研发制造基地，扩大公司生产 规模，促进公司的业务发展和产品延伸。</w:t>
      </w:r>
      <w:r>
        <w:rPr>
          <w:rFonts w:ascii="宋体" w:hAnsi="宋体" w:cs="宋体" w:eastAsia="宋体" w:hint="default"/>
        </w:rPr>
        <w:t>2019</w:t>
      </w:r>
      <w:r>
        <w:rPr/>
        <w:t>年</w:t>
      </w:r>
      <w:r>
        <w:rPr>
          <w:rFonts w:ascii="宋体" w:hAnsi="宋体" w:cs="宋体" w:eastAsia="宋体" w:hint="default"/>
        </w:rPr>
        <w:t>1</w:t>
      </w:r>
      <w:r>
        <w:rPr/>
        <w:t>月，公司投资设立了西安卓华联盛科技有限公司，主要为华为提供配套研</w:t>
      </w:r>
      <w:r>
        <w:rPr>
          <w:spacing w:val="-83"/>
        </w:rPr>
        <w:t> </w:t>
      </w:r>
      <w:r>
        <w:rPr>
          <w:spacing w:val="-83"/>
        </w:rPr>
      </w:r>
      <w:r>
        <w:rPr/>
        <w:t>发支持，夯实公司的技术储备，增强与核心客户的粘着力。</w:t>
      </w:r>
    </w:p>
    <w:p>
      <w:pPr>
        <w:pStyle w:val="BodyText"/>
        <w:spacing w:line="240" w:lineRule="auto" w:before="54"/>
        <w:ind w:left="514" w:right="0"/>
        <w:jc w:val="left"/>
      </w:pPr>
      <w:r>
        <w:rPr/>
        <w:t>上述投资行为给公司的经营发展提供了强大助力，为实现公司的战略目标奠定了基础。</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8"/>
          <w:szCs w:val="18"/>
        </w:rPr>
      </w:pPr>
    </w:p>
    <w:p>
      <w:pPr>
        <w:pStyle w:val="Heading2"/>
        <w:spacing w:line="240" w:lineRule="auto"/>
        <w:ind w:right="0"/>
        <w:jc w:val="both"/>
        <w:rPr>
          <w:b w:val="0"/>
          <w:bCs w:val="0"/>
        </w:rPr>
      </w:pPr>
      <w:bookmarkStart w:name="二、主营业务分析" w:id="26"/>
      <w:bookmarkEnd w:id="26"/>
      <w:r>
        <w:rPr>
          <w:b w:val="0"/>
          <w:bCs w:val="0"/>
        </w:rPr>
      </w:r>
      <w:r>
        <w:rPr/>
        <w:t>二、主营业务分析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bookmarkStart w:name="1、概述" w:id="27"/>
      <w:bookmarkEnd w:id="27"/>
      <w:r>
        <w:rPr>
          <w:b w:val="0"/>
          <w:bCs w:val="0"/>
        </w:rPr>
      </w:r>
      <w:r>
        <w:rPr>
          <w:rFonts w:ascii="Times New Roman" w:hAnsi="Times New Roman" w:cs="Times New Roman" w:eastAsia="Times New Roman" w:hint="default"/>
        </w:rPr>
        <w:t>1</w:t>
      </w:r>
      <w:r>
        <w:rPr/>
        <w:t>、概述</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1131"/>
        <w:jc w:val="both"/>
      </w:pPr>
      <w:r>
        <w:rPr/>
        <w:t>（</w:t>
      </w:r>
      <w:r>
        <w:rPr>
          <w:rFonts w:ascii="宋体" w:hAnsi="宋体" w:cs="宋体" w:eastAsia="宋体" w:hint="default"/>
        </w:rPr>
        <w:t>1</w:t>
      </w:r>
      <w:r>
        <w:rPr/>
        <w:t>）报告期内，公司实现营业收入</w:t>
      </w:r>
      <w:r>
        <w:rPr>
          <w:rFonts w:ascii="宋体" w:hAnsi="宋体" w:cs="宋体" w:eastAsia="宋体" w:hint="default"/>
        </w:rPr>
        <w:t>3,144,616,237.11</w:t>
      </w:r>
      <w:r>
        <w:rPr/>
        <w:t>元，比上年同期上升</w:t>
      </w:r>
      <w:r>
        <w:rPr>
          <w:rFonts w:ascii="宋体" w:hAnsi="宋体" w:cs="宋体" w:eastAsia="宋体" w:hint="default"/>
        </w:rPr>
        <w:t>13.80%</w:t>
      </w:r>
      <w:r>
        <w:rPr/>
        <w:t>，营业成本为</w:t>
      </w:r>
      <w:r>
        <w:rPr>
          <w:rFonts w:ascii="宋体" w:hAnsi="宋体" w:cs="宋体" w:eastAsia="宋体" w:hint="default"/>
        </w:rPr>
        <w:t>2,910,042,686.80</w:t>
      </w:r>
      <w:r>
        <w:rPr/>
        <w:t>元，比上 </w:t>
      </w:r>
      <w:r>
        <w:rPr>
          <w:spacing w:val="-2"/>
        </w:rPr>
        <w:t>年同期上升</w:t>
      </w:r>
      <w:r>
        <w:rPr>
          <w:rFonts w:ascii="宋体" w:hAnsi="宋体" w:cs="宋体" w:eastAsia="宋体" w:hint="default"/>
          <w:spacing w:val="-2"/>
        </w:rPr>
        <w:t>16.97%</w:t>
      </w:r>
      <w:r>
        <w:rPr>
          <w:spacing w:val="-2"/>
        </w:rPr>
        <w:t>，实现归属于上市公司股东的净利润为</w:t>
      </w:r>
      <w:r>
        <w:rPr>
          <w:rFonts w:ascii="宋体" w:hAnsi="宋体" w:cs="宋体" w:eastAsia="宋体" w:hint="default"/>
          <w:spacing w:val="-2"/>
        </w:rPr>
        <w:t>-102,804,664.07</w:t>
      </w:r>
      <w:r>
        <w:rPr>
          <w:spacing w:val="-2"/>
        </w:rPr>
        <w:t>元，比上年同期下降</w:t>
      </w:r>
      <w:r>
        <w:rPr>
          <w:rFonts w:ascii="宋体" w:hAnsi="宋体" w:cs="宋体" w:eastAsia="宋体" w:hint="default"/>
          <w:spacing w:val="-2"/>
        </w:rPr>
        <w:t>601.71%</w:t>
      </w:r>
      <w:r>
        <w:rPr>
          <w:spacing w:val="-2"/>
        </w:rPr>
        <w:t>。报告期内公司的营</w:t>
      </w:r>
      <w:r>
        <w:rPr>
          <w:spacing w:val="-38"/>
        </w:rPr>
        <w:t> </w:t>
      </w:r>
      <w:r>
        <w:rPr>
          <w:spacing w:val="-38"/>
        </w:rPr>
      </w:r>
      <w:r>
        <w:rPr>
          <w:spacing w:val="-2"/>
        </w:rPr>
        <w:t>业收入上升的主要系国内通讯及设备制造行业收入增加所致；营业成本上升的主要原因是收入增加导致成本增加及人工、材</w:t>
      </w:r>
      <w:r>
        <w:rPr>
          <w:spacing w:val="-64"/>
        </w:rPr>
        <w:t> </w:t>
      </w:r>
      <w:r>
        <w:rPr>
          <w:spacing w:val="-64"/>
        </w:rPr>
      </w:r>
      <w:r>
        <w:rPr/>
        <w:t>料成本上升所致。</w:t>
      </w:r>
    </w:p>
    <w:p>
      <w:pPr>
        <w:pStyle w:val="BodyText"/>
        <w:spacing w:line="240" w:lineRule="auto" w:before="54"/>
        <w:ind w:right="0"/>
        <w:jc w:val="both"/>
      </w:pPr>
      <w:r>
        <w:rPr/>
        <w:t>（</w:t>
      </w:r>
      <w:r>
        <w:rPr>
          <w:rFonts w:ascii="宋体" w:hAnsi="宋体" w:cs="宋体" w:eastAsia="宋体" w:hint="default"/>
        </w:rPr>
        <w:t>2</w:t>
      </w:r>
      <w:r>
        <w:rPr/>
        <w:t>）报告期内，公司管理费用为</w:t>
      </w:r>
      <w:r>
        <w:rPr>
          <w:rFonts w:ascii="宋体" w:hAnsi="宋体" w:cs="宋体" w:eastAsia="宋体" w:hint="default"/>
        </w:rPr>
        <w:t>161,399,861.30</w:t>
      </w:r>
      <w:r>
        <w:rPr/>
        <w:t>元，比上年同期上升</w:t>
      </w:r>
      <w:r>
        <w:rPr>
          <w:rFonts w:ascii="宋体" w:hAnsi="宋体" w:cs="宋体" w:eastAsia="宋体" w:hint="default"/>
        </w:rPr>
        <w:t>52.21%</w:t>
      </w:r>
      <w:r>
        <w:rPr/>
        <w:t>，主要系本期存货报废及职工薪酬增加所致。</w:t>
      </w:r>
    </w:p>
    <w:p>
      <w:pPr>
        <w:spacing w:line="240" w:lineRule="auto" w:before="10"/>
        <w:rPr>
          <w:rFonts w:ascii="宋体" w:hAnsi="宋体" w:cs="宋体" w:eastAsia="宋体" w:hint="default"/>
          <w:sz w:val="17"/>
          <w:szCs w:val="17"/>
        </w:rPr>
      </w:pPr>
    </w:p>
    <w:p>
      <w:pPr>
        <w:pStyle w:val="BodyText"/>
        <w:spacing w:line="477" w:lineRule="auto"/>
        <w:ind w:right="1132"/>
        <w:jc w:val="both"/>
      </w:pPr>
      <w:r>
        <w:rPr>
          <w:spacing w:val="-2"/>
        </w:rPr>
        <w:t>（</w:t>
      </w:r>
      <w:r>
        <w:rPr>
          <w:rFonts w:ascii="宋体" w:hAnsi="宋体" w:cs="宋体" w:eastAsia="宋体" w:hint="default"/>
          <w:spacing w:val="-2"/>
        </w:rPr>
        <w:t>3</w:t>
      </w:r>
      <w:r>
        <w:rPr>
          <w:spacing w:val="-2"/>
        </w:rPr>
        <w:t>）报告期内，公司研发投入为</w:t>
      </w:r>
      <w:r>
        <w:rPr>
          <w:rFonts w:ascii="宋体" w:hAnsi="宋体" w:cs="宋体" w:eastAsia="宋体" w:hint="default"/>
          <w:spacing w:val="-2"/>
        </w:rPr>
        <w:t>109,564,276.13</w:t>
      </w:r>
      <w:r>
        <w:rPr>
          <w:spacing w:val="-2"/>
        </w:rPr>
        <w:t>元，占营业收入的比重为</w:t>
      </w:r>
      <w:r>
        <w:rPr>
          <w:rFonts w:ascii="宋体" w:hAnsi="宋体" w:cs="宋体" w:eastAsia="宋体" w:hint="default"/>
          <w:spacing w:val="-2"/>
        </w:rPr>
        <w:t>3.48%</w:t>
      </w:r>
      <w:r>
        <w:rPr>
          <w:spacing w:val="-2"/>
        </w:rPr>
        <w:t>，比上年同期增长</w:t>
      </w:r>
      <w:r>
        <w:rPr>
          <w:rFonts w:ascii="宋体" w:hAnsi="宋体" w:cs="宋体" w:eastAsia="宋体" w:hint="default"/>
          <w:spacing w:val="-2"/>
        </w:rPr>
        <w:t>10.79%</w:t>
      </w:r>
      <w:r>
        <w:rPr>
          <w:spacing w:val="-2"/>
        </w:rPr>
        <w:t>，主要系激励优化</w:t>
      </w:r>
      <w:r>
        <w:rPr>
          <w:spacing w:val="-41"/>
        </w:rPr>
        <w:t> </w:t>
      </w:r>
      <w:r>
        <w:rPr>
          <w:spacing w:val="-41"/>
        </w:rPr>
      </w:r>
      <w:r>
        <w:rPr/>
        <w:t>研发团队、加大新产品和自动化智能制造的研发投入力度所致。</w:t>
      </w:r>
    </w:p>
    <w:p>
      <w:pPr>
        <w:pStyle w:val="BodyText"/>
        <w:spacing w:line="477" w:lineRule="auto" w:before="54"/>
        <w:ind w:right="1139"/>
        <w:jc w:val="both"/>
      </w:pPr>
      <w:r>
        <w:rPr/>
        <w:t>（</w:t>
      </w:r>
      <w:r>
        <w:rPr>
          <w:rFonts w:ascii="宋体" w:hAnsi="宋体" w:cs="宋体" w:eastAsia="宋体" w:hint="default"/>
        </w:rPr>
        <w:t>4</w:t>
      </w:r>
      <w:r>
        <w:rPr/>
        <w:t>）报告期内，公司与前五名供应商、客户不存在关联关系，公司董事、监事、高级管理人员、核心技术人员、持股</w:t>
      </w:r>
      <w:r>
        <w:rPr>
          <w:rFonts w:ascii="宋体" w:hAnsi="宋体" w:cs="宋体" w:eastAsia="宋体" w:hint="default"/>
        </w:rPr>
        <w:t>5%</w:t>
      </w:r>
      <w:r>
        <w:rPr/>
        <w:t>以 上股东、实际控制人和其他关联方在主要客户、供应商中不直接或者间接拥有权益等。</w:t>
      </w:r>
    </w:p>
    <w:p>
      <w:pPr>
        <w:spacing w:after="0" w:line="477" w:lineRule="auto"/>
        <w:jc w:val="both"/>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2、收入与成本" w:id="28"/>
      <w:bookmarkEnd w:id="28"/>
      <w:r>
        <w:rPr>
          <w:b w:val="0"/>
          <w:bCs w:val="0"/>
        </w:rPr>
      </w:r>
      <w:r>
        <w:rPr>
          <w:rFonts w:ascii="Times New Roman" w:hAnsi="Times New Roman" w:cs="Times New Roman" w:eastAsia="Times New Roman" w:hint="default"/>
        </w:rPr>
        <w:t>2</w:t>
      </w:r>
      <w:r>
        <w:rPr/>
        <w:t>、收入与成本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营业收入构成" w:id="29"/>
      <w:bookmarkEnd w:id="29"/>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1"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60"/>
              <w:jc w:val="righ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5" w:type="dxa"/>
            <w:vMerge/>
            <w:tcBorders>
              <w:left w:val="single" w:sz="4" w:space="0" w:color="000000"/>
              <w:bottom w:val="single" w:sz="4" w:space="0" w:color="000000"/>
              <w:right w:val="single" w:sz="4" w:space="0" w:color="000000"/>
            </w:tcBorders>
            <w:shd w:val="clear" w:color="auto" w:fill="D2D2D2"/>
          </w:tcPr>
          <w:p>
            <w:pPr/>
          </w:p>
        </w:tc>
      </w:tr>
      <w:tr>
        <w:trPr>
          <w:trHeight w:val="408"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3,144,616,237.11</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2,763,249,181.84</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13.80%</w:t>
            </w:r>
          </w:p>
        </w:tc>
      </w:tr>
      <w:tr>
        <w:trPr>
          <w:trHeight w:val="396"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21"/>
              <w:jc w:val="left"/>
              <w:rPr>
                <w:rFonts w:ascii="宋体" w:hAnsi="宋体" w:cs="宋体" w:eastAsia="宋体" w:hint="default"/>
                <w:sz w:val="18"/>
                <w:szCs w:val="18"/>
              </w:rPr>
            </w:pPr>
            <w:r>
              <w:rPr>
                <w:rFonts w:ascii="宋体" w:hAnsi="宋体" w:cs="宋体" w:eastAsia="宋体" w:hint="default"/>
                <w:sz w:val="18"/>
                <w:szCs w:val="18"/>
              </w:rPr>
              <w:t>通讯及设备制造 行业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3,144,616,237.11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2,763,249,181.84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13.80%</w:t>
            </w: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网络通讯终端类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1,234,255,205.41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39.25%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1,034,458,493.57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37.44%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19.31%</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21"/>
              <w:jc w:val="left"/>
              <w:rPr>
                <w:rFonts w:ascii="宋体" w:hAnsi="宋体" w:cs="宋体" w:eastAsia="宋体" w:hint="default"/>
                <w:sz w:val="18"/>
                <w:szCs w:val="18"/>
              </w:rPr>
            </w:pPr>
            <w:r>
              <w:rPr>
                <w:rFonts w:ascii="宋体" w:hAnsi="宋体" w:cs="宋体" w:eastAsia="宋体" w:hint="default"/>
                <w:sz w:val="18"/>
                <w:szCs w:val="18"/>
              </w:rPr>
              <w:t>便携式消费电子 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1,760,536,792.27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55.99%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1,592,893,784.20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57.64%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10.52%</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其他类</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149,824,239.43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4.76%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135,896,904.07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4.92%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10.25%</w:t>
            </w: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国内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2,947,068,653.54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93.72%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2,259,016,057.23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81.75%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30.46%</w:t>
            </w:r>
          </w:p>
        </w:tc>
      </w:tr>
      <w:tr>
        <w:trPr>
          <w:trHeight w:val="40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国际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197,547,583.57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6.28%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504,233,124.61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18.25%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-60.82%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占公司营业收入或营业利润10%以上的行业、产品或地区情况" w:id="30"/>
      <w:bookmarkEnd w:id="30"/>
      <w:r>
        <w:rPr>
          <w:b w:val="0"/>
          <w:bCs w:val="0"/>
        </w:rPr>
      </w:r>
      <w:r>
        <w:rPr/>
        <w:t>（</w:t>
      </w:r>
      <w:r>
        <w:rPr>
          <w:rFonts w:ascii="Times New Roman" w:hAnsi="Times New Roman" w:cs="Times New Roman" w:eastAsia="Times New Roman" w:hint="default"/>
        </w:rPr>
        <w:t>2</w:t>
      </w:r>
      <w:r>
        <w:rPr/>
        <w:t>）占公司营业收入或营业利润</w:t>
      </w:r>
      <w:r>
        <w:rPr>
          <w:spacing w:val="-59"/>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17" w:footer="1019" w:top="1120" w:bottom="1200" w:left="980" w:right="0"/>
        </w:sectPr>
      </w:pPr>
    </w:p>
    <w:p>
      <w:pPr>
        <w:pStyle w:val="BodyText"/>
        <w:spacing w:line="360" w:lineRule="auto" w:before="44"/>
        <w:ind w:right="-20"/>
        <w:jc w:val="left"/>
      </w:pPr>
      <w:r>
        <w:rPr/>
        <w:t>√ 适用 □ 不适用 公司是否需要遵守特殊行业的披露要求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left="153" w:right="0"/>
        <w:jc w:val="left"/>
      </w:pPr>
      <w:r>
        <w:rPr/>
        <w:t>单位：元</w:t>
      </w:r>
    </w:p>
    <w:p>
      <w:pPr>
        <w:spacing w:after="0" w:line="240" w:lineRule="auto"/>
        <w:jc w:val="left"/>
        <w:sectPr>
          <w:type w:val="continuous"/>
          <w:pgSz w:w="11910" w:h="16840"/>
          <w:pgMar w:top="1100" w:bottom="1200" w:left="980" w:right="0"/>
          <w:cols w:num="2" w:equalWidth="0">
            <w:col w:w="3215" w:space="5705"/>
            <w:col w:w="201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502"/>
        <w:gridCol w:w="1620"/>
        <w:gridCol w:w="977"/>
        <w:gridCol w:w="1367"/>
        <w:gridCol w:w="1367"/>
        <w:gridCol w:w="1372"/>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8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45"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7" w:right="137" w:hanging="90"/>
              <w:jc w:val="left"/>
              <w:rPr>
                <w:rFonts w:ascii="宋体" w:hAnsi="宋体" w:cs="宋体" w:eastAsia="宋体" w:hint="default"/>
                <w:sz w:val="18"/>
                <w:szCs w:val="18"/>
              </w:rPr>
            </w:pPr>
            <w:r>
              <w:rPr>
                <w:rFonts w:ascii="宋体" w:hAnsi="宋体" w:cs="宋体" w:eastAsia="宋体" w:hint="default"/>
                <w:sz w:val="18"/>
                <w:szCs w:val="18"/>
              </w:rPr>
              <w:t>营业收入比上 年同期增减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8" w:right="137" w:hanging="91"/>
              <w:jc w:val="left"/>
              <w:rPr>
                <w:rFonts w:ascii="宋体" w:hAnsi="宋体" w:cs="宋体" w:eastAsia="宋体" w:hint="default"/>
                <w:sz w:val="18"/>
                <w:szCs w:val="18"/>
              </w:rPr>
            </w:pPr>
            <w:r>
              <w:rPr>
                <w:rFonts w:ascii="宋体" w:hAnsi="宋体" w:cs="宋体" w:eastAsia="宋体" w:hint="default"/>
                <w:sz w:val="18"/>
                <w:szCs w:val="18"/>
              </w:rPr>
              <w:t>营业成本比上 年同期增减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20" w:right="139" w:hanging="180"/>
              <w:jc w:val="left"/>
              <w:rPr>
                <w:rFonts w:ascii="宋体" w:hAnsi="宋体" w:cs="宋体" w:eastAsia="宋体" w:hint="default"/>
                <w:sz w:val="18"/>
                <w:szCs w:val="18"/>
              </w:rPr>
            </w:pPr>
            <w:r>
              <w:rPr>
                <w:rFonts w:ascii="宋体" w:hAnsi="宋体" w:cs="宋体" w:eastAsia="宋体" w:hint="default"/>
                <w:sz w:val="18"/>
                <w:szCs w:val="18"/>
              </w:rPr>
              <w:t>毛利率比上年 同期增减</w:t>
            </w:r>
          </w:p>
        </w:tc>
      </w:tr>
      <w:tr>
        <w:trPr>
          <w:trHeight w:val="401"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2"/>
              <w:jc w:val="left"/>
              <w:rPr>
                <w:rFonts w:ascii="宋体" w:hAnsi="宋体" w:cs="宋体" w:eastAsia="宋体" w:hint="default"/>
                <w:sz w:val="18"/>
                <w:szCs w:val="18"/>
              </w:rPr>
            </w:pPr>
            <w:r>
              <w:rPr>
                <w:rFonts w:ascii="宋体" w:hAnsi="宋体" w:cs="宋体" w:eastAsia="宋体" w:hint="default"/>
                <w:sz w:val="18"/>
                <w:szCs w:val="18"/>
              </w:rPr>
              <w:t>通讯及设备制 造行业</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3,144,616,237.11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2,910,042,686.80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16.97%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-2.51%</w:t>
            </w:r>
          </w:p>
        </w:tc>
      </w:tr>
      <w:tr>
        <w:trPr>
          <w:trHeight w:val="401"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2"/>
              <w:jc w:val="left"/>
              <w:rPr>
                <w:rFonts w:ascii="宋体" w:hAnsi="宋体" w:cs="宋体" w:eastAsia="宋体" w:hint="default"/>
                <w:sz w:val="18"/>
                <w:szCs w:val="18"/>
              </w:rPr>
            </w:pPr>
            <w:r>
              <w:rPr>
                <w:rFonts w:ascii="宋体" w:hAnsi="宋体" w:cs="宋体" w:eastAsia="宋体" w:hint="default"/>
                <w:sz w:val="18"/>
                <w:szCs w:val="18"/>
              </w:rPr>
              <w:t>网络通讯终端 类</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1,234,255,205.41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1,170,367,024.83</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27.89%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-6.35%</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103" w:right="172"/>
              <w:jc w:val="left"/>
              <w:rPr>
                <w:rFonts w:ascii="宋体" w:hAnsi="宋体" w:cs="宋体" w:eastAsia="宋体" w:hint="default"/>
                <w:sz w:val="18"/>
                <w:szCs w:val="18"/>
              </w:rPr>
            </w:pPr>
            <w:r>
              <w:rPr>
                <w:rFonts w:ascii="宋体" w:hAnsi="宋体" w:cs="宋体" w:eastAsia="宋体" w:hint="default"/>
                <w:sz w:val="18"/>
                <w:szCs w:val="18"/>
              </w:rPr>
              <w:t>便携式消费电 子类</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1,760,536,792.27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1,601,540,084.80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10.10%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0.35%</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其他类</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149,824,239.43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138,135,577.17</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7.80%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17.04%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-5.35%</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分地区</w:t>
            </w:r>
          </w:p>
        </w:tc>
      </w:tr>
    </w:tbl>
    <w:p>
      <w:pPr>
        <w:spacing w:after="0" w:line="240" w:lineRule="auto"/>
        <w:jc w:val="left"/>
        <w:rPr>
          <w:rFonts w:ascii="宋体" w:hAnsi="宋体" w:cs="宋体" w:eastAsia="宋体" w:hint="default"/>
          <w:sz w:val="18"/>
          <w:szCs w:val="18"/>
        </w:rPr>
        <w:sectPr>
          <w:type w:val="continuous"/>
          <w:pgSz w:w="11910" w:h="16840"/>
          <w:pgMar w:top="110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367"/>
        <w:gridCol w:w="1502"/>
        <w:gridCol w:w="1620"/>
        <w:gridCol w:w="977"/>
        <w:gridCol w:w="1367"/>
        <w:gridCol w:w="1367"/>
        <w:gridCol w:w="1372"/>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国内</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2,947,068,653.54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2,719,670,131.63</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33.17%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-1.87%</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国际</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197,547,583.57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190,372,555.17</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-60.82%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-57.27%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-8.01%</w:t>
            </w:r>
          </w:p>
        </w:tc>
      </w:tr>
    </w:tbl>
    <w:p>
      <w:pPr>
        <w:pStyle w:val="BodyText"/>
        <w:spacing w:line="240" w:lineRule="auto" w:before="51"/>
        <w:ind w:right="0"/>
        <w:jc w:val="left"/>
      </w:pPr>
      <w:r>
        <w:rPr/>
        <w:t>公司主营业务数据统计口径在报告期发生调整的情况下，公司最近</w:t>
      </w:r>
      <w:r>
        <w:rPr>
          <w:spacing w:val="-45"/>
        </w:rPr>
        <w:t> </w:t>
      </w:r>
      <w:r>
        <w:rPr>
          <w:rFonts w:ascii="Times New Roman" w:hAnsi="Times New Roman" w:cs="Times New Roman" w:eastAsia="Times New Roman" w:hint="default"/>
        </w:rPr>
        <w:t>1 </w:t>
      </w:r>
      <w:r>
        <w:rPr/>
        <w:t>年按报告期末口径调整后的主营业务数据</w:t>
      </w:r>
    </w:p>
    <w:p>
      <w:pPr>
        <w:pStyle w:val="BodyText"/>
        <w:spacing w:line="240" w:lineRule="auto" w:before="104"/>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3）公司实物销售收入是否大于劳务收入" w:id="31"/>
      <w:bookmarkEnd w:id="31"/>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是 □ 否</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59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316" w:lineRule="auto"/>
              <w:ind w:left="103" w:right="221"/>
              <w:jc w:val="left"/>
              <w:rPr>
                <w:rFonts w:ascii="宋体" w:hAnsi="宋体" w:cs="宋体" w:eastAsia="宋体" w:hint="default"/>
                <w:sz w:val="18"/>
                <w:szCs w:val="18"/>
              </w:rPr>
            </w:pPr>
            <w:r>
              <w:rPr>
                <w:rFonts w:ascii="宋体" w:hAnsi="宋体" w:cs="宋体" w:eastAsia="宋体" w:hint="default"/>
                <w:sz w:val="18"/>
                <w:szCs w:val="18"/>
              </w:rPr>
              <w:t>通信及设备制造 业</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PCS</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100,170,105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82,813,190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20.96%</w:t>
            </w:r>
          </w:p>
        </w:tc>
      </w:tr>
      <w:tr>
        <w:trPr>
          <w:trHeight w:val="402" w:hRule="exact"/>
        </w:trPr>
        <w:tc>
          <w:tcPr>
            <w:tcW w:w="1596"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PCS</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100,337,069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83,468,931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20.21%</w:t>
            </w:r>
          </w:p>
        </w:tc>
      </w:tr>
      <w:tr>
        <w:trPr>
          <w:trHeight w:val="403" w:hRule="exact"/>
        </w:trPr>
        <w:tc>
          <w:tcPr>
            <w:tcW w:w="1596"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PCS</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1,324,523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1,157,559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14.42%</w:t>
            </w:r>
          </w:p>
        </w:tc>
      </w:tr>
    </w:tbl>
    <w:p>
      <w:pPr>
        <w:pStyle w:val="BodyText"/>
        <w:spacing w:line="240" w:lineRule="auto" w:before="51"/>
        <w:ind w:right="0"/>
        <w:jc w:val="left"/>
      </w:pPr>
      <w:r>
        <w:rPr/>
        <w:t>相关数据同比发生变动</w:t>
      </w:r>
      <w:r>
        <w:rPr>
          <w:spacing w:val="-46"/>
        </w:rPr>
        <w:t> </w:t>
      </w:r>
      <w:r>
        <w:rPr>
          <w:rFonts w:ascii="Times New Roman" w:hAnsi="Times New Roman" w:cs="Times New Roman" w:eastAsia="Times New Roman" w:hint="default"/>
        </w:rPr>
        <w:t>30%</w:t>
      </w:r>
      <w:r>
        <w:rPr/>
        <w:t>以上的原因说明</w:t>
      </w:r>
    </w:p>
    <w:p>
      <w:pPr>
        <w:pStyle w:val="BodyText"/>
        <w:spacing w:line="240" w:lineRule="auto" w:before="102"/>
        <w:ind w:right="0"/>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公司已签订的重大销售合同截至本报告期的履行情况" w:id="32"/>
      <w:bookmarkEnd w:id="32"/>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5）营业成本构成" w:id="33"/>
      <w:bookmarkEnd w:id="33"/>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t>行业和产品分类</w:t>
      </w:r>
    </w:p>
    <w:p>
      <w:pPr>
        <w:pStyle w:val="BodyText"/>
        <w:spacing w:line="240" w:lineRule="auto" w:before="116"/>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90"/>
        <w:gridCol w:w="1247"/>
        <w:gridCol w:w="1544"/>
        <w:gridCol w:w="1190"/>
        <w:gridCol w:w="1494"/>
        <w:gridCol w:w="1241"/>
        <w:gridCol w:w="1367"/>
      </w:tblGrid>
      <w:tr>
        <w:trPr>
          <w:trHeight w:val="402" w:hRule="exact"/>
        </w:trPr>
        <w:tc>
          <w:tcPr>
            <w:tcW w:w="14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7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24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713" w:hRule="exact"/>
        </w:trPr>
        <w:tc>
          <w:tcPr>
            <w:tcW w:w="1490" w:type="dxa"/>
            <w:vMerge/>
            <w:tcBorders>
              <w:left w:val="single" w:sz="4" w:space="0" w:color="000000"/>
              <w:bottom w:val="single" w:sz="4" w:space="0" w:color="000000"/>
              <w:right w:val="single" w:sz="4" w:space="0" w:color="000000"/>
            </w:tcBorders>
            <w:shd w:val="clear" w:color="auto" w:fill="D2D2D2"/>
          </w:tcPr>
          <w:p>
            <w:pPr/>
          </w:p>
        </w:tc>
        <w:tc>
          <w:tcPr>
            <w:tcW w:w="1247" w:type="dxa"/>
            <w:vMerge/>
            <w:tcBorders>
              <w:left w:val="single" w:sz="4" w:space="0" w:color="000000"/>
              <w:bottom w:val="single" w:sz="4" w:space="0" w:color="000000"/>
              <w:right w:val="single" w:sz="4" w:space="0" w:color="000000"/>
            </w:tcBorders>
            <w:shd w:val="clear" w:color="auto" w:fill="D2D2D2"/>
          </w:tcPr>
          <w:p>
            <w:pPr/>
          </w:p>
        </w:tc>
        <w:tc>
          <w:tcPr>
            <w:tcW w:w="1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10" w:right="138" w:hanging="270"/>
              <w:jc w:val="left"/>
              <w:rPr>
                <w:rFonts w:ascii="宋体" w:hAnsi="宋体" w:cs="宋体" w:eastAsia="宋体" w:hint="default"/>
                <w:sz w:val="18"/>
                <w:szCs w:val="18"/>
              </w:rPr>
            </w:pPr>
            <w:r>
              <w:rPr>
                <w:rFonts w:ascii="宋体" w:hAnsi="宋体" w:cs="宋体" w:eastAsia="宋体" w:hint="default"/>
                <w:sz w:val="18"/>
                <w:szCs w:val="18"/>
              </w:rPr>
              <w:t>占营业成本 比重</w:t>
            </w:r>
          </w:p>
        </w:tc>
        <w:tc>
          <w:tcPr>
            <w:tcW w:w="1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4" w:right="164" w:hanging="270"/>
              <w:jc w:val="left"/>
              <w:rPr>
                <w:rFonts w:ascii="宋体" w:hAnsi="宋体" w:cs="宋体" w:eastAsia="宋体" w:hint="default"/>
                <w:sz w:val="18"/>
                <w:szCs w:val="18"/>
              </w:rPr>
            </w:pPr>
            <w:r>
              <w:rPr>
                <w:rFonts w:ascii="宋体" w:hAnsi="宋体" w:cs="宋体" w:eastAsia="宋体" w:hint="default"/>
                <w:sz w:val="18"/>
                <w:szCs w:val="18"/>
              </w:rPr>
              <w:t>占营业成本 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14"/>
              <w:jc w:val="left"/>
              <w:rPr>
                <w:rFonts w:ascii="宋体" w:hAnsi="宋体" w:cs="宋体" w:eastAsia="宋体" w:hint="default"/>
                <w:sz w:val="18"/>
                <w:szCs w:val="18"/>
              </w:rPr>
            </w:pPr>
            <w:r>
              <w:rPr>
                <w:rFonts w:ascii="宋体" w:hAnsi="宋体" w:cs="宋体" w:eastAsia="宋体" w:hint="default"/>
                <w:sz w:val="18"/>
                <w:szCs w:val="18"/>
              </w:rPr>
              <w:t>通讯及设备制造 行业</w:t>
            </w:r>
          </w:p>
        </w:tc>
        <w:tc>
          <w:tcPr>
            <w:tcW w:w="1247"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5" w:right="0"/>
              <w:jc w:val="center"/>
              <w:rPr>
                <w:rFonts w:ascii="Times New Roman" w:hAnsi="Times New Roman" w:cs="Times New Roman" w:eastAsia="Times New Roman" w:hint="default"/>
                <w:sz w:val="18"/>
                <w:szCs w:val="18"/>
              </w:rPr>
            </w:pPr>
            <w:r>
              <w:rPr>
                <w:rFonts w:ascii="Times New Roman"/>
                <w:sz w:val="18"/>
              </w:rPr>
              <w:t>2,910,042,686.80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100.00%</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6" w:right="0"/>
              <w:jc w:val="center"/>
              <w:rPr>
                <w:rFonts w:ascii="Times New Roman" w:hAnsi="Times New Roman" w:cs="Times New Roman" w:eastAsia="Times New Roman" w:hint="default"/>
                <w:sz w:val="18"/>
                <w:szCs w:val="18"/>
              </w:rPr>
            </w:pPr>
            <w:r>
              <w:rPr>
                <w:rFonts w:ascii="Times New Roman"/>
                <w:sz w:val="18"/>
              </w:rPr>
              <w:t>2,487,863,993.42</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82" w:right="0"/>
              <w:jc w:val="lef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99" w:right="0"/>
              <w:jc w:val="left"/>
              <w:rPr>
                <w:rFonts w:ascii="Times New Roman" w:hAnsi="Times New Roman" w:cs="Times New Roman" w:eastAsia="Times New Roman" w:hint="default"/>
                <w:sz w:val="18"/>
                <w:szCs w:val="18"/>
              </w:rPr>
            </w:pPr>
            <w:r>
              <w:rPr>
                <w:rFonts w:ascii="Times New Roman"/>
                <w:sz w:val="18"/>
              </w:rPr>
              <w:t>16.97%</w:t>
            </w:r>
          </w:p>
        </w:tc>
      </w:tr>
    </w:tbl>
    <w:p>
      <w:pPr>
        <w:pStyle w:val="BodyText"/>
        <w:spacing w:line="240" w:lineRule="auto" w:before="51"/>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90"/>
        <w:gridCol w:w="1247"/>
        <w:gridCol w:w="1544"/>
        <w:gridCol w:w="1190"/>
        <w:gridCol w:w="1494"/>
        <w:gridCol w:w="1241"/>
        <w:gridCol w:w="1367"/>
      </w:tblGrid>
      <w:tr>
        <w:trPr>
          <w:trHeight w:val="402" w:hRule="exact"/>
        </w:trPr>
        <w:tc>
          <w:tcPr>
            <w:tcW w:w="14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79"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24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713" w:hRule="exact"/>
        </w:trPr>
        <w:tc>
          <w:tcPr>
            <w:tcW w:w="1490" w:type="dxa"/>
            <w:vMerge/>
            <w:tcBorders>
              <w:left w:val="single" w:sz="4" w:space="0" w:color="000000"/>
              <w:bottom w:val="single" w:sz="4" w:space="0" w:color="000000"/>
              <w:right w:val="single" w:sz="4" w:space="0" w:color="000000"/>
            </w:tcBorders>
            <w:shd w:val="clear" w:color="auto" w:fill="D2D2D2"/>
          </w:tcPr>
          <w:p>
            <w:pPr/>
          </w:p>
        </w:tc>
        <w:tc>
          <w:tcPr>
            <w:tcW w:w="1247" w:type="dxa"/>
            <w:vMerge/>
            <w:tcBorders>
              <w:left w:val="single" w:sz="4" w:space="0" w:color="000000"/>
              <w:bottom w:val="single" w:sz="4" w:space="0" w:color="000000"/>
              <w:right w:val="single" w:sz="4" w:space="0" w:color="000000"/>
            </w:tcBorders>
            <w:shd w:val="clear" w:color="auto" w:fill="D2D2D2"/>
          </w:tcPr>
          <w:p>
            <w:pPr/>
          </w:p>
        </w:tc>
        <w:tc>
          <w:tcPr>
            <w:tcW w:w="1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10" w:right="138" w:hanging="270"/>
              <w:jc w:val="left"/>
              <w:rPr>
                <w:rFonts w:ascii="宋体" w:hAnsi="宋体" w:cs="宋体" w:eastAsia="宋体" w:hint="default"/>
                <w:sz w:val="18"/>
                <w:szCs w:val="18"/>
              </w:rPr>
            </w:pPr>
            <w:r>
              <w:rPr>
                <w:rFonts w:ascii="宋体" w:hAnsi="宋体" w:cs="宋体" w:eastAsia="宋体" w:hint="default"/>
                <w:sz w:val="18"/>
                <w:szCs w:val="18"/>
              </w:rPr>
              <w:t>占营业成本 比重</w:t>
            </w:r>
          </w:p>
        </w:tc>
        <w:tc>
          <w:tcPr>
            <w:tcW w:w="1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2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4" w:right="164" w:hanging="270"/>
              <w:jc w:val="left"/>
              <w:rPr>
                <w:rFonts w:ascii="宋体" w:hAnsi="宋体" w:cs="宋体" w:eastAsia="宋体" w:hint="default"/>
                <w:sz w:val="18"/>
                <w:szCs w:val="18"/>
              </w:rPr>
            </w:pPr>
            <w:r>
              <w:rPr>
                <w:rFonts w:ascii="宋体" w:hAnsi="宋体" w:cs="宋体" w:eastAsia="宋体" w:hint="default"/>
                <w:sz w:val="18"/>
                <w:szCs w:val="18"/>
              </w:rPr>
              <w:t>占营业成本 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网络通讯终端类</w:t>
            </w:r>
          </w:p>
        </w:tc>
        <w:tc>
          <w:tcPr>
            <w:tcW w:w="1247"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1,170,367,024.83</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40.22%</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915,160,786.36</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36.79%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27.89%</w:t>
            </w:r>
          </w:p>
        </w:tc>
      </w:tr>
      <w:tr>
        <w:trPr>
          <w:trHeight w:val="714" w:hRule="exact"/>
        </w:trPr>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14"/>
              <w:jc w:val="left"/>
              <w:rPr>
                <w:rFonts w:ascii="宋体" w:hAnsi="宋体" w:cs="宋体" w:eastAsia="宋体" w:hint="default"/>
                <w:sz w:val="18"/>
                <w:szCs w:val="18"/>
              </w:rPr>
            </w:pPr>
            <w:r>
              <w:rPr>
                <w:rFonts w:ascii="宋体" w:hAnsi="宋体" w:cs="宋体" w:eastAsia="宋体" w:hint="default"/>
                <w:sz w:val="18"/>
                <w:szCs w:val="18"/>
              </w:rPr>
              <w:t>便携式消费电子 类</w:t>
            </w:r>
          </w:p>
        </w:tc>
        <w:tc>
          <w:tcPr>
            <w:tcW w:w="1247"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1,601,540,084.80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55.03%</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1,454,674,564.30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58.47%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10.10%</w:t>
            </w:r>
          </w:p>
        </w:tc>
      </w:tr>
      <w:tr>
        <w:trPr>
          <w:trHeight w:val="404" w:hRule="exact"/>
        </w:trPr>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其他类</w:t>
            </w:r>
          </w:p>
        </w:tc>
        <w:tc>
          <w:tcPr>
            <w:tcW w:w="1247"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138,135,577.17</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4.75%</w:t>
            </w:r>
          </w:p>
        </w:tc>
        <w:tc>
          <w:tcPr>
            <w:tcW w:w="1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118,028,642.76</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4.74%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17.04%</w:t>
            </w:r>
          </w:p>
        </w:tc>
      </w:tr>
    </w:tbl>
    <w:p>
      <w:pPr>
        <w:pStyle w:val="BodyText"/>
        <w:spacing w:line="357" w:lineRule="auto" w:before="51"/>
        <w:ind w:right="10392"/>
        <w:jc w:val="left"/>
      </w:pPr>
      <w:r>
        <w:rPr/>
        <w:t>说明 无</w:t>
      </w:r>
    </w:p>
    <w:p>
      <w:pPr>
        <w:spacing w:after="0" w:line="357" w:lineRule="auto"/>
        <w:jc w:val="left"/>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6）报告期内合并范围是否发生变动" w:id="34"/>
      <w:bookmarkEnd w:id="34"/>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是 √ 否</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7）公司报告期内业务、产品或服务发生重大变化或调整有关情况" w:id="35"/>
      <w:bookmarkEnd w:id="35"/>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8）主要销售客户和主要供应商情况" w:id="36"/>
      <w:bookmarkEnd w:id="36"/>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公司主要销售客户情况</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2,129,205,106.61</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67.71%</w:t>
            </w:r>
          </w:p>
        </w:tc>
      </w:tr>
      <w:tr>
        <w:trPr>
          <w:trHeight w:val="714"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84"/>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 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0"/>
        <w:jc w:val="left"/>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大客户资料</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802"/>
        <w:gridCol w:w="3302"/>
        <w:gridCol w:w="2322"/>
        <w:gridCol w:w="3143"/>
      </w:tblGrid>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906,020,270.30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28.81%</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493,926,669.49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15.71%</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327,085,680.34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10.40%</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4</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274,570,828.60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8.73%</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127,601,657.88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4.06%</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2,129,205,106.61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67.71%</w:t>
            </w:r>
          </w:p>
        </w:tc>
      </w:tr>
    </w:tbl>
    <w:p>
      <w:pPr>
        <w:pStyle w:val="BodyText"/>
        <w:spacing w:line="240" w:lineRule="auto" w:before="51"/>
        <w:ind w:right="0"/>
        <w:jc w:val="left"/>
      </w:pPr>
      <w:r>
        <w:rPr/>
        <w:t>主要客户其他情况说明</w:t>
      </w:r>
    </w:p>
    <w:p>
      <w:pPr>
        <w:pStyle w:val="BodyText"/>
        <w:spacing w:line="357" w:lineRule="auto" w:before="117"/>
        <w:ind w:right="9132"/>
        <w:jc w:val="left"/>
      </w:pPr>
      <w:r>
        <w:rPr/>
        <w:t>□ 适用 √ 不适用 公司主要供应商情况</w:t>
      </w: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787,998,694.06</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38.67%</w:t>
            </w:r>
          </w:p>
        </w:tc>
      </w:tr>
      <w:tr>
        <w:trPr>
          <w:trHeight w:val="715"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84"/>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 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67"/>
        <w:ind w:right="0"/>
        <w:jc w:val="left"/>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名供应商资料</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935"/>
        <w:gridCol w:w="3168"/>
        <w:gridCol w:w="2322"/>
        <w:gridCol w:w="3143"/>
      </w:tblGrid>
      <w:tr>
        <w:trPr>
          <w:trHeight w:val="401"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2"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5"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1</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496,483,256.04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24.36%</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119,242,429.58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5.85%</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3</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78,812,169.88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3.87%</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4</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47,481,603.24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2.33%</w:t>
            </w:r>
          </w:p>
        </w:tc>
      </w:tr>
      <w:tr>
        <w:trPr>
          <w:trHeight w:val="403"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5</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45,979,235.32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2.26%</w:t>
            </w:r>
          </w:p>
        </w:tc>
      </w:tr>
    </w:tbl>
    <w:p>
      <w:pPr>
        <w:spacing w:after="0" w:line="240" w:lineRule="auto"/>
        <w:jc w:val="righ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935"/>
        <w:gridCol w:w="3168"/>
        <w:gridCol w:w="2322"/>
        <w:gridCol w:w="3143"/>
      </w:tblGrid>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84" w:right="0"/>
              <w:jc w:val="left"/>
              <w:rPr>
                <w:rFonts w:ascii="Times New Roman" w:hAnsi="Times New Roman" w:cs="Times New Roman" w:eastAsia="Times New Roman" w:hint="default"/>
                <w:sz w:val="18"/>
                <w:szCs w:val="18"/>
              </w:rPr>
            </w:pPr>
            <w:r>
              <w:rPr>
                <w:rFonts w:ascii="Times New Roman"/>
                <w:sz w:val="18"/>
              </w:rPr>
              <w:t>787,998,694.06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38.67%</w:t>
            </w:r>
          </w:p>
        </w:tc>
      </w:tr>
    </w:tbl>
    <w:p>
      <w:pPr>
        <w:pStyle w:val="BodyText"/>
        <w:spacing w:line="240" w:lineRule="auto" w:before="51"/>
        <w:ind w:right="0"/>
        <w:jc w:val="left"/>
      </w:pPr>
      <w:r>
        <w:rPr/>
        <w:t>主要供应商其他情况说明</w:t>
      </w:r>
    </w:p>
    <w:p>
      <w:pPr>
        <w:pStyle w:val="BodyText"/>
        <w:spacing w:line="240" w:lineRule="auto" w:before="117"/>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3、费用" w:id="37"/>
      <w:bookmarkEnd w:id="37"/>
      <w:r>
        <w:rPr>
          <w:b w:val="0"/>
          <w:bCs w:val="0"/>
        </w:rPr>
      </w:r>
      <w:r>
        <w:rPr>
          <w:rFonts w:ascii="Times New Roman" w:hAnsi="Times New Roman" w:cs="Times New Roman" w:eastAsia="Times New Roman" w:hint="default"/>
        </w:rPr>
        <w:t>3</w:t>
      </w:r>
      <w:r>
        <w:rPr/>
        <w:t>、费用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6"/>
        <w:gridCol w:w="1637"/>
        <w:gridCol w:w="1637"/>
        <w:gridCol w:w="1462"/>
        <w:gridCol w:w="2918"/>
      </w:tblGrid>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66"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4"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42,564,558.85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50,185,356.81</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-15.19%</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161,399,861.30</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106,034,890.80</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52.21%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2"/>
              <w:jc w:val="left"/>
              <w:rPr>
                <w:rFonts w:ascii="宋体" w:hAnsi="宋体" w:cs="宋体" w:eastAsia="宋体" w:hint="default"/>
                <w:sz w:val="18"/>
                <w:szCs w:val="18"/>
              </w:rPr>
            </w:pPr>
            <w:r>
              <w:rPr>
                <w:rFonts w:ascii="宋体" w:hAnsi="宋体" w:cs="宋体" w:eastAsia="宋体" w:hint="default"/>
                <w:sz w:val="18"/>
                <w:szCs w:val="18"/>
              </w:rPr>
              <w:t>主要系本期存货报废及职工薪酬增 加所致。</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29,921,500.20</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21,692,588.42</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37.93%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2"/>
              <w:jc w:val="left"/>
              <w:rPr>
                <w:rFonts w:ascii="宋体" w:hAnsi="宋体" w:cs="宋体" w:eastAsia="宋体" w:hint="default"/>
                <w:sz w:val="18"/>
                <w:szCs w:val="18"/>
              </w:rPr>
            </w:pPr>
            <w:r>
              <w:rPr>
                <w:rFonts w:ascii="宋体" w:hAnsi="宋体" w:cs="宋体" w:eastAsia="宋体" w:hint="default"/>
                <w:sz w:val="18"/>
                <w:szCs w:val="18"/>
              </w:rPr>
              <w:t>主要系本期投资性房地产抵押贷款 产生的利息费用增加所致。</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105,363,180.20</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98,893,572.55</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6.54%</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19,207,202.88</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9,865,171.78</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94.70%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82"/>
              <w:jc w:val="left"/>
              <w:rPr>
                <w:rFonts w:ascii="宋体" w:hAnsi="宋体" w:cs="宋体" w:eastAsia="宋体" w:hint="default"/>
                <w:sz w:val="18"/>
                <w:szCs w:val="18"/>
              </w:rPr>
            </w:pPr>
            <w:r>
              <w:rPr>
                <w:rFonts w:ascii="宋体" w:hAnsi="宋体" w:cs="宋体" w:eastAsia="宋体" w:hint="default"/>
                <w:sz w:val="18"/>
                <w:szCs w:val="18"/>
              </w:rPr>
              <w:t>主要系收入增加及房产税增加所 致。</w:t>
            </w:r>
          </w:p>
        </w:tc>
      </w:tr>
      <w:tr>
        <w:trPr>
          <w:trHeight w:val="1340"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55,970,874.05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-8,608,182.74</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750.21%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103" w:right="102"/>
              <w:jc w:val="left"/>
              <w:rPr>
                <w:rFonts w:ascii="宋体" w:hAnsi="宋体" w:cs="宋体" w:eastAsia="宋体" w:hint="default"/>
                <w:sz w:val="18"/>
                <w:szCs w:val="18"/>
              </w:rPr>
            </w:pPr>
            <w:r>
              <w:rPr>
                <w:rFonts w:ascii="宋体" w:hAnsi="宋体" w:cs="宋体" w:eastAsia="宋体" w:hint="default"/>
                <w:sz w:val="18"/>
                <w:szCs w:val="18"/>
              </w:rPr>
              <w:t>主要系对库龄较长的原材料单项测 试加计减值和对呆滞物料的后期订 单需求预期减少加计减值计提所 致。</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研发投入" w:id="38"/>
      <w:bookmarkEnd w:id="38"/>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14"/>
          <w:szCs w:val="14"/>
        </w:rPr>
      </w:pPr>
    </w:p>
    <w:p>
      <w:pPr>
        <w:pStyle w:val="BodyText"/>
        <w:spacing w:line="468" w:lineRule="auto"/>
        <w:ind w:right="1131" w:firstLine="360"/>
        <w:jc w:val="both"/>
      </w:pPr>
      <w:r>
        <w:rPr>
          <w:rFonts w:ascii="Times New Roman" w:hAnsi="Times New Roman" w:cs="Times New Roman" w:eastAsia="Times New Roman" w:hint="default"/>
          <w:spacing w:val="-1"/>
        </w:rPr>
        <w:t>1</w:t>
      </w:r>
      <w:r>
        <w:rPr>
          <w:spacing w:val="-1"/>
        </w:rPr>
        <w:t>、</w:t>
      </w:r>
      <w:r>
        <w:rPr>
          <w:rFonts w:ascii="Times New Roman" w:hAnsi="Times New Roman" w:cs="Times New Roman" w:eastAsia="Times New Roman" w:hint="default"/>
          <w:spacing w:val="-1"/>
        </w:rPr>
        <w:t>“</w:t>
      </w:r>
      <w:r>
        <w:rPr>
          <w:spacing w:val="-1"/>
        </w:rPr>
        <w:t>无线智能终端</w:t>
      </w:r>
      <w:r>
        <w:rPr>
          <w:rFonts w:ascii="Times New Roman" w:hAnsi="Times New Roman" w:cs="Times New Roman" w:eastAsia="Times New Roman" w:hint="default"/>
          <w:spacing w:val="-1"/>
        </w:rPr>
        <w:t>3D-TP</w:t>
      </w:r>
      <w:r>
        <w:rPr>
          <w:spacing w:val="-1"/>
        </w:rPr>
        <w:t>曲屏机器人和影像分析无缝嵌入设备的关键技术研发</w:t>
      </w:r>
      <w:r>
        <w:rPr>
          <w:rFonts w:ascii="Times New Roman" w:hAnsi="Times New Roman" w:cs="Times New Roman" w:eastAsia="Times New Roman" w:hint="default"/>
          <w:spacing w:val="-1"/>
        </w:rPr>
        <w:t>”</w:t>
      </w:r>
      <w:r>
        <w:rPr>
          <w:spacing w:val="-1"/>
        </w:rPr>
        <w:t>项目开发目标：无线智能终端</w:t>
      </w:r>
      <w:r>
        <w:rPr>
          <w:rFonts w:ascii="Times New Roman" w:hAnsi="Times New Roman" w:cs="Times New Roman" w:eastAsia="Times New Roman" w:hint="default"/>
          <w:spacing w:val="-1"/>
        </w:rPr>
        <w:t>3D-TP</w:t>
      </w:r>
      <w:r>
        <w:rPr>
          <w:spacing w:val="-1"/>
        </w:rPr>
        <w:t>曲屏</w:t>
      </w:r>
      <w:r>
        <w:rPr/>
        <w:t> </w:t>
      </w:r>
      <w:r>
        <w:rPr>
          <w:spacing w:val="-2"/>
        </w:rPr>
        <w:t>机器人和影像分析无缝嵌入设备的关键技术研发包括一个工作台，设置取中壳物料定位操作、撕膜操作、取屏幕操作、组装</w:t>
      </w:r>
      <w:r>
        <w:rPr>
          <w:spacing w:val="-66"/>
        </w:rPr>
        <w:t> </w:t>
      </w:r>
      <w:r>
        <w:rPr>
          <w:spacing w:val="-66"/>
        </w:rPr>
      </w:r>
      <w:r>
        <w:rPr>
          <w:spacing w:val="-2"/>
        </w:rPr>
        <w:t>操作、压合操作等动作进行协助控制或作业，实现了自动化设备组装操作，完全解放了人力，缩短生产周期，大大提高了生</w:t>
      </w:r>
      <w:r>
        <w:rPr>
          <w:spacing w:val="-66"/>
        </w:rPr>
        <w:t> </w:t>
      </w:r>
      <w:r>
        <w:rPr>
          <w:spacing w:val="-66"/>
        </w:rPr>
      </w:r>
      <w:r>
        <w:rPr/>
        <w:t>产效率，同时获得质量更加稳定的产品。目前该项目研发已完成。</w:t>
      </w:r>
    </w:p>
    <w:p>
      <w:pPr>
        <w:pStyle w:val="BodyText"/>
        <w:spacing w:line="468" w:lineRule="auto" w:before="61"/>
        <w:ind w:right="1130" w:firstLine="360"/>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w:t>
      </w:r>
      <w:r>
        <w:rPr/>
        <w:t>云端可编程式多站组合工业机器人移动终端智能封装机的关键技术研发</w:t>
      </w:r>
      <w:r>
        <w:rPr>
          <w:rFonts w:ascii="Times New Roman" w:hAnsi="Times New Roman" w:cs="Times New Roman" w:eastAsia="Times New Roman" w:hint="default"/>
        </w:rPr>
        <w:t>”</w:t>
      </w:r>
      <w:r>
        <w:rPr>
          <w:rFonts w:ascii="Times New Roman" w:hAnsi="Times New Roman" w:cs="Times New Roman" w:eastAsia="Times New Roman" w:hint="default"/>
          <w:spacing w:val="-13"/>
        </w:rPr>
        <w:t> </w:t>
      </w:r>
      <w:r>
        <w:rPr/>
        <w:t>项目开发目标：云端可编程式多站组合工 业机器人移动终端智能封装机主要</w:t>
      </w:r>
      <w:r>
        <w:rPr>
          <w:spacing w:val="7"/>
        </w:rPr>
        <w:t> </w:t>
      </w:r>
      <w:r>
        <w:rPr/>
        <w:t>用于产品后段包装出货这方面，设备自动开箱，自动上料，然后机器人把产品装的箱子</w:t>
      </w:r>
      <w:r>
        <w:rPr/>
        <w:t> </w:t>
      </w:r>
      <w:r>
        <w:rPr>
          <w:spacing w:val="-2"/>
        </w:rPr>
        <w:t>里，然后自动封箱，最后六轴机器人把箱子放在一起堆垛。此设备通用性好，广泛用于，各行各业的产品包装出货。通过自</w:t>
      </w:r>
      <w:r>
        <w:rPr>
          <w:spacing w:val="-68"/>
        </w:rPr>
        <w:t> </w:t>
      </w:r>
      <w:r>
        <w:rPr>
          <w:spacing w:val="-68"/>
        </w:rPr>
      </w:r>
      <w:r>
        <w:rPr/>
        <w:t>主研发装箱堆垛机，解决传统 封箱，打包，采用人工方式，解放人手，大大提高了工作效率。目前该项目研发已完成。</w:t>
      </w:r>
    </w:p>
    <w:p>
      <w:pPr>
        <w:pStyle w:val="BodyText"/>
        <w:spacing w:line="451" w:lineRule="auto" w:before="62"/>
        <w:ind w:right="1050" w:firstLine="360"/>
        <w:jc w:val="both"/>
      </w:pPr>
      <w:r>
        <w:rPr>
          <w:rFonts w:ascii="Times New Roman" w:hAnsi="Times New Roman" w:cs="Times New Roman" w:eastAsia="Times New Roman" w:hint="default"/>
        </w:rPr>
        <w:t>3</w:t>
      </w:r>
      <w:r>
        <w:rPr/>
        <w:t>、</w:t>
      </w:r>
      <w:r>
        <w:rPr>
          <w:rFonts w:ascii="Times New Roman" w:hAnsi="Times New Roman" w:cs="Times New Roman" w:eastAsia="Times New Roman" w:hint="default"/>
        </w:rPr>
        <w:t>“</w:t>
      </w:r>
      <w:r>
        <w:rPr/>
        <w:t>在线视觉引导式机器人精密元件组装系统的关键技术研发</w:t>
      </w:r>
      <w:r>
        <w:rPr>
          <w:rFonts w:ascii="Times New Roman" w:hAnsi="Times New Roman" w:cs="Times New Roman" w:eastAsia="Times New Roman" w:hint="default"/>
        </w:rPr>
        <w:t>”</w:t>
      </w:r>
      <w:r>
        <w:rPr>
          <w:rFonts w:ascii="Times New Roman" w:hAnsi="Times New Roman" w:cs="Times New Roman" w:eastAsia="Times New Roman" w:hint="default"/>
          <w:spacing w:val="13"/>
        </w:rPr>
        <w:t> </w:t>
      </w:r>
      <w:r>
        <w:rPr/>
        <w:t>项目开发目标：在线视觉引导式机器人精密元件组装系 统的关键技术研发将自动插件机可以安插的元器件采用电机一体化方式安装到</w:t>
      </w:r>
      <w:r>
        <w:rPr>
          <w:rFonts w:ascii="Times New Roman" w:hAnsi="Times New Roman" w:cs="Times New Roman" w:eastAsia="Times New Roman" w:hint="default"/>
        </w:rPr>
        <w:t>PCBA</w:t>
      </w:r>
      <w:r>
        <w:rPr/>
        <w:t>上，这基本上包括了其他所有的插件原 件，电容，电感，连接器等这一类异型元器件，设计工序的工程人员会根据工作量和合理性对每个工位的插件部位做分工，</w:t>
      </w:r>
    </w:p>
    <w:p>
      <w:pPr>
        <w:spacing w:after="0" w:line="451" w:lineRule="auto"/>
        <w:jc w:val="both"/>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32"/>
        <w:jc w:val="both"/>
      </w:pPr>
      <w:r>
        <w:rPr>
          <w:spacing w:val="-2"/>
        </w:rPr>
        <w:t>每个机械只负责安装几个原件，而且重复同样的操作。自动插件机通过插件控制系统能够智能选择插件相应的参数稳定控制</w:t>
      </w:r>
      <w:r>
        <w:rPr>
          <w:spacing w:val="-64"/>
        </w:rPr>
        <w:t> </w:t>
      </w:r>
      <w:r>
        <w:rPr>
          <w:spacing w:val="-64"/>
        </w:rPr>
      </w:r>
      <w:r>
        <w:rPr>
          <w:spacing w:val="-2"/>
        </w:rPr>
        <w:t>插件数，不漏件，保证插件位置精确和插件质量。通过自主研发全自动插件机，解决传统异形元器件靠人工插件模式，解放</w:t>
      </w:r>
      <w:r>
        <w:rPr>
          <w:spacing w:val="-66"/>
        </w:rPr>
        <w:t> </w:t>
      </w:r>
      <w:r>
        <w:rPr>
          <w:spacing w:val="-66"/>
        </w:rPr>
      </w:r>
      <w:r>
        <w:rPr/>
        <w:t>人手，大大提高了插件效率，目前该项目研发已完成。</w:t>
      </w:r>
    </w:p>
    <w:p>
      <w:pPr>
        <w:pStyle w:val="BodyText"/>
        <w:spacing w:line="470" w:lineRule="auto" w:before="54"/>
        <w:ind w:right="1131" w:firstLine="360"/>
        <w:jc w:val="both"/>
      </w:pPr>
      <w:r>
        <w:rPr>
          <w:rFonts w:ascii="Times New Roman" w:hAnsi="Times New Roman" w:cs="Times New Roman" w:eastAsia="Times New Roman" w:hint="default"/>
        </w:rPr>
        <w:t>4</w:t>
      </w:r>
      <w:r>
        <w:rPr/>
        <w:t>、</w:t>
      </w:r>
      <w:r>
        <w:rPr>
          <w:rFonts w:ascii="Times New Roman" w:hAnsi="Times New Roman" w:cs="Times New Roman" w:eastAsia="Times New Roman" w:hint="default"/>
        </w:rPr>
        <w:t>“</w:t>
      </w:r>
      <w:r>
        <w:rPr/>
        <w:t>安防飞行器云端数据监测交互基站的设计</w:t>
      </w:r>
      <w:r>
        <w:rPr>
          <w:rFonts w:ascii="Times New Roman" w:hAnsi="Times New Roman" w:cs="Times New Roman" w:eastAsia="Times New Roman" w:hint="default"/>
        </w:rPr>
        <w:t>”</w:t>
      </w:r>
      <w:r>
        <w:rPr>
          <w:rFonts w:ascii="Times New Roman" w:hAnsi="Times New Roman" w:cs="Times New Roman" w:eastAsia="Times New Roman" w:hint="default"/>
          <w:spacing w:val="-13"/>
        </w:rPr>
        <w:t> </w:t>
      </w:r>
      <w:r>
        <w:rPr/>
        <w:t>项目开发目标：无人机的应用范围正在不断被拓宽。无论是军用或者民 </w:t>
      </w:r>
      <w:r>
        <w:rPr>
          <w:spacing w:val="-2"/>
        </w:rPr>
        <w:t>用领域，无人机都展现出了自己独有的优势和特色。随着工业无人机的大量使用，对操作人员的需求越来越多，无人机操作</w:t>
      </w:r>
      <w:r>
        <w:rPr>
          <w:spacing w:val="-66"/>
        </w:rPr>
        <w:t> </w:t>
      </w:r>
      <w:r>
        <w:rPr>
          <w:spacing w:val="-66"/>
        </w:rPr>
      </w:r>
      <w:r>
        <w:rPr>
          <w:spacing w:val="-2"/>
        </w:rPr>
        <w:t>中最难的就是起飞和降落，起飞降落过程中容易受到外部风向影响，并且一旦发生失误无法降落指定位置就容易造成无人机</w:t>
      </w:r>
      <w:r>
        <w:rPr>
          <w:spacing w:val="-64"/>
        </w:rPr>
        <w:t> </w:t>
      </w:r>
      <w:r>
        <w:rPr>
          <w:spacing w:val="-64"/>
        </w:rPr>
      </w:r>
      <w:r>
        <w:rPr>
          <w:spacing w:val="-2"/>
        </w:rPr>
        <w:t>损坏，进而影响无人机的使用寿命，并且容易损坏无人机。加上特殊环境的数据收集持续，特别荒山野外的无人区域，无人</w:t>
      </w:r>
      <w:r>
        <w:rPr>
          <w:spacing w:val="-66"/>
        </w:rPr>
        <w:t> </w:t>
      </w:r>
      <w:r>
        <w:rPr>
          <w:spacing w:val="-66"/>
        </w:rPr>
      </w:r>
      <w:r>
        <w:rPr/>
        <w:t>机的持续续航能力得到考验。目前该项目研发已完成。</w:t>
      </w:r>
    </w:p>
    <w:p>
      <w:pPr>
        <w:pStyle w:val="BodyText"/>
        <w:spacing w:line="463" w:lineRule="auto" w:before="59"/>
        <w:ind w:right="1109" w:firstLine="360"/>
        <w:jc w:val="both"/>
      </w:pPr>
      <w:r>
        <w:rPr>
          <w:rFonts w:ascii="Times New Roman" w:hAnsi="Times New Roman" w:cs="Times New Roman" w:eastAsia="Times New Roman" w:hint="default"/>
        </w:rPr>
        <w:t>5</w:t>
      </w:r>
      <w:r>
        <w:rPr/>
        <w:t>、</w:t>
      </w:r>
      <w:r>
        <w:rPr>
          <w:rFonts w:ascii="Times New Roman" w:hAnsi="Times New Roman" w:cs="Times New Roman" w:eastAsia="Times New Roman" w:hint="default"/>
        </w:rPr>
        <w:t>“</w:t>
      </w:r>
      <w:r>
        <w:rPr>
          <w:rFonts w:ascii="Times New Roman" w:hAnsi="Times New Roman" w:cs="Times New Roman" w:eastAsia="Times New Roman" w:hint="default"/>
        </w:rPr>
        <w:t>D-SLR</w:t>
      </w:r>
      <w:r>
        <w:rPr/>
        <w:t>无损自准动态物理图像对焦系统的技术应用研究</w:t>
      </w:r>
      <w:r>
        <w:rPr>
          <w:rFonts w:ascii="Times New Roman" w:hAnsi="Times New Roman" w:cs="Times New Roman" w:eastAsia="Times New Roman" w:hint="default"/>
        </w:rPr>
        <w:t>”</w:t>
      </w:r>
      <w:r>
        <w:rPr>
          <w:rFonts w:ascii="Times New Roman" w:hAnsi="Times New Roman" w:cs="Times New Roman" w:eastAsia="Times New Roman" w:hint="default"/>
          <w:spacing w:val="41"/>
        </w:rPr>
        <w:t> </w:t>
      </w:r>
      <w:r>
        <w:rPr/>
        <w:t>项目开发目标：</w:t>
      </w:r>
      <w:r>
        <w:rPr>
          <w:rFonts w:ascii="Times New Roman" w:hAnsi="Times New Roman" w:cs="Times New Roman" w:eastAsia="Times New Roman" w:hint="default"/>
        </w:rPr>
        <w:t>D-SLR</w:t>
      </w:r>
      <w:r>
        <w:rPr/>
        <w:t>无损自准动态物理图像对焦系统，</w:t>
      </w:r>
      <w:r>
        <w:rPr>
          <w:w w:val="99"/>
        </w:rPr>
        <w:t> </w:t>
      </w:r>
      <w:r>
        <w:rPr>
          <w:spacing w:val="-2"/>
        </w:rPr>
        <w:t>是一种用于摄像头生产的自动聚焦，调焦机。目的是弥补目前人工手动聚焦的不足，如，产能低下，品质良莠不齐。其工作</w:t>
      </w:r>
      <w:r>
        <w:rPr>
          <w:spacing w:val="-69"/>
        </w:rPr>
        <w:t> </w:t>
      </w:r>
      <w:r>
        <w:rPr>
          <w:spacing w:val="-69"/>
        </w:rPr>
      </w:r>
      <w:r>
        <w:rPr>
          <w:spacing w:val="-2"/>
        </w:rPr>
        <w:t>原理，镜头由一个夹子夹住，模组卡带动，摄像头镜头旋转，顶部的光学系统逆向看清摄像头模组图像传感器的像素点，确</w:t>
      </w:r>
      <w:r>
        <w:rPr>
          <w:spacing w:val="-67"/>
        </w:rPr>
        <w:t> </w:t>
      </w:r>
      <w:r>
        <w:rPr>
          <w:spacing w:val="-67"/>
        </w:rPr>
      </w:r>
      <w:r>
        <w:rPr>
          <w:spacing w:val="-2"/>
          <w:w w:val="99"/>
        </w:rPr>
        <w:t>认焦点，然后两侧点</w:t>
      </w:r>
      <w:r>
        <w:rPr>
          <w:rFonts w:ascii="Times New Roman" w:hAnsi="Times New Roman" w:cs="Times New Roman" w:eastAsia="Times New Roman" w:hint="default"/>
          <w:spacing w:val="-2"/>
          <w:w w:val="99"/>
        </w:rPr>
        <w:t>UV</w:t>
      </w:r>
      <w:r>
        <w:rPr>
          <w:spacing w:val="-2"/>
          <w:w w:val="99"/>
        </w:rPr>
        <w:t>胶，然后</w:t>
      </w:r>
      <w:r>
        <w:rPr>
          <w:rFonts w:ascii="Times New Roman" w:hAnsi="Times New Roman" w:cs="Times New Roman" w:eastAsia="Times New Roman" w:hint="default"/>
          <w:spacing w:val="-2"/>
          <w:w w:val="99"/>
        </w:rPr>
        <w:t>UV</w:t>
      </w:r>
      <w:r>
        <w:rPr>
          <w:spacing w:val="-2"/>
          <w:w w:val="99"/>
        </w:rPr>
        <w:t>光源开启，固化。通过全自动调焦仪，调焦，，产品的质量和效率，大大提高。目前该</w:t>
      </w:r>
      <w:r>
        <w:rPr>
          <w:spacing w:val="-50"/>
          <w:w w:val="99"/>
        </w:rPr>
        <w:t> </w:t>
      </w:r>
      <w:r>
        <w:rPr>
          <w:spacing w:val="-50"/>
          <w:w w:val="99"/>
        </w:rPr>
      </w:r>
      <w:r>
        <w:rPr/>
        <w:t>项目研发已完成。</w:t>
      </w:r>
    </w:p>
    <w:p>
      <w:pPr>
        <w:pStyle w:val="BodyText"/>
        <w:spacing w:line="468" w:lineRule="auto" w:before="65"/>
        <w:ind w:right="1131" w:firstLine="360"/>
        <w:jc w:val="both"/>
      </w:pPr>
      <w:r>
        <w:rPr>
          <w:rFonts w:ascii="Times New Roman" w:hAnsi="Times New Roman" w:cs="Times New Roman" w:eastAsia="Times New Roman" w:hint="default"/>
        </w:rPr>
        <w:t>6</w:t>
      </w:r>
      <w:r>
        <w:rPr/>
        <w:t>、</w:t>
      </w:r>
      <w:r>
        <w:rPr>
          <w:rFonts w:ascii="Times New Roman" w:hAnsi="Times New Roman" w:cs="Times New Roman" w:eastAsia="Times New Roman" w:hint="default"/>
        </w:rPr>
        <w:t>“</w:t>
      </w:r>
      <w:r>
        <w:rPr/>
        <w:t>非接触式视觉定位微电子流体固化设备的接入技术研发</w:t>
      </w:r>
      <w:r>
        <w:rPr>
          <w:rFonts w:ascii="Times New Roman" w:hAnsi="Times New Roman" w:cs="Times New Roman" w:eastAsia="Times New Roman" w:hint="default"/>
        </w:rPr>
        <w:t>”</w:t>
      </w:r>
      <w:r>
        <w:rPr>
          <w:rFonts w:ascii="Times New Roman" w:hAnsi="Times New Roman" w:cs="Times New Roman" w:eastAsia="Times New Roman" w:hint="default"/>
          <w:spacing w:val="-13"/>
        </w:rPr>
        <w:t> </w:t>
      </w:r>
      <w:r>
        <w:rPr/>
        <w:t>项目开发目标：传统的自动点胶设备存在效率低，精度不 </w:t>
      </w:r>
      <w:r>
        <w:rPr>
          <w:spacing w:val="-2"/>
        </w:rPr>
        <w:t>高，调试难等缺点，随着自动化技术的迅猛发展，传统点胶机已经远远不能满足工业上的要求。非接触式视觉定位微电子流</w:t>
      </w:r>
      <w:r>
        <w:rPr>
          <w:spacing w:val="-66"/>
        </w:rPr>
        <w:t> </w:t>
      </w:r>
      <w:r>
        <w:rPr>
          <w:spacing w:val="-66"/>
        </w:rPr>
      </w:r>
      <w:r>
        <w:rPr>
          <w:spacing w:val="-2"/>
        </w:rPr>
        <w:t>体固化设备是卓翼在多年运动控制技术的基础上研发的高速度，高精度，适应多种产品点胶，涂胶的自动化设备，有效的提</w:t>
      </w:r>
      <w:r>
        <w:rPr>
          <w:spacing w:val="-66"/>
        </w:rPr>
        <w:t> </w:t>
      </w:r>
      <w:r>
        <w:rPr>
          <w:spacing w:val="-66"/>
        </w:rPr>
      </w:r>
      <w:r>
        <w:rPr/>
        <w:t>高了生产效率，提高点胶精度，保证产品质量。为满足和适应点胶产业市场及客户更高的需求，目前该项目研发已完成。</w:t>
      </w:r>
    </w:p>
    <w:p>
      <w:pPr>
        <w:pStyle w:val="BodyText"/>
        <w:spacing w:line="458" w:lineRule="auto" w:before="61"/>
        <w:ind w:right="1109" w:firstLine="360"/>
        <w:jc w:val="both"/>
      </w:pPr>
      <w:r>
        <w:rPr>
          <w:rFonts w:ascii="Times New Roman" w:hAnsi="Times New Roman" w:cs="Times New Roman" w:eastAsia="Times New Roman" w:hint="default"/>
        </w:rPr>
        <w:t>7</w:t>
      </w:r>
      <w:r>
        <w:rPr/>
        <w:t>、</w:t>
      </w:r>
      <w:r>
        <w:rPr>
          <w:rFonts w:ascii="Times New Roman" w:hAnsi="Times New Roman" w:cs="Times New Roman" w:eastAsia="Times New Roman" w:hint="default"/>
        </w:rPr>
        <w:t>“</w:t>
      </w:r>
      <w:r>
        <w:rPr/>
        <w:t>基于高通</w:t>
      </w:r>
      <w:r>
        <w:rPr>
          <w:rFonts w:ascii="Times New Roman" w:hAnsi="Times New Roman" w:cs="Times New Roman" w:eastAsia="Times New Roman" w:hint="default"/>
        </w:rPr>
        <w:t>4G</w:t>
      </w:r>
      <w:r>
        <w:rPr/>
        <w:t>移动平台</w:t>
      </w:r>
      <w:r>
        <w:rPr>
          <w:rFonts w:ascii="Times New Roman" w:hAnsi="Times New Roman" w:cs="Times New Roman" w:eastAsia="Times New Roman" w:hint="default"/>
        </w:rPr>
        <w:t>MSM8953</w:t>
      </w:r>
      <w:r>
        <w:rPr/>
        <w:t>行业用</w:t>
      </w:r>
      <w:r>
        <w:rPr>
          <w:rFonts w:ascii="Times New Roman" w:hAnsi="Times New Roman" w:cs="Times New Roman" w:eastAsia="Times New Roman" w:hint="default"/>
        </w:rPr>
        <w:t>IOT</w:t>
      </w:r>
      <w:r>
        <w:rPr/>
        <w:t>设备的关键技术研究</w:t>
      </w:r>
      <w:r>
        <w:rPr>
          <w:rFonts w:ascii="Times New Roman" w:hAnsi="Times New Roman" w:cs="Times New Roman" w:eastAsia="Times New Roman" w:hint="default"/>
        </w:rPr>
        <w:t>”</w:t>
      </w:r>
      <w:r>
        <w:rPr>
          <w:rFonts w:ascii="Times New Roman" w:hAnsi="Times New Roman" w:cs="Times New Roman" w:eastAsia="Times New Roman" w:hint="default"/>
          <w:spacing w:val="17"/>
        </w:rPr>
        <w:t> </w:t>
      </w:r>
      <w:r>
        <w:rPr/>
        <w:t>项目开发目标：实现</w:t>
      </w:r>
      <w:r>
        <w:rPr>
          <w:rFonts w:ascii="Times New Roman" w:hAnsi="Times New Roman" w:cs="Times New Roman" w:eastAsia="Times New Roman" w:hint="default"/>
        </w:rPr>
        <w:t>4G</w:t>
      </w:r>
      <w:r>
        <w:rPr/>
        <w:t>移动和</w:t>
      </w:r>
      <w:r>
        <w:rPr>
          <w:rFonts w:ascii="Times New Roman" w:hAnsi="Times New Roman" w:cs="Times New Roman" w:eastAsia="Times New Roman" w:hint="default"/>
        </w:rPr>
        <w:t>HUF</w:t>
      </w:r>
      <w:r>
        <w:rPr/>
        <w:t>高频扫描产品 </w:t>
      </w:r>
      <w:r>
        <w:rPr>
          <w:spacing w:val="-2"/>
        </w:rPr>
        <w:t>功能验收测试；完成公司制定测试要求，并且测试通过所有规范要求；实现系统的互联互通，智能控制，数据交互，达到系</w:t>
      </w:r>
      <w:r>
        <w:rPr>
          <w:spacing w:val="-68"/>
        </w:rPr>
        <w:t> </w:t>
      </w:r>
      <w:r>
        <w:rPr>
          <w:spacing w:val="-68"/>
        </w:rPr>
      </w:r>
      <w:r>
        <w:rPr/>
        <w:t>统对接控制良好，数据传输可靠，性能稳定</w:t>
      </w:r>
      <w:r>
        <w:rPr>
          <w:rFonts w:ascii="Times New Roman" w:hAnsi="Times New Roman" w:cs="Times New Roman" w:eastAsia="Times New Roman" w:hint="default"/>
        </w:rPr>
        <w:t>4</w:t>
      </w:r>
      <w:r>
        <w:rPr/>
        <w:t>、满足产品的</w:t>
      </w:r>
      <w:r>
        <w:rPr>
          <w:rFonts w:ascii="Times New Roman" w:hAnsi="Times New Roman" w:cs="Times New Roman" w:eastAsia="Times New Roman" w:hint="default"/>
        </w:rPr>
        <w:t>EMC</w:t>
      </w:r>
      <w:r>
        <w:rPr/>
        <w:t>，环境工作要求，产品可靠性方面的要求，产品通过</w:t>
      </w:r>
      <w:r>
        <w:rPr>
          <w:rFonts w:ascii="Times New Roman" w:hAnsi="Times New Roman" w:cs="Times New Roman" w:eastAsia="Times New Roman" w:hint="default"/>
        </w:rPr>
        <w:t>CCC</w:t>
      </w:r>
      <w:r>
        <w:rPr/>
        <w:t>， </w:t>
      </w:r>
      <w:r>
        <w:rPr>
          <w:rFonts w:ascii="Times New Roman" w:hAnsi="Times New Roman" w:cs="Times New Roman" w:eastAsia="Times New Roman" w:hint="default"/>
        </w:rPr>
        <w:t>FCC</w:t>
      </w:r>
      <w:r>
        <w:rPr/>
        <w:t>，</w:t>
      </w:r>
      <w:r>
        <w:rPr>
          <w:rFonts w:ascii="Times New Roman" w:hAnsi="Times New Roman" w:cs="Times New Roman" w:eastAsia="Times New Roman" w:hint="default"/>
        </w:rPr>
        <w:t>CE,SRRC</w:t>
      </w:r>
      <w:r>
        <w:rPr/>
        <w:t>等相关认证。目前该项目研发已完成。</w:t>
      </w:r>
    </w:p>
    <w:p>
      <w:pPr>
        <w:pStyle w:val="BodyText"/>
        <w:spacing w:line="451" w:lineRule="auto" w:before="37"/>
        <w:ind w:right="1130" w:firstLine="360"/>
        <w:jc w:val="both"/>
      </w:pPr>
      <w:r>
        <w:rPr>
          <w:rFonts w:ascii="Times New Roman" w:hAnsi="Times New Roman" w:cs="Times New Roman" w:eastAsia="Times New Roman" w:hint="default"/>
        </w:rPr>
        <w:t>8</w:t>
      </w:r>
      <w:r>
        <w:rPr/>
        <w:t>、</w:t>
      </w:r>
      <w:r>
        <w:rPr>
          <w:rFonts w:ascii="Times New Roman" w:hAnsi="Times New Roman" w:cs="Times New Roman" w:eastAsia="Times New Roman" w:hint="default"/>
        </w:rPr>
        <w:t>“</w:t>
      </w:r>
      <w:r>
        <w:rPr>
          <w:rFonts w:ascii="Times New Roman" w:hAnsi="Times New Roman" w:cs="Times New Roman" w:eastAsia="Times New Roman" w:hint="default"/>
        </w:rPr>
        <w:t>134KHZ</w:t>
      </w:r>
      <w:r>
        <w:rPr/>
        <w:t>唤醒和</w:t>
      </w:r>
      <w:r>
        <w:rPr>
          <w:rFonts w:ascii="Times New Roman" w:hAnsi="Times New Roman" w:cs="Times New Roman" w:eastAsia="Times New Roman" w:hint="default"/>
        </w:rPr>
        <w:t>2.4RFID</w:t>
      </w:r>
      <w:r>
        <w:rPr/>
        <w:t>无线传输和</w:t>
      </w:r>
      <w:r>
        <w:rPr>
          <w:rFonts w:ascii="Times New Roman" w:hAnsi="Times New Roman" w:cs="Times New Roman" w:eastAsia="Times New Roman" w:hint="default"/>
        </w:rPr>
        <w:t>NFC</w:t>
      </w:r>
      <w:r>
        <w:rPr/>
        <w:t>支付智能资产卡</w:t>
      </w:r>
      <w:r>
        <w:rPr>
          <w:rFonts w:ascii="Times New Roman" w:hAnsi="Times New Roman" w:cs="Times New Roman" w:eastAsia="Times New Roman" w:hint="default"/>
        </w:rPr>
        <w:t>IOT</w:t>
      </w:r>
      <w:r>
        <w:rPr/>
        <w:t>设备的技术开发</w:t>
      </w:r>
      <w:r>
        <w:rPr>
          <w:rFonts w:ascii="Times New Roman" w:hAnsi="Times New Roman" w:cs="Times New Roman" w:eastAsia="Times New Roman" w:hint="default"/>
        </w:rPr>
        <w:t>”</w:t>
      </w:r>
      <w:r>
        <w:rPr>
          <w:rFonts w:ascii="Times New Roman" w:hAnsi="Times New Roman" w:cs="Times New Roman" w:eastAsia="Times New Roman" w:hint="default"/>
          <w:spacing w:val="10"/>
        </w:rPr>
        <w:t> </w:t>
      </w:r>
      <w:r>
        <w:rPr>
          <w:spacing w:val="-9"/>
        </w:rPr>
        <w:t>项目开发目标：为提升教育、医疗（养</w:t>
      </w:r>
      <w:r>
        <w:rPr/>
        <w:t> </w:t>
      </w:r>
      <w:r>
        <w:rPr>
          <w:spacing w:val="-4"/>
          <w:w w:val="99"/>
        </w:rPr>
        <w:t>老）、园区（企业）三个行业解决方案的完整性，补充</w:t>
      </w:r>
      <w:r>
        <w:rPr>
          <w:rFonts w:ascii="Times New Roman" w:hAnsi="Times New Roman" w:cs="Times New Roman" w:eastAsia="Times New Roman" w:hint="default"/>
          <w:spacing w:val="-4"/>
          <w:w w:val="99"/>
        </w:rPr>
        <w:t>RFID</w:t>
      </w:r>
      <w:r>
        <w:rPr>
          <w:spacing w:val="-4"/>
          <w:w w:val="99"/>
        </w:rPr>
        <w:t>标签及智能卡产品。</w:t>
      </w:r>
      <w:r>
        <w:rPr>
          <w:rFonts w:ascii="Times New Roman" w:hAnsi="Times New Roman" w:cs="Times New Roman" w:eastAsia="Times New Roman" w:hint="default"/>
          <w:spacing w:val="-4"/>
          <w:w w:val="99"/>
        </w:rPr>
        <w:t>IN1000-TG</w:t>
      </w:r>
      <w:r>
        <w:rPr>
          <w:spacing w:val="-4"/>
          <w:w w:val="99"/>
        </w:rPr>
        <w:t>是</w:t>
      </w:r>
      <w:r>
        <w:rPr>
          <w:rFonts w:ascii="Times New Roman" w:hAnsi="Times New Roman" w:cs="Times New Roman" w:eastAsia="Times New Roman" w:hint="default"/>
          <w:spacing w:val="-4"/>
          <w:w w:val="99"/>
        </w:rPr>
        <w:t>2.4GH</w:t>
      </w:r>
      <w:r>
        <w:rPr>
          <w:rFonts w:ascii="Times New Roman" w:hAnsi="Times New Roman" w:cs="Times New Roman" w:eastAsia="Times New Roman" w:hint="default"/>
          <w:spacing w:val="36"/>
          <w:w w:val="99"/>
        </w:rPr>
        <w:t> </w:t>
      </w:r>
      <w:r>
        <w:rPr>
          <w:rFonts w:ascii="Times New Roman" w:hAnsi="Times New Roman" w:cs="Times New Roman" w:eastAsia="Times New Roman" w:hint="default"/>
          <w:spacing w:val="-1"/>
          <w:w w:val="99"/>
        </w:rPr>
        <w:t>RFID</w:t>
      </w:r>
      <w:r>
        <w:rPr>
          <w:spacing w:val="-1"/>
          <w:w w:val="99"/>
        </w:rPr>
        <w:t>有源标签</w:t>
      </w:r>
      <w:r>
        <w:rPr>
          <w:rFonts w:ascii="Times New Roman" w:hAnsi="Times New Roman" w:cs="Times New Roman" w:eastAsia="Times New Roman" w:hint="default"/>
          <w:spacing w:val="-1"/>
          <w:w w:val="99"/>
        </w:rPr>
        <w:t>,</w:t>
      </w:r>
      <w:r>
        <w:rPr>
          <w:spacing w:val="-1"/>
          <w:w w:val="99"/>
        </w:rPr>
        <w:t>支持锂电</w:t>
      </w:r>
      <w:r>
        <w:rPr>
          <w:spacing w:val="-79"/>
          <w:w w:val="99"/>
        </w:rPr>
        <w:t> </w:t>
      </w:r>
      <w:r>
        <w:rPr/>
        <w:t>池供电，可配合</w:t>
      </w:r>
      <w:r>
        <w:rPr>
          <w:rFonts w:ascii="Times New Roman" w:hAnsi="Times New Roman" w:cs="Times New Roman" w:eastAsia="Times New Roman" w:hint="default"/>
        </w:rPr>
        <w:t>T300-R RFID</w:t>
      </w:r>
      <w:r>
        <w:rPr/>
        <w:t>网关实现资产的定位应用；</w:t>
      </w:r>
      <w:r>
        <w:rPr>
          <w:rFonts w:ascii="Times New Roman" w:hAnsi="Times New Roman" w:cs="Times New Roman" w:eastAsia="Times New Roman" w:hint="default"/>
        </w:rPr>
        <w:t>IN1000-SC</w:t>
      </w:r>
      <w:r>
        <w:rPr/>
        <w:t>是</w:t>
      </w:r>
      <w:r>
        <w:rPr>
          <w:rFonts w:ascii="Times New Roman" w:hAnsi="Times New Roman" w:cs="Times New Roman" w:eastAsia="Times New Roman" w:hint="default"/>
        </w:rPr>
        <w:t>2.4GHz</w:t>
      </w:r>
      <w:r>
        <w:rPr>
          <w:rFonts w:ascii="Times New Roman" w:hAnsi="Times New Roman" w:cs="Times New Roman" w:eastAsia="Times New Roman" w:hint="default"/>
          <w:spacing w:val="39"/>
        </w:rPr>
        <w:t> </w:t>
      </w:r>
      <w:r>
        <w:rPr>
          <w:rFonts w:ascii="Times New Roman" w:hAnsi="Times New Roman" w:cs="Times New Roman" w:eastAsia="Times New Roman" w:hint="default"/>
        </w:rPr>
        <w:t>RFID</w:t>
      </w:r>
      <w:r>
        <w:rPr/>
        <w:t>有源智能卡</w:t>
      </w:r>
      <w:r>
        <w:rPr>
          <w:rFonts w:ascii="Times New Roman" w:hAnsi="Times New Roman" w:cs="Times New Roman" w:eastAsia="Times New Roman" w:hint="default"/>
        </w:rPr>
        <w:t>,</w:t>
      </w:r>
      <w:r>
        <w:rPr/>
        <w:t>支持电池供电，可配合</w:t>
      </w:r>
      <w:r>
        <w:rPr>
          <w:rFonts w:ascii="Times New Roman" w:hAnsi="Times New Roman" w:cs="Times New Roman" w:eastAsia="Times New Roman" w:hint="default"/>
        </w:rPr>
        <w:t>T300 RFID</w:t>
      </w:r>
      <w:r>
        <w:rPr/>
        <w:t>网关实现人员的定位，并且内置支付芯片，可用于消费及门禁，主要适用于高年级学生及企业员工。目前该项目研发</w:t>
      </w:r>
      <w:r>
        <w:rPr>
          <w:spacing w:val="-58"/>
        </w:rPr>
        <w:t> </w:t>
      </w:r>
      <w:r>
        <w:rPr>
          <w:spacing w:val="-58"/>
        </w:rPr>
      </w:r>
      <w:r>
        <w:rPr/>
        <w:t>已完成。</w:t>
      </w:r>
    </w:p>
    <w:p>
      <w:pPr>
        <w:pStyle w:val="BodyText"/>
        <w:spacing w:line="468" w:lineRule="auto" w:before="74"/>
        <w:ind w:right="1131" w:firstLine="360"/>
        <w:jc w:val="both"/>
      </w:pPr>
      <w:r>
        <w:rPr>
          <w:rFonts w:ascii="Times New Roman" w:hAnsi="Times New Roman" w:cs="Times New Roman" w:eastAsia="Times New Roman" w:hint="default"/>
        </w:rPr>
        <w:t>9</w:t>
      </w:r>
      <w:r>
        <w:rPr/>
        <w:t>、</w:t>
      </w:r>
      <w:r>
        <w:rPr>
          <w:rFonts w:ascii="Times New Roman" w:hAnsi="Times New Roman" w:cs="Times New Roman" w:eastAsia="Times New Roman" w:hint="default"/>
        </w:rPr>
        <w:t>“</w:t>
      </w:r>
      <w:r>
        <w:rPr/>
        <w:t>高效流体动态压差数字检测设备</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项目开发目标：高效流体动态压差数字检测设备，主要是检测</w:t>
      </w:r>
      <w:r>
        <w:rPr>
          <w:rFonts w:ascii="Times New Roman" w:hAnsi="Times New Roman" w:cs="Times New Roman" w:eastAsia="Times New Roman" w:hint="default"/>
        </w:rPr>
        <w:t>3C</w:t>
      </w:r>
      <w:r>
        <w:rPr/>
        <w:t>电子产品的密 </w:t>
      </w:r>
      <w:r>
        <w:rPr>
          <w:spacing w:val="-2"/>
        </w:rPr>
        <w:t>封性能测试，解决传统密封测试，放在水里，然后用气管吹气，测量不准确，本测试仪，采用的是压差测试，通过标准物与</w:t>
      </w:r>
      <w:r>
        <w:rPr>
          <w:spacing w:val="-72"/>
        </w:rPr>
        <w:t> </w:t>
      </w:r>
      <w:r>
        <w:rPr>
          <w:spacing w:val="-72"/>
        </w:rPr>
      </w:r>
      <w:r>
        <w:rPr>
          <w:spacing w:val="-2"/>
        </w:rPr>
        <w:t>测试物充气、比对，可以实现高精度测试，测试精度高，测量稳定，测试一致性，不受外界环境的影响，大大提高了产品的</w:t>
      </w:r>
      <w:r>
        <w:rPr>
          <w:spacing w:val="-72"/>
        </w:rPr>
        <w:t> </w:t>
      </w:r>
      <w:r>
        <w:rPr>
          <w:spacing w:val="-72"/>
        </w:rPr>
      </w:r>
      <w:r>
        <w:rPr/>
        <w:t>质量和测试的效率，提升产能。</w:t>
      </w:r>
    </w:p>
    <w:p>
      <w:pPr>
        <w:spacing w:after="0" w:line="468" w:lineRule="auto"/>
        <w:jc w:val="both"/>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460" w:lineRule="auto" w:before="44"/>
        <w:ind w:right="1050" w:firstLine="360"/>
        <w:jc w:val="both"/>
      </w:pPr>
      <w:r>
        <w:rPr>
          <w:rFonts w:ascii="Times New Roman" w:hAnsi="Times New Roman" w:cs="Times New Roman" w:eastAsia="Times New Roman" w:hint="default"/>
        </w:rPr>
        <w:t>10</w:t>
      </w:r>
      <w:r>
        <w:rPr/>
        <w:t>、</w:t>
      </w:r>
      <w:r>
        <w:rPr>
          <w:rFonts w:ascii="Times New Roman" w:hAnsi="Times New Roman" w:cs="Times New Roman" w:eastAsia="Times New Roman" w:hint="default"/>
        </w:rPr>
        <w:t>“</w:t>
      </w:r>
      <w:r>
        <w:rPr/>
        <w:t>无线智能终端</w:t>
      </w:r>
      <w:r>
        <w:rPr>
          <w:rFonts w:ascii="Times New Roman" w:hAnsi="Times New Roman" w:cs="Times New Roman" w:eastAsia="Times New Roman" w:hint="default"/>
        </w:rPr>
        <w:t>3D-TP</w:t>
      </w:r>
      <w:r>
        <w:rPr/>
        <w:t>曲屏机器人和影像分析无缝嵌入非接触式视觉定位微电子流体固化设备的接入技术研发</w:t>
      </w:r>
      <w:r>
        <w:rPr>
          <w:rFonts w:ascii="Times New Roman" w:hAnsi="Times New Roman" w:cs="Times New Roman" w:eastAsia="Times New Roman" w:hint="default"/>
        </w:rPr>
        <w:t>”</w:t>
      </w:r>
      <w:r>
        <w:rPr>
          <w:rFonts w:ascii="Times New Roman" w:hAnsi="Times New Roman" w:cs="Times New Roman" w:eastAsia="Times New Roman" w:hint="default"/>
          <w:spacing w:val="37"/>
        </w:rPr>
        <w:t> </w:t>
      </w:r>
      <w:r>
        <w:rPr/>
        <w:t>项 目开发目标：无线智能终端</w:t>
      </w:r>
      <w:r>
        <w:rPr>
          <w:rFonts w:ascii="Times New Roman" w:hAnsi="Times New Roman" w:cs="Times New Roman" w:eastAsia="Times New Roman" w:hint="default"/>
        </w:rPr>
        <w:t>3D-TP</w:t>
      </w:r>
      <w:r>
        <w:rPr/>
        <w:t>曲屏机器人＆影像分析无缝嵌入非接触式视觉定位微电子流体固化设备包括一个工作台， </w:t>
      </w:r>
      <w:r>
        <w:rPr>
          <w:spacing w:val="-2"/>
        </w:rPr>
        <w:t>设置取中壳物料定位操作、撕膜操作、取屏幕操作、组装操作、压合操作等动作进行协助控制或作业，实现了自动化设备组</w:t>
      </w:r>
      <w:r>
        <w:rPr>
          <w:spacing w:val="-66"/>
        </w:rPr>
        <w:t> </w:t>
      </w:r>
      <w:r>
        <w:rPr>
          <w:spacing w:val="-66"/>
        </w:rPr>
      </w:r>
      <w:r>
        <w:rPr/>
        <w:t>装操作，完全解放了人力，缩短生产周期，大大提高了生产效率，同时获得质量更加稳定的产品。目前该项目研发已完成。</w:t>
      </w:r>
    </w:p>
    <w:p>
      <w:pPr>
        <w:pStyle w:val="BodyText"/>
        <w:spacing w:line="463" w:lineRule="auto" w:before="67"/>
        <w:ind w:right="1131" w:firstLine="360"/>
        <w:jc w:val="both"/>
      </w:pPr>
      <w:r>
        <w:rPr>
          <w:rFonts w:ascii="Times New Roman" w:hAnsi="Times New Roman" w:cs="Times New Roman" w:eastAsia="Times New Roman" w:hint="default"/>
        </w:rPr>
        <w:t>11</w:t>
      </w:r>
      <w:r>
        <w:rPr/>
        <w:t>、</w:t>
      </w:r>
      <w:r>
        <w:rPr>
          <w:rFonts w:ascii="Times New Roman" w:hAnsi="Times New Roman" w:cs="Times New Roman" w:eastAsia="Times New Roman" w:hint="default"/>
        </w:rPr>
        <w:t>“</w:t>
      </w:r>
      <w:r>
        <w:rPr/>
        <w:t>应用于</w:t>
      </w:r>
      <w:r>
        <w:rPr>
          <w:rFonts w:ascii="Times New Roman" w:hAnsi="Times New Roman" w:cs="Times New Roman" w:eastAsia="Times New Roman" w:hint="default"/>
        </w:rPr>
        <w:t>3D</w:t>
      </w:r>
      <w:r>
        <w:rPr/>
        <w:t>曲屏的自检式无尘清洁设备的清洗技术研究</w:t>
      </w:r>
      <w:r>
        <w:rPr>
          <w:rFonts w:ascii="Times New Roman" w:hAnsi="Times New Roman" w:cs="Times New Roman" w:eastAsia="Times New Roman" w:hint="default"/>
        </w:rPr>
        <w:t>” </w:t>
      </w:r>
      <w:r>
        <w:rPr/>
        <w:t>项目开发目标：</w:t>
      </w:r>
      <w:r>
        <w:rPr>
          <w:spacing w:val="25"/>
        </w:rPr>
        <w:t> </w:t>
      </w:r>
      <w:r>
        <w:rPr/>
        <w:t>应用于</w:t>
      </w:r>
      <w:r>
        <w:rPr>
          <w:rFonts w:ascii="Times New Roman" w:hAnsi="Times New Roman" w:cs="Times New Roman" w:eastAsia="Times New Roman" w:hint="default"/>
        </w:rPr>
        <w:t>3D</w:t>
      </w:r>
      <w:r>
        <w:rPr/>
        <w:t>曲屏的自检式无尘清洁设备主 要</w:t>
      </w:r>
      <w:r>
        <w:rPr>
          <w:spacing w:val="-23"/>
        </w:rPr>
        <w:t> </w:t>
      </w:r>
      <w:r>
        <w:rPr/>
        <w:t>用于</w:t>
      </w:r>
      <w:r>
        <w:rPr>
          <w:rFonts w:ascii="Times New Roman" w:hAnsi="Times New Roman" w:cs="Times New Roman" w:eastAsia="Times New Roman" w:hint="default"/>
        </w:rPr>
        <w:t>3C</w:t>
      </w:r>
      <w:r>
        <w:rPr/>
        <w:t>产品屏幕的清洁，主由，送料模组，酒精喷洒装置，无尘布回收清洁装置，滚轮滚压装置。通过送料模组把产品 </w:t>
      </w:r>
      <w:r>
        <w:rPr>
          <w:spacing w:val="-2"/>
        </w:rPr>
        <w:t>送到，滚压装置的下方，酒精喷洒在无尘布装置上，滚轮下压，送料模组往前走，把屏幕清洁干净。自主研发清屏机，解决</w:t>
      </w:r>
      <w:r>
        <w:rPr>
          <w:spacing w:val="-72"/>
        </w:rPr>
        <w:t> </w:t>
      </w:r>
      <w:r>
        <w:rPr>
          <w:spacing w:val="-72"/>
        </w:rPr>
      </w:r>
      <w:r>
        <w:rPr>
          <w:spacing w:val="-2"/>
        </w:rPr>
        <w:t>采用人工用酒精搽除，造成的品质风险与酒精挥发造成的安全问题。大大提高了工作效率，为了满足公司自身要求，增强公</w:t>
      </w:r>
      <w:r>
        <w:rPr>
          <w:spacing w:val="-66"/>
        </w:rPr>
        <w:t> </w:t>
      </w:r>
      <w:r>
        <w:rPr>
          <w:spacing w:val="-66"/>
        </w:rPr>
      </w:r>
      <w:r>
        <w:rPr/>
        <w:t>司实力，特此立项研发。目前该项目研发已完成。</w:t>
      </w:r>
    </w:p>
    <w:p>
      <w:pPr>
        <w:pStyle w:val="BodyText"/>
        <w:spacing w:line="472" w:lineRule="auto" w:before="65"/>
        <w:ind w:right="0" w:firstLine="360"/>
        <w:jc w:val="left"/>
      </w:pPr>
      <w:r>
        <w:rPr>
          <w:rFonts w:ascii="Times New Roman" w:hAnsi="Times New Roman" w:cs="Times New Roman" w:eastAsia="Times New Roman" w:hint="default"/>
        </w:rPr>
        <w:t>12</w:t>
      </w:r>
      <w:r>
        <w:rPr/>
        <w:t>、</w:t>
      </w:r>
      <w:r>
        <w:rPr>
          <w:rFonts w:ascii="Times New Roman" w:hAnsi="Times New Roman" w:cs="Times New Roman" w:eastAsia="Times New Roman" w:hint="default"/>
        </w:rPr>
        <w:t>“</w:t>
      </w:r>
      <w:r>
        <w:rPr/>
        <w:t>智能终端设备外覆结构及外观可行性分析和总装校错设备的关键技术应用研究</w:t>
      </w:r>
      <w:r>
        <w:rPr>
          <w:rFonts w:ascii="Times New Roman" w:hAnsi="Times New Roman" w:cs="Times New Roman" w:eastAsia="Times New Roman" w:hint="default"/>
        </w:rPr>
        <w:t>” </w:t>
      </w:r>
      <w:r>
        <w:rPr/>
        <w:t>项目开发目标：</w:t>
      </w:r>
      <w:r>
        <w:rPr>
          <w:spacing w:val="-52"/>
        </w:rPr>
        <w:t> </w:t>
      </w:r>
      <w:r>
        <w:rPr/>
        <w:t>随着人们生活水</w:t>
      </w:r>
      <w:r>
        <w:rPr/>
        <w:t> </w:t>
      </w:r>
      <w:r>
        <w:rPr>
          <w:spacing w:val="-2"/>
        </w:rPr>
        <w:t>平的提高，审美也越来越高，对产品的包装追求精致。彩盒称重贴标检查机经过视觉检测系统对彩盒各项指标进行检测，同</w:t>
      </w:r>
      <w:r>
        <w:rPr>
          <w:spacing w:val="-66"/>
        </w:rPr>
        <w:t> </w:t>
      </w:r>
      <w:r>
        <w:rPr>
          <w:spacing w:val="-66"/>
        </w:rPr>
      </w:r>
      <w:r>
        <w:rPr>
          <w:spacing w:val="-4"/>
        </w:rPr>
        <w:t>时重量传感器完成称重过程，保证彩盒的规范标准化，大大减少了传统人工利用普通秤来称量产品的时间，减少了人为误差，</w:t>
      </w:r>
      <w:r>
        <w:rPr>
          <w:spacing w:val="-44"/>
        </w:rPr>
        <w:t> </w:t>
      </w:r>
      <w:r>
        <w:rPr>
          <w:spacing w:val="-44"/>
        </w:rPr>
      </w:r>
      <w:r>
        <w:rPr>
          <w:spacing w:val="-2"/>
        </w:rPr>
        <w:t>提升测量的准确性，保证彩盒包装符合标准。同时按照物料流向的顺序依次设置取料移载工位、撕标工位、贴标工位以及成</w:t>
      </w:r>
      <w:r>
        <w:rPr>
          <w:spacing w:val="-66"/>
        </w:rPr>
        <w:t> </w:t>
      </w:r>
      <w:r>
        <w:rPr>
          <w:spacing w:val="-66"/>
        </w:rPr>
      </w:r>
      <w:r>
        <w:rPr>
          <w:spacing w:val="-2"/>
        </w:rPr>
        <w:t>品收料工位，多贴标动作进行协助控制或作业，实现了自动化设备流水线贴标操作，完全解放了人力，缩短生产周期，大大</w:t>
      </w:r>
      <w:r>
        <w:rPr>
          <w:spacing w:val="-66"/>
        </w:rPr>
        <w:t> </w:t>
      </w:r>
      <w:r>
        <w:rPr>
          <w:spacing w:val="-66"/>
        </w:rPr>
      </w:r>
      <w:r>
        <w:rPr/>
        <w:t>提高了生产效率。</w:t>
      </w:r>
    </w:p>
    <w:p>
      <w:pPr>
        <w:pStyle w:val="BodyText"/>
        <w:spacing w:line="458" w:lineRule="auto" w:before="58"/>
        <w:ind w:right="1130" w:firstLine="360"/>
        <w:jc w:val="both"/>
      </w:pPr>
      <w:r>
        <w:rPr>
          <w:rFonts w:ascii="Times New Roman" w:hAnsi="Times New Roman" w:cs="Times New Roman" w:eastAsia="Times New Roman" w:hint="default"/>
        </w:rPr>
        <w:t>13</w:t>
      </w:r>
      <w:r>
        <w:rPr/>
        <w:t>、</w:t>
      </w:r>
      <w:r>
        <w:rPr>
          <w:rFonts w:ascii="Times New Roman" w:hAnsi="Times New Roman" w:cs="Times New Roman" w:eastAsia="Times New Roman" w:hint="default"/>
        </w:rPr>
        <w:t>“</w:t>
      </w:r>
      <w:r>
        <w:rPr/>
        <w:t>智能终端接入云平台软件设计和智能终端接入云平台软件研发</w:t>
      </w:r>
      <w:r>
        <w:rPr>
          <w:rFonts w:ascii="Times New Roman" w:hAnsi="Times New Roman" w:cs="Times New Roman" w:eastAsia="Times New Roman" w:hint="default"/>
        </w:rPr>
        <w:t>” </w:t>
      </w:r>
      <w:r>
        <w:rPr>
          <w:spacing w:val="-3"/>
        </w:rPr>
        <w:t>项目开发目标：</w:t>
      </w:r>
      <w:r>
        <w:rPr>
          <w:rFonts w:ascii="Times New Roman" w:hAnsi="Times New Roman" w:cs="Times New Roman" w:eastAsia="Times New Roman" w:hint="default"/>
          <w:spacing w:val="-3"/>
        </w:rPr>
        <w:t>Smart</w:t>
      </w:r>
      <w:r>
        <w:rPr>
          <w:rFonts w:ascii="Times New Roman" w:hAnsi="Times New Roman" w:cs="Times New Roman" w:eastAsia="Times New Roman" w:hint="default"/>
          <w:spacing w:val="-1"/>
        </w:rPr>
        <w:t> </w:t>
      </w:r>
      <w:r>
        <w:rPr>
          <w:rFonts w:ascii="Times New Roman" w:hAnsi="Times New Roman" w:cs="Times New Roman" w:eastAsia="Times New Roman" w:hint="default"/>
        </w:rPr>
        <w:t>Home</w:t>
      </w:r>
      <w:r>
        <w:rPr/>
        <w:t>，智慧家庭</w:t>
      </w:r>
      <w:r>
        <w:rPr>
          <w:rFonts w:ascii="Times New Roman" w:hAnsi="Times New Roman" w:cs="Times New Roman" w:eastAsia="Times New Roman" w:hint="default"/>
        </w:rPr>
        <w:t>/</w:t>
      </w:r>
      <w:r>
        <w:rPr/>
        <w:t>智能家居</w:t>
      </w:r>
      <w:r>
        <w:rPr>
          <w:rFonts w:ascii="Times New Roman" w:hAnsi="Times New Roman" w:cs="Times New Roman" w:eastAsia="Times New Roman" w:hint="default"/>
        </w:rPr>
        <w:t>,</w:t>
      </w:r>
      <w:r>
        <w:rPr>
          <w:rFonts w:ascii="Times New Roman" w:hAnsi="Times New Roman" w:cs="Times New Roman" w:eastAsia="Times New Roman" w:hint="default"/>
          <w:w w:val="99"/>
        </w:rPr>
        <w:t> </w:t>
      </w:r>
      <w:r>
        <w:rPr>
          <w:spacing w:val="-1"/>
        </w:rPr>
        <w:t>是以家庭住宅（可延展至</w:t>
      </w:r>
      <w:r>
        <w:rPr>
          <w:rFonts w:ascii="Times New Roman" w:hAnsi="Times New Roman" w:cs="Times New Roman" w:eastAsia="Times New Roman" w:hint="default"/>
          <w:spacing w:val="-1"/>
        </w:rPr>
        <w:t>SOHO</w:t>
      </w:r>
      <w:r>
        <w:rPr>
          <w:spacing w:val="-1"/>
        </w:rPr>
        <w:t>、中小型商铺、小型公共场所）为主要实施对象，利用基于云平台技术、综合布线技术、网</w:t>
      </w:r>
      <w:r>
        <w:rPr>
          <w:spacing w:val="-71"/>
        </w:rPr>
        <w:t> </w:t>
      </w:r>
      <w:r>
        <w:rPr>
          <w:spacing w:val="-71"/>
        </w:rPr>
      </w:r>
      <w:r>
        <w:rPr/>
        <w:t>络通信技术、</w:t>
      </w:r>
      <w:r>
        <w:rPr>
          <w:spacing w:val="7"/>
        </w:rPr>
        <w:t> </w:t>
      </w:r>
      <w:r>
        <w:rPr/>
        <w:t>安全防范技术、自动控制技术、音视频技术将家居生活有关的设施集成，构建高效的住宅设施与家庭日程事</w:t>
      </w:r>
      <w:r>
        <w:rPr/>
        <w:t> 务的管理系统，提升家居安全性、便利性、舒适性、艺术性，并实现环保节能的居住环境。目前该项目研发已完成。</w:t>
      </w:r>
    </w:p>
    <w:p>
      <w:pPr>
        <w:pStyle w:val="BodyText"/>
        <w:spacing w:line="463" w:lineRule="auto" w:before="68"/>
        <w:ind w:right="1129" w:firstLine="360"/>
        <w:jc w:val="both"/>
      </w:pPr>
      <w:r>
        <w:rPr>
          <w:rFonts w:ascii="Times New Roman" w:hAnsi="Times New Roman" w:cs="Times New Roman" w:eastAsia="Times New Roman" w:hint="default"/>
        </w:rPr>
        <w:t>14</w:t>
      </w:r>
      <w:r>
        <w:rPr/>
        <w:t>、</w:t>
      </w:r>
      <w:r>
        <w:rPr>
          <w:rFonts w:ascii="Times New Roman" w:hAnsi="Times New Roman" w:cs="Times New Roman" w:eastAsia="Times New Roman" w:hint="default"/>
        </w:rPr>
        <w:t>“</w:t>
      </w:r>
      <w:r>
        <w:rPr/>
        <w:t>基于移动侦测技术的智能追踪和快速预警监控智能摄像机</w:t>
      </w:r>
      <w:r>
        <w:rPr>
          <w:rFonts w:ascii="Times New Roman" w:hAnsi="Times New Roman" w:cs="Times New Roman" w:eastAsia="Times New Roman" w:hint="default"/>
        </w:rPr>
        <w:t>”</w:t>
      </w:r>
      <w:r>
        <w:rPr>
          <w:rFonts w:ascii="Times New Roman" w:hAnsi="Times New Roman" w:cs="Times New Roman" w:eastAsia="Times New Roman" w:hint="default"/>
          <w:spacing w:val="22"/>
        </w:rPr>
        <w:t> </w:t>
      </w:r>
      <w:r>
        <w:rPr/>
        <w:t>项目开发目标：近年来随着智能家居和智能硬件市场 </w:t>
      </w:r>
      <w:r>
        <w:rPr>
          <w:spacing w:val="-2"/>
        </w:rPr>
        <w:t>的进一步发展，技术和应用逐步趋向成熟，市场的接纳度越来越高，对智能化产品的市场需求也越来越大，整个市场的规模</w:t>
      </w:r>
      <w:r>
        <w:rPr>
          <w:spacing w:val="-66"/>
        </w:rPr>
        <w:t> </w:t>
      </w:r>
      <w:r>
        <w:rPr>
          <w:spacing w:val="-66"/>
        </w:rPr>
      </w:r>
      <w:r>
        <w:rPr/>
        <w:t>在不断的扩大。在监控行业，随着技术门槛的下降，以及应用场景的不断扩展，对监控的需求，逐步的从之前的专业</w:t>
      </w:r>
      <w:r>
        <w:rPr>
          <w:rFonts w:ascii="Times New Roman" w:hAnsi="Times New Roman" w:cs="Times New Roman" w:eastAsia="Times New Roman" w:hint="default"/>
        </w:rPr>
        <w:t>/</w:t>
      </w:r>
      <w:r>
        <w:rPr/>
        <w:t>行业</w:t>
      </w:r>
      <w:r>
        <w:rPr>
          <w:spacing w:val="-45"/>
        </w:rPr>
        <w:t> </w:t>
      </w:r>
      <w:r>
        <w:rPr>
          <w:spacing w:val="-2"/>
        </w:rPr>
        <w:t>领域逐步延伸到了家庭消费的领域，智能摄像头（包含细分市场的如智能门铃、猫眼）等产品越来越被消费者青睐。目前该</w:t>
      </w:r>
      <w:r>
        <w:rPr>
          <w:spacing w:val="-66"/>
        </w:rPr>
        <w:t> </w:t>
      </w:r>
      <w:r>
        <w:rPr>
          <w:spacing w:val="-66"/>
        </w:rPr>
      </w:r>
      <w:r>
        <w:rPr/>
        <w:t>项目研发已完成。</w:t>
      </w:r>
    </w:p>
    <w:p>
      <w:pPr>
        <w:pStyle w:val="BodyText"/>
        <w:spacing w:line="463" w:lineRule="auto" w:before="65"/>
        <w:ind w:right="1132" w:firstLine="360"/>
        <w:jc w:val="both"/>
      </w:pPr>
      <w:r>
        <w:rPr>
          <w:rFonts w:ascii="Times New Roman" w:hAnsi="Times New Roman" w:cs="Times New Roman" w:eastAsia="Times New Roman" w:hint="default"/>
        </w:rPr>
        <w:t>15</w:t>
      </w:r>
      <w:r>
        <w:rPr/>
        <w:t>、</w:t>
      </w:r>
      <w:r>
        <w:rPr>
          <w:rFonts w:ascii="Times New Roman" w:hAnsi="Times New Roman" w:cs="Times New Roman" w:eastAsia="Times New Roman" w:hint="default"/>
        </w:rPr>
        <w:t>“</w:t>
      </w:r>
      <w:r>
        <w:rPr/>
        <w:t>智能无线组儿童台灯的技术研究</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项目开发目标：儿童智能矫姿台灯是智能家居最主要的控制功能，在通过台灯 </w:t>
      </w:r>
      <w:r>
        <w:rPr>
          <w:spacing w:val="-2"/>
        </w:rPr>
        <w:t>的智能化，让台灯成为孩子的好朋友，以智能、柔性的人机交互信息，对小朋友行为进行由内而外的引导，在实现矫姿和护</w:t>
      </w:r>
      <w:r>
        <w:rPr>
          <w:spacing w:val="-66"/>
        </w:rPr>
        <w:t> </w:t>
      </w:r>
      <w:r>
        <w:rPr>
          <w:spacing w:val="-66"/>
        </w:rPr>
      </w:r>
      <w:r>
        <w:rPr/>
        <w:t>眼的同时，也培养小朋友自我管理的好习惯。目前该项目研发已完成。</w:t>
      </w:r>
    </w:p>
    <w:p>
      <w:pPr>
        <w:pStyle w:val="BodyText"/>
        <w:spacing w:line="240" w:lineRule="auto" w:before="28"/>
        <w:ind w:right="0"/>
        <w:jc w:val="left"/>
      </w:pPr>
      <w:r>
        <w:rPr/>
        <w:t>公司研发投入情况</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665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675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-1.48%</w:t>
            </w:r>
          </w:p>
        </w:tc>
      </w:tr>
    </w:tbl>
    <w:p>
      <w:pPr>
        <w:spacing w:after="0" w:line="240" w:lineRule="auto"/>
        <w:jc w:val="righ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9.71%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-0.41%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109,564,276.13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98,893,572.55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10.79%</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-0.10%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研发投入资本化的金</w:t>
            </w:r>
            <w:r>
              <w:rPr>
                <w:rFonts w:ascii="宋体" w:hAnsi="宋体" w:cs="宋体" w:eastAsia="宋体" w:hint="default"/>
                <w:spacing w:val="-75"/>
                <w:sz w:val="18"/>
                <w:szCs w:val="18"/>
              </w:rPr>
              <w:t>额</w:t>
            </w:r>
            <w:r>
              <w:rPr>
                <w:rFonts w:ascii="宋体" w:hAnsi="宋体" w:cs="宋体" w:eastAsia="宋体" w:hint="default"/>
                <w:sz w:val="18"/>
                <w:szCs w:val="18"/>
              </w:rPr>
              <w:t>（元）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4,201,095.93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4,057,008.94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3.55%</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资本化研发投入占研发投入 的比例</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3.83%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-0.27%</w:t>
            </w:r>
          </w:p>
        </w:tc>
      </w:tr>
    </w:tbl>
    <w:p>
      <w:pPr>
        <w:pStyle w:val="BodyText"/>
        <w:spacing w:line="240" w:lineRule="auto" w:before="51"/>
        <w:ind w:right="0"/>
        <w:jc w:val="left"/>
      </w:pPr>
      <w:r>
        <w:rPr/>
        <w:t>研发投入总额占营业收入的比重较上年发生显著变化的原因</w:t>
      </w:r>
    </w:p>
    <w:p>
      <w:pPr>
        <w:pStyle w:val="BodyText"/>
        <w:spacing w:line="357" w:lineRule="auto" w:before="117"/>
        <w:ind w:right="6792"/>
        <w:jc w:val="left"/>
      </w:pPr>
      <w:r>
        <w:rPr/>
        <w:t>□ 适用 √ 不适用 研发投入资本化率大幅变动的原因及其合理性说明</w:t>
      </w:r>
    </w:p>
    <w:p>
      <w:pPr>
        <w:pStyle w:val="BodyText"/>
        <w:spacing w:line="240" w:lineRule="auto" w:before="29"/>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5、现金流" w:id="39"/>
      <w:bookmarkEnd w:id="39"/>
      <w:r>
        <w:rPr>
          <w:b w:val="0"/>
          <w:bCs w:val="0"/>
        </w:rPr>
      </w:r>
      <w:r>
        <w:rPr>
          <w:rFonts w:ascii="Times New Roman" w:hAnsi="Times New Roman" w:cs="Times New Roman" w:eastAsia="Times New Roman" w:hint="default"/>
        </w:rPr>
        <w:t>5</w:t>
      </w:r>
      <w:r>
        <w:rPr/>
        <w:t>、现金流</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3,826,559,600.47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3,965,646,172.22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3,742,063,144.91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3,922,166,181.08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-4.59%</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84,496,455.56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43,479,991.14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94.33%</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488,085,072.27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113,029,212.63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331.82%</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407,738,340.45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875,959,454.33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-53.45%</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80,346,731.82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-762,930,241.70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110.53%</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489,575,608.31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1,556,818,191.11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-68.55%</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745,951,286.59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645,560,446.06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15.55%</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-256,375,678.28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911,257,745.05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-128.13%</w:t>
            </w:r>
            <w:r>
              <w:rPr>
                <w:rFonts w:ascii="Times New Roman"/>
                <w:sz w:val="18"/>
              </w:rPr>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-92,043,994.70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181,173,925.47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-150.80%</w:t>
            </w:r>
            <w:r>
              <w:rPr>
                <w:rFonts w:ascii="Times New Roman"/>
                <w:sz w:val="18"/>
              </w:rPr>
            </w:r>
          </w:p>
        </w:tc>
      </w:tr>
    </w:tbl>
    <w:p>
      <w:pPr>
        <w:pStyle w:val="BodyText"/>
        <w:spacing w:line="240" w:lineRule="auto" w:before="51"/>
        <w:ind w:right="0"/>
        <w:jc w:val="left"/>
      </w:pPr>
      <w:r>
        <w:rPr/>
        <w:t>相关数据同比发生重大变动的主要影响因素说明</w:t>
      </w:r>
    </w:p>
    <w:p>
      <w:pPr>
        <w:pStyle w:val="BodyText"/>
        <w:spacing w:line="240" w:lineRule="auto" w:before="117"/>
        <w:ind w:right="0"/>
        <w:jc w:val="left"/>
      </w:pPr>
      <w:r>
        <w:rPr/>
        <w:t>√ 适用 □ 不适用</w:t>
      </w:r>
    </w:p>
    <w:p>
      <w:pPr>
        <w:pStyle w:val="BodyText"/>
        <w:spacing w:line="240" w:lineRule="auto" w:before="115"/>
        <w:ind w:right="0"/>
        <w:jc w:val="left"/>
      </w:pPr>
      <w:r>
        <w:rPr/>
        <w:t>（</w:t>
      </w:r>
      <w:r>
        <w:rPr>
          <w:rFonts w:ascii="Times New Roman" w:hAnsi="Times New Roman" w:cs="Times New Roman" w:eastAsia="Times New Roman" w:hint="default"/>
        </w:rPr>
        <w:t>1</w:t>
      </w:r>
      <w:r>
        <w:rPr/>
        <w:t>）经营活动产生的现金流量净额比上年同期增长</w:t>
      </w:r>
      <w:r>
        <w:rPr>
          <w:rFonts w:ascii="宋体" w:hAnsi="宋体" w:cs="宋体" w:eastAsia="宋体" w:hint="default"/>
        </w:rPr>
        <w:t>94.33</w:t>
      </w:r>
      <w:r>
        <w:rPr>
          <w:rFonts w:ascii="Times New Roman" w:hAnsi="Times New Roman" w:cs="Times New Roman" w:eastAsia="Times New Roman" w:hint="default"/>
        </w:rPr>
        <w:t>%</w:t>
      </w:r>
      <w:r>
        <w:rPr/>
        <w:t>，主要系销售回款金额增加较多所致。</w:t>
      </w:r>
    </w:p>
    <w:p>
      <w:pPr>
        <w:pStyle w:val="BodyText"/>
        <w:spacing w:line="240" w:lineRule="auto" w:before="63"/>
        <w:ind w:right="0"/>
        <w:jc w:val="left"/>
      </w:pPr>
      <w:r>
        <w:rPr>
          <w:spacing w:val="-2"/>
        </w:rPr>
        <w:t>（</w:t>
      </w:r>
      <w:r>
        <w:rPr>
          <w:rFonts w:ascii="Times New Roman" w:hAnsi="Times New Roman" w:cs="Times New Roman" w:eastAsia="Times New Roman" w:hint="default"/>
          <w:spacing w:val="-2"/>
        </w:rPr>
        <w:t>2</w:t>
      </w:r>
      <w:r>
        <w:rPr>
          <w:spacing w:val="-2"/>
        </w:rPr>
        <w:t>）投资活动产生的现金流量净额比上年同期增长</w:t>
      </w:r>
      <w:r>
        <w:rPr>
          <w:rFonts w:ascii="Times New Roman" w:hAnsi="Times New Roman" w:cs="Times New Roman" w:eastAsia="Times New Roman" w:hint="default"/>
          <w:spacing w:val="-2"/>
        </w:rPr>
        <w:t>110.53%</w:t>
      </w:r>
      <w:r>
        <w:rPr>
          <w:spacing w:val="-2"/>
        </w:rPr>
        <w:t>，</w:t>
      </w:r>
      <w:r>
        <w:rPr>
          <w:spacing w:val="-10"/>
        </w:rPr>
        <w:t> </w:t>
      </w:r>
      <w:r>
        <w:rPr>
          <w:spacing w:val="-1"/>
        </w:rPr>
        <w:t>主要系理财产品本期到期赎回及处置联营企业股权收回所致。</w:t>
      </w:r>
    </w:p>
    <w:p>
      <w:pPr>
        <w:pStyle w:val="BodyText"/>
        <w:spacing w:line="240" w:lineRule="auto" w:before="63"/>
        <w:ind w:right="0"/>
        <w:jc w:val="left"/>
      </w:pPr>
      <w:r>
        <w:rPr/>
        <w:t>（</w:t>
      </w:r>
      <w:r>
        <w:rPr>
          <w:rFonts w:ascii="Times New Roman" w:hAnsi="Times New Roman" w:cs="Times New Roman" w:eastAsia="Times New Roman" w:hint="default"/>
        </w:rPr>
        <w:t>3</w:t>
      </w:r>
      <w:r>
        <w:rPr/>
        <w:t>）筹资活动产生的现金流量净额比上年同期下降</w:t>
      </w:r>
      <w:r>
        <w:rPr>
          <w:rFonts w:ascii="Times New Roman" w:hAnsi="Times New Roman" w:cs="Times New Roman" w:eastAsia="Times New Roman" w:hint="default"/>
        </w:rPr>
        <w:t>128.13%</w:t>
      </w:r>
      <w:r>
        <w:rPr/>
        <w:t>，</w:t>
      </w:r>
      <w:r>
        <w:rPr>
          <w:spacing w:val="-21"/>
        </w:rPr>
        <w:t> </w:t>
      </w:r>
      <w:r>
        <w:rPr/>
        <w:t>主要系上期有非公开发行募集资金到位，而本期没有所致。</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BodyText"/>
        <w:spacing w:line="240" w:lineRule="auto"/>
        <w:ind w:right="0"/>
        <w:jc w:val="left"/>
      </w:pPr>
      <w:r>
        <w:rPr/>
        <w:t>报告期内公司经营活动产生的现金净流量与本年度净利润存在重大差异的原因说明</w:t>
      </w:r>
    </w:p>
    <w:p>
      <w:pPr>
        <w:pStyle w:val="BodyText"/>
        <w:spacing w:line="240" w:lineRule="auto" w:before="117"/>
        <w:ind w:right="0"/>
        <w:jc w:val="left"/>
      </w:pPr>
      <w:r>
        <w:rPr/>
        <w:t>□ 适用 √ 不适用</w:t>
      </w:r>
    </w:p>
    <w:p>
      <w:pPr>
        <w:spacing w:after="0" w:line="240" w:lineRule="auto"/>
        <w:jc w:val="left"/>
        <w:sectPr>
          <w:pgSz w:w="11910" w:h="16840"/>
          <w:pgMar w:header="917" w:footer="1019" w:top="1120" w:bottom="1200" w:left="980" w:right="0"/>
        </w:sectPr>
      </w:pPr>
    </w:p>
    <w:p>
      <w:pPr>
        <w:spacing w:line="240" w:lineRule="auto" w:before="5"/>
        <w:rPr>
          <w:rFonts w:ascii="宋体" w:hAnsi="宋体" w:cs="宋体" w:eastAsia="宋体" w:hint="default"/>
          <w:sz w:val="18"/>
          <w:szCs w:val="18"/>
        </w:rPr>
      </w:pPr>
    </w:p>
    <w:p>
      <w:pPr>
        <w:pStyle w:val="Heading2"/>
        <w:spacing w:line="240" w:lineRule="auto" w:before="26"/>
        <w:ind w:right="0"/>
        <w:jc w:val="left"/>
        <w:rPr>
          <w:b w:val="0"/>
          <w:bCs w:val="0"/>
        </w:rPr>
      </w:pPr>
      <w:bookmarkStart w:name="三、非主营业务分析" w:id="40"/>
      <w:bookmarkEnd w:id="40"/>
      <w:r>
        <w:rPr>
          <w:b w:val="0"/>
          <w:bCs w:val="0"/>
        </w:rPr>
      </w:r>
      <w:r>
        <w:rPr/>
        <w:t>三、非主营业务分析</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23"/>
        <w:gridCol w:w="1916"/>
        <w:gridCol w:w="1623"/>
        <w:gridCol w:w="2254"/>
        <w:gridCol w:w="2254"/>
      </w:tblGrid>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76"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1"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2"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714"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21,744,937.38</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-15.17%</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59"/>
              <w:jc w:val="left"/>
              <w:rPr>
                <w:rFonts w:ascii="宋体" w:hAnsi="宋体" w:cs="宋体" w:eastAsia="宋体" w:hint="default"/>
                <w:sz w:val="18"/>
                <w:szCs w:val="18"/>
              </w:rPr>
            </w:pPr>
            <w:r>
              <w:rPr>
                <w:rFonts w:ascii="宋体" w:hAnsi="宋体" w:cs="宋体" w:eastAsia="宋体" w:hint="default"/>
                <w:sz w:val="18"/>
                <w:szCs w:val="18"/>
              </w:rPr>
              <w:t>主要系处置朝歌股权实现 的投资收益。</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48"/>
              <w:jc w:val="left"/>
              <w:rPr>
                <w:rFonts w:ascii="宋体" w:hAnsi="宋体" w:cs="宋体" w:eastAsia="宋体" w:hint="default"/>
                <w:sz w:val="18"/>
                <w:szCs w:val="18"/>
              </w:rPr>
            </w:pPr>
            <w:r>
              <w:rPr>
                <w:rFonts w:ascii="宋体" w:hAnsi="宋体" w:cs="宋体" w:eastAsia="宋体" w:hint="default"/>
                <w:sz w:val="18"/>
                <w:szCs w:val="18"/>
              </w:rPr>
              <w:t>公允价值变动损 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0.00%</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55,970,874.05</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39.06%</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59"/>
              <w:jc w:val="left"/>
              <w:rPr>
                <w:rFonts w:ascii="宋体" w:hAnsi="宋体" w:cs="宋体" w:eastAsia="宋体" w:hint="default"/>
                <w:sz w:val="18"/>
                <w:szCs w:val="18"/>
              </w:rPr>
            </w:pPr>
            <w:r>
              <w:rPr>
                <w:rFonts w:ascii="宋体" w:hAnsi="宋体" w:cs="宋体" w:eastAsia="宋体" w:hint="default"/>
                <w:sz w:val="18"/>
                <w:szCs w:val="18"/>
              </w:rPr>
              <w:t>主要系本期对存货加计减 值。</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5,022,979.82</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-3.51%</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主要系本期政府补助。</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1,432,218.53</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1.00%</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339"/>
              <w:jc w:val="left"/>
              <w:rPr>
                <w:rFonts w:ascii="宋体" w:hAnsi="宋体" w:cs="宋体" w:eastAsia="宋体" w:hint="default"/>
                <w:sz w:val="18"/>
                <w:szCs w:val="18"/>
              </w:rPr>
            </w:pPr>
            <w:r>
              <w:rPr>
                <w:rFonts w:ascii="宋体" w:hAnsi="宋体" w:cs="宋体" w:eastAsia="宋体" w:hint="default"/>
                <w:sz w:val="18"/>
                <w:szCs w:val="18"/>
              </w:rPr>
              <w:t>主要系本期资产报废损 失。</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资产处置收益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-213,668.28</w:t>
            </w:r>
            <w:r>
              <w:rPr>
                <w:rFonts w:ascii="Times New Roman"/>
                <w:sz w:val="18"/>
              </w:rPr>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0.15%</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339"/>
              <w:jc w:val="left"/>
              <w:rPr>
                <w:rFonts w:ascii="宋体" w:hAnsi="宋体" w:cs="宋体" w:eastAsia="宋体" w:hint="default"/>
                <w:sz w:val="18"/>
                <w:szCs w:val="18"/>
              </w:rPr>
            </w:pPr>
            <w:r>
              <w:rPr>
                <w:rFonts w:ascii="宋体" w:hAnsi="宋体" w:cs="宋体" w:eastAsia="宋体" w:hint="default"/>
                <w:sz w:val="18"/>
                <w:szCs w:val="18"/>
              </w:rPr>
              <w:t>主要系本期处置资产损 失。</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四、资产及负债状况分析" w:id="41"/>
      <w:bookmarkEnd w:id="41"/>
      <w:r>
        <w:rPr>
          <w:b w:val="0"/>
          <w:bCs w:val="0"/>
        </w:rPr>
      </w:r>
      <w:r>
        <w:rPr/>
        <w:t>四、资产及负债状况分析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资产构成重大变动情况" w:id="42"/>
      <w:bookmarkEnd w:id="42"/>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tbl>
      <w:tblPr>
        <w:tblW w:w="0" w:type="auto"/>
        <w:jc w:val="left"/>
        <w:tblInd w:w="149" w:type="dxa"/>
        <w:tblLayout w:type="fixed"/>
        <w:tblCellMar>
          <w:top w:w="0" w:type="dxa"/>
          <w:left w:w="0" w:type="dxa"/>
          <w:bottom w:w="0" w:type="dxa"/>
          <w:right w:w="0" w:type="dxa"/>
        </w:tblCellMar>
        <w:tblLook w:val="01E0"/>
      </w:tblPr>
      <w:tblGrid>
        <w:gridCol w:w="1160"/>
        <w:gridCol w:w="1514"/>
        <w:gridCol w:w="826"/>
        <w:gridCol w:w="1560"/>
        <w:gridCol w:w="794"/>
        <w:gridCol w:w="924"/>
        <w:gridCol w:w="2792"/>
      </w:tblGrid>
      <w:tr>
        <w:trPr>
          <w:trHeight w:val="402" w:hRule="exact"/>
        </w:trPr>
        <w:tc>
          <w:tcPr>
            <w:tcW w:w="1160" w:type="dxa"/>
            <w:vMerge w:val="restart"/>
            <w:tcBorders>
              <w:top w:val="single" w:sz="4" w:space="0" w:color="000000"/>
              <w:left w:val="single" w:sz="4" w:space="0" w:color="000000"/>
              <w:right w:val="single" w:sz="4" w:space="0" w:color="000000"/>
            </w:tcBorders>
            <w:shd w:val="clear" w:color="auto" w:fill="D2D2D2"/>
          </w:tcPr>
          <w:p>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35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92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365" w:right="186" w:hanging="180"/>
              <w:jc w:val="left"/>
              <w:rPr>
                <w:rFonts w:ascii="宋体" w:hAnsi="宋体" w:cs="宋体" w:eastAsia="宋体" w:hint="default"/>
                <w:sz w:val="18"/>
                <w:szCs w:val="18"/>
              </w:rPr>
            </w:pPr>
            <w:r>
              <w:rPr>
                <w:rFonts w:ascii="宋体" w:hAnsi="宋体" w:cs="宋体" w:eastAsia="宋体" w:hint="default"/>
                <w:sz w:val="18"/>
                <w:szCs w:val="18"/>
              </w:rPr>
              <w:t>比重增 减</w:t>
            </w:r>
          </w:p>
        </w:tc>
        <w:tc>
          <w:tcPr>
            <w:tcW w:w="27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850"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714" w:hRule="exact"/>
        </w:trPr>
        <w:tc>
          <w:tcPr>
            <w:tcW w:w="1160" w:type="dxa"/>
            <w:vMerge/>
            <w:tcBorders>
              <w:left w:val="single" w:sz="4" w:space="0" w:color="000000"/>
              <w:bottom w:val="single" w:sz="4" w:space="0" w:color="000000"/>
              <w:right w:val="single" w:sz="4" w:space="0" w:color="000000"/>
            </w:tcBorders>
            <w:shd w:val="clear" w:color="auto" w:fill="D2D2D2"/>
          </w:tcPr>
          <w:p>
            <w:pPr/>
          </w:p>
        </w:tc>
        <w:tc>
          <w:tcPr>
            <w:tcW w:w="1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36" w:right="137"/>
              <w:jc w:val="left"/>
              <w:rPr>
                <w:rFonts w:ascii="宋体" w:hAnsi="宋体" w:cs="宋体" w:eastAsia="宋体" w:hint="default"/>
                <w:sz w:val="18"/>
                <w:szCs w:val="18"/>
              </w:rPr>
            </w:pPr>
            <w:r>
              <w:rPr>
                <w:rFonts w:ascii="宋体" w:hAnsi="宋体" w:cs="宋体" w:eastAsia="宋体" w:hint="default"/>
                <w:sz w:val="18"/>
                <w:szCs w:val="18"/>
              </w:rPr>
              <w:t>占总资 产比例</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22" w:right="120"/>
              <w:jc w:val="left"/>
              <w:rPr>
                <w:rFonts w:ascii="宋体" w:hAnsi="宋体" w:cs="宋体" w:eastAsia="宋体" w:hint="default"/>
                <w:sz w:val="18"/>
                <w:szCs w:val="18"/>
              </w:rPr>
            </w:pPr>
            <w:r>
              <w:rPr>
                <w:rFonts w:ascii="宋体" w:hAnsi="宋体" w:cs="宋体" w:eastAsia="宋体" w:hint="default"/>
                <w:sz w:val="18"/>
                <w:szCs w:val="18"/>
              </w:rPr>
              <w:t>占总资 产比例</w:t>
            </w:r>
          </w:p>
        </w:tc>
        <w:tc>
          <w:tcPr>
            <w:tcW w:w="924" w:type="dxa"/>
            <w:vMerge/>
            <w:tcBorders>
              <w:left w:val="single" w:sz="4" w:space="0" w:color="000000"/>
              <w:bottom w:val="single" w:sz="4" w:space="0" w:color="000000"/>
              <w:right w:val="single" w:sz="4" w:space="0" w:color="000000"/>
            </w:tcBorders>
            <w:shd w:val="clear" w:color="auto" w:fill="D2D2D2"/>
          </w:tcPr>
          <w:p>
            <w:pPr/>
          </w:p>
        </w:tc>
        <w:tc>
          <w:tcPr>
            <w:tcW w:w="27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435,537,315.04</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12.55%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507,948,890.35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12.48%</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0.07%</w:t>
            </w: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44"/>
              <w:jc w:val="left"/>
              <w:rPr>
                <w:rFonts w:ascii="宋体" w:hAnsi="宋体" w:cs="宋体" w:eastAsia="宋体" w:hint="default"/>
                <w:sz w:val="18"/>
                <w:szCs w:val="18"/>
              </w:rPr>
            </w:pPr>
            <w:r>
              <w:rPr>
                <w:rFonts w:ascii="宋体" w:hAnsi="宋体" w:cs="宋体" w:eastAsia="宋体" w:hint="default"/>
                <w:sz w:val="18"/>
                <w:szCs w:val="18"/>
              </w:rPr>
              <w:t>应收票据及 应收账款</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699,036,961.21</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786,352,089.64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19.31%</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0.84%</w:t>
            </w: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7,045,503.53</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0.20%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489,549,253.77</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12.02%</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2"/>
                <w:sz w:val="18"/>
              </w:rPr>
              <w:t>-11.82%</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159"/>
              <w:jc w:val="left"/>
              <w:rPr>
                <w:rFonts w:ascii="宋体" w:hAnsi="宋体" w:cs="宋体" w:eastAsia="宋体" w:hint="default"/>
                <w:sz w:val="18"/>
                <w:szCs w:val="18"/>
              </w:rPr>
            </w:pPr>
            <w:r>
              <w:rPr>
                <w:rFonts w:ascii="宋体" w:hAnsi="宋体" w:cs="宋体" w:eastAsia="宋体" w:hint="default"/>
                <w:sz w:val="18"/>
                <w:szCs w:val="18"/>
              </w:rPr>
              <w:t>主要系本期客户采用票据结算货 款的方式减少所致。</w:t>
            </w:r>
          </w:p>
        </w:tc>
      </w:tr>
      <w:tr>
        <w:trPr>
          <w:trHeight w:val="714" w:hRule="exact"/>
        </w:trPr>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691,991,457.68</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19.94%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296,802,835.87</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7.29%</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12.65%</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159"/>
              <w:jc w:val="left"/>
              <w:rPr>
                <w:rFonts w:ascii="宋体" w:hAnsi="宋体" w:cs="宋体" w:eastAsia="宋体" w:hint="default"/>
                <w:sz w:val="18"/>
                <w:szCs w:val="18"/>
              </w:rPr>
            </w:pPr>
            <w:r>
              <w:rPr>
                <w:rFonts w:ascii="宋体" w:hAnsi="宋体" w:cs="宋体" w:eastAsia="宋体" w:hint="default"/>
                <w:sz w:val="18"/>
                <w:szCs w:val="18"/>
              </w:rPr>
              <w:t>主要系本期客户采用票据结算货 款的方式减少所致。</w:t>
            </w:r>
          </w:p>
        </w:tc>
      </w:tr>
      <w:tr>
        <w:trPr>
          <w:trHeight w:val="1026" w:hRule="exact"/>
        </w:trPr>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391,109,373.54</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2"/>
                <w:sz w:val="18"/>
              </w:rPr>
              <w:t>11.27%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678,127,057.44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16.66%</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-5.39%</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159"/>
              <w:jc w:val="both"/>
              <w:rPr>
                <w:rFonts w:ascii="宋体" w:hAnsi="宋体" w:cs="宋体" w:eastAsia="宋体" w:hint="default"/>
                <w:sz w:val="18"/>
                <w:szCs w:val="18"/>
              </w:rPr>
            </w:pPr>
            <w:r>
              <w:rPr>
                <w:rFonts w:ascii="宋体" w:hAnsi="宋体" w:cs="宋体" w:eastAsia="宋体" w:hint="default"/>
                <w:sz w:val="18"/>
                <w:szCs w:val="18"/>
              </w:rPr>
              <w:t>主要系存货储备需求减少，和本 期加大存货跌价计提及存货报废 处理所致。</w:t>
            </w:r>
          </w:p>
        </w:tc>
      </w:tr>
      <w:tr>
        <w:trPr>
          <w:trHeight w:val="1026" w:hRule="exact"/>
        </w:trPr>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44"/>
              <w:jc w:val="left"/>
              <w:rPr>
                <w:rFonts w:ascii="宋体" w:hAnsi="宋体" w:cs="宋体" w:eastAsia="宋体" w:hint="default"/>
                <w:sz w:val="18"/>
                <w:szCs w:val="18"/>
              </w:rPr>
            </w:pPr>
            <w:r>
              <w:rPr>
                <w:rFonts w:ascii="宋体" w:hAnsi="宋体" w:cs="宋体" w:eastAsia="宋体" w:hint="default"/>
                <w:sz w:val="18"/>
                <w:szCs w:val="18"/>
              </w:rPr>
              <w:t>投资性房地 产</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180,524,359.39</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5.20%</w:t>
            </w:r>
          </w:p>
        </w:tc>
        <w:tc>
          <w:tcPr>
            <w:tcW w:w="1560"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5.20%</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59"/>
              <w:jc w:val="both"/>
              <w:rPr>
                <w:rFonts w:ascii="宋体" w:hAnsi="宋体" w:cs="宋体" w:eastAsia="宋体" w:hint="default"/>
                <w:sz w:val="18"/>
                <w:szCs w:val="18"/>
              </w:rPr>
            </w:pPr>
            <w:r>
              <w:rPr>
                <w:rFonts w:ascii="宋体" w:hAnsi="宋体" w:cs="宋体" w:eastAsia="宋体" w:hint="default"/>
                <w:sz w:val="18"/>
                <w:szCs w:val="18"/>
              </w:rPr>
              <w:t>主要系本期将厦门软件园三期办 公楼由自用转为投资性房地产所 致。</w:t>
            </w:r>
          </w:p>
        </w:tc>
      </w:tr>
    </w:tbl>
    <w:p>
      <w:pPr>
        <w:spacing w:after="0" w:line="316" w:lineRule="auto"/>
        <w:jc w:val="both"/>
        <w:rPr>
          <w:rFonts w:ascii="宋体" w:hAnsi="宋体" w:cs="宋体" w:eastAsia="宋体"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160"/>
        <w:gridCol w:w="1514"/>
        <w:gridCol w:w="826"/>
        <w:gridCol w:w="1560"/>
        <w:gridCol w:w="794"/>
        <w:gridCol w:w="924"/>
        <w:gridCol w:w="2792"/>
      </w:tblGrid>
      <w:tr>
        <w:trPr>
          <w:trHeight w:val="714" w:hRule="exact"/>
        </w:trPr>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44"/>
              <w:jc w:val="left"/>
              <w:rPr>
                <w:rFonts w:ascii="宋体" w:hAnsi="宋体" w:cs="宋体" w:eastAsia="宋体" w:hint="default"/>
                <w:sz w:val="18"/>
                <w:szCs w:val="18"/>
              </w:rPr>
            </w:pPr>
            <w:r>
              <w:rPr>
                <w:rFonts w:ascii="宋体" w:hAnsi="宋体" w:cs="宋体" w:eastAsia="宋体" w:hint="default"/>
                <w:sz w:val="18"/>
                <w:szCs w:val="18"/>
              </w:rPr>
              <w:t>长期股权投 资</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2,400,087.79</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116,644,739.73</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2.86%</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-2.79%</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159"/>
              <w:jc w:val="left"/>
              <w:rPr>
                <w:rFonts w:ascii="宋体" w:hAnsi="宋体" w:cs="宋体" w:eastAsia="宋体" w:hint="default"/>
                <w:sz w:val="18"/>
                <w:szCs w:val="18"/>
              </w:rPr>
            </w:pPr>
            <w:r>
              <w:rPr>
                <w:rFonts w:ascii="宋体" w:hAnsi="宋体" w:cs="宋体" w:eastAsia="宋体" w:hint="default"/>
                <w:sz w:val="18"/>
                <w:szCs w:val="18"/>
              </w:rPr>
              <w:t>主要系本期处置参股公司部分股 权所致。</w:t>
            </w:r>
          </w:p>
        </w:tc>
      </w:tr>
      <w:tr>
        <w:trPr>
          <w:trHeight w:val="1026" w:hRule="exact"/>
        </w:trPr>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1,234,307,153.03</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35.58%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1,033,044,877.92</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25.37%</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10.21%</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159"/>
              <w:jc w:val="both"/>
              <w:rPr>
                <w:rFonts w:ascii="宋体" w:hAnsi="宋体" w:cs="宋体" w:eastAsia="宋体" w:hint="default"/>
                <w:sz w:val="18"/>
                <w:szCs w:val="18"/>
              </w:rPr>
            </w:pPr>
            <w:r>
              <w:rPr>
                <w:rFonts w:ascii="宋体" w:hAnsi="宋体" w:cs="宋体" w:eastAsia="宋体" w:hint="default"/>
                <w:sz w:val="18"/>
                <w:szCs w:val="18"/>
              </w:rPr>
              <w:t>主要系本期天津基地房屋及建筑 物达到可使用状态转固定资产所 致。</w:t>
            </w:r>
          </w:p>
        </w:tc>
      </w:tr>
      <w:tr>
        <w:trPr>
          <w:trHeight w:val="1338" w:hRule="exact"/>
        </w:trPr>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165,595,023.06</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4.77%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378,545,016.60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9.30%</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-4.53%</w:t>
            </w:r>
          </w:p>
        </w:tc>
        <w:tc>
          <w:tcPr>
            <w:tcW w:w="27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159"/>
              <w:jc w:val="both"/>
              <w:rPr>
                <w:rFonts w:ascii="宋体" w:hAnsi="宋体" w:cs="宋体" w:eastAsia="宋体" w:hint="default"/>
                <w:sz w:val="18"/>
                <w:szCs w:val="18"/>
              </w:rPr>
            </w:pPr>
            <w:r>
              <w:rPr>
                <w:rFonts w:ascii="宋体" w:hAnsi="宋体" w:cs="宋体" w:eastAsia="宋体" w:hint="default"/>
                <w:sz w:val="18"/>
                <w:szCs w:val="18"/>
              </w:rPr>
              <w:t>主要系本期天津基地房屋及建筑 物达到可使用状态转为固定资产 与厦门软件园三期办公楼转为投 资性房地产所致。</w:t>
            </w:r>
          </w:p>
        </w:tc>
      </w:tr>
      <w:tr>
        <w:trPr>
          <w:trHeight w:val="402" w:hRule="exact"/>
        </w:trPr>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264,781,903.60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7.63%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490,021,636.02</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12.04%</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-4.41%</w:t>
            </w:r>
          </w:p>
        </w:tc>
        <w:tc>
          <w:tcPr>
            <w:tcW w:w="27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120,000,000.00</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140,000,000.00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3.44%</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0.02%</w:t>
            </w:r>
          </w:p>
        </w:tc>
        <w:tc>
          <w:tcPr>
            <w:tcW w:w="279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以公允价值计量的资产和负债" w:id="43"/>
      <w:bookmarkEnd w:id="43"/>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截至报告期末的资产权利受限情况" w:id="44"/>
      <w:bookmarkEnd w:id="44"/>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360"/>
        <w:jc w:val="left"/>
      </w:pPr>
      <w:r>
        <w:rPr>
          <w:spacing w:val="-2"/>
        </w:rPr>
        <w:t>因与深圳市翼丰盛科技有限公司存在经济纠纷，深圳丰盛真空技术有限公司和杨北盈分别申请诉前财产保全，冻结我司</w:t>
      </w:r>
      <w:r>
        <w:rPr/>
        <w:t> 资金</w:t>
      </w:r>
      <w:r>
        <w:rPr>
          <w:rFonts w:ascii="宋体" w:hAnsi="宋体" w:cs="宋体" w:eastAsia="宋体" w:hint="default"/>
        </w:rPr>
        <w:t>1,144,448.71</w:t>
      </w:r>
      <w:r>
        <w:rPr/>
        <w:t>元和</w:t>
      </w:r>
      <w:r>
        <w:rPr>
          <w:rFonts w:ascii="宋体" w:hAnsi="宋体" w:cs="宋体" w:eastAsia="宋体" w:hint="default"/>
        </w:rPr>
        <w:t>6,257,664.22</w:t>
      </w:r>
      <w:r>
        <w:rPr/>
        <w:t>元。</w:t>
      </w:r>
    </w:p>
    <w:p>
      <w:pPr>
        <w:spacing w:line="240" w:lineRule="auto" w:before="7"/>
        <w:rPr>
          <w:rFonts w:ascii="宋体" w:hAnsi="宋体" w:cs="宋体" w:eastAsia="宋体" w:hint="default"/>
          <w:sz w:val="17"/>
          <w:szCs w:val="17"/>
        </w:rPr>
      </w:pPr>
    </w:p>
    <w:p>
      <w:pPr>
        <w:pStyle w:val="Heading2"/>
        <w:spacing w:line="240" w:lineRule="auto"/>
        <w:ind w:right="0"/>
        <w:jc w:val="left"/>
        <w:rPr>
          <w:b w:val="0"/>
          <w:bCs w:val="0"/>
        </w:rPr>
      </w:pPr>
      <w:bookmarkStart w:name="五、投资状况分析" w:id="45"/>
      <w:bookmarkEnd w:id="45"/>
      <w:r>
        <w:rPr>
          <w:b w:val="0"/>
          <w:bCs w:val="0"/>
        </w:rPr>
      </w:r>
      <w:r>
        <w:rPr/>
        <w:t>五、投资状况分析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总体情况" w:id="46"/>
      <w:bookmarkEnd w:id="46"/>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报告期内获取的重大的股权投资情况" w:id="47"/>
      <w:bookmarkEnd w:id="47"/>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3、报告期内正在进行的重大的非股权投资情况" w:id="48"/>
      <w:bookmarkEnd w:id="48"/>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4、以公允价值计量的金融资产" w:id="49"/>
      <w:bookmarkEnd w:id="49"/>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5、募集资金使用情况" w:id="50"/>
      <w:bookmarkEnd w:id="50"/>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917" w:footer="1019" w:top="112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1）募集资金总体使用情况" w:id="51"/>
      <w:bookmarkEnd w:id="51"/>
      <w:r>
        <w:rPr>
          <w:b w:val="0"/>
          <w:bCs w:val="0"/>
        </w:rPr>
      </w: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0"/>
        <w:jc w:val="right"/>
      </w:pPr>
      <w:r>
        <w:rPr/>
        <w:t>单位：万元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7"/>
        <w:gridCol w:w="863"/>
        <w:gridCol w:w="877"/>
        <w:gridCol w:w="870"/>
        <w:gridCol w:w="870"/>
        <w:gridCol w:w="869"/>
        <w:gridCol w:w="870"/>
        <w:gridCol w:w="870"/>
        <w:gridCol w:w="870"/>
        <w:gridCol w:w="870"/>
        <w:gridCol w:w="869"/>
      </w:tblGrid>
      <w:tr>
        <w:trPr>
          <w:trHeight w:val="1650"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338" w:right="156" w:hanging="180"/>
              <w:jc w:val="left"/>
              <w:rPr>
                <w:rFonts w:ascii="宋体" w:hAnsi="宋体" w:cs="宋体" w:eastAsia="宋体" w:hint="default"/>
                <w:sz w:val="18"/>
                <w:szCs w:val="18"/>
              </w:rPr>
            </w:pPr>
            <w:r>
              <w:rPr>
                <w:rFonts w:ascii="宋体" w:hAnsi="宋体" w:cs="宋体" w:eastAsia="宋体" w:hint="default"/>
                <w:sz w:val="18"/>
                <w:szCs w:val="18"/>
              </w:rPr>
              <w:t>募集年 份</w:t>
            </w:r>
          </w:p>
        </w:tc>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335" w:right="155" w:hanging="180"/>
              <w:jc w:val="left"/>
              <w:rPr>
                <w:rFonts w:ascii="宋体" w:hAnsi="宋体" w:cs="宋体" w:eastAsia="宋体" w:hint="default"/>
                <w:sz w:val="18"/>
                <w:szCs w:val="18"/>
              </w:rPr>
            </w:pPr>
            <w:r>
              <w:rPr>
                <w:rFonts w:ascii="宋体" w:hAnsi="宋体" w:cs="宋体" w:eastAsia="宋体" w:hint="default"/>
                <w:sz w:val="18"/>
                <w:szCs w:val="18"/>
              </w:rPr>
              <w:t>募集方 式</w:t>
            </w:r>
          </w:p>
        </w:tc>
        <w:tc>
          <w:tcPr>
            <w:tcW w:w="8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63" w:right="162"/>
              <w:jc w:val="left"/>
              <w:rPr>
                <w:rFonts w:ascii="宋体" w:hAnsi="宋体" w:cs="宋体" w:eastAsia="宋体" w:hint="default"/>
                <w:sz w:val="18"/>
                <w:szCs w:val="18"/>
              </w:rPr>
            </w:pPr>
            <w:r>
              <w:rPr>
                <w:rFonts w:ascii="宋体" w:hAnsi="宋体" w:cs="宋体" w:eastAsia="宋体" w:hint="default"/>
                <w:sz w:val="18"/>
                <w:szCs w:val="18"/>
              </w:rPr>
              <w:t>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59" w:right="158"/>
              <w:jc w:val="both"/>
              <w:rPr>
                <w:rFonts w:ascii="宋体" w:hAnsi="宋体" w:cs="宋体" w:eastAsia="宋体" w:hint="default"/>
                <w:sz w:val="18"/>
                <w:szCs w:val="18"/>
              </w:rPr>
            </w:pPr>
            <w:r>
              <w:rPr>
                <w:rFonts w:ascii="宋体" w:hAnsi="宋体" w:cs="宋体" w:eastAsia="宋体" w:hint="default"/>
                <w:sz w:val="18"/>
                <w:szCs w:val="18"/>
              </w:rPr>
              <w:t>本期已 使用募 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59" w:right="159"/>
              <w:jc w:val="both"/>
              <w:rPr>
                <w:rFonts w:ascii="宋体" w:hAnsi="宋体" w:cs="宋体" w:eastAsia="宋体" w:hint="default"/>
                <w:sz w:val="18"/>
                <w:szCs w:val="18"/>
              </w:rPr>
            </w:pPr>
            <w:r>
              <w:rPr>
                <w:rFonts w:ascii="宋体" w:hAnsi="宋体" w:cs="宋体" w:eastAsia="宋体" w:hint="default"/>
                <w:sz w:val="18"/>
                <w:szCs w:val="18"/>
              </w:rPr>
              <w:t>已累计 使用募 集资金 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59" w:right="157"/>
              <w:jc w:val="both"/>
              <w:rPr>
                <w:rFonts w:ascii="宋体" w:hAnsi="宋体" w:cs="宋体" w:eastAsia="宋体" w:hint="default"/>
                <w:sz w:val="18"/>
                <w:szCs w:val="18"/>
              </w:rPr>
            </w:pPr>
            <w:r>
              <w:rPr>
                <w:rFonts w:ascii="宋体" w:hAnsi="宋体" w:cs="宋体" w:eastAsia="宋体" w:hint="default"/>
                <w:sz w:val="18"/>
                <w:szCs w:val="18"/>
              </w:rPr>
              <w:t>报告期 内变更 用途的 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59" w:right="158"/>
              <w:jc w:val="center"/>
              <w:rPr>
                <w:rFonts w:ascii="宋体" w:hAnsi="宋体" w:cs="宋体" w:eastAsia="宋体" w:hint="default"/>
                <w:sz w:val="18"/>
                <w:szCs w:val="18"/>
              </w:rPr>
            </w:pPr>
            <w:r>
              <w:rPr>
                <w:rFonts w:ascii="宋体" w:hAnsi="宋体" w:cs="宋体" w:eastAsia="宋体" w:hint="default"/>
                <w:sz w:val="18"/>
                <w:szCs w:val="18"/>
              </w:rPr>
              <w:t>累计变 更用途 的募集 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59" w:right="158"/>
              <w:jc w:val="both"/>
              <w:rPr>
                <w:rFonts w:ascii="宋体" w:hAnsi="宋体" w:cs="宋体" w:eastAsia="宋体" w:hint="default"/>
                <w:sz w:val="18"/>
                <w:szCs w:val="18"/>
              </w:rPr>
            </w:pPr>
            <w:r>
              <w:rPr>
                <w:rFonts w:ascii="宋体" w:hAnsi="宋体" w:cs="宋体" w:eastAsia="宋体" w:hint="default"/>
                <w:sz w:val="18"/>
                <w:szCs w:val="18"/>
              </w:rPr>
              <w:t>累计变 更用途 的募集 资金总 额比例</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59" w:right="158"/>
              <w:jc w:val="center"/>
              <w:rPr>
                <w:rFonts w:ascii="宋体" w:hAnsi="宋体" w:cs="宋体" w:eastAsia="宋体" w:hint="default"/>
                <w:sz w:val="18"/>
                <w:szCs w:val="18"/>
              </w:rPr>
            </w:pPr>
            <w:r>
              <w:rPr>
                <w:rFonts w:ascii="宋体" w:hAnsi="宋体" w:cs="宋体" w:eastAsia="宋体" w:hint="default"/>
                <w:sz w:val="18"/>
                <w:szCs w:val="18"/>
              </w:rPr>
              <w:t>尚未使 用募集 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59" w:right="158"/>
              <w:jc w:val="center"/>
              <w:rPr>
                <w:rFonts w:ascii="宋体" w:hAnsi="宋体" w:cs="宋体" w:eastAsia="宋体" w:hint="default"/>
                <w:sz w:val="18"/>
                <w:szCs w:val="18"/>
              </w:rPr>
            </w:pPr>
            <w:r>
              <w:rPr>
                <w:rFonts w:ascii="宋体" w:hAnsi="宋体" w:cs="宋体" w:eastAsia="宋体" w:hint="default"/>
                <w:sz w:val="18"/>
                <w:szCs w:val="18"/>
              </w:rPr>
              <w:t>尚未使 用募集 资金用 途及去 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59" w:right="157"/>
              <w:jc w:val="both"/>
              <w:rPr>
                <w:rFonts w:ascii="宋体" w:hAnsi="宋体" w:cs="宋体" w:eastAsia="宋体" w:hint="default"/>
                <w:sz w:val="18"/>
                <w:szCs w:val="18"/>
              </w:rPr>
            </w:pPr>
            <w:r>
              <w:rPr>
                <w:rFonts w:ascii="宋体" w:hAnsi="宋体" w:cs="宋体" w:eastAsia="宋体" w:hint="default"/>
                <w:sz w:val="18"/>
                <w:szCs w:val="18"/>
              </w:rPr>
              <w:t>闲置两 年以上 募集资 金金额</w:t>
            </w:r>
          </w:p>
        </w:tc>
      </w:tr>
      <w:tr>
        <w:trPr>
          <w:trHeight w:val="5706" w:hRule="exact"/>
        </w:trPr>
        <w:tc>
          <w:tcPr>
            <w:tcW w:w="8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left="103" w:right="0"/>
              <w:jc w:val="left"/>
              <w:rPr>
                <w:rFonts w:ascii="Times New Roman" w:hAnsi="Times New Roman" w:cs="Times New Roman" w:eastAsia="Times New Roman" w:hint="default"/>
                <w:sz w:val="18"/>
                <w:szCs w:val="18"/>
              </w:rPr>
            </w:pPr>
            <w:r>
              <w:rPr>
                <w:rFonts w:ascii="Times New Roman"/>
                <w:sz w:val="18"/>
              </w:rPr>
              <w:t>2017</w:t>
            </w: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316" w:lineRule="auto"/>
              <w:ind w:left="103" w:right="209"/>
              <w:jc w:val="both"/>
              <w:rPr>
                <w:rFonts w:ascii="宋体" w:hAnsi="宋体" w:cs="宋体" w:eastAsia="宋体" w:hint="default"/>
                <w:sz w:val="18"/>
                <w:szCs w:val="18"/>
              </w:rPr>
            </w:pPr>
            <w:r>
              <w:rPr>
                <w:rFonts w:ascii="宋体" w:hAnsi="宋体" w:cs="宋体" w:eastAsia="宋体" w:hint="default"/>
                <w:sz w:val="18"/>
                <w:szCs w:val="18"/>
              </w:rPr>
              <w:t>非公开 发行人 民币普 通股</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74,495.0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14,653.0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57,072.1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right="100"/>
              <w:jc w:val="right"/>
              <w:rPr>
                <w:rFonts w:ascii="Times New Roman" w:hAnsi="Times New Roman" w:cs="Times New Roman" w:eastAsia="Times New Roman" w:hint="default"/>
                <w:sz w:val="18"/>
                <w:szCs w:val="18"/>
              </w:rPr>
            </w:pPr>
            <w:r>
              <w:rPr>
                <w:rFonts w:ascii="Times New Roman"/>
                <w:sz w:val="18"/>
              </w:rPr>
              <w:t>8,000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right="100"/>
              <w:jc w:val="right"/>
              <w:rPr>
                <w:rFonts w:ascii="Times New Roman" w:hAnsi="Times New Roman" w:cs="Times New Roman" w:eastAsia="Times New Roman" w:hint="default"/>
                <w:sz w:val="18"/>
                <w:szCs w:val="18"/>
              </w:rPr>
            </w:pPr>
            <w:r>
              <w:rPr>
                <w:rFonts w:ascii="Times New Roman"/>
                <w:sz w:val="18"/>
              </w:rPr>
              <w:t>8,000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right="100"/>
              <w:jc w:val="right"/>
              <w:rPr>
                <w:rFonts w:ascii="Times New Roman" w:hAnsi="Times New Roman" w:cs="Times New Roman" w:eastAsia="Times New Roman" w:hint="default"/>
                <w:sz w:val="18"/>
                <w:szCs w:val="18"/>
              </w:rPr>
            </w:pPr>
            <w:r>
              <w:rPr>
                <w:rFonts w:ascii="Times New Roman"/>
                <w:sz w:val="18"/>
              </w:rPr>
              <w:t>10.74%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17,422.9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35"/>
              <w:jc w:val="left"/>
              <w:rPr>
                <w:rFonts w:ascii="宋体" w:hAnsi="宋体" w:cs="宋体" w:eastAsia="宋体" w:hint="default"/>
                <w:sz w:val="18"/>
                <w:szCs w:val="18"/>
              </w:rPr>
            </w:pPr>
            <w:r>
              <w:rPr>
                <w:rFonts w:ascii="宋体" w:hAnsi="宋体" w:cs="宋体" w:eastAsia="宋体" w:hint="default"/>
                <w:sz w:val="18"/>
                <w:szCs w:val="18"/>
              </w:rPr>
              <w:t>截止报 告期末， </w:t>
            </w:r>
            <w:r>
              <w:rPr>
                <w:rFonts w:ascii="Times New Roman" w:hAnsi="Times New Roman" w:cs="Times New Roman" w:eastAsia="Times New Roman" w:hint="default"/>
                <w:sz w:val="18"/>
                <w:szCs w:val="18"/>
              </w:rPr>
              <w:t>12000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万</w:t>
            </w:r>
          </w:p>
          <w:p>
            <w:pPr>
              <w:pStyle w:val="TableParagraph"/>
              <w:spacing w:line="319" w:lineRule="auto"/>
              <w:ind w:left="103" w:right="35"/>
              <w:jc w:val="left"/>
              <w:rPr>
                <w:rFonts w:ascii="宋体" w:hAnsi="宋体" w:cs="宋体" w:eastAsia="宋体" w:hint="default"/>
                <w:sz w:val="18"/>
                <w:szCs w:val="18"/>
              </w:rPr>
            </w:pPr>
            <w:r>
              <w:rPr>
                <w:rFonts w:ascii="宋体" w:hAnsi="宋体" w:cs="宋体" w:eastAsia="宋体" w:hint="default"/>
                <w:sz w:val="18"/>
                <w:szCs w:val="18"/>
              </w:rPr>
              <w:t>元用于 暂时补 充流动 </w:t>
            </w:r>
            <w:r>
              <w:rPr>
                <w:rFonts w:ascii="宋体" w:hAnsi="宋体" w:cs="宋体" w:eastAsia="宋体" w:hint="default"/>
                <w:spacing w:val="-17"/>
                <w:sz w:val="18"/>
                <w:szCs w:val="18"/>
              </w:rPr>
              <w:t>资金，其</w:t>
            </w:r>
            <w:r>
              <w:rPr>
                <w:rFonts w:ascii="宋体" w:hAnsi="宋体" w:cs="宋体" w:eastAsia="宋体" w:hint="default"/>
                <w:sz w:val="18"/>
                <w:szCs w:val="18"/>
              </w:rPr>
              <w:t> 他尚未 使用的 募集资 金存放 于公司 募集资 金专户， 拟投入 募集资 金投资 项目。</w:t>
            </w: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74,495.0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14,653.0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57,072.1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10.74%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17,422.9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565"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3954" w:hRule="exact"/>
        </w:trPr>
        <w:tc>
          <w:tcPr>
            <w:tcW w:w="9565" w:type="dxa"/>
            <w:gridSpan w:val="11"/>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463" w:right="101" w:hanging="36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、募集资金金额及到位时间 </w:t>
            </w:r>
            <w:r>
              <w:rPr>
                <w:rFonts w:ascii="宋体" w:hAnsi="宋体" w:cs="宋体" w:eastAsia="宋体" w:hint="default"/>
                <w:spacing w:val="-1"/>
                <w:sz w:val="18"/>
                <w:szCs w:val="18"/>
              </w:rPr>
              <w:t>经中国证券监督管理委员会《关于核准深圳市卓翼科技股份有限公司非公开发行股票的批复》</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证监许可</w:t>
            </w:r>
            <w:r>
              <w:rPr>
                <w:rFonts w:ascii="Times New Roman" w:hAnsi="Times New Roman" w:cs="Times New Roman" w:eastAsia="Times New Roman" w:hint="default"/>
                <w:spacing w:val="-1"/>
                <w:sz w:val="18"/>
                <w:szCs w:val="18"/>
              </w:rPr>
              <w:t>[2016]3213</w:t>
            </w:r>
          </w:p>
          <w:p>
            <w:pPr>
              <w:pStyle w:val="TableParagraph"/>
              <w:spacing w:line="230" w:lineRule="exact"/>
              <w:ind w:left="103" w:right="0"/>
              <w:jc w:val="left"/>
              <w:rPr>
                <w:rFonts w:ascii="宋体" w:hAnsi="宋体" w:cs="宋体" w:eastAsia="宋体" w:hint="default"/>
                <w:sz w:val="18"/>
                <w:szCs w:val="18"/>
              </w:rPr>
            </w:pPr>
            <w:r>
              <w:rPr>
                <w:rFonts w:ascii="宋体" w:hAnsi="宋体" w:cs="宋体" w:eastAsia="宋体" w:hint="default"/>
                <w:sz w:val="18"/>
                <w:szCs w:val="18"/>
              </w:rPr>
              <w:t>号文</w:t>
            </w:r>
            <w:r>
              <w:rPr>
                <w:rFonts w:ascii="Times New Roman" w:hAnsi="Times New Roman" w:cs="Times New Roman" w:eastAsia="Times New Roman" w:hint="default"/>
                <w:sz w:val="18"/>
                <w:szCs w:val="18"/>
              </w:rPr>
              <w:t>)</w:t>
            </w:r>
            <w:r>
              <w:rPr>
                <w:rFonts w:ascii="宋体" w:hAnsi="宋体" w:cs="宋体" w:eastAsia="宋体" w:hint="default"/>
                <w:sz w:val="18"/>
                <w:szCs w:val="18"/>
              </w:rPr>
              <w:t>核准，公司采用向特定对象非公开发行的方式发行人民币普通股</w:t>
            </w:r>
            <w:r>
              <w:rPr>
                <w:rFonts w:ascii="Times New Roman" w:hAnsi="Times New Roman" w:cs="Times New Roman" w:eastAsia="Times New Roman" w:hint="default"/>
                <w:sz w:val="18"/>
                <w:szCs w:val="18"/>
              </w:rPr>
              <w:t>(A  </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r>
              <w:rPr>
                <w:rFonts w:ascii="宋体" w:hAnsi="宋体" w:cs="宋体" w:eastAsia="宋体" w:hint="default"/>
                <w:sz w:val="18"/>
                <w:szCs w:val="18"/>
              </w:rPr>
              <w:t>股票，每股面值为人民币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32"/>
                <w:sz w:val="18"/>
                <w:szCs w:val="18"/>
              </w:rPr>
              <w:t> </w:t>
            </w:r>
            <w:r>
              <w:rPr>
                <w:rFonts w:ascii="宋体" w:hAnsi="宋体" w:cs="宋体" w:eastAsia="宋体" w:hint="default"/>
                <w:sz w:val="18"/>
                <w:szCs w:val="18"/>
              </w:rPr>
              <w:t>元，发行数</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量 </w:t>
            </w:r>
            <w:r>
              <w:rPr>
                <w:rFonts w:ascii="Times New Roman" w:hAnsi="Times New Roman" w:cs="Times New Roman" w:eastAsia="Times New Roman" w:hint="default"/>
                <w:sz w:val="18"/>
                <w:szCs w:val="18"/>
              </w:rPr>
              <w:t>96,769,204  </w:t>
            </w:r>
            <w:r>
              <w:rPr>
                <w:rFonts w:ascii="宋体" w:hAnsi="宋体" w:cs="宋体" w:eastAsia="宋体" w:hint="default"/>
                <w:sz w:val="18"/>
                <w:szCs w:val="18"/>
              </w:rPr>
              <w:t>股，发行价格为每股人民币 </w:t>
            </w:r>
            <w:r>
              <w:rPr>
                <w:rFonts w:ascii="Times New Roman" w:hAnsi="Times New Roman" w:cs="Times New Roman" w:eastAsia="Times New Roman" w:hint="default"/>
                <w:sz w:val="18"/>
                <w:szCs w:val="18"/>
              </w:rPr>
              <w:t>7.81  </w:t>
            </w:r>
            <w:r>
              <w:rPr>
                <w:rFonts w:ascii="宋体" w:hAnsi="宋体" w:cs="宋体" w:eastAsia="宋体" w:hint="default"/>
                <w:sz w:val="18"/>
                <w:szCs w:val="18"/>
              </w:rPr>
              <w:t>元，募集资金总额为人民币 </w:t>
            </w:r>
            <w:r>
              <w:rPr>
                <w:rFonts w:ascii="Times New Roman" w:hAnsi="Times New Roman" w:cs="Times New Roman" w:eastAsia="Times New Roman" w:hint="default"/>
                <w:sz w:val="18"/>
                <w:szCs w:val="18"/>
              </w:rPr>
              <w:t>755,767,483.24</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元，已由主承销商东兴证</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券股份有限公司（以下简称“东兴证券</w:t>
            </w:r>
            <w:r>
              <w:rPr>
                <w:rFonts w:ascii="宋体" w:hAnsi="宋体" w:cs="宋体" w:eastAsia="宋体" w:hint="default"/>
                <w:spacing w:val="-90"/>
                <w:sz w:val="18"/>
                <w:szCs w:val="18"/>
              </w:rPr>
              <w:t>”</w:t>
            </w:r>
            <w:r>
              <w:rPr>
                <w:rFonts w:ascii="宋体" w:hAnsi="宋体" w:cs="宋体" w:eastAsia="宋体" w:hint="default"/>
                <w:sz w:val="18"/>
                <w:szCs w:val="18"/>
              </w:rPr>
              <w:t>）于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日汇入公司募集资金监管账户，扣除本次发行费用</w:t>
            </w:r>
          </w:p>
          <w:p>
            <w:pPr>
              <w:pStyle w:val="TableParagraph"/>
              <w:spacing w:line="319" w:lineRule="auto" w:before="63"/>
              <w:ind w:left="103" w:right="180"/>
              <w:jc w:val="left"/>
              <w:rPr>
                <w:rFonts w:ascii="宋体" w:hAnsi="宋体" w:cs="宋体" w:eastAsia="宋体" w:hint="default"/>
                <w:sz w:val="18"/>
                <w:szCs w:val="18"/>
              </w:rPr>
            </w:pPr>
            <w:r>
              <w:rPr>
                <w:rFonts w:ascii="Times New Roman" w:hAnsi="Times New Roman" w:cs="Times New Roman" w:eastAsia="Times New Roman" w:hint="default"/>
                <w:sz w:val="18"/>
                <w:szCs w:val="18"/>
              </w:rPr>
              <w:t>10,816,769.20 </w:t>
            </w:r>
            <w:r>
              <w:rPr>
                <w:rFonts w:ascii="宋体" w:hAnsi="宋体" w:cs="宋体" w:eastAsia="宋体" w:hint="default"/>
                <w:sz w:val="18"/>
                <w:szCs w:val="18"/>
              </w:rPr>
              <w:t>元，募集资金净额为人民币 </w:t>
            </w:r>
            <w:r>
              <w:rPr>
                <w:rFonts w:ascii="Times New Roman" w:hAnsi="Times New Roman" w:cs="Times New Roman" w:eastAsia="Times New Roman" w:hint="default"/>
                <w:sz w:val="18"/>
                <w:szCs w:val="18"/>
              </w:rPr>
              <w:t>744,950,714.04</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元。上述募集资金已经大华会计师事务所（特殊普通合伙） </w:t>
            </w:r>
            <w:r>
              <w:rPr>
                <w:rFonts w:ascii="宋体" w:hAnsi="宋体" w:cs="宋体" w:eastAsia="宋体" w:hint="default"/>
                <w:spacing w:val="-3"/>
                <w:sz w:val="18"/>
                <w:szCs w:val="18"/>
              </w:rPr>
              <w:t>出具的《深圳市卓翼科技股份有限公司验资报告》（大华验字</w:t>
            </w:r>
            <w:r>
              <w:rPr>
                <w:rFonts w:ascii="Times New Roman" w:hAnsi="Times New Roman" w:cs="Times New Roman" w:eastAsia="Times New Roman" w:hint="default"/>
                <w:spacing w:val="-3"/>
                <w:sz w:val="18"/>
                <w:szCs w:val="18"/>
              </w:rPr>
              <w:t>[2017]000120</w:t>
            </w:r>
            <w:r>
              <w:rPr>
                <w:rFonts w:ascii="Times New Roman" w:hAnsi="Times New Roman" w:cs="Times New Roman" w:eastAsia="Times New Roman" w:hint="default"/>
                <w:sz w:val="18"/>
                <w:szCs w:val="18"/>
              </w:rPr>
              <w:t> </w:t>
            </w:r>
            <w:r>
              <w:rPr>
                <w:rFonts w:ascii="宋体" w:hAnsi="宋体" w:cs="宋体" w:eastAsia="宋体" w:hint="default"/>
                <w:sz w:val="18"/>
                <w:szCs w:val="18"/>
              </w:rPr>
              <w:t>号）予以验证确认。</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、募集资金的使用与结余情况</w:t>
            </w:r>
          </w:p>
          <w:p>
            <w:pPr>
              <w:pStyle w:val="TableParagraph"/>
              <w:spacing w:line="240" w:lineRule="auto" w:before="36"/>
              <w:ind w:left="463" w:right="0"/>
              <w:jc w:val="left"/>
              <w:rPr>
                <w:rFonts w:ascii="宋体" w:hAnsi="宋体" w:cs="宋体" w:eastAsia="宋体" w:hint="default"/>
                <w:sz w:val="18"/>
                <w:szCs w:val="18"/>
              </w:rPr>
            </w:pPr>
            <w:r>
              <w:rPr>
                <w:rFonts w:ascii="宋体" w:hAnsi="宋体" w:cs="宋体" w:eastAsia="宋体" w:hint="default"/>
                <w:sz w:val="18"/>
                <w:szCs w:val="18"/>
              </w:rPr>
              <w:t>截至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日，本公司已累计使用募集资金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570,721,488.94 </w:t>
            </w:r>
            <w:r>
              <w:rPr>
                <w:rFonts w:ascii="宋体" w:hAnsi="宋体" w:cs="宋体" w:eastAsia="宋体" w:hint="default"/>
                <w:sz w:val="18"/>
                <w:szCs w:val="18"/>
              </w:rPr>
              <w:t>元，其中：公司置换于募集资金到位之前利</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用自有资金先期投入募集资金项目人民币 </w:t>
            </w:r>
            <w:r>
              <w:rPr>
                <w:rFonts w:ascii="Times New Roman" w:hAnsi="Times New Roman" w:cs="Times New Roman" w:eastAsia="Times New Roman" w:hint="default"/>
                <w:sz w:val="18"/>
                <w:szCs w:val="18"/>
              </w:rPr>
              <w:t>12,847,815.26  </w:t>
            </w:r>
            <w:r>
              <w:rPr>
                <w:rFonts w:ascii="宋体" w:hAnsi="宋体" w:cs="宋体" w:eastAsia="宋体" w:hint="default"/>
                <w:sz w:val="18"/>
                <w:szCs w:val="18"/>
              </w:rPr>
              <w:t>元，截止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 </w:t>
            </w: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日，非公开发行募集资金专用账</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户累计收到的银行存款利息扣除银行手续费等的净额为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10,707,143.27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元，募集资金余额为人民币</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184,936,368.37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包</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含用于暂时补充流动资金的 </w:t>
            </w:r>
            <w:r>
              <w:rPr>
                <w:rFonts w:ascii="Times New Roman" w:hAnsi="Times New Roman" w:cs="Times New Roman" w:eastAsia="Times New Roman" w:hint="default"/>
                <w:sz w:val="18"/>
                <w:szCs w:val="18"/>
              </w:rPr>
              <w:t>120,000,000.00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12"/>
        <w:rPr>
          <w:rFonts w:ascii="宋体" w:hAnsi="宋体" w:cs="宋体" w:eastAsia="宋体" w:hint="default"/>
          <w:sz w:val="22"/>
          <w:szCs w:val="22"/>
        </w:rPr>
      </w:pPr>
    </w:p>
    <w:p>
      <w:pPr>
        <w:spacing w:line="381"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75pt;height:19.1pt;mso-position-horizontal-relative:char;mso-position-vertical-relative:line" coordorigin="0,0" coordsize="9575,382">
            <v:group style="position:absolute;left:10;top:10;width:9556;height:2" coordorigin="10,10" coordsize="9556,2">
              <v:shape style="position:absolute;left:10;top:10;width:9556;height:2" coordorigin="10,10" coordsize="9556,0" path="m10,10l9565,10e" filled="false" stroked="true" strokeweight=".48pt" strokecolor="#000000">
                <v:path arrowok="t"/>
              </v:shape>
            </v:group>
            <v:group style="position:absolute;left:5;top:5;width:2;height:372" coordorigin="5,5" coordsize="2,372">
              <v:shape style="position:absolute;left:5;top:5;width:2;height:372" coordorigin="5,5" coordsize="0,372" path="m5,5l5,377e" filled="false" stroked="true" strokeweight=".48pt" strokecolor="#000000">
                <v:path arrowok="t"/>
              </v:shape>
            </v:group>
            <v:group style="position:absolute;left:10;top:372;width:9556;height:2" coordorigin="10,372" coordsize="9556,2">
              <v:shape style="position:absolute;left:10;top:372;width:9556;height:2" coordorigin="10,372" coordsize="9556,0" path="m10,372l9565,372e" filled="false" stroked="true" strokeweight=".48pt" strokecolor="#000000">
                <v:path arrowok="t"/>
              </v:shape>
            </v:group>
            <v:group style="position:absolute;left:9570;top:5;width:2;height:372" coordorigin="9570,5" coordsize="2,372">
              <v:shape style="position:absolute;left:9570;top:5;width:2;height:372" coordorigin="9570,5" coordsize="0,372" path="m9570,5l9570,377e" filled="false" stroked="true" strokeweight=".48004pt" strokecolor="#000000">
                <v:path arrowok="t"/>
              </v:shape>
            </v:group>
          </v:group>
        </w:pict>
      </w:r>
      <w:r>
        <w:rPr>
          <w:rFonts w:ascii="宋体" w:hAnsi="宋体" w:cs="宋体" w:eastAsia="宋体" w:hint="default"/>
          <w:position w:val="-7"/>
          <w:sz w:val="20"/>
          <w:szCs w:val="20"/>
        </w:rPr>
      </w:r>
    </w:p>
    <w:p>
      <w:pPr>
        <w:spacing w:line="240" w:lineRule="auto" w:before="11"/>
        <w:rPr>
          <w:rFonts w:ascii="宋体" w:hAnsi="宋体" w:cs="宋体" w:eastAsia="宋体" w:hint="default"/>
          <w:sz w:val="18"/>
          <w:szCs w:val="18"/>
        </w:rPr>
      </w:pPr>
    </w:p>
    <w:p>
      <w:pPr>
        <w:pStyle w:val="Heading3"/>
        <w:spacing w:line="240" w:lineRule="auto" w:before="35"/>
        <w:ind w:right="0"/>
        <w:jc w:val="left"/>
        <w:rPr>
          <w:b w:val="0"/>
          <w:bCs w:val="0"/>
        </w:rPr>
      </w:pPr>
      <w:bookmarkStart w:name="（2）募集资金承诺项目情况" w:id="52"/>
      <w:bookmarkEnd w:id="52"/>
      <w:r>
        <w:rPr>
          <w:b w:val="0"/>
          <w:bCs w:val="0"/>
        </w:rPr>
      </w: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0"/>
        <w:jc w:val="right"/>
      </w:pPr>
      <w:r>
        <w:rPr/>
        <w:t>单位：万元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70"/>
        <w:gridCol w:w="779"/>
        <w:gridCol w:w="780"/>
        <w:gridCol w:w="780"/>
        <w:gridCol w:w="779"/>
        <w:gridCol w:w="780"/>
        <w:gridCol w:w="780"/>
        <w:gridCol w:w="780"/>
        <w:gridCol w:w="780"/>
        <w:gridCol w:w="780"/>
        <w:gridCol w:w="780"/>
      </w:tblGrid>
      <w:tr>
        <w:trPr>
          <w:trHeight w:val="1650"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429" w:right="159" w:hanging="270"/>
              <w:jc w:val="left"/>
              <w:rPr>
                <w:rFonts w:ascii="宋体" w:hAnsi="宋体" w:cs="宋体" w:eastAsia="宋体" w:hint="default"/>
                <w:sz w:val="18"/>
                <w:szCs w:val="18"/>
              </w:rPr>
            </w:pPr>
            <w:r>
              <w:rPr>
                <w:rFonts w:ascii="宋体" w:hAnsi="宋体" w:cs="宋体" w:eastAsia="宋体" w:hint="default"/>
                <w:sz w:val="18"/>
                <w:szCs w:val="18"/>
              </w:rPr>
              <w:t>承诺投资项目和超 募资金投向</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14" w:right="113"/>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部分变 更</w:t>
            </w:r>
            <w:r>
              <w:rPr>
                <w:rFonts w:ascii="Times New Roman" w:hAnsi="Times New Roman" w:cs="Times New Roman" w:eastAsia="Times New Roman" w:hint="default"/>
                <w:sz w:val="18"/>
                <w:szCs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15" w:right="113"/>
              <w:jc w:val="center"/>
              <w:rPr>
                <w:rFonts w:ascii="宋体" w:hAnsi="宋体" w:cs="宋体" w:eastAsia="宋体" w:hint="default"/>
                <w:sz w:val="18"/>
                <w:szCs w:val="18"/>
              </w:rPr>
            </w:pPr>
            <w:r>
              <w:rPr>
                <w:rFonts w:ascii="宋体" w:hAnsi="宋体" w:cs="宋体" w:eastAsia="宋体" w:hint="default"/>
                <w:sz w:val="18"/>
                <w:szCs w:val="18"/>
              </w:rPr>
              <w:t>募集资 金承诺 投资总 额</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15" w:right="113"/>
              <w:jc w:val="both"/>
              <w:rPr>
                <w:rFonts w:ascii="Times New Roman" w:hAnsi="Times New Roman" w:cs="Times New Roman" w:eastAsia="Times New Roman" w:hint="default"/>
                <w:sz w:val="18"/>
                <w:szCs w:val="18"/>
              </w:rPr>
            </w:pPr>
            <w:r>
              <w:rPr>
                <w:rFonts w:ascii="宋体" w:hAnsi="宋体" w:cs="宋体" w:eastAsia="宋体" w:hint="default"/>
                <w:sz w:val="18"/>
                <w:szCs w:val="18"/>
              </w:rPr>
              <w:t>调整后 投资总 额</w:t>
            </w:r>
            <w:r>
              <w:rPr>
                <w:rFonts w:ascii="Times New Roman" w:hAnsi="Times New Roman" w:cs="Times New Roman" w:eastAsia="Times New Roman" w:hint="default"/>
                <w:sz w:val="18"/>
                <w:szCs w:val="18"/>
              </w:rPr>
              <w:t>(1)</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14" w:right="113"/>
              <w:jc w:val="both"/>
              <w:rPr>
                <w:rFonts w:ascii="宋体" w:hAnsi="宋体" w:cs="宋体" w:eastAsia="宋体" w:hint="default"/>
                <w:sz w:val="18"/>
                <w:szCs w:val="18"/>
              </w:rPr>
            </w:pPr>
            <w:r>
              <w:rPr>
                <w:rFonts w:ascii="宋体" w:hAnsi="宋体" w:cs="宋体" w:eastAsia="宋体" w:hint="default"/>
                <w:sz w:val="18"/>
                <w:szCs w:val="18"/>
              </w:rPr>
              <w:t>本报告 期投入 金额</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15" w:right="113"/>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w:t>
            </w:r>
            <w:r>
              <w:rPr>
                <w:rFonts w:ascii="Times New Roman" w:hAnsi="Times New Roman" w:cs="Times New Roman" w:eastAsia="Times New Roman" w:hint="default"/>
                <w:sz w:val="18"/>
                <w:szCs w:val="18"/>
              </w:rPr>
              <w:t>(2)</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24" w:lineRule="auto" w:before="51"/>
              <w:ind w:left="115" w:right="11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 末投资 进度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5" w:right="113"/>
              <w:jc w:val="center"/>
              <w:rPr>
                <w:rFonts w:ascii="宋体" w:hAnsi="宋体" w:cs="宋体" w:eastAsia="宋体" w:hint="default"/>
                <w:sz w:val="18"/>
                <w:szCs w:val="18"/>
              </w:rPr>
            </w:pPr>
            <w:r>
              <w:rPr>
                <w:rFonts w:ascii="宋体" w:hAnsi="宋体" w:cs="宋体" w:eastAsia="宋体" w:hint="default"/>
                <w:sz w:val="18"/>
                <w:szCs w:val="18"/>
              </w:rPr>
              <w:t>项目达 到预定 可使用 状态日 期</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15" w:right="113"/>
              <w:jc w:val="both"/>
              <w:rPr>
                <w:rFonts w:ascii="宋体" w:hAnsi="宋体" w:cs="宋体" w:eastAsia="宋体" w:hint="default"/>
                <w:sz w:val="18"/>
                <w:szCs w:val="18"/>
              </w:rPr>
            </w:pPr>
            <w:r>
              <w:rPr>
                <w:rFonts w:ascii="宋体" w:hAnsi="宋体" w:cs="宋体" w:eastAsia="宋体" w:hint="default"/>
                <w:sz w:val="18"/>
                <w:szCs w:val="18"/>
              </w:rPr>
              <w:t>本报告 期实现 的效益</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15" w:right="113"/>
              <w:jc w:val="both"/>
              <w:rPr>
                <w:rFonts w:ascii="宋体" w:hAnsi="宋体" w:cs="宋体" w:eastAsia="宋体" w:hint="default"/>
                <w:sz w:val="18"/>
                <w:szCs w:val="18"/>
              </w:rPr>
            </w:pPr>
            <w:r>
              <w:rPr>
                <w:rFonts w:ascii="宋体" w:hAnsi="宋体" w:cs="宋体" w:eastAsia="宋体" w:hint="default"/>
                <w:sz w:val="18"/>
                <w:szCs w:val="18"/>
              </w:rPr>
              <w:t>是否达 到预计 效益</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5" w:right="113"/>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402" w:hRule="exact"/>
        </w:trPr>
        <w:tc>
          <w:tcPr>
            <w:tcW w:w="9569"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．智能制造项目</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35,000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35,000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14,118.</w:t>
            </w:r>
          </w:p>
          <w:p>
            <w:pPr>
              <w:pStyle w:val="TableParagraph"/>
              <w:spacing w:line="240" w:lineRule="auto" w:before="105"/>
              <w:ind w:left="486" w:right="0"/>
              <w:jc w:val="left"/>
              <w:rPr>
                <w:rFonts w:ascii="Times New Roman" w:hAnsi="Times New Roman" w:cs="Times New Roman" w:eastAsia="Times New Roman" w:hint="default"/>
                <w:sz w:val="18"/>
                <w:szCs w:val="18"/>
              </w:rPr>
            </w:pPr>
            <w:r>
              <w:rPr>
                <w:rFonts w:ascii="Times New Roman"/>
                <w:sz w:val="18"/>
              </w:rPr>
              <w:t>68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32,764.</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38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93.61%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4,992.9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103" w:right="26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创新支持平台项 目</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16,576.</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75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8,576.7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446.64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1,301.8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15.18%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补充流动资金</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24,000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22,918.</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32</w:t>
            </w: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22,918.</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22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、机器人项目</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60" w:right="0"/>
              <w:jc w:val="center"/>
              <w:rPr>
                <w:rFonts w:ascii="Times New Roman" w:hAnsi="Times New Roman" w:cs="Times New Roman" w:eastAsia="Times New Roman" w:hint="default"/>
                <w:sz w:val="18"/>
                <w:szCs w:val="18"/>
              </w:rPr>
            </w:pPr>
            <w:r>
              <w:rPr>
                <w:rFonts w:ascii="Times New Roman"/>
                <w:sz w:val="18"/>
              </w:rPr>
              <w:t>8,000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87.7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87.7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1.10%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9"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23"/>
              <w:jc w:val="right"/>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75,576.</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75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74,495.</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07</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left"/>
              <w:rPr>
                <w:rFonts w:ascii="Times New Roman" w:hAnsi="Times New Roman" w:cs="Times New Roman" w:eastAsia="Times New Roman" w:hint="default"/>
                <w:sz w:val="18"/>
                <w:szCs w:val="18"/>
              </w:rPr>
            </w:pPr>
            <w:r>
              <w:rPr>
                <w:rFonts w:ascii="Times New Roman"/>
                <w:sz w:val="18"/>
              </w:rPr>
              <w:t>14,653.</w:t>
            </w:r>
          </w:p>
          <w:p>
            <w:pPr>
              <w:pStyle w:val="TableParagraph"/>
              <w:spacing w:line="240" w:lineRule="auto" w:before="105"/>
              <w:ind w:left="486" w:right="0"/>
              <w:jc w:val="left"/>
              <w:rPr>
                <w:rFonts w:ascii="Times New Roman" w:hAnsi="Times New Roman" w:cs="Times New Roman" w:eastAsia="Times New Roman" w:hint="default"/>
                <w:sz w:val="18"/>
                <w:szCs w:val="18"/>
              </w:rPr>
            </w:pPr>
            <w:r>
              <w:rPr>
                <w:rFonts w:ascii="Times New Roman"/>
                <w:sz w:val="18"/>
              </w:rPr>
              <w:t>02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57,072.</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15</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5" w:right="0"/>
              <w:jc w:val="left"/>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4,992.9</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23"/>
              <w:jc w:val="right"/>
              <w:rPr>
                <w:rFonts w:ascii="Times New Roman" w:hAnsi="Times New Roman" w:cs="Times New Roman" w:eastAsia="Times New Roman" w:hint="default"/>
                <w:sz w:val="18"/>
                <w:szCs w:val="18"/>
              </w:rPr>
            </w:pPr>
            <w:r>
              <w:rPr>
                <w:rFonts w:ascii="Times New Roman"/>
                <w:sz w:val="18"/>
              </w:rPr>
              <w:t>--</w:t>
            </w:r>
          </w:p>
        </w:tc>
      </w:tr>
      <w:tr>
        <w:trPr>
          <w:trHeight w:val="397" w:hRule="exact"/>
        </w:trPr>
        <w:tc>
          <w:tcPr>
            <w:tcW w:w="9569"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23"/>
              <w:jc w:val="right"/>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75,576.</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75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74,495.</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07</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left"/>
              <w:rPr>
                <w:rFonts w:ascii="Times New Roman" w:hAnsi="Times New Roman" w:cs="Times New Roman" w:eastAsia="Times New Roman" w:hint="default"/>
                <w:sz w:val="18"/>
                <w:szCs w:val="18"/>
              </w:rPr>
            </w:pPr>
            <w:r>
              <w:rPr>
                <w:rFonts w:ascii="Times New Roman"/>
                <w:sz w:val="18"/>
              </w:rPr>
              <w:t>14,653.</w:t>
            </w:r>
          </w:p>
          <w:p>
            <w:pPr>
              <w:pStyle w:val="TableParagraph"/>
              <w:spacing w:line="240" w:lineRule="auto" w:before="105"/>
              <w:ind w:left="486" w:right="0"/>
              <w:jc w:val="left"/>
              <w:rPr>
                <w:rFonts w:ascii="Times New Roman" w:hAnsi="Times New Roman" w:cs="Times New Roman" w:eastAsia="Times New Roman" w:hint="default"/>
                <w:sz w:val="18"/>
                <w:szCs w:val="18"/>
              </w:rPr>
            </w:pPr>
            <w:r>
              <w:rPr>
                <w:rFonts w:ascii="Times New Roman"/>
                <w:sz w:val="18"/>
              </w:rPr>
              <w:t>02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57,072.</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15</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5" w:right="0"/>
              <w:jc w:val="left"/>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4,992.9</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23"/>
              <w:jc w:val="right"/>
              <w:rPr>
                <w:rFonts w:ascii="Times New Roman" w:hAnsi="Times New Roman" w:cs="Times New Roman" w:eastAsia="Times New Roman" w:hint="default"/>
                <w:sz w:val="18"/>
                <w:szCs w:val="18"/>
              </w:rPr>
            </w:pPr>
            <w:r>
              <w:rPr>
                <w:rFonts w:ascii="Times New Roman"/>
                <w:sz w:val="18"/>
              </w:rPr>
              <w:t>--</w:t>
            </w:r>
          </w:p>
        </w:tc>
      </w:tr>
      <w:tr>
        <w:trPr>
          <w:trHeight w:val="3562"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42"/>
              <w:ind w:left="103" w:right="35"/>
              <w:jc w:val="left"/>
              <w:rPr>
                <w:rFonts w:ascii="宋体" w:hAnsi="宋体" w:cs="宋体" w:eastAsia="宋体" w:hint="default"/>
                <w:sz w:val="18"/>
                <w:szCs w:val="18"/>
              </w:rPr>
            </w:pPr>
            <w:r>
              <w:rPr>
                <w:rFonts w:ascii="宋体" w:hAnsi="宋体" w:cs="宋体" w:eastAsia="宋体" w:hint="default"/>
                <w:sz w:val="18"/>
                <w:szCs w:val="18"/>
              </w:rPr>
              <w:t>未达到计划进度或 预计收益的情况和 原因（分具体项目）</w:t>
            </w:r>
          </w:p>
        </w:tc>
        <w:tc>
          <w:tcPr>
            <w:tcW w:w="7798" w:type="dxa"/>
            <w:gridSpan w:val="10"/>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0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、创新支持平台项目主要是建设相关软、硬件开发实验室、材料和结构设计成型实验室、测试实</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验室等，基于公司前期的投入，此项目建设逐渐趋于稳定，基于公司管理层对市场前景判断和公 司总体发展战略规划的需要，公司根据实际情况暂缓了此募投项目的投入进度，使得募投项目的 实际投入与计划进度存在差异。公司为提高募集资金使用效率，根据市场发展趋势，将投入到创 新支持平台项目的募集资金调减</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8000</w:t>
            </w:r>
            <w:r>
              <w:rPr>
                <w:rFonts w:ascii="Times New Roman" w:hAnsi="Times New Roman" w:cs="Times New Roman" w:eastAsia="Times New Roman" w:hint="default"/>
                <w:spacing w:val="4"/>
                <w:sz w:val="18"/>
                <w:szCs w:val="18"/>
              </w:rPr>
              <w:t> </w:t>
            </w:r>
            <w:r>
              <w:rPr>
                <w:rFonts w:ascii="宋体" w:hAnsi="宋体" w:cs="宋体" w:eastAsia="宋体" w:hint="default"/>
                <w:spacing w:val="-4"/>
                <w:sz w:val="18"/>
                <w:szCs w:val="18"/>
              </w:rPr>
              <w:t>万元，用于新增“机器人项目”。此事项已经公司第四届董</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事会第十八次会议、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年第二次临时股东大会审议通过。 </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、机器人项目主要是进行工业机器人的技术研发，以生产出高质量的工业机器人，迎合市场的发</w:t>
            </w:r>
          </w:p>
          <w:p>
            <w:pPr>
              <w:pStyle w:val="TableParagraph"/>
              <w:spacing w:line="312" w:lineRule="auto" w:before="1"/>
              <w:ind w:left="103" w:right="100"/>
              <w:jc w:val="both"/>
              <w:rPr>
                <w:rFonts w:ascii="宋体" w:hAnsi="宋体" w:cs="宋体" w:eastAsia="宋体" w:hint="default"/>
                <w:sz w:val="18"/>
                <w:szCs w:val="18"/>
              </w:rPr>
            </w:pPr>
            <w:r>
              <w:rPr>
                <w:rFonts w:ascii="宋体" w:hAnsi="宋体" w:cs="宋体" w:eastAsia="宋体" w:hint="default"/>
                <w:sz w:val="18"/>
                <w:szCs w:val="18"/>
              </w:rPr>
              <w:t>展需求，促进公司的发展。同时，生产的机器人也可用于公司及子公司的生产活动，有利于降低 公司的生产成本，提升公司竞争力。</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月公司完成募投项目变更，进行了相关工业机器人 的试产，用于生产活动中，并根据实际情况不断调整完善相关机器人，待后续满足公司自身生产 需求且对外销售时机成熟，会进一步扩大机器人研发、生产规模并对外进行销售。</w:t>
            </w:r>
          </w:p>
        </w:tc>
      </w:tr>
    </w:tbl>
    <w:p>
      <w:pPr>
        <w:spacing w:after="0" w:line="312" w:lineRule="auto"/>
        <w:jc w:val="both"/>
        <w:rPr>
          <w:rFonts w:ascii="宋体" w:hAnsi="宋体" w:cs="宋体" w:eastAsia="宋体"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770"/>
        <w:gridCol w:w="7798"/>
      </w:tblGrid>
      <w:tr>
        <w:trPr>
          <w:trHeight w:val="714"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15"/>
              <w:jc w:val="left"/>
              <w:rPr>
                <w:rFonts w:ascii="宋体" w:hAnsi="宋体" w:cs="宋体" w:eastAsia="宋体" w:hint="default"/>
                <w:sz w:val="18"/>
                <w:szCs w:val="18"/>
              </w:rPr>
            </w:pPr>
            <w:r>
              <w:rPr>
                <w:rFonts w:ascii="宋体" w:hAnsi="宋体" w:cs="宋体" w:eastAsia="宋体" w:hint="default"/>
                <w:sz w:val="18"/>
                <w:szCs w:val="18"/>
              </w:rPr>
              <w:t>项目可行性发生重 大变化的情况说明</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03" w:right="101"/>
              <w:jc w:val="left"/>
              <w:rPr>
                <w:rFonts w:ascii="宋体" w:hAnsi="宋体" w:cs="宋体" w:eastAsia="宋体" w:hint="default"/>
                <w:sz w:val="18"/>
                <w:szCs w:val="18"/>
              </w:rPr>
            </w:pPr>
            <w:r>
              <w:rPr>
                <w:rFonts w:ascii="宋体" w:hAnsi="宋体" w:cs="宋体" w:eastAsia="宋体" w:hint="default"/>
                <w:spacing w:val="-8"/>
                <w:sz w:val="18"/>
                <w:szCs w:val="18"/>
              </w:rPr>
              <w:t>超募资金的金额、用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途及使用进展情况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2"/>
                <w:szCs w:val="22"/>
              </w:rPr>
            </w:pPr>
          </w:p>
          <w:p>
            <w:pPr>
              <w:pStyle w:val="TableParagraph"/>
              <w:spacing w:line="319" w:lineRule="auto"/>
              <w:ind w:left="103" w:right="215"/>
              <w:jc w:val="left"/>
              <w:rPr>
                <w:rFonts w:ascii="宋体" w:hAnsi="宋体" w:cs="宋体" w:eastAsia="宋体" w:hint="default"/>
                <w:sz w:val="18"/>
                <w:szCs w:val="18"/>
              </w:rPr>
            </w:pPr>
            <w:r>
              <w:rPr>
                <w:rFonts w:ascii="宋体" w:hAnsi="宋体" w:cs="宋体" w:eastAsia="宋体" w:hint="default"/>
                <w:sz w:val="18"/>
                <w:szCs w:val="18"/>
              </w:rPr>
              <w:t>募集资金投资项目 实施地点变更情况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2"/>
                <w:szCs w:val="22"/>
              </w:rPr>
            </w:pPr>
          </w:p>
          <w:p>
            <w:pPr>
              <w:pStyle w:val="TableParagraph"/>
              <w:spacing w:line="319" w:lineRule="auto"/>
              <w:ind w:left="103" w:right="215"/>
              <w:jc w:val="left"/>
              <w:rPr>
                <w:rFonts w:ascii="宋体" w:hAnsi="宋体" w:cs="宋体" w:eastAsia="宋体" w:hint="default"/>
                <w:sz w:val="18"/>
                <w:szCs w:val="18"/>
              </w:rPr>
            </w:pPr>
            <w:r>
              <w:rPr>
                <w:rFonts w:ascii="宋体" w:hAnsi="宋体" w:cs="宋体" w:eastAsia="宋体" w:hint="default"/>
                <w:sz w:val="18"/>
                <w:szCs w:val="18"/>
              </w:rPr>
              <w:t>募集资金投资项目 实施方式调整情况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03" w:right="215"/>
              <w:jc w:val="both"/>
              <w:rPr>
                <w:rFonts w:ascii="宋体" w:hAnsi="宋体" w:cs="宋体" w:eastAsia="宋体" w:hint="default"/>
                <w:sz w:val="18"/>
                <w:szCs w:val="18"/>
              </w:rPr>
            </w:pPr>
            <w:r>
              <w:rPr>
                <w:rFonts w:ascii="宋体" w:hAnsi="宋体" w:cs="宋体" w:eastAsia="宋体" w:hint="default"/>
                <w:sz w:val="18"/>
                <w:szCs w:val="18"/>
              </w:rPr>
              <w:t>募集资金投资项目 先期投入及置换情 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338"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日，公司第四届董事会第九次会议审议通过了《关于使用募集资金置换预先投入</w:t>
            </w:r>
          </w:p>
          <w:p>
            <w:pPr>
              <w:pStyle w:val="TableParagraph"/>
              <w:spacing w:line="309" w:lineRule="auto" w:before="63"/>
              <w:ind w:left="103" w:right="123"/>
              <w:jc w:val="both"/>
              <w:rPr>
                <w:rFonts w:ascii="宋体" w:hAnsi="宋体" w:cs="宋体" w:eastAsia="宋体" w:hint="default"/>
                <w:sz w:val="18"/>
                <w:szCs w:val="18"/>
              </w:rPr>
            </w:pPr>
            <w:r>
              <w:rPr>
                <w:rFonts w:ascii="宋体" w:hAnsi="宋体" w:cs="宋体" w:eastAsia="宋体" w:hint="default"/>
                <w:spacing w:val="-6"/>
                <w:sz w:val="18"/>
                <w:szCs w:val="18"/>
              </w:rPr>
              <w:t>募投项目自筹资金的议案》，同意使用</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12,847,815.26</w:t>
            </w:r>
            <w:r>
              <w:rPr>
                <w:rFonts w:ascii="Times New Roman" w:hAnsi="Times New Roman" w:cs="Times New Roman" w:eastAsia="Times New Roman" w:hint="default"/>
                <w:spacing w:val="8"/>
                <w:sz w:val="18"/>
                <w:szCs w:val="18"/>
              </w:rPr>
              <w:t> </w:t>
            </w:r>
            <w:r>
              <w:rPr>
                <w:rFonts w:ascii="宋体" w:hAnsi="宋体" w:cs="宋体" w:eastAsia="宋体" w:hint="default"/>
                <w:spacing w:val="-1"/>
                <w:sz w:val="18"/>
                <w:szCs w:val="18"/>
              </w:rPr>
              <w:t>元募集资金置换预先已投入募集资金投资项</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目的自筹资金。大华会计师事务所（特殊普通合伙）出具了相关鉴证报告，独立董事、监事、保 荐机构发表了明确的同意意见。</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319" w:lineRule="auto"/>
              <w:ind w:left="103" w:right="215"/>
              <w:jc w:val="both"/>
              <w:rPr>
                <w:rFonts w:ascii="宋体" w:hAnsi="宋体" w:cs="宋体" w:eastAsia="宋体" w:hint="default"/>
                <w:sz w:val="18"/>
                <w:szCs w:val="18"/>
              </w:rPr>
            </w:pPr>
            <w:r>
              <w:rPr>
                <w:rFonts w:ascii="宋体" w:hAnsi="宋体" w:cs="宋体" w:eastAsia="宋体" w:hint="default"/>
                <w:sz w:val="18"/>
                <w:szCs w:val="18"/>
              </w:rPr>
              <w:t>用闲置募集资金暂 时补充流动资金情 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650"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00"/>
              <w:jc w:val="both"/>
              <w:rPr>
                <w:rFonts w:ascii="宋体" w:hAnsi="宋体" w:cs="宋体" w:eastAsia="宋体" w:hint="default"/>
                <w:sz w:val="18"/>
                <w:szCs w:val="18"/>
              </w:rPr>
            </w:pPr>
            <w:r>
              <w:rPr>
                <w:rFonts w:ascii="宋体" w:hAnsi="宋体" w:cs="宋体" w:eastAsia="宋体" w:hint="default"/>
                <w:sz w:val="18"/>
                <w:szCs w:val="18"/>
              </w:rPr>
              <w:t>为提高公司募集资金使用效率，降低财务费用，公司于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日召开第四届董事会第二 十二次会议、第四届监事会第十七次会议审议通过了《关于使用部分闲置募集资金暂时补充流动 </w:t>
            </w:r>
            <w:r>
              <w:rPr>
                <w:rFonts w:ascii="宋体" w:hAnsi="宋体" w:cs="宋体" w:eastAsia="宋体" w:hint="default"/>
                <w:spacing w:val="-6"/>
                <w:sz w:val="18"/>
                <w:szCs w:val="18"/>
              </w:rPr>
              <w:t>资金的议案》，同意将创新支持平台项目闲置的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6000</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万元、机器人项目闲置的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万元用于暂时</w:t>
            </w:r>
          </w:p>
          <w:p>
            <w:pPr>
              <w:pStyle w:val="TableParagraph"/>
              <w:spacing w:line="240" w:lineRule="auto" w:before="5"/>
              <w:ind w:left="103" w:right="0"/>
              <w:jc w:val="both"/>
              <w:rPr>
                <w:rFonts w:ascii="宋体" w:hAnsi="宋体" w:cs="宋体" w:eastAsia="宋体" w:hint="default"/>
                <w:sz w:val="18"/>
                <w:szCs w:val="18"/>
              </w:rPr>
            </w:pPr>
            <w:r>
              <w:rPr>
                <w:rFonts w:ascii="宋体" w:hAnsi="宋体" w:cs="宋体" w:eastAsia="宋体" w:hint="default"/>
                <w:sz w:val="18"/>
                <w:szCs w:val="18"/>
              </w:rPr>
              <w:t>补充流动资金，并将在董事会批准之日起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个月内及时、足额将上述资金归还至募集资金专户，</w:t>
            </w:r>
          </w:p>
          <w:p>
            <w:pPr>
              <w:pStyle w:val="TableParagraph"/>
              <w:spacing w:line="240" w:lineRule="auto" w:before="64"/>
              <w:ind w:left="103" w:right="0"/>
              <w:jc w:val="both"/>
              <w:rPr>
                <w:rFonts w:ascii="宋体" w:hAnsi="宋体" w:cs="宋体" w:eastAsia="宋体" w:hint="default"/>
                <w:sz w:val="18"/>
                <w:szCs w:val="18"/>
              </w:rPr>
            </w:pPr>
            <w:r>
              <w:rPr>
                <w:rFonts w:ascii="宋体" w:hAnsi="宋体" w:cs="宋体" w:eastAsia="宋体" w:hint="default"/>
                <w:sz w:val="18"/>
                <w:szCs w:val="18"/>
              </w:rPr>
              <w:t>目前，尚未归还上述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万元募集资金。</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03" w:right="215"/>
              <w:jc w:val="both"/>
              <w:rPr>
                <w:rFonts w:ascii="宋体" w:hAnsi="宋体" w:cs="宋体" w:eastAsia="宋体" w:hint="default"/>
                <w:sz w:val="18"/>
                <w:szCs w:val="18"/>
              </w:rPr>
            </w:pPr>
            <w:r>
              <w:rPr>
                <w:rFonts w:ascii="宋体" w:hAnsi="宋体" w:cs="宋体" w:eastAsia="宋体" w:hint="default"/>
                <w:sz w:val="18"/>
                <w:szCs w:val="18"/>
              </w:rPr>
              <w:t>项目实施出现募集 资金结余的金额及 原因</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15"/>
              <w:jc w:val="left"/>
              <w:rPr>
                <w:rFonts w:ascii="宋体" w:hAnsi="宋体" w:cs="宋体" w:eastAsia="宋体" w:hint="default"/>
                <w:sz w:val="18"/>
                <w:szCs w:val="18"/>
              </w:rPr>
            </w:pPr>
            <w:r>
              <w:rPr>
                <w:rFonts w:ascii="宋体" w:hAnsi="宋体" w:cs="宋体" w:eastAsia="宋体" w:hint="default"/>
                <w:sz w:val="18"/>
                <w:szCs w:val="18"/>
              </w:rPr>
              <w:t>尚未使用的募集资 金用途及去向</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103" w:right="169"/>
              <w:jc w:val="left"/>
              <w:rPr>
                <w:rFonts w:ascii="宋体" w:hAnsi="宋体" w:cs="宋体" w:eastAsia="宋体" w:hint="default"/>
                <w:sz w:val="18"/>
                <w:szCs w:val="18"/>
              </w:rPr>
            </w:pPr>
            <w:r>
              <w:rPr>
                <w:rFonts w:ascii="宋体" w:hAnsi="宋体" w:cs="宋体" w:eastAsia="宋体" w:hint="default"/>
                <w:sz w:val="18"/>
                <w:szCs w:val="18"/>
              </w:rPr>
              <w:t>截止报告期末，</w:t>
            </w:r>
            <w:r>
              <w:rPr>
                <w:rFonts w:ascii="Times New Roman" w:hAnsi="Times New Roman" w:cs="Times New Roman" w:eastAsia="Times New Roman" w:hint="default"/>
                <w:sz w:val="18"/>
                <w:szCs w:val="18"/>
              </w:rPr>
              <w:t>12000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万元用于暂时补充流动资金，其他尚未使用的募集资金存放于公司募集资 金专户，拟投入募集资金投资项目。</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15"/>
              <w:jc w:val="both"/>
              <w:rPr>
                <w:rFonts w:ascii="宋体" w:hAnsi="宋体" w:cs="宋体" w:eastAsia="宋体" w:hint="default"/>
                <w:sz w:val="18"/>
                <w:szCs w:val="18"/>
              </w:rPr>
            </w:pPr>
            <w:r>
              <w:rPr>
                <w:rFonts w:ascii="宋体" w:hAnsi="宋体" w:cs="宋体" w:eastAsia="宋体" w:hint="default"/>
                <w:sz w:val="18"/>
                <w:szCs w:val="18"/>
              </w:rPr>
              <w:t>募集资金使用及披 露中存在的问题或 其他情况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募集资金变更项目情况" w:id="53"/>
      <w:bookmarkEnd w:id="53"/>
      <w:r>
        <w:rPr>
          <w:b w:val="0"/>
          <w:bCs w:val="0"/>
        </w:rPr>
      </w: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7"/>
        <w:ind w:left="0" w:right="1130"/>
        <w:jc w:val="right"/>
      </w:pPr>
      <w:r>
        <w:rPr/>
        <w:t>单位：万元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958"/>
        <w:gridCol w:w="958"/>
        <w:gridCol w:w="956"/>
        <w:gridCol w:w="959"/>
        <w:gridCol w:w="956"/>
        <w:gridCol w:w="956"/>
        <w:gridCol w:w="956"/>
        <w:gridCol w:w="957"/>
        <w:gridCol w:w="958"/>
        <w:gridCol w:w="956"/>
      </w:tblGrid>
      <w:tr>
        <w:trPr>
          <w:trHeight w:val="1650" w:hRule="exact"/>
        </w:trPr>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94" w:right="112" w:hanging="180"/>
              <w:jc w:val="left"/>
              <w:rPr>
                <w:rFonts w:ascii="宋体" w:hAnsi="宋体" w:cs="宋体" w:eastAsia="宋体" w:hint="default"/>
                <w:sz w:val="18"/>
                <w:szCs w:val="18"/>
              </w:rPr>
            </w:pPr>
            <w:r>
              <w:rPr>
                <w:rFonts w:ascii="宋体" w:hAnsi="宋体" w:cs="宋体" w:eastAsia="宋体" w:hint="default"/>
                <w:sz w:val="18"/>
                <w:szCs w:val="18"/>
              </w:rPr>
              <w:t>变更后的 项目</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12" w:right="113"/>
              <w:jc w:val="left"/>
              <w:rPr>
                <w:rFonts w:ascii="宋体" w:hAnsi="宋体" w:cs="宋体" w:eastAsia="宋体" w:hint="default"/>
                <w:sz w:val="18"/>
                <w:szCs w:val="18"/>
              </w:rPr>
            </w:pPr>
            <w:r>
              <w:rPr>
                <w:rFonts w:ascii="宋体" w:hAnsi="宋体" w:cs="宋体" w:eastAsia="宋体" w:hint="default"/>
                <w:sz w:val="18"/>
                <w:szCs w:val="18"/>
              </w:rPr>
              <w:t>对应的原 承诺项目</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3" w:right="110"/>
              <w:jc w:val="both"/>
              <w:rPr>
                <w:rFonts w:ascii="Times New Roman" w:hAnsi="Times New Roman" w:cs="Times New Roman" w:eastAsia="Times New Roman" w:hint="default"/>
                <w:sz w:val="18"/>
                <w:szCs w:val="18"/>
              </w:rPr>
            </w:pPr>
            <w:r>
              <w:rPr>
                <w:rFonts w:ascii="宋体" w:hAnsi="宋体" w:cs="宋体" w:eastAsia="宋体" w:hint="default"/>
                <w:sz w:val="18"/>
                <w:szCs w:val="18"/>
              </w:rPr>
              <w:t>变更后项 目拟投入 募集资金 总额</w:t>
            </w:r>
            <w:r>
              <w:rPr>
                <w:rFonts w:ascii="Times New Roman" w:hAnsi="Times New Roman" w:cs="Times New Roman" w:eastAsia="Times New Roman" w:hint="default"/>
                <w:sz w:val="18"/>
                <w:szCs w:val="18"/>
              </w:rPr>
              <w:t>(1)</w:t>
            </w:r>
          </w:p>
        </w:tc>
        <w:tc>
          <w:tcPr>
            <w:tcW w:w="9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13" w:right="113"/>
              <w:jc w:val="center"/>
              <w:rPr>
                <w:rFonts w:ascii="宋体" w:hAnsi="宋体" w:cs="宋体" w:eastAsia="宋体" w:hint="default"/>
                <w:sz w:val="18"/>
                <w:szCs w:val="18"/>
              </w:rPr>
            </w:pPr>
            <w:r>
              <w:rPr>
                <w:rFonts w:ascii="宋体" w:hAnsi="宋体" w:cs="宋体" w:eastAsia="宋体" w:hint="default"/>
                <w:sz w:val="18"/>
                <w:szCs w:val="18"/>
              </w:rPr>
              <w:t>本报告期 实际投入 金额</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3" w:right="110"/>
              <w:jc w:val="center"/>
              <w:rPr>
                <w:rFonts w:ascii="宋体" w:hAnsi="宋体" w:cs="宋体" w:eastAsia="宋体" w:hint="default"/>
                <w:sz w:val="18"/>
                <w:szCs w:val="18"/>
              </w:rPr>
            </w:pPr>
            <w:r>
              <w:rPr>
                <w:rFonts w:ascii="宋体" w:hAnsi="宋体" w:cs="宋体" w:eastAsia="宋体" w:hint="default"/>
                <w:sz w:val="18"/>
                <w:szCs w:val="18"/>
              </w:rPr>
              <w:t>截至期末 实际累计 投入金额</w:t>
            </w:r>
          </w:p>
          <w:p>
            <w:pPr>
              <w:pStyle w:val="TableParagraph"/>
              <w:spacing w:line="240" w:lineRule="auto" w:before="58"/>
              <w:ind w:right="0"/>
              <w:jc w:val="center"/>
              <w:rPr>
                <w:rFonts w:ascii="Times New Roman" w:hAnsi="Times New Roman" w:cs="Times New Roman" w:eastAsia="Times New Roman" w:hint="default"/>
                <w:sz w:val="18"/>
                <w:szCs w:val="18"/>
              </w:rPr>
            </w:pPr>
            <w:r>
              <w:rPr>
                <w:rFonts w:ascii="Times New Roman"/>
                <w:sz w:val="18"/>
              </w:rPr>
              <w:t>(2)</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38" w:lineRule="auto"/>
              <w:ind w:left="112" w:right="110"/>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投资进度 </w:t>
            </w:r>
            <w:r>
              <w:rPr>
                <w:rFonts w:ascii="Times New Roman" w:hAnsi="Times New Roman" w:cs="Times New Roman" w:eastAsia="Times New Roman" w:hint="default"/>
                <w:sz w:val="18"/>
                <w:szCs w:val="18"/>
              </w:rPr>
              <w:t>(3)=(2)/(1</w:t>
            </w:r>
          </w:p>
          <w:p>
            <w:pPr>
              <w:pStyle w:val="TableParagraph"/>
              <w:spacing w:line="240" w:lineRule="auto" w:before="24"/>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4" w:right="110"/>
              <w:jc w:val="center"/>
              <w:rPr>
                <w:rFonts w:ascii="宋体" w:hAnsi="宋体" w:cs="宋体" w:eastAsia="宋体" w:hint="default"/>
                <w:sz w:val="18"/>
                <w:szCs w:val="18"/>
              </w:rPr>
            </w:pPr>
            <w:r>
              <w:rPr>
                <w:rFonts w:ascii="宋体" w:hAnsi="宋体" w:cs="宋体" w:eastAsia="宋体" w:hint="default"/>
                <w:sz w:val="18"/>
                <w:szCs w:val="18"/>
              </w:rPr>
              <w:t>项目达到 预定可使 用状态日 期</w:t>
            </w:r>
          </w:p>
        </w:tc>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12" w:right="112"/>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13" w:right="113"/>
              <w:jc w:val="left"/>
              <w:rPr>
                <w:rFonts w:ascii="宋体" w:hAnsi="宋体" w:cs="宋体" w:eastAsia="宋体" w:hint="default"/>
                <w:sz w:val="18"/>
                <w:szCs w:val="18"/>
              </w:rPr>
            </w:pPr>
            <w:r>
              <w:rPr>
                <w:rFonts w:ascii="宋体" w:hAnsi="宋体" w:cs="宋体" w:eastAsia="宋体" w:hint="default"/>
                <w:sz w:val="18"/>
                <w:szCs w:val="18"/>
              </w:rPr>
              <w:t>是否达到 预计效益</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2" w:right="113"/>
              <w:jc w:val="center"/>
              <w:rPr>
                <w:rFonts w:ascii="宋体" w:hAnsi="宋体" w:cs="宋体" w:eastAsia="宋体" w:hint="default"/>
                <w:sz w:val="18"/>
                <w:szCs w:val="18"/>
              </w:rPr>
            </w:pPr>
            <w:r>
              <w:rPr>
                <w:rFonts w:ascii="宋体" w:hAnsi="宋体" w:cs="宋体" w:eastAsia="宋体" w:hint="default"/>
                <w:sz w:val="18"/>
                <w:szCs w:val="18"/>
              </w:rPr>
              <w:t>变更后的 项目可行 性是否发 生重大变 化</w:t>
            </w:r>
          </w:p>
        </w:tc>
      </w:tr>
    </w:tbl>
    <w:p>
      <w:pPr>
        <w:spacing w:after="0" w:line="319" w:lineRule="auto"/>
        <w:jc w:val="center"/>
        <w:rPr>
          <w:rFonts w:ascii="宋体" w:hAnsi="宋体" w:cs="宋体" w:eastAsia="宋体" w:hint="default"/>
          <w:sz w:val="18"/>
          <w:szCs w:val="18"/>
        </w:rPr>
        <w:sectPr>
          <w:pgSz w:w="11910" w:h="16840"/>
          <w:pgMar w:header="917"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958"/>
        <w:gridCol w:w="958"/>
        <w:gridCol w:w="956"/>
        <w:gridCol w:w="959"/>
        <w:gridCol w:w="956"/>
        <w:gridCol w:w="956"/>
        <w:gridCol w:w="956"/>
        <w:gridCol w:w="957"/>
        <w:gridCol w:w="958"/>
        <w:gridCol w:w="956"/>
      </w:tblGrid>
      <w:tr>
        <w:trPr>
          <w:trHeight w:val="1026"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23"/>
              <w:jc w:val="left"/>
              <w:rPr>
                <w:rFonts w:ascii="宋体" w:hAnsi="宋体" w:cs="宋体" w:eastAsia="宋体" w:hint="default"/>
                <w:sz w:val="18"/>
                <w:szCs w:val="18"/>
              </w:rPr>
            </w:pPr>
            <w:r>
              <w:rPr>
                <w:rFonts w:ascii="宋体" w:hAnsi="宋体" w:cs="宋体" w:eastAsia="宋体" w:hint="default"/>
                <w:sz w:val="18"/>
                <w:szCs w:val="18"/>
              </w:rPr>
              <w:t>机器人项 目</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125"/>
              <w:jc w:val="left"/>
              <w:rPr>
                <w:rFonts w:ascii="宋体" w:hAnsi="宋体" w:cs="宋体" w:eastAsia="宋体" w:hint="default"/>
                <w:sz w:val="18"/>
                <w:szCs w:val="18"/>
              </w:rPr>
            </w:pPr>
            <w:r>
              <w:rPr>
                <w:rFonts w:ascii="宋体" w:hAnsi="宋体" w:cs="宋体" w:eastAsia="宋体" w:hint="default"/>
                <w:sz w:val="18"/>
                <w:szCs w:val="18"/>
              </w:rPr>
              <w:t>创新支持 平台项目</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8,000</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87.7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87.7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1.10%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57"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9" w:lineRule="auto"/>
              <w:ind w:left="103" w:right="123"/>
              <w:jc w:val="left"/>
              <w:rPr>
                <w:rFonts w:ascii="宋体" w:hAnsi="宋体" w:cs="宋体" w:eastAsia="宋体" w:hint="default"/>
                <w:sz w:val="18"/>
                <w:szCs w:val="18"/>
              </w:rPr>
            </w:pPr>
            <w:r>
              <w:rPr>
                <w:rFonts w:ascii="宋体" w:hAnsi="宋体" w:cs="宋体" w:eastAsia="宋体" w:hint="default"/>
                <w:sz w:val="18"/>
                <w:szCs w:val="18"/>
              </w:rPr>
              <w:t>创新支持 平台项目</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9" w:lineRule="auto"/>
              <w:ind w:left="101" w:right="125"/>
              <w:jc w:val="left"/>
              <w:rPr>
                <w:rFonts w:ascii="宋体" w:hAnsi="宋体" w:cs="宋体" w:eastAsia="宋体" w:hint="default"/>
                <w:sz w:val="18"/>
                <w:szCs w:val="18"/>
              </w:rPr>
            </w:pPr>
            <w:r>
              <w:rPr>
                <w:rFonts w:ascii="宋体" w:hAnsi="宋体" w:cs="宋体" w:eastAsia="宋体" w:hint="default"/>
                <w:sz w:val="18"/>
                <w:szCs w:val="18"/>
              </w:rPr>
              <w:t>创新支持 平台项目</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8,576.75</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446.64</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1,301.85</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15.18%</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57"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16,576.75</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534.34</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1,389.55</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5595" w:hRule="exact"/>
        </w:trPr>
        <w:tc>
          <w:tcPr>
            <w:tcW w:w="287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8"/>
                <w:szCs w:val="18"/>
              </w:rPr>
            </w:pPr>
          </w:p>
          <w:p>
            <w:pPr>
              <w:pStyle w:val="TableParagraph"/>
              <w:spacing w:line="316" w:lineRule="auto"/>
              <w:ind w:left="103" w:right="101"/>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变更原因、决策程序及信息披露情</w:t>
            </w:r>
            <w:r>
              <w:rPr>
                <w:rFonts w:ascii="宋体" w:hAnsi="宋体" w:cs="宋体" w:eastAsia="宋体" w:hint="default"/>
                <w:sz w:val="18"/>
                <w:szCs w:val="18"/>
              </w:rPr>
              <w:t> 况说明</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分具体项目</w:t>
            </w:r>
            <w:r>
              <w:rPr>
                <w:rFonts w:ascii="Times New Roman" w:hAnsi="Times New Roman" w:cs="Times New Roman" w:eastAsia="Times New Roman" w:hint="default"/>
                <w:sz w:val="18"/>
                <w:szCs w:val="18"/>
              </w:rPr>
              <w:t>)</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463" w:right="10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、变更原因 市场环境日新月异，公司前期出于自身软硬件开发需求，已对创新支持平台项</w:t>
            </w:r>
          </w:p>
          <w:p>
            <w:pPr>
              <w:pStyle w:val="TableParagraph"/>
              <w:spacing w:line="312" w:lineRule="auto" w:before="2"/>
              <w:ind w:left="103" w:right="102"/>
              <w:jc w:val="both"/>
              <w:rPr>
                <w:rFonts w:ascii="宋体" w:hAnsi="宋体" w:cs="宋体" w:eastAsia="宋体" w:hint="default"/>
                <w:sz w:val="18"/>
                <w:szCs w:val="18"/>
              </w:rPr>
            </w:pPr>
            <w:r>
              <w:rPr>
                <w:rFonts w:ascii="宋体" w:hAnsi="宋体" w:cs="宋体" w:eastAsia="宋体" w:hint="default"/>
                <w:sz w:val="18"/>
                <w:szCs w:val="18"/>
              </w:rPr>
              <w:t>目进行了投入，目前此项目建设已趋于稳定，如若按原计划进行投入可能造成资源 闲置，募集资金使用效率低等问题。为提高募集资金使用效率，保证股东利益最大 </w:t>
            </w:r>
            <w:r>
              <w:rPr>
                <w:rFonts w:ascii="宋体" w:hAnsi="宋体" w:cs="宋体" w:eastAsia="宋体" w:hint="default"/>
                <w:spacing w:val="-7"/>
                <w:sz w:val="18"/>
                <w:szCs w:val="18"/>
              </w:rPr>
              <w:t>化，公司从实际情况出发，经审慎研究，决定调减创新支持平台的募集资金投入</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8000</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万元，用于新增机器人项目。</w:t>
            </w:r>
          </w:p>
          <w:p>
            <w:pPr>
              <w:pStyle w:val="TableParagraph"/>
              <w:spacing w:line="240" w:lineRule="auto" w:before="62"/>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、决策程序</w:t>
            </w:r>
          </w:p>
          <w:p>
            <w:pPr>
              <w:pStyle w:val="TableParagraph"/>
              <w:spacing w:line="312" w:lineRule="auto" w:before="102"/>
              <w:ind w:left="103" w:right="11"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日，公司召开第四届董事会第十八次会议、第四届监事会第十三 </w:t>
            </w:r>
            <w:r>
              <w:rPr>
                <w:rFonts w:ascii="宋体" w:hAnsi="宋体" w:cs="宋体" w:eastAsia="宋体" w:hint="default"/>
                <w:spacing w:val="-5"/>
                <w:sz w:val="18"/>
                <w:szCs w:val="18"/>
              </w:rPr>
              <w:t>次会议，审议通过了《关于部分变更募集资金用途的议案》，独立董事就该事项发表</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了同意的独立意见，保荐机构东兴证券对本次变更部分募集资金用途发表了核查意 </w:t>
            </w:r>
            <w:r>
              <w:rPr>
                <w:rFonts w:ascii="宋体" w:hAnsi="宋体" w:cs="宋体" w:eastAsia="宋体" w:hint="default"/>
                <w:spacing w:val="-8"/>
                <w:sz w:val="18"/>
                <w:szCs w:val="18"/>
              </w:rPr>
              <w:t>见。</w:t>
            </w:r>
            <w:r>
              <w:rPr>
                <w:rFonts w:ascii="Times New Roman" w:hAnsi="Times New Roman" w:cs="Times New Roman" w:eastAsia="Times New Roman" w:hint="default"/>
                <w:spacing w:val="-8"/>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pacing w:val="-8"/>
                <w:sz w:val="18"/>
                <w:szCs w:val="18"/>
              </w:rPr>
              <w:t>日，公司召开</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年第二次临时股东大会，审议通过了此事项。</w:t>
            </w:r>
          </w:p>
          <w:p>
            <w:pPr>
              <w:pStyle w:val="TableParagraph"/>
              <w:spacing w:line="240" w:lineRule="auto" w:before="42"/>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、信息披露情况</w:t>
            </w:r>
          </w:p>
          <w:p>
            <w:pPr>
              <w:pStyle w:val="TableParagraph"/>
              <w:spacing w:line="300" w:lineRule="auto" w:before="101"/>
              <w:ind w:left="103" w:right="45" w:firstLine="360"/>
              <w:jc w:val="both"/>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日在公</w:t>
            </w:r>
            <w:r>
              <w:rPr>
                <w:rFonts w:ascii="宋体" w:hAnsi="宋体" w:cs="宋体" w:eastAsia="宋体" w:hint="default"/>
                <w:spacing w:val="1"/>
                <w:sz w:val="18"/>
                <w:szCs w:val="18"/>
              </w:rPr>
              <w:t>司</w:t>
            </w:r>
            <w:r>
              <w:rPr>
                <w:rFonts w:ascii="宋体" w:hAnsi="宋体" w:cs="宋体" w:eastAsia="宋体" w:hint="default"/>
                <w:sz w:val="18"/>
                <w:szCs w:val="18"/>
              </w:rPr>
              <w:t>指定信息披露媒体刊登</w:t>
            </w:r>
            <w:r>
              <w:rPr>
                <w:rFonts w:ascii="宋体" w:hAnsi="宋体" w:cs="宋体" w:eastAsia="宋体" w:hint="default"/>
                <w:spacing w:val="-88"/>
                <w:sz w:val="18"/>
                <w:szCs w:val="18"/>
              </w:rPr>
              <w:t>了</w:t>
            </w:r>
            <w:r>
              <w:rPr>
                <w:rFonts w:ascii="宋体" w:hAnsi="宋体" w:cs="宋体" w:eastAsia="宋体" w:hint="default"/>
                <w:sz w:val="18"/>
                <w:szCs w:val="18"/>
              </w:rPr>
              <w:t>《第四届董事会第十八</w:t>
            </w:r>
            <w:r>
              <w:rPr>
                <w:rFonts w:ascii="宋体" w:hAnsi="宋体" w:cs="宋体" w:eastAsia="宋体" w:hint="default"/>
                <w:sz w:val="18"/>
                <w:szCs w:val="18"/>
              </w:rPr>
              <w:t> 次会议决议公告</w:t>
            </w:r>
            <w:r>
              <w:rPr>
                <w:rFonts w:ascii="宋体" w:hAnsi="宋体" w:cs="宋体" w:eastAsia="宋体" w:hint="default"/>
                <w:spacing w:val="-90"/>
                <w:sz w:val="18"/>
                <w:szCs w:val="18"/>
              </w:rPr>
              <w:t>》</w:t>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2018-021</w:t>
            </w:r>
            <w:r>
              <w:rPr>
                <w:rFonts w:ascii="宋体" w:hAnsi="宋体" w:cs="宋体" w:eastAsia="宋体" w:hint="default"/>
                <w:spacing w:val="-90"/>
                <w:sz w:val="18"/>
                <w:szCs w:val="18"/>
              </w:rPr>
              <w:t>）、</w:t>
            </w:r>
            <w:r>
              <w:rPr>
                <w:rFonts w:ascii="宋体" w:hAnsi="宋体" w:cs="宋体" w:eastAsia="宋体" w:hint="default"/>
                <w:sz w:val="18"/>
                <w:szCs w:val="18"/>
              </w:rPr>
              <w:t>《第四届监事会第十三次会议决议公告》</w:t>
            </w:r>
          </w:p>
          <w:p>
            <w:pPr>
              <w:pStyle w:val="TableParagraph"/>
              <w:spacing w:line="240" w:lineRule="auto" w:before="13"/>
              <w:ind w:left="103" w:right="0"/>
              <w:jc w:val="both"/>
              <w:rPr>
                <w:rFonts w:ascii="宋体" w:hAnsi="宋体" w:cs="宋体" w:eastAsia="宋体"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2018-022</w:t>
            </w:r>
            <w:r>
              <w:rPr>
                <w:rFonts w:ascii="宋体" w:hAnsi="宋体" w:cs="宋体" w:eastAsia="宋体" w:hint="default"/>
                <w:spacing w:val="-90"/>
                <w:sz w:val="18"/>
                <w:szCs w:val="18"/>
              </w:rPr>
              <w:t>）、</w:t>
            </w:r>
            <w:r>
              <w:rPr>
                <w:rFonts w:ascii="宋体" w:hAnsi="宋体" w:cs="宋体" w:eastAsia="宋体" w:hint="default"/>
                <w:sz w:val="18"/>
                <w:szCs w:val="18"/>
              </w:rPr>
              <w:t>《关于部分变更募集资金用途的公告</w:t>
            </w:r>
            <w:r>
              <w:rPr>
                <w:rFonts w:ascii="宋体" w:hAnsi="宋体" w:cs="宋体" w:eastAsia="宋体" w:hint="default"/>
                <w:spacing w:val="-90"/>
                <w:sz w:val="18"/>
                <w:szCs w:val="18"/>
              </w:rPr>
              <w:t>》</w:t>
            </w:r>
            <w:r>
              <w:rPr>
                <w:rFonts w:ascii="宋体" w:hAnsi="宋体" w:cs="宋体" w:eastAsia="宋体" w:hint="default"/>
                <w:sz w:val="18"/>
                <w:szCs w:val="18"/>
              </w:rPr>
              <w:t>（公告编号：</w:t>
            </w:r>
          </w:p>
          <w:p>
            <w:pPr>
              <w:pStyle w:val="TableParagraph"/>
              <w:spacing w:line="302" w:lineRule="auto" w:before="63"/>
              <w:ind w:left="103" w:right="102"/>
              <w:jc w:val="both"/>
              <w:rPr>
                <w:rFonts w:ascii="宋体" w:hAnsi="宋体" w:cs="宋体" w:eastAsia="宋体" w:hint="default"/>
                <w:sz w:val="18"/>
                <w:szCs w:val="18"/>
              </w:rPr>
            </w:pPr>
            <w:r>
              <w:rPr>
                <w:rFonts w:ascii="Times New Roman" w:hAnsi="Times New Roman" w:cs="Times New Roman" w:eastAsia="Times New Roman" w:hint="default"/>
                <w:spacing w:val="-15"/>
                <w:sz w:val="18"/>
                <w:szCs w:val="18"/>
              </w:rPr>
              <w:t>2018-024</w:t>
            </w:r>
            <w:r>
              <w:rPr>
                <w:rFonts w:ascii="宋体" w:hAnsi="宋体" w:cs="宋体" w:eastAsia="宋体" w:hint="default"/>
                <w:spacing w:val="-15"/>
                <w:sz w:val="18"/>
                <w:szCs w:val="18"/>
              </w:rPr>
              <w:t>）、于</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4"/>
                <w:sz w:val="18"/>
                <w:szCs w:val="18"/>
              </w:rPr>
              <w:t> </w:t>
            </w:r>
            <w:r>
              <w:rPr>
                <w:rFonts w:ascii="宋体" w:hAnsi="宋体" w:cs="宋体" w:eastAsia="宋体" w:hint="default"/>
                <w:spacing w:val="-8"/>
                <w:sz w:val="18"/>
                <w:szCs w:val="18"/>
              </w:rPr>
              <w:t>日刊登了《</w:t>
            </w:r>
            <w:r>
              <w:rPr>
                <w:rFonts w:ascii="Times New Roman" w:hAnsi="Times New Roman" w:cs="Times New Roman" w:eastAsia="Times New Roman" w:hint="default"/>
                <w:spacing w:val="-8"/>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pacing w:val="-10"/>
                <w:sz w:val="18"/>
                <w:szCs w:val="18"/>
              </w:rPr>
              <w:t>年第二次临时股东大会决议公告》（公</w:t>
            </w:r>
            <w:r>
              <w:rPr>
                <w:rFonts w:ascii="宋体" w:hAnsi="宋体" w:cs="宋体" w:eastAsia="宋体" w:hint="default"/>
                <w:sz w:val="18"/>
                <w:szCs w:val="18"/>
              </w:rPr>
              <w:t> 告编号：</w:t>
            </w:r>
            <w:r>
              <w:rPr>
                <w:rFonts w:ascii="Times New Roman" w:hAnsi="Times New Roman" w:cs="Times New Roman" w:eastAsia="Times New Roman" w:hint="default"/>
                <w:sz w:val="18"/>
                <w:szCs w:val="18"/>
              </w:rPr>
              <w:t>2018-029</w:t>
            </w:r>
            <w:r>
              <w:rPr>
                <w:rFonts w:ascii="宋体" w:hAnsi="宋体" w:cs="宋体" w:eastAsia="宋体" w:hint="default"/>
                <w:sz w:val="18"/>
                <w:szCs w:val="18"/>
              </w:rPr>
              <w:t>）等公告。</w:t>
            </w:r>
          </w:p>
        </w:tc>
      </w:tr>
      <w:tr>
        <w:trPr>
          <w:trHeight w:val="4186" w:hRule="exact"/>
        </w:trPr>
        <w:tc>
          <w:tcPr>
            <w:tcW w:w="287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32"/>
              <w:ind w:left="103" w:right="237"/>
              <w:jc w:val="left"/>
              <w:rPr>
                <w:rFonts w:ascii="Times New Roman" w:hAnsi="Times New Roman" w:cs="Times New Roman" w:eastAsia="Times New Roman" w:hint="default"/>
                <w:sz w:val="18"/>
                <w:szCs w:val="18"/>
              </w:rPr>
            </w:pPr>
            <w:r>
              <w:rPr>
                <w:rFonts w:ascii="宋体" w:hAnsi="宋体" w:cs="宋体" w:eastAsia="宋体" w:hint="default"/>
                <w:sz w:val="18"/>
                <w:szCs w:val="18"/>
              </w:rPr>
              <w:t>未达到计划进度或预计收益的情 况和原因</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分具体项目</w:t>
            </w:r>
            <w:r>
              <w:rPr>
                <w:rFonts w:ascii="Times New Roman" w:hAnsi="Times New Roman" w:cs="Times New Roman" w:eastAsia="Times New Roman" w:hint="default"/>
                <w:sz w:val="18"/>
                <w:szCs w:val="18"/>
              </w:rPr>
              <w:t>)</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4"/>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、创新支持平台项目主要是建设相关软、硬件开发实验室、材料和结构设计成型实</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验室、测试实验室等，基于公司前期的投入，此项目建设逐渐趋于稳定，基于公司 管理层对市场前景判断和公司总体发展战略规划的需要，公司根据实际情况暂缓了 此募投项目的投入进度，使得募投项目的实际投入与计划进度存在差异。公司为提 高募集资金使用效率，根据市场发展趋势，将投入到创新支持平台项目的募集资金 调减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8000 </w:t>
            </w:r>
            <w:r>
              <w:rPr>
                <w:rFonts w:ascii="宋体" w:hAnsi="宋体" w:cs="宋体" w:eastAsia="宋体" w:hint="default"/>
                <w:spacing w:val="-3"/>
                <w:sz w:val="18"/>
                <w:szCs w:val="18"/>
              </w:rPr>
              <w:t>万元，用于新增“机器人项目”。此事项已经公司第四届董事会第十八次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会议、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年第二次临时股东大会审议通过。 </w:t>
            </w:r>
            <w:r>
              <w:rPr>
                <w:rFonts w:ascii="Times New Roman" w:hAnsi="Times New Roman" w:cs="Times New Roman" w:eastAsia="Times New Roman" w:hint="default"/>
                <w:sz w:val="18"/>
                <w:szCs w:val="18"/>
              </w:rPr>
              <w:t>2</w:t>
            </w:r>
            <w:r>
              <w:rPr>
                <w:rFonts w:ascii="宋体" w:hAnsi="宋体" w:cs="宋体" w:eastAsia="宋体" w:hint="default"/>
                <w:sz w:val="18"/>
                <w:szCs w:val="18"/>
              </w:rPr>
              <w:t>、机器人项目主要是进行工业机器人的技术研发，以生产出高质量的工业机器人，</w:t>
            </w:r>
          </w:p>
          <w:p>
            <w:pPr>
              <w:pStyle w:val="TableParagraph"/>
              <w:spacing w:line="314" w:lineRule="auto"/>
              <w:ind w:left="103" w:right="102"/>
              <w:jc w:val="both"/>
              <w:rPr>
                <w:rFonts w:ascii="宋体" w:hAnsi="宋体" w:cs="宋体" w:eastAsia="宋体" w:hint="default"/>
                <w:sz w:val="18"/>
                <w:szCs w:val="18"/>
              </w:rPr>
            </w:pPr>
            <w:r>
              <w:rPr>
                <w:rFonts w:ascii="宋体" w:hAnsi="宋体" w:cs="宋体" w:eastAsia="宋体" w:hint="default"/>
                <w:sz w:val="18"/>
                <w:szCs w:val="18"/>
              </w:rPr>
              <w:t>迎合市场的发展需求，促进公司的发展。同时，生产的机器人也可用于公司及子公 司的生产活动，有利于降低公司的生产成本，提升公司竞争力。</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月公司完 成募投项目变更，进行了相关工业机器人的试产，用于生产活动中，并根据实际情 况不断调整完善相关机器人，待后续满足公司自身生产需求且对外销售时机成熟， 会进一步扩大机器人研发、生产规模并对外进行销售。</w:t>
            </w:r>
          </w:p>
        </w:tc>
      </w:tr>
      <w:tr>
        <w:trPr>
          <w:trHeight w:val="714" w:hRule="exact"/>
        </w:trPr>
        <w:tc>
          <w:tcPr>
            <w:tcW w:w="287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37"/>
              <w:jc w:val="left"/>
              <w:rPr>
                <w:rFonts w:ascii="宋体" w:hAnsi="宋体" w:cs="宋体" w:eastAsia="宋体" w:hint="default"/>
                <w:sz w:val="18"/>
                <w:szCs w:val="18"/>
              </w:rPr>
            </w:pPr>
            <w:r>
              <w:rPr>
                <w:rFonts w:ascii="宋体" w:hAnsi="宋体" w:cs="宋体" w:eastAsia="宋体" w:hint="default"/>
                <w:sz w:val="18"/>
                <w:szCs w:val="18"/>
              </w:rPr>
              <w:t>变更后的项目可行性发生重大变 化的情况说明</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1"/>
        <w:rPr>
          <w:rFonts w:ascii="Times New Roman" w:hAnsi="Times New Roman" w:cs="Times New Roman" w:eastAsia="Times New Roman" w:hint="default"/>
          <w:sz w:val="21"/>
          <w:szCs w:val="21"/>
        </w:rPr>
      </w:pPr>
    </w:p>
    <w:p>
      <w:pPr>
        <w:pStyle w:val="Heading2"/>
        <w:spacing w:line="240" w:lineRule="auto" w:before="26"/>
        <w:ind w:right="0"/>
        <w:jc w:val="left"/>
        <w:rPr>
          <w:b w:val="0"/>
          <w:bCs w:val="0"/>
        </w:rPr>
      </w:pPr>
      <w:bookmarkStart w:name="六、重大资产和股权出售" w:id="54"/>
      <w:bookmarkEnd w:id="54"/>
      <w:r>
        <w:rPr>
          <w:b w:val="0"/>
          <w:bCs w:val="0"/>
        </w:rPr>
      </w:r>
      <w:r>
        <w:rPr/>
        <w:t>六、重大资产和股权出售</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出售重大资产情况" w:id="55"/>
      <w:bookmarkEnd w:id="55"/>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8412"/>
        <w:jc w:val="left"/>
      </w:pPr>
      <w:r>
        <w:rPr/>
        <w:t>□ 适用 √ 不适用 公司报告期未出售重大资产。</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2、出售重大股权情况" w:id="56"/>
      <w:bookmarkEnd w:id="56"/>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917" w:footer="1019" w:top="1120" w:bottom="1200" w:left="980" w:right="0"/>
        </w:sectPr>
      </w:pPr>
    </w:p>
    <w:p>
      <w:pPr>
        <w:pStyle w:val="BodyText"/>
        <w:spacing w:line="240" w:lineRule="auto" w:before="15"/>
        <w:ind w:left="0" w:right="136"/>
        <w:jc w:val="right"/>
      </w:pPr>
      <w:r>
        <w:rPr/>
        <w:pict>
          <v:shape style="position:absolute;margin-left:589.234558pt;margin-top:570.43042pt;width:42.067787pt;height:18.946561pt;mso-position-horizontal-relative:page;mso-position-vertical-relative:page;z-index:1192" type="#_x0000_t75" stroked="false">
            <v:imagedata r:id="rId26" o:title=""/>
          </v:shape>
        </w:pict>
      </w:r>
      <w:r>
        <w:rPr/>
        <w:t>深圳市卓翼科技股份有限公司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p>
      <w:pPr>
        <w:spacing w:line="20" w:lineRule="exact"/>
        <w:ind w:left="38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0"/>
          <w:szCs w:val="10"/>
        </w:rPr>
      </w:pPr>
    </w:p>
    <w:tbl>
      <w:tblPr>
        <w:tblW w:w="0" w:type="auto"/>
        <w:jc w:val="left"/>
        <w:tblInd w:w="415" w:type="dxa"/>
        <w:tblLayout w:type="fixed"/>
        <w:tblCellMar>
          <w:top w:w="0" w:type="dxa"/>
          <w:left w:w="0" w:type="dxa"/>
          <w:bottom w:w="0" w:type="dxa"/>
          <w:right w:w="0" w:type="dxa"/>
        </w:tblCellMar>
        <w:tblLook w:val="01E0"/>
      </w:tblPr>
      <w:tblGrid>
        <w:gridCol w:w="814"/>
        <w:gridCol w:w="780"/>
        <w:gridCol w:w="690"/>
        <w:gridCol w:w="616"/>
        <w:gridCol w:w="960"/>
        <w:gridCol w:w="644"/>
        <w:gridCol w:w="1186"/>
        <w:gridCol w:w="1214"/>
        <w:gridCol w:w="676"/>
        <w:gridCol w:w="990"/>
        <w:gridCol w:w="1064"/>
        <w:gridCol w:w="1380"/>
        <w:gridCol w:w="1260"/>
        <w:gridCol w:w="1680"/>
      </w:tblGrid>
      <w:tr>
        <w:trPr>
          <w:trHeight w:val="2274" w:hRule="exact"/>
        </w:trPr>
        <w:tc>
          <w:tcPr>
            <w:tcW w:w="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311" w:right="131" w:hanging="180"/>
              <w:jc w:val="left"/>
              <w:rPr>
                <w:rFonts w:ascii="宋体" w:hAnsi="宋体" w:cs="宋体" w:eastAsia="宋体" w:hint="default"/>
                <w:sz w:val="18"/>
                <w:szCs w:val="18"/>
              </w:rPr>
            </w:pPr>
            <w:r>
              <w:rPr>
                <w:rFonts w:ascii="宋体" w:hAnsi="宋体" w:cs="宋体" w:eastAsia="宋体" w:hint="default"/>
                <w:sz w:val="18"/>
                <w:szCs w:val="18"/>
              </w:rPr>
              <w:t>交易对 方</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05" w:right="113" w:hanging="90"/>
              <w:jc w:val="left"/>
              <w:rPr>
                <w:rFonts w:ascii="宋体" w:hAnsi="宋体" w:cs="宋体" w:eastAsia="宋体" w:hint="default"/>
                <w:sz w:val="18"/>
                <w:szCs w:val="18"/>
              </w:rPr>
            </w:pPr>
            <w:r>
              <w:rPr>
                <w:rFonts w:ascii="宋体" w:hAnsi="宋体" w:cs="宋体" w:eastAsia="宋体" w:hint="default"/>
                <w:sz w:val="18"/>
                <w:szCs w:val="18"/>
              </w:rPr>
              <w:t>被出售 股权</w:t>
            </w:r>
          </w:p>
        </w:tc>
        <w:tc>
          <w:tcPr>
            <w:tcW w:w="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49" w:right="158" w:hanging="90"/>
              <w:jc w:val="left"/>
              <w:rPr>
                <w:rFonts w:ascii="宋体" w:hAnsi="宋体" w:cs="宋体" w:eastAsia="宋体" w:hint="default"/>
                <w:sz w:val="18"/>
                <w:szCs w:val="18"/>
              </w:rPr>
            </w:pPr>
            <w:r>
              <w:rPr>
                <w:rFonts w:ascii="宋体" w:hAnsi="宋体" w:cs="宋体" w:eastAsia="宋体" w:hint="default"/>
                <w:sz w:val="18"/>
                <w:szCs w:val="18"/>
              </w:rPr>
              <w:t>出售 日</w:t>
            </w:r>
          </w:p>
        </w:tc>
        <w:tc>
          <w:tcPr>
            <w:tcW w:w="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22" w:right="121"/>
              <w:jc w:val="left"/>
              <w:rPr>
                <w:rFonts w:ascii="宋体" w:hAnsi="宋体" w:cs="宋体" w:eastAsia="宋体" w:hint="default"/>
                <w:sz w:val="18"/>
                <w:szCs w:val="18"/>
              </w:rPr>
            </w:pPr>
            <w:r>
              <w:rPr>
                <w:rFonts w:ascii="宋体" w:hAnsi="宋体" w:cs="宋体" w:eastAsia="宋体" w:hint="default"/>
                <w:sz w:val="18"/>
                <w:szCs w:val="18"/>
              </w:rPr>
              <w:t>交易 价格</w:t>
            </w:r>
          </w:p>
          <w:p>
            <w:pPr>
              <w:pStyle w:val="TableParagraph"/>
              <w:spacing w:line="319" w:lineRule="auto" w:before="19"/>
              <w:ind w:left="122" w:right="121"/>
              <w:jc w:val="left"/>
              <w:rPr>
                <w:rFonts w:ascii="宋体" w:hAnsi="宋体" w:cs="宋体" w:eastAsia="宋体" w:hint="default"/>
                <w:sz w:val="18"/>
                <w:szCs w:val="18"/>
              </w:rPr>
            </w:pPr>
            <w:r>
              <w:rPr>
                <w:rFonts w:ascii="宋体" w:hAnsi="宋体" w:cs="宋体" w:eastAsia="宋体" w:hint="default"/>
                <w:sz w:val="18"/>
                <w:szCs w:val="18"/>
              </w:rPr>
              <w:t>（万 元）</w:t>
            </w:r>
          </w:p>
        </w:tc>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5" w:right="113"/>
              <w:jc w:val="center"/>
              <w:rPr>
                <w:rFonts w:ascii="宋体" w:hAnsi="宋体" w:cs="宋体" w:eastAsia="宋体" w:hint="default"/>
                <w:sz w:val="18"/>
                <w:szCs w:val="18"/>
              </w:rPr>
            </w:pPr>
            <w:r>
              <w:rPr>
                <w:rFonts w:ascii="宋体" w:hAnsi="宋体" w:cs="宋体" w:eastAsia="宋体" w:hint="default"/>
                <w:sz w:val="18"/>
                <w:szCs w:val="18"/>
              </w:rPr>
              <w:t>本期初起 至出售日 该股权为 上市公司 贡献的净 利润（万 元）</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36" w:right="137"/>
              <w:jc w:val="both"/>
              <w:rPr>
                <w:rFonts w:ascii="宋体" w:hAnsi="宋体" w:cs="宋体" w:eastAsia="宋体" w:hint="default"/>
                <w:sz w:val="18"/>
                <w:szCs w:val="18"/>
              </w:rPr>
            </w:pPr>
            <w:r>
              <w:rPr>
                <w:rFonts w:ascii="宋体" w:hAnsi="宋体" w:cs="宋体" w:eastAsia="宋体" w:hint="default"/>
                <w:sz w:val="18"/>
                <w:szCs w:val="18"/>
              </w:rPr>
              <w:t>出售 对公 司的 影响</w:t>
            </w:r>
          </w:p>
        </w:tc>
        <w:tc>
          <w:tcPr>
            <w:tcW w:w="1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36" w:right="137"/>
              <w:jc w:val="both"/>
              <w:rPr>
                <w:rFonts w:ascii="宋体" w:hAnsi="宋体" w:cs="宋体" w:eastAsia="宋体" w:hint="default"/>
                <w:sz w:val="18"/>
                <w:szCs w:val="18"/>
              </w:rPr>
            </w:pPr>
            <w:r>
              <w:rPr>
                <w:rFonts w:ascii="宋体" w:hAnsi="宋体" w:cs="宋体" w:eastAsia="宋体" w:hint="default"/>
                <w:sz w:val="18"/>
                <w:szCs w:val="18"/>
              </w:rPr>
              <w:t>股权出售为 上市公司贡 献的净利润 占净利润总 额的比例</w:t>
            </w:r>
          </w:p>
        </w:tc>
        <w:tc>
          <w:tcPr>
            <w:tcW w:w="12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332" w:right="150" w:hanging="180"/>
              <w:jc w:val="left"/>
              <w:rPr>
                <w:rFonts w:ascii="宋体" w:hAnsi="宋体" w:cs="宋体" w:eastAsia="宋体" w:hint="default"/>
                <w:sz w:val="18"/>
                <w:szCs w:val="18"/>
              </w:rPr>
            </w:pPr>
            <w:r>
              <w:rPr>
                <w:rFonts w:ascii="宋体" w:hAnsi="宋体" w:cs="宋体" w:eastAsia="宋体" w:hint="default"/>
                <w:sz w:val="18"/>
                <w:szCs w:val="18"/>
              </w:rPr>
              <w:t>股权出售定 价原则</w:t>
            </w:r>
          </w:p>
        </w:tc>
        <w:tc>
          <w:tcPr>
            <w:tcW w:w="6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52" w:right="151"/>
              <w:jc w:val="both"/>
              <w:rPr>
                <w:rFonts w:ascii="宋体" w:hAnsi="宋体" w:cs="宋体" w:eastAsia="宋体" w:hint="default"/>
                <w:sz w:val="18"/>
                <w:szCs w:val="18"/>
              </w:rPr>
            </w:pPr>
            <w:r>
              <w:rPr>
                <w:rFonts w:ascii="宋体" w:hAnsi="宋体" w:cs="宋体" w:eastAsia="宋体" w:hint="default"/>
                <w:sz w:val="18"/>
                <w:szCs w:val="18"/>
              </w:rPr>
              <w:t>是否 为关 联交 易</w:t>
            </w:r>
          </w:p>
        </w:tc>
        <w:tc>
          <w:tcPr>
            <w:tcW w:w="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129" w:right="128"/>
              <w:jc w:val="center"/>
              <w:rPr>
                <w:rFonts w:ascii="宋体" w:hAnsi="宋体" w:cs="宋体" w:eastAsia="宋体" w:hint="default"/>
                <w:sz w:val="18"/>
                <w:szCs w:val="18"/>
              </w:rPr>
            </w:pPr>
            <w:r>
              <w:rPr>
                <w:rFonts w:ascii="宋体" w:hAnsi="宋体" w:cs="宋体" w:eastAsia="宋体" w:hint="default"/>
                <w:sz w:val="18"/>
                <w:szCs w:val="18"/>
              </w:rPr>
              <w:t>与交易对 方的关联 关系</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66" w:right="167"/>
              <w:jc w:val="center"/>
              <w:rPr>
                <w:rFonts w:ascii="宋体" w:hAnsi="宋体" w:cs="宋体" w:eastAsia="宋体" w:hint="default"/>
                <w:sz w:val="18"/>
                <w:szCs w:val="18"/>
              </w:rPr>
            </w:pPr>
            <w:r>
              <w:rPr>
                <w:rFonts w:ascii="宋体" w:hAnsi="宋体" w:cs="宋体" w:eastAsia="宋体" w:hint="default"/>
                <w:sz w:val="18"/>
                <w:szCs w:val="18"/>
              </w:rPr>
              <w:t>所涉及的 股权是否 已全部过 户</w:t>
            </w:r>
          </w:p>
        </w:tc>
        <w:tc>
          <w:tcPr>
            <w:tcW w:w="1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45" w:right="143"/>
              <w:jc w:val="center"/>
              <w:rPr>
                <w:rFonts w:ascii="宋体" w:hAnsi="宋体" w:cs="宋体" w:eastAsia="宋体" w:hint="default"/>
                <w:sz w:val="18"/>
                <w:szCs w:val="18"/>
              </w:rPr>
            </w:pPr>
            <w:r>
              <w:rPr>
                <w:rFonts w:ascii="宋体" w:hAnsi="宋体" w:cs="宋体" w:eastAsia="宋体" w:hint="default"/>
                <w:sz w:val="18"/>
                <w:szCs w:val="18"/>
              </w:rPr>
              <w:t>是否按计划如 期实施，如未 按计划实施， 应当说明原因 及公司已采取 的措施</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6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475"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586" w:hRule="exact"/>
        </w:trPr>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03" w:right="158"/>
              <w:jc w:val="both"/>
              <w:rPr>
                <w:rFonts w:ascii="宋体" w:hAnsi="宋体" w:cs="宋体" w:eastAsia="宋体" w:hint="default"/>
                <w:sz w:val="18"/>
                <w:szCs w:val="18"/>
              </w:rPr>
            </w:pPr>
            <w:r>
              <w:rPr>
                <w:rFonts w:ascii="宋体" w:hAnsi="宋体" w:cs="宋体" w:eastAsia="宋体" w:hint="default"/>
                <w:sz w:val="18"/>
                <w:szCs w:val="18"/>
              </w:rPr>
              <w:t>浙江水 晶光电 科技股 份有限 公司</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03" w:right="125"/>
              <w:jc w:val="both"/>
              <w:rPr>
                <w:rFonts w:ascii="宋体" w:hAnsi="宋体" w:cs="宋体" w:eastAsia="宋体" w:hint="default"/>
                <w:sz w:val="18"/>
                <w:szCs w:val="18"/>
              </w:rPr>
            </w:pPr>
            <w:r>
              <w:rPr>
                <w:rFonts w:ascii="宋体" w:hAnsi="宋体" w:cs="宋体" w:eastAsia="宋体" w:hint="default"/>
                <w:sz w:val="18"/>
                <w:szCs w:val="18"/>
              </w:rPr>
              <w:t>北京朝 歌数码 科技股 份有限 公司</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2018</w:t>
            </w:r>
          </w:p>
          <w:p>
            <w:pPr>
              <w:pStyle w:val="TableParagraph"/>
              <w:spacing w:line="240" w:lineRule="auto" w:before="65"/>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8,32</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1,354.24</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103" w:right="169"/>
              <w:jc w:val="both"/>
              <w:rPr>
                <w:rFonts w:ascii="宋体" w:hAnsi="宋体" w:cs="宋体" w:eastAsia="宋体" w:hint="default"/>
                <w:sz w:val="18"/>
                <w:szCs w:val="18"/>
              </w:rPr>
            </w:pPr>
            <w:r>
              <w:rPr>
                <w:rFonts w:ascii="宋体" w:hAnsi="宋体" w:cs="宋体" w:eastAsia="宋体" w:hint="default"/>
                <w:sz w:val="18"/>
                <w:szCs w:val="18"/>
              </w:rPr>
              <w:t>增加 净利 润</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-12.55%</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9"/>
              <w:jc w:val="left"/>
              <w:rPr>
                <w:rFonts w:ascii="宋体" w:hAnsi="宋体" w:cs="宋体" w:eastAsia="宋体" w:hint="default"/>
                <w:sz w:val="18"/>
                <w:szCs w:val="18"/>
              </w:rPr>
            </w:pPr>
            <w:r>
              <w:rPr>
                <w:rFonts w:ascii="宋体" w:hAnsi="宋体" w:cs="宋体" w:eastAsia="宋体" w:hint="default"/>
                <w:sz w:val="18"/>
                <w:szCs w:val="18"/>
              </w:rPr>
              <w:t>根据本次转 让股权的账 面价值及标 的公司最近 一次引进投 资者的估值， 经相关交易 方协商确定</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03" w:right="11"/>
              <w:jc w:val="left"/>
              <w:rPr>
                <w:rFonts w:ascii="宋体" w:hAnsi="宋体" w:cs="宋体" w:eastAsia="宋体" w:hint="default"/>
                <w:sz w:val="18"/>
                <w:szCs w:val="18"/>
              </w:rPr>
            </w:pPr>
            <w:r>
              <w:rPr>
                <w:rFonts w:ascii="宋体" w:hAnsi="宋体" w:cs="宋体" w:eastAsia="宋体" w:hint="default"/>
                <w:spacing w:val="-18"/>
                <w:sz w:val="18"/>
                <w:szCs w:val="18"/>
              </w:rPr>
              <w:t>披露媒体：《证券时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5"/>
                <w:sz w:val="18"/>
                <w:szCs w:val="18"/>
              </w:rPr>
              <w:t>报》、《中国证券报》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及巨潮资讯网 公告编号：</w:t>
            </w:r>
          </w:p>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2018-062</w:t>
            </w:r>
            <w:r>
              <w:rPr>
                <w:rFonts w:ascii="宋体" w:hAnsi="宋体" w:cs="宋体" w:eastAsia="宋体" w:hint="default"/>
                <w:sz w:val="18"/>
                <w:szCs w:val="18"/>
              </w:rPr>
              <w:t>、</w:t>
            </w:r>
          </w:p>
          <w:p>
            <w:pPr>
              <w:pStyle w:val="TableParagraph"/>
              <w:spacing w:line="240" w:lineRule="auto" w:before="104"/>
              <w:ind w:left="103" w:right="0"/>
              <w:jc w:val="left"/>
              <w:rPr>
                <w:rFonts w:ascii="Times New Roman" w:hAnsi="Times New Roman" w:cs="Times New Roman" w:eastAsia="Times New Roman" w:hint="default"/>
                <w:sz w:val="18"/>
                <w:szCs w:val="18"/>
              </w:rPr>
            </w:pPr>
            <w:r>
              <w:rPr>
                <w:rFonts w:ascii="Times New Roman"/>
                <w:sz w:val="18"/>
              </w:rPr>
              <w:t>2018-072</w:t>
            </w:r>
          </w:p>
        </w:tc>
      </w:tr>
      <w:tr>
        <w:trPr>
          <w:trHeight w:val="2586" w:hRule="exact"/>
        </w:trPr>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蒋文</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03" w:right="125"/>
              <w:jc w:val="both"/>
              <w:rPr>
                <w:rFonts w:ascii="宋体" w:hAnsi="宋体" w:cs="宋体" w:eastAsia="宋体" w:hint="default"/>
                <w:sz w:val="18"/>
                <w:szCs w:val="18"/>
              </w:rPr>
            </w:pPr>
            <w:r>
              <w:rPr>
                <w:rFonts w:ascii="宋体" w:hAnsi="宋体" w:cs="宋体" w:eastAsia="宋体" w:hint="default"/>
                <w:sz w:val="18"/>
                <w:szCs w:val="18"/>
              </w:rPr>
              <w:t>北京朝 歌数码 科技股 份有限 公司</w:t>
            </w:r>
          </w:p>
        </w:tc>
        <w:tc>
          <w:tcPr>
            <w:tcW w:w="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2018</w:t>
            </w:r>
          </w:p>
          <w:p>
            <w:pPr>
              <w:pStyle w:val="TableParagraph"/>
              <w:spacing w:line="240" w:lineRule="auto" w:before="65"/>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1,50</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8</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245.46</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103" w:right="169"/>
              <w:jc w:val="both"/>
              <w:rPr>
                <w:rFonts w:ascii="宋体" w:hAnsi="宋体" w:cs="宋体" w:eastAsia="宋体" w:hint="default"/>
                <w:sz w:val="18"/>
                <w:szCs w:val="18"/>
              </w:rPr>
            </w:pPr>
            <w:r>
              <w:rPr>
                <w:rFonts w:ascii="宋体" w:hAnsi="宋体" w:cs="宋体" w:eastAsia="宋体" w:hint="default"/>
                <w:sz w:val="18"/>
                <w:szCs w:val="18"/>
              </w:rPr>
              <w:t>增加 净利 润</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-2.27%</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9"/>
              <w:jc w:val="left"/>
              <w:rPr>
                <w:rFonts w:ascii="宋体" w:hAnsi="宋体" w:cs="宋体" w:eastAsia="宋体" w:hint="default"/>
                <w:sz w:val="18"/>
                <w:szCs w:val="18"/>
              </w:rPr>
            </w:pPr>
            <w:r>
              <w:rPr>
                <w:rFonts w:ascii="宋体" w:hAnsi="宋体" w:cs="宋体" w:eastAsia="宋体" w:hint="default"/>
                <w:sz w:val="18"/>
                <w:szCs w:val="18"/>
              </w:rPr>
              <w:t>根据本次转 让股权的账 面价值及标 的公司最近 一次引进投 资者的估值， 经相关交易 方协商确定</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03" w:right="11"/>
              <w:jc w:val="left"/>
              <w:rPr>
                <w:rFonts w:ascii="宋体" w:hAnsi="宋体" w:cs="宋体" w:eastAsia="宋体" w:hint="default"/>
                <w:sz w:val="18"/>
                <w:szCs w:val="18"/>
              </w:rPr>
            </w:pPr>
            <w:r>
              <w:rPr>
                <w:rFonts w:ascii="宋体" w:hAnsi="宋体" w:cs="宋体" w:eastAsia="宋体" w:hint="default"/>
                <w:spacing w:val="-18"/>
                <w:sz w:val="18"/>
                <w:szCs w:val="18"/>
              </w:rPr>
              <w:t>披露媒体：《证券时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5"/>
                <w:sz w:val="18"/>
                <w:szCs w:val="18"/>
              </w:rPr>
              <w:t>报》、《中国证券报》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及巨潮资讯网 公告编号：</w:t>
            </w:r>
          </w:p>
          <w:p>
            <w:pPr>
              <w:pStyle w:val="TableParagraph"/>
              <w:spacing w:line="240" w:lineRule="auto" w:before="1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2018-062</w:t>
            </w:r>
            <w:r>
              <w:rPr>
                <w:rFonts w:ascii="宋体" w:hAnsi="宋体" w:cs="宋体" w:eastAsia="宋体" w:hint="default"/>
                <w:sz w:val="18"/>
                <w:szCs w:val="18"/>
              </w:rPr>
              <w:t>、</w:t>
            </w:r>
          </w:p>
          <w:p>
            <w:pPr>
              <w:pStyle w:val="TableParagraph"/>
              <w:spacing w:line="240" w:lineRule="auto" w:before="104"/>
              <w:ind w:left="103" w:right="0"/>
              <w:jc w:val="left"/>
              <w:rPr>
                <w:rFonts w:ascii="Times New Roman" w:hAnsi="Times New Roman" w:cs="Times New Roman" w:eastAsia="Times New Roman" w:hint="default"/>
                <w:sz w:val="18"/>
                <w:szCs w:val="18"/>
              </w:rPr>
            </w:pPr>
            <w:r>
              <w:rPr>
                <w:rFonts w:ascii="Times New Roman"/>
                <w:sz w:val="18"/>
              </w:rPr>
              <w:t>2018-072</w:t>
            </w:r>
          </w:p>
        </w:tc>
      </w:tr>
    </w:tbl>
    <w:p>
      <w:pPr>
        <w:spacing w:after="0" w:line="240" w:lineRule="auto"/>
        <w:jc w:val="left"/>
        <w:rPr>
          <w:rFonts w:ascii="Times New Roman" w:hAnsi="Times New Roman" w:cs="Times New Roman" w:eastAsia="Times New Roman" w:hint="default"/>
          <w:sz w:val="18"/>
          <w:szCs w:val="18"/>
        </w:rPr>
        <w:sectPr>
          <w:headerReference w:type="default" r:id="rId24"/>
          <w:footerReference w:type="default" r:id="rId25"/>
          <w:pgSz w:w="16840" w:h="11910" w:orient="landscape"/>
          <w:pgMar w:header="0" w:footer="1019" w:top="840" w:bottom="1200" w:left="1020" w:right="1300"/>
        </w:sectPr>
      </w:pPr>
    </w:p>
    <w:p>
      <w:pPr>
        <w:spacing w:line="240" w:lineRule="auto" w:before="7"/>
        <w:rPr>
          <w:rFonts w:ascii="宋体" w:hAnsi="宋体" w:cs="宋体" w:eastAsia="宋体" w:hint="default"/>
          <w:sz w:val="18"/>
          <w:szCs w:val="18"/>
        </w:rPr>
      </w:pPr>
    </w:p>
    <w:p>
      <w:pPr>
        <w:pStyle w:val="Heading2"/>
        <w:spacing w:line="240" w:lineRule="auto" w:before="26"/>
        <w:ind w:right="0"/>
        <w:jc w:val="left"/>
        <w:rPr>
          <w:b w:val="0"/>
          <w:bCs w:val="0"/>
        </w:rPr>
      </w:pPr>
      <w:bookmarkStart w:name="七、主要控股参股公司分析" w:id="57"/>
      <w:bookmarkEnd w:id="57"/>
      <w:r>
        <w:rPr>
          <w:b w:val="0"/>
          <w:bCs w:val="0"/>
        </w:rPr>
      </w:r>
      <w:r>
        <w:rPr/>
        <w:t>七、主要控股参股公司分析</w:t>
      </w:r>
      <w:r>
        <w:rPr>
          <w:b w:val="0"/>
          <w:bCs w:val="0"/>
        </w:rPr>
      </w:r>
    </w:p>
    <w:p>
      <w:pPr>
        <w:spacing w:line="240" w:lineRule="auto" w:before="2"/>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footerReference w:type="default" r:id="rId27"/>
          <w:pgSz w:w="11910" w:h="16840"/>
          <w:pgMar w:footer="1019" w:header="0" w:top="1120" w:bottom="1200" w:left="980" w:right="0"/>
        </w:sectPr>
      </w:pPr>
    </w:p>
    <w:p>
      <w:pPr>
        <w:pStyle w:val="BodyText"/>
        <w:spacing w:line="240" w:lineRule="auto" w:before="44"/>
        <w:ind w:right="-20"/>
        <w:jc w:val="left"/>
      </w:pPr>
      <w:r>
        <w:rPr/>
        <w:t>√ 适用 □ 不适用</w:t>
      </w:r>
    </w:p>
    <w:p>
      <w:pPr>
        <w:pStyle w:val="BodyText"/>
        <w:spacing w:line="240" w:lineRule="auto" w:before="116"/>
        <w:ind w:right="-20"/>
        <w:jc w:val="left"/>
      </w:pPr>
      <w:r>
        <w:rPr/>
        <w:t>主要子公司及对公司净利润影响达</w:t>
      </w:r>
      <w:r>
        <w:rPr>
          <w:spacing w:val="-46"/>
        </w:rPr>
        <w:t> </w:t>
      </w:r>
      <w:r>
        <w:rPr>
          <w:rFonts w:ascii="Times New Roman" w:hAnsi="Times New Roman" w:cs="Times New Roman" w:eastAsia="Times New Roman" w:hint="default"/>
        </w:rPr>
        <w:t>10%</w:t>
      </w:r>
      <w:r>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53" w:right="0"/>
        <w:jc w:val="left"/>
      </w:pPr>
      <w:r>
        <w:rPr/>
        <w:t>单位：元</w:t>
      </w:r>
    </w:p>
    <w:p>
      <w:pPr>
        <w:spacing w:after="0" w:line="240" w:lineRule="auto"/>
        <w:jc w:val="left"/>
        <w:sectPr>
          <w:type w:val="continuous"/>
          <w:pgSz w:w="11910" w:h="16840"/>
          <w:pgMar w:top="1100" w:bottom="1200" w:left="980" w:right="0"/>
          <w:cols w:num="2" w:equalWidth="0">
            <w:col w:w="4849" w:space="4070"/>
            <w:col w:w="2011"/>
          </w:cols>
        </w:sectPr>
      </w:pPr>
    </w:p>
    <w:p>
      <w:pPr>
        <w:spacing w:line="240" w:lineRule="auto" w:before="13"/>
        <w:rPr>
          <w:rFonts w:ascii="宋体" w:hAnsi="宋体" w:cs="宋体" w:eastAsia="宋体" w:hint="default"/>
          <w:sz w:val="7"/>
          <w:szCs w:val="7"/>
        </w:rPr>
      </w:pPr>
      <w:r>
        <w:rPr/>
        <w:pict>
          <v:shape style="position:absolute;margin-left:535.634705pt;margin-top:806.72052pt;width:59.493346pt;height:26.794713pt;mso-position-horizontal-relative:page;mso-position-vertical-relative:page;z-index:1216" type="#_x0000_t75" stroked="false">
            <v:imagedata r:id="rId26" o:title=""/>
          </v:shape>
        </w:pict>
      </w:r>
    </w:p>
    <w:tbl>
      <w:tblPr>
        <w:tblW w:w="0" w:type="auto"/>
        <w:jc w:val="left"/>
        <w:tblInd w:w="149" w:type="dxa"/>
        <w:tblLayout w:type="fixed"/>
        <w:tblCellMar>
          <w:top w:w="0" w:type="dxa"/>
          <w:left w:w="0" w:type="dxa"/>
          <w:bottom w:w="0" w:type="dxa"/>
          <w:right w:w="0" w:type="dxa"/>
        </w:tblCellMar>
        <w:tblLook w:val="01E0"/>
      </w:tblPr>
      <w:tblGrid>
        <w:gridCol w:w="1054"/>
        <w:gridCol w:w="1196"/>
        <w:gridCol w:w="1045"/>
        <w:gridCol w:w="1046"/>
        <w:gridCol w:w="1045"/>
        <w:gridCol w:w="1045"/>
        <w:gridCol w:w="1046"/>
        <w:gridCol w:w="1045"/>
        <w:gridCol w:w="1046"/>
      </w:tblGrid>
      <w:tr>
        <w:trPr>
          <w:trHeight w:val="402" w:hRule="exact"/>
        </w:trPr>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8"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7"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6"/>
              <w:jc w:val="righ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8"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714"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17"/>
              <w:jc w:val="center"/>
              <w:rPr>
                <w:rFonts w:ascii="宋体" w:hAnsi="宋体" w:cs="宋体" w:eastAsia="宋体" w:hint="default"/>
                <w:sz w:val="18"/>
                <w:szCs w:val="18"/>
              </w:rPr>
            </w:pPr>
            <w:r>
              <w:rPr>
                <w:rFonts w:ascii="宋体" w:hAnsi="宋体" w:cs="宋体" w:eastAsia="宋体" w:hint="default"/>
                <w:sz w:val="18"/>
                <w:szCs w:val="18"/>
              </w:rPr>
              <w:t>卓翼香港</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10"/>
              <w:jc w:val="left"/>
              <w:rPr>
                <w:rFonts w:ascii="宋体" w:hAnsi="宋体" w:cs="宋体" w:eastAsia="宋体" w:hint="default"/>
                <w:sz w:val="18"/>
                <w:szCs w:val="18"/>
              </w:rPr>
            </w:pPr>
            <w:r>
              <w:rPr>
                <w:rFonts w:ascii="宋体" w:hAnsi="宋体" w:cs="宋体" w:eastAsia="宋体" w:hint="default"/>
                <w:sz w:val="18"/>
                <w:szCs w:val="18"/>
              </w:rPr>
              <w:t>一般商品 贸易</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63"/>
              <w:jc w:val="center"/>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144,398,06</w:t>
            </w:r>
          </w:p>
          <w:p>
            <w:pPr>
              <w:pStyle w:val="TableParagraph"/>
              <w:spacing w:line="240" w:lineRule="auto" w:before="106"/>
              <w:ind w:left="619" w:right="0"/>
              <w:jc w:val="left"/>
              <w:rPr>
                <w:rFonts w:ascii="Times New Roman" w:hAnsi="Times New Roman" w:cs="Times New Roman" w:eastAsia="Times New Roman" w:hint="default"/>
                <w:sz w:val="18"/>
                <w:szCs w:val="18"/>
              </w:rPr>
            </w:pPr>
            <w:r>
              <w:rPr>
                <w:rFonts w:ascii="Times New Roman"/>
                <w:sz w:val="18"/>
              </w:rPr>
              <w:t>1.58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2" w:right="0"/>
              <w:jc w:val="left"/>
              <w:rPr>
                <w:rFonts w:ascii="Times New Roman" w:hAnsi="Times New Roman" w:cs="Times New Roman" w:eastAsia="Times New Roman" w:hint="default"/>
                <w:sz w:val="18"/>
                <w:szCs w:val="18"/>
              </w:rPr>
            </w:pPr>
            <w:r>
              <w:rPr>
                <w:rFonts w:ascii="Times New Roman"/>
                <w:sz w:val="18"/>
              </w:rPr>
              <w:t>-56,007,57</w:t>
            </w:r>
          </w:p>
          <w:p>
            <w:pPr>
              <w:pStyle w:val="TableParagraph"/>
              <w:spacing w:line="240" w:lineRule="auto" w:before="106"/>
              <w:ind w:left="624" w:right="0"/>
              <w:jc w:val="left"/>
              <w:rPr>
                <w:rFonts w:ascii="Times New Roman" w:hAnsi="Times New Roman" w:cs="Times New Roman" w:eastAsia="Times New Roman" w:hint="default"/>
                <w:sz w:val="18"/>
                <w:szCs w:val="18"/>
              </w:rPr>
            </w:pPr>
            <w:r>
              <w:rPr>
                <w:rFonts w:ascii="Times New Roman"/>
                <w:sz w:val="18"/>
              </w:rPr>
              <w:t>2.11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435,972,21</w:t>
            </w:r>
          </w:p>
          <w:p>
            <w:pPr>
              <w:pStyle w:val="TableParagraph"/>
              <w:spacing w:line="240" w:lineRule="auto" w:before="106"/>
              <w:ind w:left="618" w:right="0"/>
              <w:jc w:val="left"/>
              <w:rPr>
                <w:rFonts w:ascii="Times New Roman" w:hAnsi="Times New Roman" w:cs="Times New Roman" w:eastAsia="Times New Roman" w:hint="default"/>
                <w:sz w:val="18"/>
                <w:szCs w:val="18"/>
              </w:rPr>
            </w:pPr>
            <w:r>
              <w:rPr>
                <w:rFonts w:ascii="Times New Roman"/>
                <w:sz w:val="18"/>
              </w:rPr>
              <w:t>7.36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5,555,710.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87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5,744,946.</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75</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17"/>
              <w:jc w:val="center"/>
              <w:rPr>
                <w:rFonts w:ascii="宋体" w:hAnsi="宋体" w:cs="宋体" w:eastAsia="宋体" w:hint="default"/>
                <w:sz w:val="18"/>
                <w:szCs w:val="18"/>
              </w:rPr>
            </w:pPr>
            <w:r>
              <w:rPr>
                <w:rFonts w:ascii="宋体" w:hAnsi="宋体" w:cs="宋体" w:eastAsia="宋体" w:hint="default"/>
                <w:sz w:val="18"/>
                <w:szCs w:val="18"/>
              </w:rPr>
              <w:t>卓大精密</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1"/>
              <w:jc w:val="left"/>
              <w:rPr>
                <w:rFonts w:ascii="宋体" w:hAnsi="宋体" w:cs="宋体" w:eastAsia="宋体" w:hint="default"/>
                <w:sz w:val="18"/>
                <w:szCs w:val="18"/>
              </w:rPr>
            </w:pPr>
            <w:r>
              <w:rPr>
                <w:rFonts w:ascii="宋体" w:hAnsi="宋体" w:cs="宋体" w:eastAsia="宋体" w:hint="default"/>
                <w:spacing w:val="-15"/>
                <w:sz w:val="18"/>
                <w:szCs w:val="18"/>
              </w:rPr>
              <w:t>生产、销售</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塑胶五金 </w:t>
            </w:r>
            <w:r>
              <w:rPr>
                <w:rFonts w:ascii="宋体" w:hAnsi="宋体" w:cs="宋体" w:eastAsia="宋体" w:hint="default"/>
                <w:spacing w:val="-15"/>
                <w:sz w:val="18"/>
                <w:szCs w:val="18"/>
              </w:rPr>
              <w:t>制品、模具</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50,000,000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62,911,048</w:t>
            </w:r>
          </w:p>
          <w:p>
            <w:pPr>
              <w:pStyle w:val="TableParagraph"/>
              <w:spacing w:line="240" w:lineRule="auto" w:before="106"/>
              <w:ind w:right="99"/>
              <w:jc w:val="right"/>
              <w:rPr>
                <w:rFonts w:ascii="Times New Roman" w:hAnsi="Times New Roman" w:cs="Times New Roman" w:eastAsia="Times New Roman" w:hint="default"/>
                <w:sz w:val="18"/>
                <w:szCs w:val="18"/>
              </w:rPr>
            </w:pPr>
            <w:r>
              <w:rPr>
                <w:rFonts w:ascii="Times New Roman"/>
                <w:sz w:val="18"/>
              </w:rPr>
              <w:t>.70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-74,683,12</w:t>
            </w:r>
          </w:p>
          <w:p>
            <w:pPr>
              <w:pStyle w:val="TableParagraph"/>
              <w:spacing w:line="240" w:lineRule="auto" w:before="106"/>
              <w:ind w:left="618" w:right="0"/>
              <w:jc w:val="left"/>
              <w:rPr>
                <w:rFonts w:ascii="Times New Roman" w:hAnsi="Times New Roman" w:cs="Times New Roman" w:eastAsia="Times New Roman" w:hint="default"/>
                <w:sz w:val="18"/>
                <w:szCs w:val="18"/>
              </w:rPr>
            </w:pPr>
            <w:r>
              <w:rPr>
                <w:rFonts w:ascii="Times New Roman"/>
                <w:sz w:val="18"/>
              </w:rPr>
              <w:t>7.54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32,393,246</w:t>
            </w:r>
          </w:p>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.57</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-15,314,57</w:t>
            </w:r>
          </w:p>
          <w:p>
            <w:pPr>
              <w:pStyle w:val="TableParagraph"/>
              <w:spacing w:line="240" w:lineRule="auto" w:before="106"/>
              <w:ind w:left="617" w:right="0"/>
              <w:jc w:val="left"/>
              <w:rPr>
                <w:rFonts w:ascii="Times New Roman" w:hAnsi="Times New Roman" w:cs="Times New Roman" w:eastAsia="Times New Roman" w:hint="default"/>
                <w:sz w:val="18"/>
                <w:szCs w:val="18"/>
              </w:rPr>
            </w:pPr>
            <w:r>
              <w:rPr>
                <w:rFonts w:ascii="Times New Roman"/>
                <w:sz w:val="18"/>
              </w:rPr>
              <w:t>5.16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-14,416,00</w:t>
            </w:r>
          </w:p>
          <w:p>
            <w:pPr>
              <w:pStyle w:val="TableParagraph"/>
              <w:spacing w:line="240" w:lineRule="auto" w:before="106"/>
              <w:ind w:left="619" w:right="0"/>
              <w:jc w:val="left"/>
              <w:rPr>
                <w:rFonts w:ascii="Times New Roman" w:hAnsi="Times New Roman" w:cs="Times New Roman" w:eastAsia="Times New Roman" w:hint="default"/>
                <w:sz w:val="18"/>
                <w:szCs w:val="18"/>
              </w:rPr>
            </w:pPr>
            <w:r>
              <w:rPr>
                <w:rFonts w:ascii="Times New Roman"/>
                <w:sz w:val="18"/>
              </w:rPr>
              <w:t>8.47</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17"/>
              <w:jc w:val="center"/>
              <w:rPr>
                <w:rFonts w:ascii="宋体" w:hAnsi="宋体" w:cs="宋体" w:eastAsia="宋体" w:hint="default"/>
                <w:sz w:val="18"/>
                <w:szCs w:val="18"/>
              </w:rPr>
            </w:pPr>
            <w:r>
              <w:rPr>
                <w:rFonts w:ascii="宋体" w:hAnsi="宋体" w:cs="宋体" w:eastAsia="宋体" w:hint="default"/>
                <w:sz w:val="18"/>
                <w:szCs w:val="18"/>
              </w:rPr>
              <w:t>天津卓达</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1"/>
              <w:jc w:val="both"/>
              <w:rPr>
                <w:rFonts w:ascii="宋体" w:hAnsi="宋体" w:cs="宋体" w:eastAsia="宋体" w:hint="default"/>
                <w:sz w:val="18"/>
                <w:szCs w:val="18"/>
              </w:rPr>
            </w:pPr>
            <w:r>
              <w:rPr>
                <w:rFonts w:ascii="宋体" w:hAnsi="宋体" w:cs="宋体" w:eastAsia="宋体" w:hint="default"/>
                <w:spacing w:val="-15"/>
                <w:sz w:val="18"/>
                <w:szCs w:val="18"/>
              </w:rPr>
              <w:t>生产、销售</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5"/>
                <w:sz w:val="18"/>
                <w:szCs w:val="18"/>
              </w:rPr>
              <w:t>网通、移动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终端产品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9" w:right="0"/>
              <w:jc w:val="left"/>
              <w:rPr>
                <w:rFonts w:ascii="Times New Roman" w:hAnsi="Times New Roman" w:cs="Times New Roman" w:eastAsia="Times New Roman" w:hint="default"/>
                <w:sz w:val="18"/>
                <w:szCs w:val="18"/>
              </w:rPr>
            </w:pPr>
            <w:r>
              <w:rPr>
                <w:rFonts w:ascii="Times New Roman"/>
                <w:sz w:val="18"/>
              </w:rPr>
              <w:t>1,363,384,</w:t>
            </w:r>
          </w:p>
          <w:p>
            <w:pPr>
              <w:pStyle w:val="TableParagraph"/>
              <w:spacing w:line="240" w:lineRule="auto" w:before="106"/>
              <w:ind w:left="439" w:right="0"/>
              <w:jc w:val="left"/>
              <w:rPr>
                <w:rFonts w:ascii="Times New Roman" w:hAnsi="Times New Roman" w:cs="Times New Roman" w:eastAsia="Times New Roman" w:hint="default"/>
                <w:sz w:val="18"/>
                <w:szCs w:val="18"/>
              </w:rPr>
            </w:pPr>
            <w:r>
              <w:rPr>
                <w:rFonts w:ascii="Times New Roman"/>
                <w:sz w:val="18"/>
              </w:rPr>
              <w:t>359.71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415,130,26</w:t>
            </w:r>
          </w:p>
          <w:p>
            <w:pPr>
              <w:pStyle w:val="TableParagraph"/>
              <w:spacing w:line="240" w:lineRule="auto" w:before="106"/>
              <w:ind w:left="618" w:right="0"/>
              <w:jc w:val="left"/>
              <w:rPr>
                <w:rFonts w:ascii="Times New Roman" w:hAnsi="Times New Roman" w:cs="Times New Roman" w:eastAsia="Times New Roman" w:hint="default"/>
                <w:sz w:val="18"/>
                <w:szCs w:val="18"/>
              </w:rPr>
            </w:pPr>
            <w:r>
              <w:rPr>
                <w:rFonts w:ascii="Times New Roman"/>
                <w:sz w:val="18"/>
              </w:rPr>
              <w:t>9.94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1,158,528,</w:t>
            </w:r>
          </w:p>
          <w:p>
            <w:pPr>
              <w:pStyle w:val="TableParagraph"/>
              <w:spacing w:line="240" w:lineRule="auto" w:before="106"/>
              <w:ind w:left="437" w:right="0"/>
              <w:jc w:val="left"/>
              <w:rPr>
                <w:rFonts w:ascii="Times New Roman" w:hAnsi="Times New Roman" w:cs="Times New Roman" w:eastAsia="Times New Roman" w:hint="default"/>
                <w:sz w:val="18"/>
                <w:szCs w:val="18"/>
              </w:rPr>
            </w:pPr>
            <w:r>
              <w:rPr>
                <w:rFonts w:ascii="Times New Roman"/>
                <w:sz w:val="18"/>
              </w:rPr>
              <w:t>551.60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-34,684,78</w:t>
            </w:r>
          </w:p>
          <w:p>
            <w:pPr>
              <w:pStyle w:val="TableParagraph"/>
              <w:spacing w:line="240" w:lineRule="auto" w:before="106"/>
              <w:ind w:left="617" w:right="0"/>
              <w:jc w:val="left"/>
              <w:rPr>
                <w:rFonts w:ascii="Times New Roman" w:hAnsi="Times New Roman" w:cs="Times New Roman" w:eastAsia="Times New Roman" w:hint="default"/>
                <w:sz w:val="18"/>
                <w:szCs w:val="18"/>
              </w:rPr>
            </w:pPr>
            <w:r>
              <w:rPr>
                <w:rFonts w:ascii="Times New Roman"/>
                <w:sz w:val="18"/>
              </w:rPr>
              <w:t>3.30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-29,726,50</w:t>
            </w:r>
          </w:p>
          <w:p>
            <w:pPr>
              <w:pStyle w:val="TableParagraph"/>
              <w:spacing w:line="240" w:lineRule="auto" w:before="106"/>
              <w:ind w:left="619" w:right="0"/>
              <w:jc w:val="left"/>
              <w:rPr>
                <w:rFonts w:ascii="Times New Roman" w:hAnsi="Times New Roman" w:cs="Times New Roman" w:eastAsia="Times New Roman" w:hint="default"/>
                <w:sz w:val="18"/>
                <w:szCs w:val="18"/>
              </w:rPr>
            </w:pPr>
            <w:r>
              <w:rPr>
                <w:rFonts w:ascii="Times New Roman"/>
                <w:sz w:val="18"/>
              </w:rPr>
              <w:t>9.38</w:t>
            </w:r>
          </w:p>
        </w:tc>
      </w:tr>
      <w:tr>
        <w:trPr>
          <w:trHeight w:val="1338"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17"/>
              <w:jc w:val="center"/>
              <w:rPr>
                <w:rFonts w:ascii="宋体" w:hAnsi="宋体" w:cs="宋体" w:eastAsia="宋体" w:hint="default"/>
                <w:sz w:val="18"/>
                <w:szCs w:val="18"/>
              </w:rPr>
            </w:pPr>
            <w:r>
              <w:rPr>
                <w:rFonts w:ascii="宋体" w:hAnsi="宋体" w:cs="宋体" w:eastAsia="宋体" w:hint="default"/>
                <w:sz w:val="18"/>
                <w:szCs w:val="18"/>
              </w:rPr>
              <w:t>卓翼智造</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1"/>
              <w:jc w:val="both"/>
              <w:rPr>
                <w:rFonts w:ascii="宋体" w:hAnsi="宋体" w:cs="宋体" w:eastAsia="宋体" w:hint="default"/>
                <w:sz w:val="18"/>
                <w:szCs w:val="18"/>
              </w:rPr>
            </w:pPr>
            <w:r>
              <w:rPr>
                <w:rFonts w:ascii="宋体" w:hAnsi="宋体" w:cs="宋体" w:eastAsia="宋体" w:hint="default"/>
                <w:spacing w:val="-15"/>
                <w:sz w:val="18"/>
                <w:szCs w:val="18"/>
              </w:rPr>
              <w:t>生产、销售</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5"/>
                <w:sz w:val="18"/>
                <w:szCs w:val="18"/>
              </w:rPr>
              <w:t>网通、移动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5"/>
                <w:sz w:val="18"/>
                <w:szCs w:val="18"/>
              </w:rPr>
              <w:t>终端、消费</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电子产品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250,000,00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69" w:right="0"/>
              <w:jc w:val="left"/>
              <w:rPr>
                <w:rFonts w:ascii="Times New Roman" w:hAnsi="Times New Roman" w:cs="Times New Roman" w:eastAsia="Times New Roman" w:hint="default"/>
                <w:sz w:val="18"/>
                <w:szCs w:val="18"/>
              </w:rPr>
            </w:pPr>
            <w:r>
              <w:rPr>
                <w:rFonts w:ascii="Times New Roman"/>
                <w:sz w:val="18"/>
              </w:rPr>
              <w:t>1,261,813,</w:t>
            </w:r>
          </w:p>
          <w:p>
            <w:pPr>
              <w:pStyle w:val="TableParagraph"/>
              <w:spacing w:line="240" w:lineRule="auto" w:before="106"/>
              <w:ind w:left="439" w:right="0"/>
              <w:jc w:val="left"/>
              <w:rPr>
                <w:rFonts w:ascii="Times New Roman" w:hAnsi="Times New Roman" w:cs="Times New Roman" w:eastAsia="Times New Roman" w:hint="default"/>
                <w:sz w:val="18"/>
                <w:szCs w:val="18"/>
              </w:rPr>
            </w:pPr>
            <w:r>
              <w:rPr>
                <w:rFonts w:ascii="Times New Roman"/>
                <w:sz w:val="18"/>
              </w:rPr>
              <w:t>715.49</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198,751,01</w:t>
            </w:r>
          </w:p>
          <w:p>
            <w:pPr>
              <w:pStyle w:val="TableParagraph"/>
              <w:spacing w:line="240" w:lineRule="auto" w:before="106"/>
              <w:ind w:left="618" w:right="0"/>
              <w:jc w:val="left"/>
              <w:rPr>
                <w:rFonts w:ascii="Times New Roman" w:hAnsi="Times New Roman" w:cs="Times New Roman" w:eastAsia="Times New Roman" w:hint="default"/>
                <w:sz w:val="18"/>
                <w:szCs w:val="18"/>
              </w:rPr>
            </w:pPr>
            <w:r>
              <w:rPr>
                <w:rFonts w:ascii="Times New Roman"/>
                <w:sz w:val="18"/>
              </w:rPr>
              <w:t>8.03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1,987,173,</w:t>
            </w:r>
          </w:p>
          <w:p>
            <w:pPr>
              <w:pStyle w:val="TableParagraph"/>
              <w:spacing w:line="240" w:lineRule="auto" w:before="106"/>
              <w:ind w:left="437" w:right="0"/>
              <w:jc w:val="left"/>
              <w:rPr>
                <w:rFonts w:ascii="Times New Roman" w:hAnsi="Times New Roman" w:cs="Times New Roman" w:eastAsia="Times New Roman" w:hint="default"/>
                <w:sz w:val="18"/>
                <w:szCs w:val="18"/>
              </w:rPr>
            </w:pPr>
            <w:r>
              <w:rPr>
                <w:rFonts w:ascii="Times New Roman"/>
                <w:sz w:val="18"/>
              </w:rPr>
              <w:t>356.33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-92,969,15</w:t>
            </w:r>
          </w:p>
          <w:p>
            <w:pPr>
              <w:pStyle w:val="TableParagraph"/>
              <w:spacing w:line="240" w:lineRule="auto" w:before="106"/>
              <w:ind w:left="617" w:right="0"/>
              <w:jc w:val="left"/>
              <w:rPr>
                <w:rFonts w:ascii="Times New Roman" w:hAnsi="Times New Roman" w:cs="Times New Roman" w:eastAsia="Times New Roman" w:hint="default"/>
                <w:sz w:val="18"/>
                <w:szCs w:val="18"/>
              </w:rPr>
            </w:pPr>
            <w:r>
              <w:rPr>
                <w:rFonts w:ascii="Times New Roman"/>
                <w:sz w:val="18"/>
              </w:rPr>
              <w:t>3.96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-65,302,06</w:t>
            </w:r>
          </w:p>
          <w:p>
            <w:pPr>
              <w:pStyle w:val="TableParagraph"/>
              <w:spacing w:line="240" w:lineRule="auto" w:before="106"/>
              <w:ind w:left="625" w:right="0"/>
              <w:jc w:val="left"/>
              <w:rPr>
                <w:rFonts w:ascii="Times New Roman" w:hAnsi="Times New Roman" w:cs="Times New Roman" w:eastAsia="Times New Roman" w:hint="default"/>
                <w:sz w:val="18"/>
                <w:szCs w:val="18"/>
              </w:rPr>
            </w:pPr>
            <w:r>
              <w:rPr>
                <w:rFonts w:ascii="Times New Roman"/>
                <w:sz w:val="18"/>
              </w:rPr>
              <w:t>6.11</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17"/>
              <w:jc w:val="center"/>
              <w:rPr>
                <w:rFonts w:ascii="宋体" w:hAnsi="宋体" w:cs="宋体" w:eastAsia="宋体" w:hint="default"/>
                <w:sz w:val="18"/>
                <w:szCs w:val="18"/>
              </w:rPr>
            </w:pPr>
            <w:r>
              <w:rPr>
                <w:rFonts w:ascii="宋体" w:hAnsi="宋体" w:cs="宋体" w:eastAsia="宋体" w:hint="default"/>
                <w:sz w:val="18"/>
                <w:szCs w:val="18"/>
              </w:rPr>
              <w:t>中广互联</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技术开发</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3" w:right="0"/>
              <w:jc w:val="left"/>
              <w:rPr>
                <w:rFonts w:ascii="Times New Roman" w:hAnsi="Times New Roman" w:cs="Times New Roman" w:eastAsia="Times New Roman" w:hint="default"/>
                <w:sz w:val="18"/>
                <w:szCs w:val="18"/>
              </w:rPr>
            </w:pPr>
            <w:r>
              <w:rPr>
                <w:rFonts w:ascii="Times New Roman"/>
                <w:sz w:val="18"/>
              </w:rPr>
              <w:t>431,959,80</w:t>
            </w:r>
          </w:p>
          <w:p>
            <w:pPr>
              <w:pStyle w:val="TableParagraph"/>
              <w:spacing w:line="240" w:lineRule="auto" w:before="106"/>
              <w:ind w:left="619" w:right="0"/>
              <w:jc w:val="left"/>
              <w:rPr>
                <w:rFonts w:ascii="Times New Roman" w:hAnsi="Times New Roman" w:cs="Times New Roman" w:eastAsia="Times New Roman" w:hint="default"/>
                <w:sz w:val="18"/>
                <w:szCs w:val="18"/>
              </w:rPr>
            </w:pPr>
            <w:r>
              <w:rPr>
                <w:rFonts w:ascii="Times New Roman"/>
                <w:sz w:val="18"/>
              </w:rPr>
              <w:t>1.01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98,157,214</w:t>
            </w:r>
          </w:p>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.10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307,828,86</w:t>
            </w:r>
          </w:p>
          <w:p>
            <w:pPr>
              <w:pStyle w:val="TableParagraph"/>
              <w:spacing w:line="240" w:lineRule="auto" w:before="106"/>
              <w:ind w:left="618" w:right="0"/>
              <w:jc w:val="left"/>
              <w:rPr>
                <w:rFonts w:ascii="Times New Roman" w:hAnsi="Times New Roman" w:cs="Times New Roman" w:eastAsia="Times New Roman" w:hint="default"/>
                <w:sz w:val="18"/>
                <w:szCs w:val="18"/>
              </w:rPr>
            </w:pPr>
            <w:r>
              <w:rPr>
                <w:rFonts w:ascii="Times New Roman"/>
                <w:sz w:val="18"/>
              </w:rPr>
              <w:t>1.66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-10,545,99</w:t>
            </w:r>
          </w:p>
          <w:p>
            <w:pPr>
              <w:pStyle w:val="TableParagraph"/>
              <w:spacing w:line="240" w:lineRule="auto" w:before="106"/>
              <w:ind w:left="617" w:right="0"/>
              <w:jc w:val="left"/>
              <w:rPr>
                <w:rFonts w:ascii="Times New Roman" w:hAnsi="Times New Roman" w:cs="Times New Roman" w:eastAsia="Times New Roman" w:hint="default"/>
                <w:sz w:val="18"/>
                <w:szCs w:val="18"/>
              </w:rPr>
            </w:pPr>
            <w:r>
              <w:rPr>
                <w:rFonts w:ascii="Times New Roman"/>
                <w:sz w:val="18"/>
              </w:rPr>
              <w:t>4.10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-5,915,842.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61</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17"/>
              <w:jc w:val="center"/>
              <w:rPr>
                <w:rFonts w:ascii="宋体" w:hAnsi="宋体" w:cs="宋体" w:eastAsia="宋体" w:hint="default"/>
                <w:sz w:val="18"/>
                <w:szCs w:val="18"/>
              </w:rPr>
            </w:pPr>
            <w:r>
              <w:rPr>
                <w:rFonts w:ascii="宋体" w:hAnsi="宋体" w:cs="宋体" w:eastAsia="宋体" w:hint="default"/>
                <w:sz w:val="18"/>
                <w:szCs w:val="18"/>
              </w:rPr>
              <w:t>中广物联</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技术开发</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110,510,62</w:t>
            </w:r>
          </w:p>
          <w:p>
            <w:pPr>
              <w:pStyle w:val="TableParagraph"/>
              <w:spacing w:line="240" w:lineRule="auto" w:before="106"/>
              <w:ind w:left="619" w:right="0"/>
              <w:jc w:val="left"/>
              <w:rPr>
                <w:rFonts w:ascii="Times New Roman" w:hAnsi="Times New Roman" w:cs="Times New Roman" w:eastAsia="Times New Roman" w:hint="default"/>
                <w:sz w:val="18"/>
                <w:szCs w:val="18"/>
              </w:rPr>
            </w:pPr>
            <w:r>
              <w:rPr>
                <w:rFonts w:ascii="Times New Roman"/>
                <w:sz w:val="18"/>
              </w:rPr>
              <w:t>2.78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3,737,361.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49,797.95</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-714,255.9</w:t>
            </w:r>
            <w:r>
              <w:rPr>
                <w:rFonts w:ascii="Times New Roman"/>
                <w:sz w:val="18"/>
              </w:rPr>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-714,255.9</w:t>
            </w:r>
            <w:r>
              <w:rPr>
                <w:rFonts w:ascii="Times New Roman"/>
                <w:sz w:val="18"/>
              </w:rPr>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w:t>
            </w:r>
          </w:p>
        </w:tc>
      </w:tr>
      <w:tr>
        <w:trPr>
          <w:trHeight w:val="714"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17"/>
              <w:jc w:val="center"/>
              <w:rPr>
                <w:rFonts w:ascii="宋体" w:hAnsi="宋体" w:cs="宋体" w:eastAsia="宋体" w:hint="default"/>
                <w:sz w:val="18"/>
                <w:szCs w:val="18"/>
              </w:rPr>
            </w:pPr>
            <w:r>
              <w:rPr>
                <w:rFonts w:ascii="宋体" w:hAnsi="宋体" w:cs="宋体" w:eastAsia="宋体" w:hint="default"/>
                <w:sz w:val="18"/>
                <w:szCs w:val="18"/>
              </w:rPr>
              <w:t>卓翼营销</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10"/>
              <w:jc w:val="left"/>
              <w:rPr>
                <w:rFonts w:ascii="宋体" w:hAnsi="宋体" w:cs="宋体" w:eastAsia="宋体" w:hint="default"/>
                <w:sz w:val="18"/>
                <w:szCs w:val="18"/>
              </w:rPr>
            </w:pPr>
            <w:r>
              <w:rPr>
                <w:rFonts w:ascii="宋体" w:hAnsi="宋体" w:cs="宋体" w:eastAsia="宋体" w:hint="default"/>
                <w:sz w:val="18"/>
                <w:szCs w:val="18"/>
              </w:rPr>
              <w:t>一般商品 贸易</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6"/>
              <w:jc w:val="center"/>
              <w:rPr>
                <w:rFonts w:ascii="Times New Roman" w:hAnsi="Times New Roman" w:cs="Times New Roman" w:eastAsia="Times New Roman" w:hint="default"/>
                <w:sz w:val="18"/>
                <w:szCs w:val="18"/>
              </w:rPr>
            </w:pPr>
            <w:r>
              <w:rPr>
                <w:rFonts w:ascii="Times New Roman"/>
                <w:sz w:val="18"/>
              </w:rPr>
              <w:t>609,900.00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12,863,010</w:t>
            </w:r>
          </w:p>
          <w:p>
            <w:pPr>
              <w:pStyle w:val="TableParagraph"/>
              <w:spacing w:line="240" w:lineRule="auto" w:before="106"/>
              <w:ind w:right="99"/>
              <w:jc w:val="right"/>
              <w:rPr>
                <w:rFonts w:ascii="Times New Roman" w:hAnsi="Times New Roman" w:cs="Times New Roman" w:eastAsia="Times New Roman" w:hint="default"/>
                <w:sz w:val="18"/>
                <w:szCs w:val="18"/>
              </w:rPr>
            </w:pPr>
            <w:r>
              <w:rPr>
                <w:rFonts w:ascii="Times New Roman"/>
                <w:sz w:val="18"/>
              </w:rPr>
              <w:t>.05</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2" w:right="0"/>
              <w:jc w:val="left"/>
              <w:rPr>
                <w:rFonts w:ascii="Times New Roman" w:hAnsi="Times New Roman" w:cs="Times New Roman" w:eastAsia="Times New Roman" w:hint="default"/>
                <w:sz w:val="18"/>
                <w:szCs w:val="18"/>
              </w:rPr>
            </w:pPr>
            <w:r>
              <w:rPr>
                <w:rFonts w:ascii="Times New Roman"/>
                <w:sz w:val="18"/>
              </w:rPr>
              <w:t>-34,007,45</w:t>
            </w:r>
          </w:p>
          <w:p>
            <w:pPr>
              <w:pStyle w:val="TableParagraph"/>
              <w:spacing w:line="240" w:lineRule="auto" w:before="106"/>
              <w:ind w:left="618" w:right="0"/>
              <w:jc w:val="left"/>
              <w:rPr>
                <w:rFonts w:ascii="Times New Roman" w:hAnsi="Times New Roman" w:cs="Times New Roman" w:eastAsia="Times New Roman" w:hint="default"/>
                <w:sz w:val="18"/>
                <w:szCs w:val="18"/>
              </w:rPr>
            </w:pPr>
            <w:r>
              <w:rPr>
                <w:rFonts w:ascii="Times New Roman"/>
                <w:sz w:val="18"/>
              </w:rPr>
              <w:t>6.07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-8,564,648.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-8,564,648.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26</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219"/>
              <w:jc w:val="left"/>
              <w:rPr>
                <w:rFonts w:ascii="宋体" w:hAnsi="宋体" w:cs="宋体" w:eastAsia="宋体" w:hint="default"/>
                <w:sz w:val="18"/>
                <w:szCs w:val="18"/>
              </w:rPr>
            </w:pPr>
            <w:r>
              <w:rPr>
                <w:rFonts w:ascii="宋体" w:hAnsi="宋体" w:cs="宋体" w:eastAsia="宋体" w:hint="default"/>
                <w:sz w:val="18"/>
                <w:szCs w:val="18"/>
              </w:rPr>
              <w:t>卓博机器 人</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机器人</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80,000,000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81,350,436</w:t>
            </w:r>
          </w:p>
          <w:p>
            <w:pPr>
              <w:pStyle w:val="TableParagraph"/>
              <w:spacing w:line="240" w:lineRule="auto" w:before="106"/>
              <w:ind w:right="99"/>
              <w:jc w:val="right"/>
              <w:rPr>
                <w:rFonts w:ascii="Times New Roman" w:hAnsi="Times New Roman" w:cs="Times New Roman" w:eastAsia="Times New Roman" w:hint="default"/>
                <w:sz w:val="18"/>
                <w:szCs w:val="18"/>
              </w:rPr>
            </w:pPr>
            <w:r>
              <w:rPr>
                <w:rFonts w:ascii="Times New Roman"/>
                <w:sz w:val="18"/>
              </w:rPr>
              <w:t>.63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78,909,746</w:t>
            </w:r>
          </w:p>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-1,089,324.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-1,090,254.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r>
      <w:tr>
        <w:trPr>
          <w:trHeight w:val="2274"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03" w:right="219"/>
              <w:jc w:val="both"/>
              <w:rPr>
                <w:rFonts w:ascii="宋体" w:hAnsi="宋体" w:cs="宋体" w:eastAsia="宋体" w:hint="default"/>
                <w:sz w:val="18"/>
                <w:szCs w:val="18"/>
              </w:rPr>
            </w:pPr>
            <w:r>
              <w:rPr>
                <w:rFonts w:ascii="宋体" w:hAnsi="宋体" w:cs="宋体" w:eastAsia="宋体" w:hint="default"/>
                <w:sz w:val="18"/>
                <w:szCs w:val="18"/>
              </w:rPr>
              <w:t>北京朝歌 数码科技 股份有限 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参股公司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30"/>
              <w:jc w:val="left"/>
              <w:rPr>
                <w:rFonts w:ascii="宋体" w:hAnsi="宋体" w:cs="宋体" w:eastAsia="宋体" w:hint="default"/>
                <w:sz w:val="18"/>
                <w:szCs w:val="18"/>
              </w:rPr>
            </w:pPr>
            <w:r>
              <w:rPr>
                <w:rFonts w:ascii="宋体" w:hAnsi="宋体" w:cs="宋体" w:eastAsia="宋体" w:hint="default"/>
                <w:sz w:val="18"/>
                <w:szCs w:val="18"/>
              </w:rPr>
              <w:t>互动电视 智能终端 及系统平 台的研发、 生产、销 </w:t>
            </w:r>
            <w:r>
              <w:rPr>
                <w:rFonts w:ascii="宋体" w:hAnsi="宋体" w:cs="宋体" w:eastAsia="宋体" w:hint="default"/>
                <w:spacing w:val="-15"/>
                <w:sz w:val="18"/>
                <w:szCs w:val="18"/>
              </w:rPr>
              <w:t>售、运营与</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服务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136,400,00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23" w:right="0"/>
              <w:jc w:val="left"/>
              <w:rPr>
                <w:rFonts w:ascii="Times New Roman" w:hAnsi="Times New Roman" w:cs="Times New Roman" w:eastAsia="Times New Roman" w:hint="default"/>
                <w:sz w:val="18"/>
                <w:szCs w:val="18"/>
              </w:rPr>
            </w:pPr>
            <w:r>
              <w:rPr>
                <w:rFonts w:ascii="Times New Roman"/>
                <w:sz w:val="18"/>
              </w:rPr>
              <w:t>918,573,05</w:t>
            </w:r>
          </w:p>
          <w:p>
            <w:pPr>
              <w:pStyle w:val="TableParagraph"/>
              <w:spacing w:line="240" w:lineRule="auto" w:before="106"/>
              <w:ind w:left="619" w:right="0"/>
              <w:jc w:val="left"/>
              <w:rPr>
                <w:rFonts w:ascii="Times New Roman" w:hAnsi="Times New Roman" w:cs="Times New Roman" w:eastAsia="Times New Roman" w:hint="default"/>
                <w:sz w:val="18"/>
                <w:szCs w:val="18"/>
              </w:rPr>
            </w:pPr>
            <w:r>
              <w:rPr>
                <w:rFonts w:ascii="Times New Roman"/>
                <w:sz w:val="18"/>
              </w:rPr>
              <w:t>7.45</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447,851,02</w:t>
            </w:r>
          </w:p>
          <w:p>
            <w:pPr>
              <w:pStyle w:val="TableParagraph"/>
              <w:spacing w:line="240" w:lineRule="auto" w:before="106"/>
              <w:ind w:left="618" w:right="0"/>
              <w:jc w:val="left"/>
              <w:rPr>
                <w:rFonts w:ascii="Times New Roman" w:hAnsi="Times New Roman" w:cs="Times New Roman" w:eastAsia="Times New Roman" w:hint="default"/>
                <w:sz w:val="18"/>
                <w:szCs w:val="18"/>
              </w:rPr>
            </w:pPr>
            <w:r>
              <w:rPr>
                <w:rFonts w:ascii="Times New Roman"/>
                <w:sz w:val="18"/>
              </w:rPr>
              <w:t>7.30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2,626,221,</w:t>
            </w:r>
          </w:p>
          <w:p>
            <w:pPr>
              <w:pStyle w:val="TableParagraph"/>
              <w:spacing w:line="240" w:lineRule="auto" w:before="106"/>
              <w:ind w:left="437" w:right="0"/>
              <w:jc w:val="left"/>
              <w:rPr>
                <w:rFonts w:ascii="Times New Roman" w:hAnsi="Times New Roman" w:cs="Times New Roman" w:eastAsia="Times New Roman" w:hint="default"/>
                <w:sz w:val="18"/>
                <w:szCs w:val="18"/>
              </w:rPr>
            </w:pPr>
            <w:r>
              <w:rPr>
                <w:rFonts w:ascii="Times New Roman"/>
                <w:sz w:val="18"/>
              </w:rPr>
              <w:t>475.72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82,930,179</w:t>
            </w:r>
          </w:p>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.68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75,579,200</w:t>
            </w:r>
          </w:p>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.15</w:t>
            </w:r>
          </w:p>
        </w:tc>
      </w:tr>
    </w:tbl>
    <w:p>
      <w:pPr>
        <w:pStyle w:val="BodyText"/>
        <w:spacing w:line="240" w:lineRule="auto" w:before="51"/>
        <w:ind w:right="0"/>
        <w:jc w:val="left"/>
      </w:pPr>
      <w:r>
        <w:rPr/>
        <w:t>报告期内取得和处置子公司的情况</w:t>
      </w:r>
    </w:p>
    <w:p>
      <w:pPr>
        <w:pStyle w:val="BodyText"/>
        <w:spacing w:line="357" w:lineRule="auto" w:before="117"/>
        <w:ind w:right="8592"/>
        <w:jc w:val="left"/>
      </w:pPr>
      <w:r>
        <w:rPr/>
        <w:t>□ 适用 √ 不适用 主要控股参股公司情况说明 无</w:t>
      </w:r>
    </w:p>
    <w:p>
      <w:pPr>
        <w:spacing w:after="0" w:line="357" w:lineRule="auto"/>
        <w:jc w:val="left"/>
        <w:sectPr>
          <w:type w:val="continuous"/>
          <w:pgSz w:w="11910" w:h="16840"/>
          <w:pgMar w:top="1100" w:bottom="1200" w:left="980" w:right="0"/>
        </w:sectPr>
      </w:pPr>
    </w:p>
    <w:p>
      <w:pPr>
        <w:spacing w:line="240" w:lineRule="auto" w:before="7"/>
        <w:rPr>
          <w:rFonts w:ascii="宋体" w:hAnsi="宋体" w:cs="宋体" w:eastAsia="宋体" w:hint="default"/>
          <w:sz w:val="18"/>
          <w:szCs w:val="18"/>
        </w:rPr>
      </w:pPr>
    </w:p>
    <w:p>
      <w:pPr>
        <w:pStyle w:val="Heading2"/>
        <w:spacing w:line="240" w:lineRule="auto" w:before="26"/>
        <w:ind w:right="0"/>
        <w:jc w:val="left"/>
        <w:rPr>
          <w:b w:val="0"/>
          <w:bCs w:val="0"/>
        </w:rPr>
      </w:pPr>
      <w:bookmarkStart w:name="八、公司控制的结构化主体情况" w:id="58"/>
      <w:bookmarkEnd w:id="58"/>
      <w:r>
        <w:rPr>
          <w:b w:val="0"/>
          <w:bCs w:val="0"/>
        </w:rPr>
      </w:r>
      <w:r>
        <w:rPr/>
        <w:t>八、公司控制的结构化主体情况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0"/>
        <w:rPr>
          <w:rFonts w:ascii="宋体" w:hAnsi="宋体" w:cs="宋体" w:eastAsia="宋体" w:hint="default"/>
          <w:sz w:val="25"/>
          <w:szCs w:val="25"/>
        </w:rPr>
      </w:pPr>
    </w:p>
    <w:p>
      <w:pPr>
        <w:pStyle w:val="Heading2"/>
        <w:spacing w:line="240" w:lineRule="auto"/>
        <w:ind w:right="0"/>
        <w:jc w:val="left"/>
        <w:rPr>
          <w:b w:val="0"/>
          <w:bCs w:val="0"/>
        </w:rPr>
      </w:pPr>
      <w:bookmarkStart w:name="九、公司未来发展的展望" w:id="59"/>
      <w:bookmarkEnd w:id="59"/>
      <w:r>
        <w:rPr>
          <w:b w:val="0"/>
          <w:bCs w:val="0"/>
        </w:rPr>
      </w:r>
      <w:r>
        <w:rPr/>
        <w:t>九、公司未来发展的展望</w:t>
      </w:r>
      <w:r>
        <w:rPr>
          <w:b w:val="0"/>
          <w:bCs w:val="0"/>
        </w:rPr>
      </w:r>
    </w:p>
    <w:p>
      <w:pPr>
        <w:spacing w:line="240" w:lineRule="auto" w:before="7"/>
        <w:rPr>
          <w:rFonts w:ascii="宋体" w:hAnsi="宋体" w:cs="宋体" w:eastAsia="宋体" w:hint="default"/>
          <w:b/>
          <w:bCs/>
          <w:sz w:val="32"/>
          <w:szCs w:val="32"/>
        </w:rPr>
      </w:pPr>
    </w:p>
    <w:p>
      <w:pPr>
        <w:spacing w:line="477" w:lineRule="auto" w:before="0"/>
        <w:ind w:left="514" w:right="7319" w:firstLine="1"/>
        <w:jc w:val="left"/>
        <w:rPr>
          <w:rFonts w:ascii="宋体" w:hAnsi="宋体" w:cs="宋体" w:eastAsia="宋体" w:hint="default"/>
          <w:sz w:val="18"/>
          <w:szCs w:val="18"/>
        </w:rPr>
      </w:pPr>
      <w:r>
        <w:rPr>
          <w:rFonts w:ascii="宋体" w:hAnsi="宋体" w:cs="宋体" w:eastAsia="宋体" w:hint="default"/>
          <w:b/>
          <w:bCs/>
          <w:sz w:val="18"/>
          <w:szCs w:val="18"/>
        </w:rPr>
        <w:t>（一）公司现处的行业格局和发展趋势</w:t>
      </w:r>
      <w:r>
        <w:rPr>
          <w:rFonts w:ascii="宋体" w:hAnsi="宋体" w:cs="宋体" w:eastAsia="宋体" w:hint="default"/>
          <w:b/>
          <w:bCs/>
          <w:w w:val="99"/>
          <w:sz w:val="18"/>
          <w:szCs w:val="18"/>
        </w:rPr>
        <w:t> </w:t>
      </w:r>
      <w:r>
        <w:rPr>
          <w:rFonts w:ascii="宋体" w:hAnsi="宋体" w:cs="宋体" w:eastAsia="宋体" w:hint="default"/>
          <w:sz w:val="18"/>
          <w:szCs w:val="18"/>
        </w:rPr>
        <w:t>1</w:t>
      </w:r>
      <w:r>
        <w:rPr>
          <w:rFonts w:ascii="宋体" w:hAnsi="宋体" w:cs="宋体" w:eastAsia="宋体" w:hint="default"/>
          <w:sz w:val="18"/>
          <w:szCs w:val="18"/>
        </w:rPr>
        <w:t>、网络通讯市场</w:t>
      </w:r>
    </w:p>
    <w:p>
      <w:pPr>
        <w:pStyle w:val="BodyText"/>
        <w:spacing w:line="477" w:lineRule="auto" w:before="54"/>
        <w:ind w:right="1129" w:firstLine="360"/>
        <w:jc w:val="both"/>
      </w:pP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10</w:t>
      </w:r>
      <w:r>
        <w:rPr/>
        <w:t>日，工信部、发改委联合印发《扩大和升级信息消费三年行动计划（</w:t>
      </w:r>
      <w:r>
        <w:rPr>
          <w:rFonts w:ascii="宋体" w:hAnsi="宋体" w:cs="宋体" w:eastAsia="宋体" w:hint="default"/>
        </w:rPr>
        <w:t>2018-2020</w:t>
      </w:r>
      <w:r>
        <w:rPr>
          <w:rFonts w:ascii="宋体" w:hAnsi="宋体" w:cs="宋体" w:eastAsia="宋体" w:hint="default"/>
          <w:spacing w:val="10"/>
        </w:rPr>
        <w:t> </w:t>
      </w:r>
      <w:r>
        <w:rPr>
          <w:spacing w:val="-13"/>
        </w:rPr>
        <w:t>年）》。到</w:t>
      </w:r>
      <w:r>
        <w:rPr>
          <w:rFonts w:ascii="宋体" w:hAnsi="宋体" w:cs="宋体" w:eastAsia="宋体" w:hint="default"/>
          <w:spacing w:val="-13"/>
        </w:rPr>
        <w:t>2020</w:t>
      </w:r>
      <w:r>
        <w:rPr>
          <w:spacing w:val="-13"/>
        </w:rPr>
        <w:t>年，信息消</w:t>
      </w:r>
      <w:r>
        <w:rPr/>
        <w:t> </w:t>
      </w:r>
      <w:r>
        <w:rPr>
          <w:spacing w:val="-2"/>
        </w:rPr>
        <w:t>费规模达到</w:t>
      </w:r>
      <w:r>
        <w:rPr>
          <w:rFonts w:ascii="宋体" w:hAnsi="宋体" w:cs="宋体" w:eastAsia="宋体" w:hint="default"/>
          <w:spacing w:val="-2"/>
        </w:rPr>
        <w:t>6</w:t>
      </w:r>
      <w:r>
        <w:rPr>
          <w:spacing w:val="-2"/>
        </w:rPr>
        <w:t>万亿元，年均增长</w:t>
      </w:r>
      <w:r>
        <w:rPr>
          <w:rFonts w:ascii="宋体" w:hAnsi="宋体" w:cs="宋体" w:eastAsia="宋体" w:hint="default"/>
          <w:spacing w:val="-2"/>
        </w:rPr>
        <w:t>11%</w:t>
      </w:r>
      <w:r>
        <w:rPr>
          <w:spacing w:val="-2"/>
        </w:rPr>
        <w:t>以上，实现信息技术在消费领域的带动作用显著增强，拉动相关领域产出达到</w:t>
      </w:r>
      <w:r>
        <w:rPr>
          <w:rFonts w:ascii="宋体" w:hAnsi="宋体" w:cs="宋体" w:eastAsia="宋体" w:hint="default"/>
          <w:spacing w:val="-2"/>
        </w:rPr>
        <w:t>15</w:t>
      </w:r>
      <w:r>
        <w:rPr>
          <w:spacing w:val="-2"/>
        </w:rPr>
        <w:t>万亿元的</w:t>
      </w:r>
      <w:r>
        <w:rPr>
          <w:spacing w:val="-61"/>
        </w:rPr>
        <w:t> </w:t>
      </w:r>
      <w:r>
        <w:rPr>
          <w:spacing w:val="-5"/>
        </w:rPr>
        <w:t>目标。随着“宽带中国”、“三网融合”等战略的推进，云计算、大数据、物联网等新兴业务的需求带动，用户对高速宽带的</w:t>
      </w:r>
      <w:r>
        <w:rPr>
          <w:spacing w:val="-80"/>
        </w:rPr>
        <w:t> </w:t>
      </w:r>
      <w:r>
        <w:rPr>
          <w:spacing w:val="-80"/>
        </w:rPr>
      </w:r>
      <w:r>
        <w:rPr/>
        <w:t>需求愈发强烈。</w:t>
      </w:r>
    </w:p>
    <w:p>
      <w:pPr>
        <w:pStyle w:val="BodyText"/>
        <w:spacing w:line="477" w:lineRule="auto" w:before="54"/>
        <w:ind w:right="1130" w:firstLine="360"/>
        <w:jc w:val="both"/>
      </w:pPr>
      <w:r>
        <w:rPr>
          <w:spacing w:val="-2"/>
        </w:rPr>
        <w:t>《三年行动计划》要求：深入落实“宽带中国”战略，组织实施新一代信息基础设施建设工程，推进光纤宽带和第四代</w:t>
      </w:r>
      <w:r>
        <w:rPr/>
        <w:t> </w:t>
      </w:r>
      <w:r>
        <w:rPr>
          <w:spacing w:val="-2"/>
        </w:rPr>
        <w:t>移动通信（</w:t>
      </w:r>
      <w:r>
        <w:rPr>
          <w:rFonts w:ascii="宋体" w:hAnsi="宋体" w:cs="宋体" w:eastAsia="宋体" w:hint="default"/>
          <w:spacing w:val="-2"/>
        </w:rPr>
        <w:t>4G</w:t>
      </w:r>
      <w:r>
        <w:rPr>
          <w:spacing w:val="-2"/>
        </w:rPr>
        <w:t>）网络深度覆盖，加快第五代移动通信（</w:t>
      </w:r>
      <w:r>
        <w:rPr>
          <w:rFonts w:ascii="宋体" w:hAnsi="宋体" w:cs="宋体" w:eastAsia="宋体" w:hint="default"/>
          <w:spacing w:val="-2"/>
        </w:rPr>
        <w:t>5G</w:t>
      </w:r>
      <w:r>
        <w:rPr>
          <w:spacing w:val="-2"/>
        </w:rPr>
        <w:t>）标准研究、技术试验，推进</w:t>
      </w:r>
      <w:r>
        <w:rPr>
          <w:rFonts w:ascii="宋体" w:hAnsi="宋体" w:cs="宋体" w:eastAsia="宋体" w:hint="default"/>
          <w:spacing w:val="-2"/>
        </w:rPr>
        <w:t>5G</w:t>
      </w:r>
      <w:r>
        <w:rPr>
          <w:spacing w:val="-2"/>
        </w:rPr>
        <w:t>规模组网建设及应用示范工程；确</w:t>
      </w:r>
      <w:r>
        <w:rPr>
          <w:spacing w:val="-62"/>
        </w:rPr>
        <w:t> </w:t>
      </w:r>
      <w:r>
        <w:rPr>
          <w:spacing w:val="-62"/>
        </w:rPr>
      </w:r>
      <w:r>
        <w:rPr>
          <w:spacing w:val="-2"/>
        </w:rPr>
        <w:t>保启动</w:t>
      </w:r>
      <w:r>
        <w:rPr>
          <w:rFonts w:ascii="宋体" w:hAnsi="宋体" w:cs="宋体" w:eastAsia="宋体" w:hint="default"/>
          <w:spacing w:val="-2"/>
        </w:rPr>
        <w:t>5G</w:t>
      </w:r>
      <w:r>
        <w:rPr>
          <w:spacing w:val="-2"/>
        </w:rPr>
        <w:t>商用。</w:t>
      </w:r>
      <w:r>
        <w:rPr>
          <w:rFonts w:ascii="宋体" w:hAnsi="宋体" w:cs="宋体" w:eastAsia="宋体" w:hint="default"/>
          <w:spacing w:val="-2"/>
        </w:rPr>
        <w:t>5G</w:t>
      </w:r>
      <w:r>
        <w:rPr>
          <w:spacing w:val="-2"/>
        </w:rPr>
        <w:t>以更高体验速率和更大带宽的接入能力，开启万物广泛互联、人机深度交互的新时代，</w:t>
      </w:r>
      <w:r>
        <w:rPr>
          <w:rFonts w:ascii="宋体" w:hAnsi="宋体" w:cs="宋体" w:eastAsia="宋体" w:hint="default"/>
          <w:spacing w:val="-2"/>
        </w:rPr>
        <w:t>5G</w:t>
      </w:r>
      <w:r>
        <w:rPr>
          <w:spacing w:val="-2"/>
        </w:rPr>
        <w:t>在无线技术和网</w:t>
      </w:r>
      <w:r>
        <w:rPr>
          <w:spacing w:val="-59"/>
        </w:rPr>
        <w:t> </w:t>
      </w:r>
      <w:r>
        <w:rPr>
          <w:spacing w:val="-2"/>
        </w:rPr>
        <w:t>络技术的创新，为通信网络设备、射频天线、光缆光纤、光模块等多个领域带来了新的发展机遇，公司作为网络通讯终端制</w:t>
      </w:r>
      <w:r>
        <w:rPr>
          <w:spacing w:val="-66"/>
        </w:rPr>
        <w:t> </w:t>
      </w:r>
      <w:r>
        <w:rPr>
          <w:spacing w:val="-66"/>
        </w:rPr>
      </w:r>
      <w:r>
        <w:rPr/>
        <w:t>造厂商有望充分受益。</w:t>
      </w:r>
    </w:p>
    <w:p>
      <w:pPr>
        <w:pStyle w:val="BodyText"/>
        <w:spacing w:line="477" w:lineRule="auto" w:before="54"/>
        <w:ind w:right="1032" w:firstLine="360"/>
        <w:jc w:val="left"/>
      </w:pPr>
      <w:r>
        <w:rPr>
          <w:spacing w:val="-2"/>
        </w:rPr>
        <w:t>根据工信部发布的《</w:t>
      </w:r>
      <w:r>
        <w:rPr>
          <w:rFonts w:ascii="宋体" w:hAnsi="宋体" w:cs="宋体" w:eastAsia="宋体" w:hint="default"/>
          <w:spacing w:val="-2"/>
        </w:rPr>
        <w:t>2018</w:t>
      </w:r>
      <w:r>
        <w:rPr>
          <w:spacing w:val="-2"/>
        </w:rPr>
        <w:t>年通信业统计公报》，</w:t>
      </w:r>
      <w:r>
        <w:rPr>
          <w:rFonts w:ascii="宋体" w:hAnsi="宋体" w:cs="宋体" w:eastAsia="宋体" w:hint="default"/>
          <w:spacing w:val="-2"/>
        </w:rPr>
        <w:t>2018</w:t>
      </w:r>
      <w:r>
        <w:rPr>
          <w:spacing w:val="-2"/>
        </w:rPr>
        <w:t>年互联网宽带接入端口“光进铜退”趋势更加明显，互联网宽带接</w:t>
      </w:r>
      <w:r>
        <w:rPr/>
        <w:t> 入端口数量达到</w:t>
      </w:r>
      <w:r>
        <w:rPr>
          <w:rFonts w:ascii="宋体" w:hAnsi="宋体" w:cs="宋体" w:eastAsia="宋体" w:hint="default"/>
        </w:rPr>
        <w:t>8.86</w:t>
      </w:r>
      <w:r>
        <w:rPr/>
        <w:t>亿个，比上年末净增</w:t>
      </w:r>
      <w:r>
        <w:rPr>
          <w:rFonts w:ascii="宋体" w:hAnsi="宋体" w:cs="宋体" w:eastAsia="宋体" w:hint="default"/>
        </w:rPr>
        <w:t>1.1</w:t>
      </w:r>
      <w:r>
        <w:rPr/>
        <w:t>亿个。其中，光纤接入（</w:t>
      </w:r>
      <w:r>
        <w:rPr>
          <w:rFonts w:ascii="宋体" w:hAnsi="宋体" w:cs="宋体" w:eastAsia="宋体" w:hint="default"/>
        </w:rPr>
        <w:t>FTTH/0</w:t>
      </w:r>
      <w:r>
        <w:rPr/>
        <w:t>）端口比上年末净增</w:t>
      </w:r>
      <w:r>
        <w:rPr>
          <w:rFonts w:ascii="宋体" w:hAnsi="宋体" w:cs="宋体" w:eastAsia="宋体" w:hint="default"/>
        </w:rPr>
        <w:t>1.25</w:t>
      </w:r>
      <w:r>
        <w:rPr/>
        <w:t>亿个，达到</w:t>
      </w:r>
      <w:r>
        <w:rPr>
          <w:rFonts w:ascii="宋体" w:hAnsi="宋体" w:cs="宋体" w:eastAsia="宋体" w:hint="default"/>
        </w:rPr>
        <w:t>7.8</w:t>
      </w:r>
      <w:r>
        <w:rPr/>
        <w:t>亿个， 占互联网接入端口的比重由上年末的</w:t>
      </w:r>
      <w:r>
        <w:rPr>
          <w:rFonts w:ascii="宋体" w:hAnsi="宋体" w:cs="宋体" w:eastAsia="宋体" w:hint="default"/>
        </w:rPr>
        <w:t>84.4%</w:t>
      </w:r>
      <w:r>
        <w:rPr/>
        <w:t>提升至</w:t>
      </w:r>
      <w:r>
        <w:rPr>
          <w:rFonts w:ascii="宋体" w:hAnsi="宋体" w:cs="宋体" w:eastAsia="宋体" w:hint="default"/>
        </w:rPr>
        <w:t>88%</w:t>
      </w:r>
      <w:r>
        <w:rPr/>
        <w:t>。</w:t>
      </w:r>
      <w:r>
        <w:rPr>
          <w:rFonts w:ascii="宋体" w:hAnsi="宋体" w:cs="宋体" w:eastAsia="宋体" w:hint="default"/>
        </w:rPr>
        <w:t>xDSL</w:t>
      </w:r>
      <w:r>
        <w:rPr/>
        <w:t>端口比上年末减少</w:t>
      </w:r>
      <w:r>
        <w:rPr>
          <w:rFonts w:ascii="宋体" w:hAnsi="宋体" w:cs="宋体" w:eastAsia="宋体" w:hint="default"/>
        </w:rPr>
        <w:t>578</w:t>
      </w:r>
      <w:r>
        <w:rPr/>
        <w:t>万个，总数降至</w:t>
      </w:r>
      <w:r>
        <w:rPr>
          <w:rFonts w:ascii="宋体" w:hAnsi="宋体" w:cs="宋体" w:eastAsia="宋体" w:hint="default"/>
        </w:rPr>
        <w:t>1646</w:t>
      </w:r>
      <w:r>
        <w:rPr/>
        <w:t>万个，占互联网接入</w:t>
      </w:r>
      <w:r>
        <w:rPr>
          <w:spacing w:val="-83"/>
        </w:rPr>
        <w:t> </w:t>
      </w:r>
      <w:r>
        <w:rPr>
          <w:spacing w:val="-83"/>
        </w:rPr>
      </w:r>
      <w:r>
        <w:rPr>
          <w:spacing w:val="-2"/>
        </w:rPr>
        <w:t>端口的比重由上年末的</w:t>
      </w:r>
      <w:r>
        <w:rPr>
          <w:rFonts w:ascii="宋体" w:hAnsi="宋体" w:cs="宋体" w:eastAsia="宋体" w:hint="default"/>
          <w:spacing w:val="-2"/>
        </w:rPr>
        <w:t>2.9%</w:t>
      </w:r>
      <w:r>
        <w:rPr>
          <w:spacing w:val="-2"/>
        </w:rPr>
        <w:t>下降至</w:t>
      </w:r>
      <w:r>
        <w:rPr>
          <w:rFonts w:ascii="宋体" w:hAnsi="宋体" w:cs="宋体" w:eastAsia="宋体" w:hint="default"/>
          <w:spacing w:val="-2"/>
        </w:rPr>
        <w:t>1.9%</w:t>
      </w:r>
      <w:r>
        <w:rPr>
          <w:spacing w:val="-2"/>
        </w:rPr>
        <w:t>。目前我国</w:t>
      </w:r>
      <w:r>
        <w:rPr>
          <w:rFonts w:ascii="宋体" w:hAnsi="宋体" w:cs="宋体" w:eastAsia="宋体" w:hint="default"/>
          <w:spacing w:val="-2"/>
        </w:rPr>
        <w:t>4G</w:t>
      </w:r>
      <w:r>
        <w:rPr>
          <w:spacing w:val="-2"/>
        </w:rPr>
        <w:t>建设已进入中后期，光纤宽带的规模不断扩大，移动网络服务质量持续</w:t>
      </w:r>
      <w:r>
        <w:rPr>
          <w:spacing w:val="-56"/>
        </w:rPr>
        <w:t> </w:t>
      </w:r>
      <w:r>
        <w:rPr>
          <w:spacing w:val="-56"/>
        </w:rPr>
      </w:r>
      <w:r>
        <w:rPr/>
        <w:t>提升，</w:t>
      </w:r>
      <w:r>
        <w:rPr>
          <w:rFonts w:ascii="宋体" w:hAnsi="宋体" w:cs="宋体" w:eastAsia="宋体" w:hint="default"/>
        </w:rPr>
        <w:t>4G</w:t>
      </w:r>
      <w:r>
        <w:rPr/>
        <w:t>通信向深度覆盖给移动通信网络优化设备和服务带来大量的需求释放。</w:t>
      </w:r>
    </w:p>
    <w:p>
      <w:pPr>
        <w:spacing w:line="240" w:lineRule="auto" w:before="8"/>
        <w:rPr>
          <w:rFonts w:ascii="宋体" w:hAnsi="宋体" w:cs="宋体" w:eastAsia="宋体" w:hint="default"/>
          <w:sz w:val="2"/>
          <w:szCs w:val="2"/>
        </w:rPr>
      </w:pPr>
    </w:p>
    <w:p>
      <w:pPr>
        <w:spacing w:line="3916" w:lineRule="exact"/>
        <w:ind w:left="634" w:right="0" w:firstLine="0"/>
        <w:rPr>
          <w:rFonts w:ascii="宋体" w:hAnsi="宋体" w:cs="宋体" w:eastAsia="宋体" w:hint="default"/>
          <w:sz w:val="20"/>
          <w:szCs w:val="20"/>
        </w:rPr>
      </w:pPr>
      <w:r>
        <w:rPr>
          <w:rFonts w:ascii="宋体" w:hAnsi="宋体" w:cs="宋体" w:eastAsia="宋体" w:hint="default"/>
          <w:position w:val="-77"/>
          <w:sz w:val="20"/>
          <w:szCs w:val="20"/>
        </w:rPr>
        <w:drawing>
          <wp:inline distT="0" distB="0" distL="0" distR="0">
            <wp:extent cx="5483710" cy="2487168"/>
            <wp:effectExtent l="0" t="0" r="0" b="0"/>
            <wp:docPr id="45" name="image14.jpeg" descr=""/>
            <wp:cNvGraphicFramePr>
              <a:graphicFrameLocks noChangeAspect="1"/>
            </wp:cNvGraphicFramePr>
            <a:graphic>
              <a:graphicData uri="http://schemas.openxmlformats.org/drawingml/2006/picture">
                <pic:pic>
                  <pic:nvPicPr>
                    <pic:cNvPr id="46" name="image14.jpeg"/>
                    <pic:cNvPicPr/>
                  </pic:nvPicPr>
                  <pic:blipFill>
                    <a:blip r:embed="rId29" cstate="print"/>
                    <a:stretch>
                      <a:fillRect/>
                    </a:stretch>
                  </pic:blipFill>
                  <pic:spPr>
                    <a:xfrm>
                      <a:off x="0" y="0"/>
                      <a:ext cx="5483710" cy="2487168"/>
                    </a:xfrm>
                    <a:prstGeom prst="rect">
                      <a:avLst/>
                    </a:prstGeom>
                  </pic:spPr>
                </pic:pic>
              </a:graphicData>
            </a:graphic>
          </wp:inline>
        </w:drawing>
      </w:r>
      <w:r>
        <w:rPr>
          <w:rFonts w:ascii="宋体" w:hAnsi="宋体" w:cs="宋体" w:eastAsia="宋体" w:hint="default"/>
          <w:position w:val="-77"/>
          <w:sz w:val="20"/>
          <w:szCs w:val="20"/>
        </w:rPr>
      </w:r>
    </w:p>
    <w:p>
      <w:pPr>
        <w:pStyle w:val="BodyText"/>
        <w:spacing w:line="240" w:lineRule="auto" w:before="160"/>
        <w:ind w:left="3173" w:right="0"/>
        <w:jc w:val="left"/>
      </w:pPr>
      <w:r>
        <w:rPr>
          <w:color w:val="242424"/>
        </w:rPr>
        <w:t>来源：中国工业和信息化部</w:t>
      </w:r>
      <w:r>
        <w:rPr>
          <w:rFonts w:ascii="宋体" w:hAnsi="宋体" w:cs="宋体" w:eastAsia="宋体" w:hint="default"/>
          <w:color w:val="242424"/>
        </w:rPr>
        <w:t>2018</w:t>
      </w:r>
      <w:r>
        <w:rPr>
          <w:color w:val="242424"/>
        </w:rPr>
        <w:t>年通信业统计公报</w:t>
      </w:r>
      <w:r>
        <w:rPr/>
      </w:r>
    </w:p>
    <w:p>
      <w:pPr>
        <w:spacing w:after="0" w:line="240" w:lineRule="auto"/>
        <w:jc w:val="left"/>
        <w:sectPr>
          <w:footerReference w:type="default" r:id="rId28"/>
          <w:pgSz w:w="11910" w:h="16840"/>
          <w:pgMar w:footer="1019" w:header="0" w:top="1120" w:bottom="1200" w:left="980" w:right="0"/>
          <w:pgNumType w:start="35"/>
        </w:sectPr>
      </w:pPr>
    </w:p>
    <w:p>
      <w:pPr>
        <w:spacing w:line="240" w:lineRule="auto" w:before="9"/>
        <w:rPr>
          <w:rFonts w:ascii="宋体" w:hAnsi="宋体" w:cs="宋体" w:eastAsia="宋体" w:hint="default"/>
          <w:sz w:val="26"/>
          <w:szCs w:val="26"/>
        </w:rPr>
      </w:pPr>
    </w:p>
    <w:p>
      <w:pPr>
        <w:pStyle w:val="BodyText"/>
        <w:spacing w:line="477" w:lineRule="auto" w:before="44"/>
        <w:ind w:right="1129" w:firstLine="360"/>
        <w:jc w:val="both"/>
      </w:pPr>
      <w:r>
        <w:rPr/>
        <w:t>公司专业从事网络通讯终端的研发、生产、销售和服务，目前公司生产的产品包括光接入终端设备、</w:t>
      </w:r>
      <w:r>
        <w:rPr>
          <w:rFonts w:ascii="宋体" w:hAnsi="宋体" w:cs="宋体" w:eastAsia="宋体" w:hint="default"/>
        </w:rPr>
        <w:t>4G</w:t>
      </w:r>
      <w:r>
        <w:rPr/>
        <w:t>路由器、</w:t>
      </w:r>
      <w:r>
        <w:rPr>
          <w:rFonts w:ascii="宋体" w:hAnsi="宋体" w:cs="宋体" w:eastAsia="宋体" w:hint="default"/>
        </w:rPr>
        <w:t>4GLTE </w:t>
      </w:r>
      <w:r>
        <w:rPr/>
        <w:t>网关、</w:t>
      </w:r>
      <w:r>
        <w:rPr>
          <w:rFonts w:ascii="宋体" w:hAnsi="宋体" w:cs="宋体" w:eastAsia="宋体" w:hint="default"/>
        </w:rPr>
        <w:t>IPTV</w:t>
      </w:r>
      <w:r>
        <w:rPr/>
        <w:t>机顶盒、</w:t>
      </w:r>
      <w:r>
        <w:rPr>
          <w:rFonts w:ascii="宋体" w:hAnsi="宋体" w:cs="宋体" w:eastAsia="宋体" w:hint="default"/>
        </w:rPr>
        <w:t>DSL</w:t>
      </w:r>
      <w:r>
        <w:rPr/>
        <w:t>接入终端设备、无线及移动接入终端设备等。伴随着全球光纤接入用户数量的快速增长以及“宽带</w:t>
      </w:r>
      <w:r>
        <w:rPr>
          <w:spacing w:val="-82"/>
        </w:rPr>
        <w:t> </w:t>
      </w:r>
      <w:r>
        <w:rPr>
          <w:spacing w:val="-82"/>
        </w:rPr>
      </w:r>
      <w:r>
        <w:rPr>
          <w:spacing w:val="-2"/>
        </w:rPr>
        <w:t>中国”战略稳步推进，公司光接入设备市场需求旺盛；庞大的</w:t>
      </w:r>
      <w:r>
        <w:rPr>
          <w:rFonts w:ascii="宋体" w:hAnsi="宋体" w:cs="宋体" w:eastAsia="宋体" w:hint="default"/>
          <w:spacing w:val="-2"/>
        </w:rPr>
        <w:t>XDSL</w:t>
      </w:r>
      <w:r>
        <w:rPr>
          <w:spacing w:val="-2"/>
        </w:rPr>
        <w:t>用户基数将为公司带来</w:t>
      </w:r>
      <w:r>
        <w:rPr>
          <w:rFonts w:ascii="宋体" w:hAnsi="宋体" w:cs="宋体" w:eastAsia="宋体" w:hint="default"/>
          <w:spacing w:val="-2"/>
        </w:rPr>
        <w:t>XDSL</w:t>
      </w:r>
      <w:r>
        <w:rPr>
          <w:spacing w:val="-2"/>
        </w:rPr>
        <w:t>终端设备的稳定需求；无线及</w:t>
      </w:r>
      <w:r>
        <w:rPr>
          <w:spacing w:val="-57"/>
        </w:rPr>
        <w:t> </w:t>
      </w:r>
      <w:r>
        <w:rPr>
          <w:spacing w:val="-57"/>
        </w:rPr>
      </w:r>
      <w:r>
        <w:rPr/>
        <w:t>移动网络接入终端市场快速扩张将为公司带来增长动力。</w:t>
      </w:r>
    </w:p>
    <w:p>
      <w:pPr>
        <w:pStyle w:val="BodyText"/>
        <w:spacing w:line="477" w:lineRule="auto" w:before="54"/>
        <w:ind w:left="514" w:right="1122"/>
        <w:jc w:val="left"/>
      </w:pPr>
      <w:r>
        <w:rPr>
          <w:rFonts w:ascii="宋体" w:hAnsi="宋体" w:cs="宋体" w:eastAsia="宋体" w:hint="default"/>
        </w:rPr>
        <w:t>2</w:t>
      </w:r>
      <w:r>
        <w:rPr/>
        <w:t>、消费电子市场 根据</w:t>
      </w:r>
      <w:r>
        <w:rPr>
          <w:rFonts w:ascii="宋体" w:hAnsi="宋体" w:cs="宋体" w:eastAsia="宋体" w:hint="default"/>
        </w:rPr>
        <w:t>IDC</w:t>
      </w:r>
      <w:r>
        <w:rPr/>
        <w:t>报告：在</w:t>
      </w:r>
      <w:r>
        <w:rPr>
          <w:rFonts w:ascii="宋体" w:hAnsi="宋体" w:cs="宋体" w:eastAsia="宋体" w:hint="default"/>
        </w:rPr>
        <w:t>2018</w:t>
      </w:r>
      <w:r>
        <w:rPr/>
        <w:t>年整体智能手机市场，全球智能手机共计出货</w:t>
      </w:r>
      <w:r>
        <w:rPr>
          <w:rFonts w:ascii="宋体" w:hAnsi="宋体" w:cs="宋体" w:eastAsia="宋体" w:hint="default"/>
        </w:rPr>
        <w:t>14.049</w:t>
      </w:r>
      <w:r>
        <w:rPr/>
        <w:t>亿台，年同比下滑</w:t>
      </w:r>
      <w:r>
        <w:rPr>
          <w:rFonts w:ascii="宋体" w:hAnsi="宋体" w:cs="宋体" w:eastAsia="宋体" w:hint="default"/>
        </w:rPr>
        <w:t>4.1%</w:t>
      </w:r>
      <w:r>
        <w:rPr/>
        <w:t>。尽管智能手机市场</w:t>
      </w:r>
    </w:p>
    <w:p>
      <w:pPr>
        <w:pStyle w:val="BodyText"/>
        <w:spacing w:line="477" w:lineRule="auto" w:before="54"/>
        <w:ind w:right="1131"/>
        <w:jc w:val="both"/>
      </w:pPr>
      <w:r>
        <w:rPr/>
        <w:t>面临各种挑战，但中国市场约占全球智能手机消费量的</w:t>
      </w:r>
      <w:r>
        <w:rPr>
          <w:rFonts w:ascii="宋体" w:hAnsi="宋体" w:cs="宋体" w:eastAsia="宋体" w:hint="default"/>
        </w:rPr>
        <w:t>30%</w:t>
      </w:r>
      <w:r>
        <w:rPr/>
        <w:t>，另外，印度、印尼、韩国、越南等海外市场仍处于高速发展阶 </w:t>
      </w:r>
      <w:r>
        <w:rPr>
          <w:spacing w:val="-2"/>
        </w:rPr>
        <w:t>段。在全球手机走向存量时代的背景下，用户换机周期延长、创新应用的不断渗透及市场经济的不确定性，市场对于差异化</w:t>
      </w:r>
      <w:r>
        <w:rPr>
          <w:spacing w:val="-66"/>
        </w:rPr>
        <w:t> </w:t>
      </w:r>
      <w:r>
        <w:rPr>
          <w:spacing w:val="-66"/>
        </w:rPr>
      </w:r>
      <w:r>
        <w:rPr/>
        <w:t>的高端手机产品的需求逐步提升，从而带动</w:t>
      </w:r>
      <w:r>
        <w:rPr>
          <w:rFonts w:ascii="宋体" w:hAnsi="宋体" w:cs="宋体" w:eastAsia="宋体" w:hint="default"/>
        </w:rPr>
        <w:t>ODM</w:t>
      </w:r>
      <w:r>
        <w:rPr/>
        <w:t>厂商不断进行创新升级，竞争不断加剧。同时，根据工信部《</w:t>
      </w:r>
      <w:r>
        <w:rPr>
          <w:rFonts w:ascii="宋体" w:hAnsi="宋体" w:cs="宋体" w:eastAsia="宋体" w:hint="default"/>
        </w:rPr>
        <w:t>2018</w:t>
      </w:r>
      <w:r>
        <w:rPr/>
        <w:t>年电子信 </w:t>
      </w:r>
      <w:r>
        <w:rPr>
          <w:spacing w:val="-2"/>
        </w:rPr>
        <w:t>息制造业运行情况》，</w:t>
      </w:r>
      <w:r>
        <w:rPr>
          <w:rFonts w:ascii="宋体" w:hAnsi="宋体" w:cs="宋体" w:eastAsia="宋体" w:hint="default"/>
          <w:spacing w:val="-2"/>
        </w:rPr>
        <w:t>2018</w:t>
      </w:r>
      <w:r>
        <w:rPr>
          <w:spacing w:val="-2"/>
        </w:rPr>
        <w:t>年，规模以上电子信息制造业主营业务收入同比增长</w:t>
      </w:r>
      <w:r>
        <w:rPr>
          <w:rFonts w:ascii="宋体" w:hAnsi="宋体" w:cs="宋体" w:eastAsia="宋体" w:hint="default"/>
          <w:spacing w:val="-2"/>
        </w:rPr>
        <w:t>9.0%</w:t>
      </w:r>
      <w:r>
        <w:rPr>
          <w:spacing w:val="-2"/>
        </w:rPr>
        <w:t>，利润总额同比下降</w:t>
      </w:r>
      <w:r>
        <w:rPr>
          <w:rFonts w:ascii="宋体" w:hAnsi="宋体" w:cs="宋体" w:eastAsia="宋体" w:hint="default"/>
          <w:spacing w:val="-2"/>
        </w:rPr>
        <w:t>3.1%</w:t>
      </w:r>
      <w:r>
        <w:rPr>
          <w:spacing w:val="-2"/>
        </w:rPr>
        <w:t>，行业效益较</w:t>
      </w:r>
      <w:r>
        <w:rPr>
          <w:spacing w:val="-60"/>
        </w:rPr>
        <w:t> </w:t>
      </w:r>
      <w:r>
        <w:rPr/>
        <w:t>去年有所下降。</w:t>
      </w:r>
    </w:p>
    <w:p>
      <w:pPr>
        <w:spacing w:line="240" w:lineRule="auto" w:before="5"/>
        <w:rPr>
          <w:rFonts w:ascii="宋体" w:hAnsi="宋体" w:cs="宋体" w:eastAsia="宋体" w:hint="default"/>
          <w:sz w:val="4"/>
          <w:szCs w:val="4"/>
        </w:rPr>
      </w:pPr>
    </w:p>
    <w:p>
      <w:pPr>
        <w:spacing w:line="3870" w:lineRule="exact"/>
        <w:ind w:left="634" w:right="0" w:firstLine="0"/>
        <w:rPr>
          <w:rFonts w:ascii="宋体" w:hAnsi="宋体" w:cs="宋体" w:eastAsia="宋体" w:hint="default"/>
          <w:sz w:val="20"/>
          <w:szCs w:val="20"/>
        </w:rPr>
      </w:pPr>
      <w:r>
        <w:rPr>
          <w:rFonts w:ascii="宋体" w:hAnsi="宋体" w:cs="宋体" w:eastAsia="宋体" w:hint="default"/>
          <w:position w:val="-76"/>
          <w:sz w:val="20"/>
          <w:szCs w:val="20"/>
        </w:rPr>
        <w:drawing>
          <wp:inline distT="0" distB="0" distL="0" distR="0">
            <wp:extent cx="5649018" cy="2457640"/>
            <wp:effectExtent l="0" t="0" r="0" b="0"/>
            <wp:docPr id="47" name="image15.jpeg" descr=""/>
            <wp:cNvGraphicFramePr>
              <a:graphicFrameLocks noChangeAspect="1"/>
            </wp:cNvGraphicFramePr>
            <a:graphic>
              <a:graphicData uri="http://schemas.openxmlformats.org/drawingml/2006/picture">
                <pic:pic>
                  <pic:nvPicPr>
                    <pic:cNvPr id="48" name="image15.jpeg"/>
                    <pic:cNvPicPr/>
                  </pic:nvPicPr>
                  <pic:blipFill>
                    <a:blip r:embed="rId30" cstate="print"/>
                    <a:stretch>
                      <a:fillRect/>
                    </a:stretch>
                  </pic:blipFill>
                  <pic:spPr>
                    <a:xfrm>
                      <a:off x="0" y="0"/>
                      <a:ext cx="5649018" cy="2457640"/>
                    </a:xfrm>
                    <a:prstGeom prst="rect">
                      <a:avLst/>
                    </a:prstGeom>
                  </pic:spPr>
                </pic:pic>
              </a:graphicData>
            </a:graphic>
          </wp:inline>
        </w:drawing>
      </w:r>
      <w:r>
        <w:rPr>
          <w:rFonts w:ascii="宋体" w:hAnsi="宋体" w:cs="宋体" w:eastAsia="宋体" w:hint="default"/>
          <w:position w:val="-76"/>
          <w:sz w:val="20"/>
          <w:szCs w:val="20"/>
        </w:rPr>
      </w:r>
    </w:p>
    <w:p>
      <w:pPr>
        <w:spacing w:line="240" w:lineRule="auto" w:before="0"/>
        <w:rPr>
          <w:rFonts w:ascii="宋体" w:hAnsi="宋体" w:cs="宋体" w:eastAsia="宋体" w:hint="default"/>
          <w:sz w:val="14"/>
          <w:szCs w:val="14"/>
        </w:rPr>
      </w:pPr>
    </w:p>
    <w:p>
      <w:pPr>
        <w:pStyle w:val="BodyText"/>
        <w:spacing w:line="477" w:lineRule="auto"/>
        <w:ind w:left="514" w:right="1116" w:firstLine="2299"/>
        <w:jc w:val="left"/>
        <w:rPr>
          <w:rFonts w:ascii="宋体" w:hAnsi="宋体" w:cs="宋体" w:eastAsia="宋体" w:hint="default"/>
        </w:rPr>
      </w:pPr>
      <w:r>
        <w:rPr>
          <w:color w:val="242424"/>
        </w:rPr>
        <w:t>来源：中国工业和信息化部</w:t>
      </w:r>
      <w:r>
        <w:rPr>
          <w:rFonts w:ascii="宋体" w:hAnsi="宋体" w:cs="宋体" w:eastAsia="宋体" w:hint="default"/>
          <w:color w:val="242424"/>
        </w:rPr>
        <w:t>2018</w:t>
      </w:r>
      <w:r>
        <w:rPr>
          <w:color w:val="242424"/>
        </w:rPr>
        <w:t>年电子信息制造业运行情况 </w:t>
      </w:r>
      <w:r>
        <w:rPr>
          <w:spacing w:val="-3"/>
        </w:rPr>
        <w:t>随着消费升级，</w:t>
      </w:r>
      <w:r>
        <w:rPr>
          <w:rFonts w:ascii="宋体" w:hAnsi="宋体" w:cs="宋体" w:eastAsia="宋体" w:hint="default"/>
          <w:spacing w:val="-3"/>
        </w:rPr>
        <w:t>5G</w:t>
      </w:r>
      <w:r>
        <w:rPr>
          <w:spacing w:val="-3"/>
        </w:rPr>
        <w:t>、可折叠、无线充等技术成为行业未来发展趋势，</w:t>
      </w:r>
      <w:r>
        <w:rPr>
          <w:rFonts w:ascii="宋体" w:hAnsi="宋体" w:cs="宋体" w:eastAsia="宋体" w:hint="default"/>
          <w:spacing w:val="-3"/>
        </w:rPr>
        <w:t>5G</w:t>
      </w:r>
      <w:r>
        <w:rPr>
          <w:spacing w:val="-3"/>
        </w:rPr>
        <w:t>商用将驱动智能手机恢复性增长。</w:t>
      </w:r>
      <w:r>
        <w:rPr>
          <w:rFonts w:ascii="宋体" w:hAnsi="宋体" w:cs="宋体" w:eastAsia="宋体" w:hint="default"/>
          <w:spacing w:val="-3"/>
        </w:rPr>
        <w:t>IDC</w:t>
      </w:r>
      <w:r>
        <w:rPr>
          <w:spacing w:val="-3"/>
        </w:rPr>
        <w:t>预计，</w:t>
      </w:r>
      <w:r>
        <w:rPr>
          <w:rFonts w:ascii="宋体" w:hAnsi="宋体" w:cs="宋体" w:eastAsia="宋体" w:hint="default"/>
          <w:spacing w:val="-3"/>
        </w:rPr>
        <w:t>2019</w:t>
      </w:r>
    </w:p>
    <w:p>
      <w:pPr>
        <w:pStyle w:val="BodyText"/>
        <w:spacing w:line="477" w:lineRule="auto" w:before="54"/>
        <w:ind w:right="1032"/>
        <w:jc w:val="left"/>
      </w:pPr>
      <w:r>
        <w:rPr>
          <w:spacing w:val="-3"/>
        </w:rPr>
        <w:t>年全球智能机出货量将增长</w:t>
      </w:r>
      <w:r>
        <w:rPr>
          <w:rFonts w:ascii="宋体" w:hAnsi="宋体" w:cs="宋体" w:eastAsia="宋体" w:hint="default"/>
          <w:spacing w:val="-3"/>
        </w:rPr>
        <w:t>2.6%</w:t>
      </w:r>
      <w:r>
        <w:rPr>
          <w:spacing w:val="-3"/>
        </w:rPr>
        <w:t>。从长期来看，</w:t>
      </w:r>
      <w:r>
        <w:rPr>
          <w:rFonts w:ascii="宋体" w:hAnsi="宋体" w:cs="宋体" w:eastAsia="宋体" w:hint="default"/>
          <w:spacing w:val="-3"/>
        </w:rPr>
        <w:t>2022</w:t>
      </w:r>
      <w:r>
        <w:rPr>
          <w:spacing w:val="-3"/>
        </w:rPr>
        <w:t>年的全球智能机出货量将达到</w:t>
      </w:r>
      <w:r>
        <w:rPr>
          <w:rFonts w:ascii="宋体" w:hAnsi="宋体" w:cs="宋体" w:eastAsia="宋体" w:hint="default"/>
          <w:spacing w:val="-3"/>
        </w:rPr>
        <w:t>15.7</w:t>
      </w:r>
      <w:r>
        <w:rPr>
          <w:spacing w:val="-3"/>
        </w:rPr>
        <w:t>亿部。目前公司终端客户主要有小米、</w:t>
      </w:r>
      <w:r>
        <w:rPr>
          <w:spacing w:val="-81"/>
        </w:rPr>
        <w:t> </w:t>
      </w:r>
      <w:r>
        <w:rPr>
          <w:spacing w:val="-81"/>
        </w:rPr>
      </w:r>
      <w:r>
        <w:rPr>
          <w:spacing w:val="-2"/>
        </w:rPr>
        <w:t>华为、</w:t>
      </w:r>
      <w:r>
        <w:rPr>
          <w:rFonts w:ascii="宋体" w:hAnsi="宋体" w:cs="宋体" w:eastAsia="宋体" w:hint="default"/>
          <w:spacing w:val="-2"/>
        </w:rPr>
        <w:t>OPPO</w:t>
      </w:r>
      <w:r>
        <w:rPr>
          <w:spacing w:val="-2"/>
        </w:rPr>
        <w:t>、</w:t>
      </w:r>
      <w:r>
        <w:rPr>
          <w:rFonts w:ascii="宋体" w:hAnsi="宋体" w:cs="宋体" w:eastAsia="宋体" w:hint="default"/>
          <w:spacing w:val="-2"/>
        </w:rPr>
        <w:t>VIVO</w:t>
      </w:r>
      <w:r>
        <w:rPr>
          <w:spacing w:val="-2"/>
        </w:rPr>
        <w:t>等，上述客户均为智能手机行业的领军企业，优质的客户是公司业务增长最基础的保证。未来公司将继续</w:t>
      </w:r>
      <w:r>
        <w:rPr>
          <w:spacing w:val="-58"/>
        </w:rPr>
        <w:t> </w:t>
      </w:r>
      <w:r>
        <w:rPr>
          <w:spacing w:val="-58"/>
        </w:rPr>
      </w:r>
      <w:r>
        <w:rPr/>
        <w:t>积极维护与优质客户的合作关系，不断地进行新产品的研发和技术创新，提高</w:t>
      </w:r>
      <w:r>
        <w:rPr>
          <w:rFonts w:ascii="宋体" w:hAnsi="宋体" w:cs="宋体" w:eastAsia="宋体" w:hint="default"/>
        </w:rPr>
        <w:t>ODM</w:t>
      </w:r>
      <w:r>
        <w:rPr/>
        <w:t>模式的业务比重。同时，</w:t>
      </w:r>
      <w:r>
        <w:rPr>
          <w:rFonts w:ascii="宋体" w:hAnsi="宋体" w:cs="宋体" w:eastAsia="宋体" w:hint="default"/>
        </w:rPr>
        <w:t>5G</w:t>
      </w:r>
      <w:r>
        <w:rPr/>
        <w:t>通信网络的发 展需要一系列配套产品的升级更新，</w:t>
      </w:r>
      <w:r>
        <w:rPr>
          <w:rFonts w:ascii="宋体" w:hAnsi="宋体" w:cs="宋体" w:eastAsia="宋体" w:hint="default"/>
        </w:rPr>
        <w:t>5G</w:t>
      </w:r>
      <w:r>
        <w:rPr/>
        <w:t>时代移动终端的种类将呈指数性上升，未来其他消费电子类产品需求也将相应增加。</w:t>
      </w:r>
    </w:p>
    <w:p>
      <w:pPr>
        <w:pStyle w:val="BodyText"/>
        <w:spacing w:line="477" w:lineRule="auto" w:before="54"/>
        <w:ind w:left="514" w:right="0"/>
        <w:jc w:val="left"/>
      </w:pPr>
      <w:r>
        <w:rPr>
          <w:rFonts w:ascii="宋体" w:hAnsi="宋体" w:cs="宋体" w:eastAsia="宋体" w:hint="default"/>
        </w:rPr>
        <w:t>3</w:t>
      </w:r>
      <w:r>
        <w:rPr/>
        <w:t>、智能硬件产品市场 </w:t>
      </w:r>
      <w:r>
        <w:rPr>
          <w:spacing w:val="-7"/>
        </w:rPr>
        <w:t>随着人工智能、万物互联、大数据等技术的不断发展，国家先后发布的《中国制造</w:t>
      </w:r>
      <w:r>
        <w:rPr>
          <w:rFonts w:ascii="宋体" w:hAnsi="宋体" w:cs="宋体" w:eastAsia="宋体" w:hint="default"/>
          <w:spacing w:val="-7"/>
        </w:rPr>
        <w:t>2025</w:t>
      </w:r>
      <w:r>
        <w:rPr>
          <w:spacing w:val="-7"/>
        </w:rPr>
        <w:t>》、《“互联网</w:t>
      </w:r>
      <w:r>
        <w:rPr>
          <w:rFonts w:ascii="宋体" w:hAnsi="宋体" w:cs="宋体" w:eastAsia="宋体" w:hint="default"/>
          <w:spacing w:val="-7"/>
        </w:rPr>
        <w:t>+</w:t>
      </w:r>
      <w:r>
        <w:rPr>
          <w:spacing w:val="-7"/>
        </w:rPr>
        <w:t>”人工智能三年行</w:t>
      </w:r>
    </w:p>
    <w:p>
      <w:pPr>
        <w:pStyle w:val="BodyText"/>
        <w:spacing w:line="477" w:lineRule="auto" w:before="54"/>
        <w:ind w:right="1122"/>
        <w:jc w:val="left"/>
      </w:pPr>
      <w:r>
        <w:rPr>
          <w:spacing w:val="-2"/>
        </w:rPr>
        <w:t>动实施方案》等文件，在政策层面上给予大力支持，中国智能硬件市场规模迅速扩大。人工智能技术逐步趋于完善，已经迎</w:t>
      </w:r>
      <w:r>
        <w:rPr>
          <w:spacing w:val="-66"/>
        </w:rPr>
        <w:t> </w:t>
      </w:r>
      <w:r>
        <w:rPr>
          <w:spacing w:val="-66"/>
        </w:rPr>
      </w:r>
      <w:r>
        <w:rPr/>
        <w:t>来了智能穿戴产品、</w:t>
      </w:r>
      <w:r>
        <w:rPr>
          <w:rFonts w:ascii="宋体" w:hAnsi="宋体" w:cs="宋体" w:eastAsia="宋体" w:hint="default"/>
        </w:rPr>
        <w:t>AR/VR</w:t>
      </w:r>
      <w:r>
        <w:rPr/>
        <w:t>、服务机器人市场的爆发，智能家居、智能无人系统、智能医疗、智能交通等领域也进一步的扩</w:t>
      </w:r>
    </w:p>
    <w:p>
      <w:pPr>
        <w:spacing w:after="0" w:line="477"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31"/>
        <w:jc w:val="both"/>
      </w:pPr>
      <w:r>
        <w:rPr>
          <w:spacing w:val="-2"/>
        </w:rPr>
        <w:t>大和成熟。智能穿戴市场在</w:t>
      </w:r>
      <w:r>
        <w:rPr>
          <w:rFonts w:ascii="宋体" w:hAnsi="宋体" w:cs="宋体" w:eastAsia="宋体" w:hint="default"/>
          <w:spacing w:val="-2"/>
        </w:rPr>
        <w:t>2018</w:t>
      </w:r>
      <w:r>
        <w:rPr>
          <w:spacing w:val="-2"/>
        </w:rPr>
        <w:t>年增速后开始放缓，随着国家智慧城市试点工作的启动，智能家居市场增势强劲，智能家居</w:t>
      </w:r>
      <w:r>
        <w:rPr>
          <w:spacing w:val="-62"/>
        </w:rPr>
        <w:t> </w:t>
      </w:r>
      <w:r>
        <w:rPr>
          <w:spacing w:val="-62"/>
        </w:rPr>
      </w:r>
      <w:r>
        <w:rPr/>
        <w:t>设备的互联性进一步强化，从而推动家庭</w:t>
      </w:r>
      <w:r>
        <w:rPr>
          <w:rFonts w:ascii="宋体" w:hAnsi="宋体" w:cs="宋体" w:eastAsia="宋体" w:hint="default"/>
        </w:rPr>
        <w:t>IOT</w:t>
      </w:r>
      <w:r>
        <w:rPr/>
        <w:t>生态的建立，智能家居已经走向基于</w:t>
      </w:r>
      <w:r>
        <w:rPr>
          <w:rFonts w:ascii="宋体" w:hAnsi="宋体" w:cs="宋体" w:eastAsia="宋体" w:hint="default"/>
        </w:rPr>
        <w:t>AI</w:t>
      </w:r>
      <w:r>
        <w:rPr/>
        <w:t>技术的</w:t>
      </w:r>
      <w:r>
        <w:rPr>
          <w:rFonts w:ascii="宋体" w:hAnsi="宋体" w:cs="宋体" w:eastAsia="宋体" w:hint="default"/>
        </w:rPr>
        <w:t>IOT</w:t>
      </w:r>
      <w:r>
        <w:rPr/>
        <w:t>新时代。根据</w:t>
      </w:r>
      <w:r>
        <w:rPr>
          <w:rFonts w:ascii="宋体" w:hAnsi="宋体" w:cs="宋体" w:eastAsia="宋体" w:hint="default"/>
        </w:rPr>
        <w:t>IDC</w:t>
      </w:r>
      <w:r>
        <w:rPr/>
        <w:t>预测，</w:t>
      </w:r>
      <w:r>
        <w:rPr>
          <w:rFonts w:ascii="宋体" w:hAnsi="宋体" w:cs="宋体" w:eastAsia="宋体" w:hint="default"/>
        </w:rPr>
        <w:t>2022 </w:t>
      </w:r>
      <w:r>
        <w:rPr>
          <w:spacing w:val="-2"/>
        </w:rPr>
        <w:t>年全球智能家居设备出货量预计将达到</w:t>
      </w:r>
      <w:r>
        <w:rPr>
          <w:rFonts w:ascii="宋体" w:hAnsi="宋体" w:cs="宋体" w:eastAsia="宋体" w:hint="default"/>
          <w:spacing w:val="-2"/>
        </w:rPr>
        <w:t>9.4</w:t>
      </w:r>
      <w:r>
        <w:rPr>
          <w:spacing w:val="-2"/>
        </w:rPr>
        <w:t>亿台，复合年增长率将达</w:t>
      </w:r>
      <w:r>
        <w:rPr>
          <w:rFonts w:ascii="宋体" w:hAnsi="宋体" w:cs="宋体" w:eastAsia="宋体" w:hint="default"/>
          <w:spacing w:val="-2"/>
        </w:rPr>
        <w:t>18.5%</w:t>
      </w:r>
      <w:r>
        <w:rPr>
          <w:spacing w:val="-2"/>
        </w:rPr>
        <w:t>，智能家居厂商之间的竞争将逐渐从产品扩展到生</w:t>
      </w:r>
      <w:r>
        <w:rPr>
          <w:spacing w:val="-56"/>
        </w:rPr>
        <w:t> </w:t>
      </w:r>
      <w:r>
        <w:rPr>
          <w:spacing w:val="-56"/>
        </w:rPr>
      </w:r>
      <w:r>
        <w:rPr>
          <w:spacing w:val="-2"/>
        </w:rPr>
        <w:t>态，为各自在智能家居市场的发展提供加速器。另外，边缘计算即将成为信息时代竞争的又一制高点，其发展将会为工业互</w:t>
      </w:r>
      <w:r>
        <w:rPr>
          <w:spacing w:val="-66"/>
        </w:rPr>
        <w:t> </w:t>
      </w:r>
      <w:r>
        <w:rPr>
          <w:spacing w:val="-66"/>
        </w:rPr>
      </w:r>
      <w:r>
        <w:rPr/>
        <w:t>联网和物联网的应用提供重要的支撑，从而进一步推进各个行业的数字化转型与产业升级。根据</w:t>
      </w:r>
      <w:r>
        <w:rPr>
          <w:rFonts w:ascii="宋体" w:hAnsi="宋体" w:cs="宋体" w:eastAsia="宋体" w:hint="default"/>
        </w:rPr>
        <w:t>IDC</w:t>
      </w:r>
      <w:r>
        <w:rPr/>
        <w:t>统计数据显示，</w:t>
      </w:r>
      <w:r>
        <w:rPr>
          <w:rFonts w:ascii="宋体" w:hAnsi="宋体" w:cs="宋体" w:eastAsia="宋体" w:hint="default"/>
        </w:rPr>
        <w:t>2020</w:t>
      </w:r>
      <w:r>
        <w:rPr/>
        <w:t>年 </w:t>
      </w:r>
      <w:r>
        <w:rPr>
          <w:spacing w:val="-2"/>
        </w:rPr>
        <w:t>将有</w:t>
      </w:r>
      <w:r>
        <w:rPr>
          <w:rFonts w:ascii="宋体" w:hAnsi="宋体" w:cs="宋体" w:eastAsia="宋体" w:hint="default"/>
          <w:spacing w:val="-2"/>
        </w:rPr>
        <w:t>500</w:t>
      </w:r>
      <w:r>
        <w:rPr>
          <w:spacing w:val="-2"/>
        </w:rPr>
        <w:t>亿的终端和设备联网，其中有超过</w:t>
      </w:r>
      <w:r>
        <w:rPr>
          <w:rFonts w:ascii="宋体" w:hAnsi="宋体" w:cs="宋体" w:eastAsia="宋体" w:hint="default"/>
          <w:spacing w:val="-2"/>
        </w:rPr>
        <w:t>50%</w:t>
      </w:r>
      <w:r>
        <w:rPr>
          <w:spacing w:val="-2"/>
        </w:rPr>
        <w:t>的数据在网络边缘侧进行分析处理和存储，其市场规模可以达到万亿级，智能</w:t>
      </w:r>
      <w:r>
        <w:rPr>
          <w:spacing w:val="-61"/>
        </w:rPr>
        <w:t> </w:t>
      </w:r>
      <w:r>
        <w:rPr>
          <w:spacing w:val="-61"/>
        </w:rPr>
      </w:r>
      <w:r>
        <w:rPr>
          <w:spacing w:val="-2"/>
        </w:rPr>
        <w:t>硬件或将迎来市场突破。公司在智能硬件行业积累了丰富的经验，未来公司将继续加大研发投入进行自主创新，并依托于长</w:t>
      </w:r>
      <w:r>
        <w:rPr>
          <w:spacing w:val="-66"/>
        </w:rPr>
        <w:t> </w:t>
      </w:r>
      <w:r>
        <w:rPr>
          <w:spacing w:val="-66"/>
        </w:rPr>
      </w:r>
      <w:r>
        <w:rPr/>
        <w:t>期积累的电子产品</w:t>
      </w:r>
      <w:r>
        <w:rPr>
          <w:rFonts w:ascii="宋体" w:hAnsi="宋体" w:cs="宋体" w:eastAsia="宋体" w:hint="default"/>
        </w:rPr>
        <w:t>ODM</w:t>
      </w:r>
      <w:r>
        <w:rPr/>
        <w:t>开发与制造能力及高素质的专业团队，积极布局智能硬件新业务领域。</w:t>
      </w:r>
    </w:p>
    <w:p>
      <w:pPr>
        <w:pStyle w:val="BodyText"/>
        <w:spacing w:line="240" w:lineRule="auto" w:before="54"/>
        <w:ind w:left="514" w:right="0"/>
        <w:jc w:val="left"/>
      </w:pPr>
      <w:r>
        <w:rPr>
          <w:rFonts w:ascii="宋体" w:hAnsi="宋体" w:cs="宋体" w:eastAsia="宋体" w:hint="default"/>
        </w:rPr>
        <w:t>4</w:t>
      </w:r>
      <w:r>
        <w:rPr/>
        <w:t>、智能制造</w:t>
      </w:r>
    </w:p>
    <w:p>
      <w:pPr>
        <w:spacing w:line="240" w:lineRule="auto" w:before="10"/>
        <w:rPr>
          <w:rFonts w:ascii="宋体" w:hAnsi="宋体" w:cs="宋体" w:eastAsia="宋体" w:hint="default"/>
          <w:sz w:val="17"/>
          <w:szCs w:val="17"/>
        </w:rPr>
      </w:pPr>
    </w:p>
    <w:p>
      <w:pPr>
        <w:pStyle w:val="BodyText"/>
        <w:spacing w:line="477" w:lineRule="auto"/>
        <w:ind w:right="1032" w:firstLine="360"/>
        <w:jc w:val="left"/>
      </w:pPr>
      <w:r>
        <w:rPr>
          <w:spacing w:val="-6"/>
        </w:rPr>
        <w:t>受益于《中国制造</w:t>
      </w:r>
      <w:r>
        <w:rPr>
          <w:rFonts w:ascii="宋体" w:hAnsi="宋体" w:cs="宋体" w:eastAsia="宋体" w:hint="default"/>
          <w:spacing w:val="-6"/>
        </w:rPr>
        <w:t>2025</w:t>
      </w:r>
      <w:r>
        <w:rPr>
          <w:spacing w:val="-6"/>
        </w:rPr>
        <w:t>》、《机器人产业发展规划（</w:t>
      </w:r>
      <w:r>
        <w:rPr>
          <w:rFonts w:ascii="宋体" w:hAnsi="宋体" w:cs="宋体" w:eastAsia="宋体" w:hint="default"/>
          <w:spacing w:val="-6"/>
        </w:rPr>
        <w:t>2016-2020</w:t>
      </w:r>
      <w:r>
        <w:rPr>
          <w:spacing w:val="-6"/>
        </w:rPr>
        <w:t>年）》等产业政策的支持，国产工业机器人仍呈现出良好的</w:t>
      </w:r>
      <w:r>
        <w:rPr/>
        <w:t> </w:t>
      </w:r>
      <w:r>
        <w:rPr>
          <w:spacing w:val="-2"/>
        </w:rPr>
        <w:t>发展态势。</w:t>
      </w:r>
      <w:r>
        <w:rPr>
          <w:rFonts w:ascii="宋体" w:hAnsi="宋体" w:cs="宋体" w:eastAsia="宋体" w:hint="default"/>
          <w:spacing w:val="-2"/>
        </w:rPr>
        <w:t>2018</w:t>
      </w:r>
      <w:r>
        <w:rPr>
          <w:spacing w:val="-2"/>
        </w:rPr>
        <w:t>年，我国工业机器人产量达</w:t>
      </w:r>
      <w:r>
        <w:rPr>
          <w:rFonts w:ascii="宋体" w:hAnsi="宋体" w:cs="宋体" w:eastAsia="宋体" w:hint="default"/>
          <w:spacing w:val="-2"/>
        </w:rPr>
        <w:t>14.8</w:t>
      </w:r>
      <w:r>
        <w:rPr>
          <w:spacing w:val="-2"/>
        </w:rPr>
        <w:t>万台，同比增长</w:t>
      </w:r>
      <w:r>
        <w:rPr>
          <w:rFonts w:ascii="宋体" w:hAnsi="宋体" w:cs="宋体" w:eastAsia="宋体" w:hint="default"/>
          <w:spacing w:val="-2"/>
        </w:rPr>
        <w:t>4.6%</w:t>
      </w:r>
      <w:r>
        <w:rPr>
          <w:spacing w:val="-2"/>
        </w:rPr>
        <w:t>，增速出现放缓，受国内宏观经济下行和中美贸易战的</w:t>
      </w:r>
      <w:r>
        <w:rPr>
          <w:spacing w:val="-56"/>
        </w:rPr>
        <w:t> </w:t>
      </w:r>
      <w:r>
        <w:rPr>
          <w:spacing w:val="-56"/>
        </w:rPr>
      </w:r>
      <w:r>
        <w:rPr>
          <w:spacing w:val="-2"/>
        </w:rPr>
        <w:t>影响，国内工业机器人行业发展压力逐步显现，但短期的增速放缓并不能改变机器代替人工的大趋势。我国自动化改造空间</w:t>
      </w:r>
      <w:r>
        <w:rPr>
          <w:spacing w:val="-66"/>
        </w:rPr>
        <w:t> </w:t>
      </w:r>
      <w:r>
        <w:rPr>
          <w:spacing w:val="-66"/>
        </w:rPr>
      </w:r>
      <w:r>
        <w:rPr/>
        <w:t>巨大，制造业转型升级依然迫切，人口红利消失，叠加国家政策的大力支持，我国工业机器人行业未来发展空间仍然巨大。 </w:t>
      </w:r>
      <w:r>
        <w:rPr>
          <w:spacing w:val="-2"/>
        </w:rPr>
        <w:t>根据</w:t>
      </w:r>
      <w:r>
        <w:rPr>
          <w:rFonts w:ascii="宋体" w:hAnsi="宋体" w:cs="宋体" w:eastAsia="宋体" w:hint="default"/>
          <w:spacing w:val="-2"/>
        </w:rPr>
        <w:t>IFR</w:t>
      </w:r>
      <w:r>
        <w:rPr>
          <w:spacing w:val="-2"/>
        </w:rPr>
        <w:t>预测，</w:t>
      </w:r>
      <w:r>
        <w:rPr>
          <w:rFonts w:ascii="宋体" w:hAnsi="宋体" w:cs="宋体" w:eastAsia="宋体" w:hint="default"/>
          <w:spacing w:val="-2"/>
        </w:rPr>
        <w:t>2020</w:t>
      </w:r>
      <w:r>
        <w:rPr>
          <w:spacing w:val="-2"/>
        </w:rPr>
        <w:t>年中国工业机器人销量将达到</w:t>
      </w:r>
      <w:r>
        <w:rPr>
          <w:rFonts w:ascii="宋体" w:hAnsi="宋体" w:cs="宋体" w:eastAsia="宋体" w:hint="default"/>
          <w:spacing w:val="-2"/>
        </w:rPr>
        <w:t>21</w:t>
      </w:r>
      <w:r>
        <w:rPr>
          <w:spacing w:val="-2"/>
        </w:rPr>
        <w:t>万台，未来三年的年均增速约为</w:t>
      </w:r>
      <w:r>
        <w:rPr>
          <w:rFonts w:ascii="宋体" w:hAnsi="宋体" w:cs="宋体" w:eastAsia="宋体" w:hint="default"/>
          <w:spacing w:val="-2"/>
        </w:rPr>
        <w:t>25%</w:t>
      </w:r>
      <w:r>
        <w:rPr>
          <w:spacing w:val="-2"/>
        </w:rPr>
        <w:t>。以大数据、云计算、区块链等为代</w:t>
      </w:r>
      <w:r>
        <w:rPr>
          <w:spacing w:val="-55"/>
        </w:rPr>
        <w:t> </w:t>
      </w:r>
      <w:r>
        <w:rPr>
          <w:spacing w:val="-55"/>
        </w:rPr>
      </w:r>
      <w:r>
        <w:rPr>
          <w:spacing w:val="-2"/>
        </w:rPr>
        <w:t>表的互联网技术与制造业的结合是实现智能化的关键，工业互联互通以实现智能生产，未来随着生产方式向柔性、智能、精</w:t>
      </w:r>
      <w:r>
        <w:rPr>
          <w:spacing w:val="-66"/>
        </w:rPr>
        <w:t> </w:t>
      </w:r>
      <w:r>
        <w:rPr>
          <w:spacing w:val="-66"/>
        </w:rPr>
      </w:r>
      <w:r>
        <w:rPr>
          <w:spacing w:val="-2"/>
        </w:rPr>
        <w:t>细转变，对工业机器人的需求将呈现大幅增长。公司在工业机器人集成应用及自动化装备制造等方面优势明显，有望受益于</w:t>
      </w:r>
      <w:r>
        <w:rPr>
          <w:spacing w:val="-66"/>
        </w:rPr>
        <w:t> </w:t>
      </w:r>
      <w:r>
        <w:rPr>
          <w:spacing w:val="-66"/>
        </w:rPr>
      </w:r>
      <w:r>
        <w:rPr/>
        <w:t>行业空间的逐步释放而实现业绩的快速提升。</w:t>
      </w:r>
    </w:p>
    <w:p>
      <w:pPr>
        <w:pStyle w:val="BodyText"/>
        <w:spacing w:line="477" w:lineRule="auto" w:before="54"/>
        <w:ind w:left="514" w:right="0" w:firstLine="1"/>
        <w:jc w:val="left"/>
      </w:pPr>
      <w:r>
        <w:rPr>
          <w:rFonts w:ascii="宋体" w:hAnsi="宋体" w:cs="宋体" w:eastAsia="宋体" w:hint="default"/>
          <w:b/>
          <w:bCs/>
        </w:rPr>
        <w:t>（二）公司的发展战略</w:t>
      </w:r>
      <w:r>
        <w:rPr>
          <w:rFonts w:ascii="宋体" w:hAnsi="宋体" w:cs="宋体" w:eastAsia="宋体" w:hint="default"/>
          <w:b/>
          <w:bCs/>
          <w:w w:val="99"/>
        </w:rPr>
        <w:t> </w:t>
      </w:r>
      <w:r>
        <w:rPr>
          <w:spacing w:val="-2"/>
        </w:rPr>
        <w:t>产品战略：公司将打造以“</w:t>
      </w:r>
      <w:r>
        <w:rPr>
          <w:rFonts w:ascii="宋体" w:hAnsi="宋体" w:cs="宋体" w:eastAsia="宋体" w:hint="default"/>
          <w:spacing w:val="-2"/>
        </w:rPr>
        <w:t>1+N+X</w:t>
      </w:r>
      <w:r>
        <w:rPr>
          <w:spacing w:val="-2"/>
        </w:rPr>
        <w:t>”为核心的产品发展体系，聚焦通讯主业及手机“</w:t>
      </w:r>
      <w:r>
        <w:rPr>
          <w:rFonts w:ascii="宋体" w:hAnsi="宋体" w:cs="宋体" w:eastAsia="宋体" w:hint="default"/>
          <w:spacing w:val="-2"/>
        </w:rPr>
        <w:t>1</w:t>
      </w:r>
      <w:r>
        <w:rPr>
          <w:spacing w:val="-2"/>
        </w:rPr>
        <w:t>”个龙头，充分发挥龙头的核心作</w:t>
      </w:r>
    </w:p>
    <w:p>
      <w:pPr>
        <w:pStyle w:val="BodyText"/>
        <w:spacing w:line="477" w:lineRule="auto" w:before="54"/>
        <w:ind w:right="1050"/>
        <w:jc w:val="both"/>
      </w:pPr>
      <w:r>
        <w:rPr/>
        <w:t>用，引领周边</w:t>
      </w:r>
      <w:r>
        <w:rPr>
          <w:rFonts w:ascii="宋体" w:hAnsi="宋体" w:cs="宋体" w:eastAsia="宋体" w:hint="default"/>
        </w:rPr>
        <w:t>IOT</w:t>
      </w:r>
      <w:r>
        <w:rPr/>
        <w:t>物联网产品内“</w:t>
      </w:r>
      <w:r>
        <w:rPr>
          <w:rFonts w:ascii="宋体" w:hAnsi="宋体" w:cs="宋体" w:eastAsia="宋体" w:hint="default"/>
        </w:rPr>
        <w:t>N</w:t>
      </w:r>
      <w:r>
        <w:rPr/>
        <w:t>”个爆品，同时前瞻性布局“</w:t>
      </w:r>
      <w:r>
        <w:rPr>
          <w:rFonts w:ascii="宋体" w:hAnsi="宋体" w:cs="宋体" w:eastAsia="宋体" w:hint="default"/>
        </w:rPr>
        <w:t>X</w:t>
      </w:r>
      <w:r>
        <w:rPr/>
        <w:t>”个未来新兴产业。通过聚焦主业，寻找更多突破点，锻</w:t>
      </w:r>
      <w:r>
        <w:rPr>
          <w:spacing w:val="-83"/>
        </w:rPr>
        <w:t> </w:t>
      </w:r>
      <w:r>
        <w:rPr>
          <w:spacing w:val="-83"/>
        </w:rPr>
      </w:r>
      <w:r>
        <w:rPr/>
        <w:t>炼出制造体系的优势竞争能力，并坚持前沿研发和精密制造相结合的运营模式，助力公司精准和高效地开展各项经营活动。</w:t>
      </w:r>
    </w:p>
    <w:p>
      <w:pPr>
        <w:pStyle w:val="BodyText"/>
        <w:spacing w:line="477" w:lineRule="auto" w:before="54"/>
        <w:ind w:right="1129" w:firstLine="360"/>
        <w:jc w:val="both"/>
      </w:pPr>
      <w:r>
        <w:rPr/>
        <w:t>经营战略：公司战略布局智能制造，以“大数据</w:t>
      </w:r>
      <w:r>
        <w:rPr>
          <w:rFonts w:ascii="宋体" w:hAnsi="宋体" w:cs="宋体" w:eastAsia="宋体" w:hint="default"/>
        </w:rPr>
        <w:t>+</w:t>
      </w:r>
      <w:r>
        <w:rPr/>
        <w:t>人工智能”作为未来业务的核心驱动力，坚持以“大制造、大客户、 大创新”为核心的经营战略，紧跟</w:t>
      </w:r>
      <w:r>
        <w:rPr>
          <w:rFonts w:ascii="宋体" w:hAnsi="宋体" w:cs="宋体" w:eastAsia="宋体" w:hint="default"/>
        </w:rPr>
        <w:t>IoT</w:t>
      </w:r>
      <w:r>
        <w:rPr/>
        <w:t>物联网产业的发展潮流，充分发挥公司多技术整合能力的优势，积极寻求跨行业、多</w:t>
      </w:r>
      <w:r>
        <w:rPr>
          <w:spacing w:val="-82"/>
        </w:rPr>
        <w:t> </w:t>
      </w:r>
      <w:r>
        <w:rPr>
          <w:spacing w:val="-82"/>
        </w:rPr>
      </w:r>
      <w:r>
        <w:rPr>
          <w:spacing w:val="-2"/>
        </w:rPr>
        <w:t>品类的业务组合以及多元化应用。自研机器人及自动化装备将持续完善，并将尽快推向市场销售，而量子点技术目前也研制</w:t>
      </w:r>
      <w:r>
        <w:rPr>
          <w:spacing w:val="-66"/>
        </w:rPr>
        <w:t> </w:t>
      </w:r>
      <w:r>
        <w:rPr>
          <w:spacing w:val="-66"/>
        </w:rPr>
      </w:r>
      <w:r>
        <w:rPr/>
        <w:t>进展顺利，随着多款研发的新品投入市场，公司在新兴业务领域将迎来高速发展。</w:t>
      </w:r>
    </w:p>
    <w:p>
      <w:pPr>
        <w:pStyle w:val="BodyText"/>
        <w:spacing w:line="240" w:lineRule="auto" w:before="54"/>
        <w:ind w:left="514" w:right="0"/>
        <w:jc w:val="left"/>
      </w:pPr>
      <w:r>
        <w:rPr/>
        <w:t>公司将内外兼修，依托资本市场实现长期战略布局，巩固和扩大现有优势，不断强化公司在智能制造领域的领先地位。</w:t>
      </w:r>
    </w:p>
    <w:p>
      <w:pPr>
        <w:spacing w:line="240" w:lineRule="auto" w:before="10"/>
        <w:rPr>
          <w:rFonts w:ascii="宋体" w:hAnsi="宋体" w:cs="宋体" w:eastAsia="宋体" w:hint="default"/>
          <w:sz w:val="17"/>
          <w:szCs w:val="17"/>
        </w:rPr>
      </w:pPr>
    </w:p>
    <w:p>
      <w:pPr>
        <w:spacing w:line="477" w:lineRule="auto" w:before="0"/>
        <w:ind w:left="514" w:right="8221" w:firstLine="1"/>
        <w:jc w:val="left"/>
        <w:rPr>
          <w:rFonts w:ascii="宋体" w:hAnsi="宋体" w:cs="宋体" w:eastAsia="宋体" w:hint="default"/>
          <w:sz w:val="18"/>
          <w:szCs w:val="18"/>
        </w:rPr>
      </w:pPr>
      <w:r>
        <w:rPr>
          <w:rFonts w:ascii="宋体" w:hAnsi="宋体" w:cs="宋体" w:eastAsia="宋体" w:hint="default"/>
          <w:b/>
          <w:bCs/>
          <w:sz w:val="18"/>
          <w:szCs w:val="18"/>
        </w:rPr>
        <w:t>（三）公司</w:t>
      </w:r>
      <w:r>
        <w:rPr>
          <w:rFonts w:ascii="宋体" w:hAnsi="宋体" w:cs="宋体" w:eastAsia="宋体" w:hint="default"/>
          <w:b/>
          <w:bCs/>
          <w:sz w:val="18"/>
          <w:szCs w:val="18"/>
        </w:rPr>
        <w:t>2019</w:t>
      </w:r>
      <w:r>
        <w:rPr>
          <w:rFonts w:ascii="宋体" w:hAnsi="宋体" w:cs="宋体" w:eastAsia="宋体" w:hint="default"/>
          <w:b/>
          <w:bCs/>
          <w:sz w:val="18"/>
          <w:szCs w:val="18"/>
        </w:rPr>
        <w:t>年经营计划</w:t>
      </w:r>
      <w:r>
        <w:rPr>
          <w:rFonts w:ascii="宋体" w:hAnsi="宋体" w:cs="宋体" w:eastAsia="宋体" w:hint="default"/>
          <w:b/>
          <w:bCs/>
          <w:w w:val="99"/>
          <w:sz w:val="18"/>
          <w:szCs w:val="18"/>
        </w:rPr>
        <w:t> </w:t>
      </w:r>
      <w:r>
        <w:rPr>
          <w:rFonts w:ascii="宋体" w:hAnsi="宋体" w:cs="宋体" w:eastAsia="宋体" w:hint="default"/>
          <w:sz w:val="18"/>
          <w:szCs w:val="18"/>
        </w:rPr>
        <w:t>1</w:t>
      </w:r>
      <w:r>
        <w:rPr>
          <w:rFonts w:ascii="宋体" w:hAnsi="宋体" w:cs="宋体" w:eastAsia="宋体" w:hint="default"/>
          <w:sz w:val="18"/>
          <w:szCs w:val="18"/>
        </w:rPr>
        <w:t>、公司的总体目标</w:t>
      </w:r>
    </w:p>
    <w:p>
      <w:pPr>
        <w:pStyle w:val="BodyText"/>
        <w:spacing w:line="477" w:lineRule="auto" w:before="54"/>
        <w:ind w:right="0" w:firstLine="360"/>
        <w:jc w:val="left"/>
      </w:pPr>
      <w:r>
        <w:rPr>
          <w:rFonts w:ascii="宋体" w:hAnsi="宋体" w:cs="宋体" w:eastAsia="宋体" w:hint="default"/>
          <w:spacing w:val="-2"/>
        </w:rPr>
        <w:t>2019</w:t>
      </w:r>
      <w:r>
        <w:rPr>
          <w:spacing w:val="-2"/>
        </w:rPr>
        <w:t>年，公司将聚焦主业及核心业务，继续深化与重要客户的战略合作，并加大品牌客户的开拓力度，推进公司在物联</w:t>
      </w:r>
      <w:r>
        <w:rPr/>
        <w:t> 网、大数据、云计算等方面的技术储备及其产品应用，提升智能制造水平，打造高端制造品牌，助力全球智能产品创新。</w:t>
      </w:r>
    </w:p>
    <w:p>
      <w:pPr>
        <w:spacing w:after="0" w:line="477"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240" w:lineRule="auto" w:before="44"/>
        <w:ind w:left="514" w:right="0"/>
        <w:jc w:val="left"/>
      </w:pPr>
      <w:r>
        <w:rPr>
          <w:rFonts w:ascii="宋体" w:hAnsi="宋体" w:cs="宋体" w:eastAsia="宋体" w:hint="default"/>
        </w:rPr>
        <w:t>2</w:t>
      </w:r>
      <w:r>
        <w:rPr/>
        <w:t>、</w:t>
      </w:r>
      <w:r>
        <w:rPr>
          <w:rFonts w:ascii="宋体" w:hAnsi="宋体" w:cs="宋体" w:eastAsia="宋体" w:hint="default"/>
        </w:rPr>
        <w:t>2019</w:t>
      </w:r>
      <w:r>
        <w:rPr/>
        <w:t>年具体发展计划</w:t>
      </w:r>
    </w:p>
    <w:p>
      <w:pPr>
        <w:spacing w:line="240" w:lineRule="auto" w:before="10"/>
        <w:rPr>
          <w:rFonts w:ascii="宋体" w:hAnsi="宋体" w:cs="宋体" w:eastAsia="宋体" w:hint="default"/>
          <w:sz w:val="17"/>
          <w:szCs w:val="17"/>
        </w:rPr>
      </w:pPr>
    </w:p>
    <w:p>
      <w:pPr>
        <w:pStyle w:val="BodyText"/>
        <w:spacing w:line="477" w:lineRule="auto"/>
        <w:ind w:left="514" w:right="0"/>
        <w:jc w:val="left"/>
      </w:pPr>
      <w:r>
        <w:rPr/>
        <w:t>（</w:t>
      </w:r>
      <w:r>
        <w:rPr>
          <w:rFonts w:ascii="宋体" w:hAnsi="宋体" w:cs="宋体" w:eastAsia="宋体" w:hint="default"/>
        </w:rPr>
        <w:t>1</w:t>
      </w:r>
      <w:r>
        <w:rPr/>
        <w:t>）持续强化研发能力，积极布局智能制造新领域 </w:t>
      </w:r>
      <w:r>
        <w:rPr>
          <w:spacing w:val="-2"/>
        </w:rPr>
        <w:t>公司将持续强化研发能力，完善研发基础平台，专注于大数据、人工智能、物联网等新技术在公司业务场景中的应用落</w:t>
      </w:r>
    </w:p>
    <w:p>
      <w:pPr>
        <w:pStyle w:val="BodyText"/>
        <w:spacing w:line="477" w:lineRule="auto" w:before="54"/>
        <w:ind w:right="1032"/>
        <w:jc w:val="left"/>
      </w:pPr>
      <w:r>
        <w:rPr>
          <w:spacing w:val="-2"/>
        </w:rPr>
        <w:t>地。截至目前，公司西安子公司在为华为提供一系列配套研发支持，将加快新技术的实际应用和产业化速度。同时，公司自</w:t>
      </w:r>
      <w:r>
        <w:rPr>
          <w:spacing w:val="-66"/>
        </w:rPr>
        <w:t> </w:t>
      </w:r>
      <w:r>
        <w:rPr>
          <w:spacing w:val="-66"/>
        </w:rPr>
      </w:r>
      <w:r>
        <w:rPr/>
        <w:t>主研发生产的自有品牌自动化装备及工业机器人在满足自身需求后将推向市场进行销售。公司将依托强大的自主研发能力， 通过提供以工业机器人及工业互联网为核心的智能制造综合服务，布局更具竞争力的智能制造领域。</w:t>
      </w:r>
    </w:p>
    <w:p>
      <w:pPr>
        <w:pStyle w:val="BodyText"/>
        <w:spacing w:line="477" w:lineRule="auto" w:before="54"/>
        <w:ind w:left="514" w:right="1122"/>
        <w:jc w:val="left"/>
      </w:pPr>
      <w:r>
        <w:rPr/>
        <w:t>（</w:t>
      </w:r>
      <w:r>
        <w:rPr>
          <w:rFonts w:ascii="宋体" w:hAnsi="宋体" w:cs="宋体" w:eastAsia="宋体" w:hint="default"/>
        </w:rPr>
        <w:t>2</w:t>
      </w:r>
      <w:r>
        <w:rPr/>
        <w:t>）坚持产品创新与业务模式优化 立足公司战略目标，公司将发挥在产品研发设计、自动化及智能化柔性制造等方面的优势，积极布局</w:t>
      </w:r>
      <w:r>
        <w:rPr>
          <w:rFonts w:ascii="宋体" w:hAnsi="宋体" w:cs="宋体" w:eastAsia="宋体" w:hint="default"/>
        </w:rPr>
        <w:t>IoT</w:t>
      </w:r>
      <w:r>
        <w:rPr/>
        <w:t>物联网领域并</w:t>
      </w:r>
    </w:p>
    <w:p>
      <w:pPr>
        <w:pStyle w:val="BodyText"/>
        <w:spacing w:line="477" w:lineRule="auto" w:before="54"/>
        <w:ind w:right="0"/>
        <w:jc w:val="left"/>
      </w:pPr>
      <w:r>
        <w:rPr>
          <w:spacing w:val="-4"/>
        </w:rPr>
        <w:t>推动其产品化、市场化。公司将加快对物联网、区块链、量子点等新兴技术的产品开发进度，保持在相关领域的技术领先性。</w:t>
      </w:r>
      <w:r>
        <w:rPr>
          <w:spacing w:val="-44"/>
        </w:rPr>
        <w:t> </w:t>
      </w:r>
      <w:r>
        <w:rPr>
          <w:spacing w:val="-44"/>
        </w:rPr>
      </w:r>
      <w:r>
        <w:rPr/>
        <w:t>同时，将紧跟市场发展趋势，进一步优化业务模式，不断提升高附加值产品的业务占比，及时响应客户个性化需求。</w:t>
      </w:r>
    </w:p>
    <w:p>
      <w:pPr>
        <w:pStyle w:val="BodyText"/>
        <w:spacing w:line="477" w:lineRule="auto" w:before="54"/>
        <w:ind w:left="514" w:right="1122"/>
        <w:jc w:val="left"/>
      </w:pPr>
      <w:r>
        <w:rPr/>
        <w:t>（</w:t>
      </w:r>
      <w:r>
        <w:rPr>
          <w:rFonts w:ascii="宋体" w:hAnsi="宋体" w:cs="宋体" w:eastAsia="宋体" w:hint="default"/>
        </w:rPr>
        <w:t>3</w:t>
      </w:r>
      <w:r>
        <w:rPr/>
        <w:t>）规模制造与成本领先相结合 公司作为全球</w:t>
      </w:r>
      <w:r>
        <w:rPr>
          <w:rFonts w:ascii="宋体" w:hAnsi="宋体" w:cs="宋体" w:eastAsia="宋体" w:hint="default"/>
        </w:rPr>
        <w:t>ODM/EMS</w:t>
      </w:r>
      <w:r>
        <w:rPr/>
        <w:t>领导厂商之一，致力于提供差异化及定制化的服务为客户创造价值，用全球视野布局产业未来。</w:t>
      </w:r>
    </w:p>
    <w:p>
      <w:pPr>
        <w:pStyle w:val="BodyText"/>
        <w:spacing w:line="477" w:lineRule="auto" w:before="54"/>
        <w:ind w:right="1131"/>
        <w:jc w:val="both"/>
      </w:pPr>
      <w:r>
        <w:rPr>
          <w:spacing w:val="-2"/>
        </w:rPr>
        <w:t>凭借多年来优质的产品结构、客户基础及卓越的大客户服务能力，公司根据客户需求及未来的成长性对产能提前布局，并拟</w:t>
      </w:r>
      <w:r>
        <w:rPr>
          <w:spacing w:val="-66"/>
        </w:rPr>
        <w:t> </w:t>
      </w:r>
      <w:r>
        <w:rPr>
          <w:spacing w:val="-66"/>
        </w:rPr>
      </w:r>
      <w:r>
        <w:rPr>
          <w:spacing w:val="-2"/>
        </w:rPr>
        <w:t>于武汉建设智能终端研发制造基地来扩充产能，从而建立更完整的全球供应体系。同时，公司继续推进智能制造项目及机器</w:t>
      </w:r>
      <w:r>
        <w:rPr>
          <w:spacing w:val="-66"/>
        </w:rPr>
        <w:t> </w:t>
      </w:r>
      <w:r>
        <w:rPr>
          <w:spacing w:val="-66"/>
        </w:rPr>
      </w:r>
      <w:r>
        <w:rPr>
          <w:spacing w:val="-2"/>
        </w:rPr>
        <w:t>人项目的实施，利用自动化生产流程，提高产品生产的效率并降低成本，以技术创新引领产业升级，实现生产信息和自动化</w:t>
      </w:r>
      <w:r>
        <w:rPr>
          <w:spacing w:val="-66"/>
        </w:rPr>
        <w:t> </w:t>
      </w:r>
      <w:r>
        <w:rPr>
          <w:spacing w:val="-66"/>
        </w:rPr>
      </w:r>
      <w:r>
        <w:rPr/>
        <w:t>设备之间的高效运作。</w:t>
      </w:r>
    </w:p>
    <w:p>
      <w:pPr>
        <w:pStyle w:val="BodyText"/>
        <w:spacing w:line="477" w:lineRule="auto" w:before="54"/>
        <w:ind w:left="514" w:right="0"/>
        <w:jc w:val="left"/>
      </w:pPr>
      <w:r>
        <w:rPr/>
        <w:t>（</w:t>
      </w:r>
      <w:r>
        <w:rPr>
          <w:rFonts w:ascii="宋体" w:hAnsi="宋体" w:cs="宋体" w:eastAsia="宋体" w:hint="default"/>
        </w:rPr>
        <w:t>4</w:t>
      </w:r>
      <w:r>
        <w:rPr/>
        <w:t>）优化治理结构 </w:t>
      </w:r>
      <w:r>
        <w:rPr>
          <w:spacing w:val="-2"/>
        </w:rPr>
        <w:t>进一步完善公司管理体系，建立科学有效的决策机制、快速市场反应机制和风险防范机制。加速信息化系统建设，持续</w:t>
      </w:r>
    </w:p>
    <w:p>
      <w:pPr>
        <w:pStyle w:val="BodyText"/>
        <w:spacing w:line="477" w:lineRule="auto" w:before="54"/>
        <w:ind w:left="514" w:right="0" w:hanging="360"/>
        <w:jc w:val="left"/>
      </w:pPr>
      <w:r>
        <w:rPr/>
        <w:t>优化公司</w:t>
      </w:r>
      <w:r>
        <w:rPr>
          <w:rFonts w:ascii="宋体" w:hAnsi="宋体" w:cs="宋体" w:eastAsia="宋体" w:hint="default"/>
        </w:rPr>
        <w:t>ERP</w:t>
      </w:r>
      <w:r>
        <w:rPr/>
        <w:t>管理系统，深化工作流程改革，提升整体效率，实现企业管理的信息化，使公司组织运作更高效、更灵活。 </w:t>
      </w:r>
      <w:r>
        <w:rPr>
          <w:spacing w:val="-4"/>
        </w:rPr>
        <w:t>公司将进一步加强管理团队建设，依据公司发展规划，科学合理地配置和优化人才结构，建设科学有效的人才培训体系，</w:t>
      </w:r>
    </w:p>
    <w:p>
      <w:pPr>
        <w:pStyle w:val="BodyText"/>
        <w:spacing w:line="240" w:lineRule="auto" w:before="54"/>
        <w:ind w:right="0"/>
        <w:jc w:val="left"/>
      </w:pPr>
      <w:r>
        <w:rPr/>
        <w:t>健全完善员工绩效考核和激励机制，充分发挥员工的主观能动性，为公司实现发展目标提供有力的人才保障。</w:t>
      </w:r>
    </w:p>
    <w:p>
      <w:pPr>
        <w:spacing w:line="240" w:lineRule="auto" w:before="10"/>
        <w:rPr>
          <w:rFonts w:ascii="宋体" w:hAnsi="宋体" w:cs="宋体" w:eastAsia="宋体" w:hint="default"/>
          <w:sz w:val="17"/>
          <w:szCs w:val="17"/>
        </w:rPr>
      </w:pPr>
    </w:p>
    <w:p>
      <w:pPr>
        <w:spacing w:line="477" w:lineRule="auto" w:before="0"/>
        <w:ind w:left="514" w:right="8502" w:firstLine="1"/>
        <w:jc w:val="left"/>
        <w:rPr>
          <w:rFonts w:ascii="宋体" w:hAnsi="宋体" w:cs="宋体" w:eastAsia="宋体" w:hint="default"/>
          <w:sz w:val="18"/>
          <w:szCs w:val="18"/>
        </w:rPr>
      </w:pPr>
      <w:r>
        <w:rPr>
          <w:rFonts w:ascii="宋体" w:hAnsi="宋体" w:cs="宋体" w:eastAsia="宋体" w:hint="default"/>
          <w:b/>
          <w:bCs/>
          <w:sz w:val="18"/>
          <w:szCs w:val="18"/>
        </w:rPr>
        <w:t>（四）可能面对的风险</w:t>
      </w:r>
      <w:r>
        <w:rPr>
          <w:rFonts w:ascii="宋体" w:hAnsi="宋体" w:cs="宋体" w:eastAsia="宋体" w:hint="default"/>
          <w:b/>
          <w:bCs/>
          <w:w w:val="99"/>
          <w:sz w:val="18"/>
          <w:szCs w:val="18"/>
        </w:rPr>
        <w:t> </w:t>
      </w:r>
      <w:r>
        <w:rPr>
          <w:rFonts w:ascii="宋体" w:hAnsi="宋体" w:cs="宋体" w:eastAsia="宋体" w:hint="default"/>
          <w:sz w:val="18"/>
          <w:szCs w:val="18"/>
        </w:rPr>
        <w:t>1</w:t>
      </w:r>
      <w:r>
        <w:rPr>
          <w:rFonts w:ascii="宋体" w:hAnsi="宋体" w:cs="宋体" w:eastAsia="宋体" w:hint="default"/>
          <w:sz w:val="18"/>
          <w:szCs w:val="18"/>
        </w:rPr>
        <w:t>、市场竞争加剧风险：</w:t>
      </w:r>
    </w:p>
    <w:p>
      <w:pPr>
        <w:pStyle w:val="BodyText"/>
        <w:spacing w:line="477" w:lineRule="auto" w:before="54"/>
        <w:ind w:right="1131" w:firstLine="360"/>
        <w:jc w:val="both"/>
      </w:pPr>
      <w:r>
        <w:rPr>
          <w:spacing w:val="-2"/>
        </w:rPr>
        <w:t>智能终端产品的兴起加快了消费电子行业各类产品、技术更新换代的速度，需求逐渐迈向多元化和高端精品化，行业差</w:t>
      </w:r>
      <w:r>
        <w:rPr/>
        <w:t> </w:t>
      </w:r>
      <w:r>
        <w:rPr>
          <w:spacing w:val="-2"/>
        </w:rPr>
        <w:t>异化竞争日益加剧。如果公司不能瞄准市场需求，加大对新技术的研发投入，推进新产品开发和投产的速度，在日益激烈的</w:t>
      </w:r>
      <w:r>
        <w:rPr>
          <w:spacing w:val="-66"/>
        </w:rPr>
        <w:t> </w:t>
      </w:r>
      <w:r>
        <w:rPr>
          <w:spacing w:val="-66"/>
        </w:rPr>
      </w:r>
      <w:r>
        <w:rPr/>
        <w:t>市场竞争中将无法获得市场优势。</w:t>
      </w:r>
    </w:p>
    <w:p>
      <w:pPr>
        <w:pStyle w:val="BodyText"/>
        <w:spacing w:line="477" w:lineRule="auto" w:before="54"/>
        <w:ind w:right="1130" w:firstLine="360"/>
        <w:jc w:val="both"/>
      </w:pPr>
      <w:r>
        <w:rPr>
          <w:spacing w:val="-2"/>
        </w:rPr>
        <w:t>对此，公司将保持对研发和设备的大量投入，提高自身产品的竞争实力；紧跟行业市场需求和发展趋势，并配套研发新</w:t>
      </w:r>
      <w:r>
        <w:rPr/>
        <w:t> </w:t>
      </w:r>
      <w:r>
        <w:rPr>
          <w:spacing w:val="-2"/>
        </w:rPr>
        <w:t>技术、新产品；凭借严格的品质管控、贴近客户、反应灵活等方面的竞争优势，建立与客户长期稳定的合作关系，并逐步扩</w:t>
      </w:r>
      <w:r>
        <w:rPr>
          <w:spacing w:val="-68"/>
        </w:rPr>
        <w:t> </w:t>
      </w:r>
      <w:r>
        <w:rPr>
          <w:spacing w:val="-68"/>
        </w:rPr>
      </w:r>
      <w:r>
        <w:rPr/>
        <w:t>大市场份额。</w:t>
      </w:r>
    </w:p>
    <w:p>
      <w:pPr>
        <w:pStyle w:val="BodyText"/>
        <w:spacing w:line="240" w:lineRule="auto" w:before="54"/>
        <w:ind w:left="514" w:right="0"/>
        <w:jc w:val="left"/>
      </w:pPr>
      <w:r>
        <w:rPr>
          <w:rFonts w:ascii="宋体" w:hAnsi="宋体" w:cs="宋体" w:eastAsia="宋体" w:hint="default"/>
        </w:rPr>
        <w:t>2</w:t>
      </w:r>
      <w:r>
        <w:rPr/>
        <w:t>、人力成本持续上升的风险：</w:t>
      </w:r>
    </w:p>
    <w:p>
      <w:pPr>
        <w:spacing w:after="0" w:line="240"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032" w:firstLine="360"/>
        <w:jc w:val="left"/>
      </w:pPr>
      <w:r>
        <w:rPr>
          <w:spacing w:val="-2"/>
        </w:rPr>
        <w:t>随着业务规模扩大、技术更新速度加快及市场需求不断攀升，公司对技术研发及生产人才需求加剧，因此会导致人力成</w:t>
      </w:r>
      <w:r>
        <w:rPr/>
        <w:t> 本有所上升。同时，优秀的管理人员及核心技术人员是公司发展的重要基石，行业内对高端技术研发及管理人才需求加剧， 如果公司不能持续完善各类激励和约束机制留住和吸引高端人才，将使公司在行业竞争中处于不利地位。</w:t>
      </w:r>
    </w:p>
    <w:p>
      <w:pPr>
        <w:pStyle w:val="BodyText"/>
        <w:spacing w:line="477" w:lineRule="auto" w:before="54"/>
        <w:ind w:right="1130" w:firstLine="360"/>
        <w:jc w:val="both"/>
      </w:pPr>
      <w:r>
        <w:rPr>
          <w:spacing w:val="-5"/>
        </w:rPr>
        <w:t>公司募集资金投资项目“智能制造项目”、“机器人项目”，通过对生产线的升级改造，及研发高自动化的工业机器人，</w:t>
      </w:r>
      <w:r>
        <w:rPr/>
        <w:t> </w:t>
      </w:r>
      <w:r>
        <w:rPr>
          <w:spacing w:val="-2"/>
        </w:rPr>
        <w:t>提升工厂整体自动化水平，最终达到节约人力成本的效果。同时，公司将积极完善人才培养机制，建立科学合理的薪酬考核</w:t>
      </w:r>
      <w:r>
        <w:rPr>
          <w:spacing w:val="-66"/>
        </w:rPr>
        <w:t> </w:t>
      </w:r>
      <w:r>
        <w:rPr>
          <w:spacing w:val="-66"/>
        </w:rPr>
      </w:r>
      <w:r>
        <w:rPr/>
        <w:t>和奖励机制，保持管理团队、核心技术人员稳定性，营造人才成长与发展的良好氛围，促进公司各项业务顺利开展。</w:t>
      </w:r>
    </w:p>
    <w:p>
      <w:pPr>
        <w:pStyle w:val="BodyText"/>
        <w:spacing w:line="477" w:lineRule="auto" w:before="54"/>
        <w:ind w:left="514" w:right="1118"/>
        <w:jc w:val="left"/>
      </w:pPr>
      <w:r>
        <w:rPr>
          <w:rFonts w:ascii="宋体" w:hAnsi="宋体" w:cs="宋体" w:eastAsia="宋体" w:hint="default"/>
        </w:rPr>
        <w:t>3</w:t>
      </w:r>
      <w:r>
        <w:rPr/>
        <w:t>、管理风险： </w:t>
      </w:r>
      <w:r>
        <w:rPr>
          <w:spacing w:val="-2"/>
        </w:rPr>
        <w:t>报告期内，公司拟在武汉设立项目公司，投资建设智能终端研发制造基地项目，用于扩大公司产能。公司经营规模的不</w:t>
      </w:r>
    </w:p>
    <w:p>
      <w:pPr>
        <w:pStyle w:val="BodyText"/>
        <w:spacing w:line="477" w:lineRule="auto" w:before="54"/>
        <w:ind w:right="1050"/>
        <w:jc w:val="both"/>
      </w:pPr>
      <w:r>
        <w:rPr>
          <w:spacing w:val="-2"/>
        </w:rPr>
        <w:t>断扩大，对公司已有的战略规划、制度建设、组织设置、营运管理、财务管理、内部控制等都带来较大的挑战。尽管公司已</w:t>
      </w:r>
      <w:r>
        <w:rPr>
          <w:spacing w:val="-72"/>
        </w:rPr>
        <w:t> </w:t>
      </w:r>
      <w:r>
        <w:rPr>
          <w:spacing w:val="-72"/>
        </w:rPr>
      </w:r>
      <w:r>
        <w:rPr>
          <w:spacing w:val="-2"/>
        </w:rPr>
        <w:t>经建立了一套完整的公司治理制度，但是仍然不能避免未能及时根据公司发展调整而引起的管理风险。公司将继续完善公司</w:t>
      </w:r>
      <w:r>
        <w:rPr>
          <w:spacing w:val="-64"/>
        </w:rPr>
        <w:t> </w:t>
      </w:r>
      <w:r>
        <w:rPr>
          <w:spacing w:val="-64"/>
        </w:rPr>
      </w:r>
      <w:r>
        <w:rPr/>
        <w:t>治理制度，通过管理流程的优化与更新，不断地调整与改进，合理有效地进行资源配置，用最短的时间来适应最快的变化。</w:t>
      </w:r>
    </w:p>
    <w:p>
      <w:pPr>
        <w:pStyle w:val="BodyText"/>
        <w:spacing w:line="477" w:lineRule="auto" w:before="54"/>
        <w:ind w:left="514" w:right="1118"/>
        <w:jc w:val="left"/>
      </w:pPr>
      <w:r>
        <w:rPr>
          <w:rFonts w:ascii="宋体" w:hAnsi="宋体" w:cs="宋体" w:eastAsia="宋体" w:hint="default"/>
        </w:rPr>
        <w:t>4</w:t>
      </w:r>
      <w:r>
        <w:rPr/>
        <w:t>、投资风险： </w:t>
      </w:r>
      <w:r>
        <w:rPr>
          <w:spacing w:val="-2"/>
        </w:rPr>
        <w:t>公司开展投资、筹划并购重组等项目时，在项目各阶段可能面临多方面原因导致的各类风险，从而影响公司未来的业绩</w:t>
      </w:r>
    </w:p>
    <w:p>
      <w:pPr>
        <w:pStyle w:val="BodyText"/>
        <w:spacing w:line="240" w:lineRule="auto" w:before="54"/>
        <w:ind w:right="0"/>
        <w:jc w:val="both"/>
      </w:pPr>
      <w:r>
        <w:rPr/>
        <w:t>表现。</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t>对此，公司会做好调研和论证工作，充分借助中介机构的专业力量，做好各项管理和风险控制工作。</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4"/>
          <w:szCs w:val="24"/>
        </w:rPr>
      </w:pPr>
    </w:p>
    <w:p>
      <w:pPr>
        <w:pStyle w:val="Heading2"/>
        <w:spacing w:line="240" w:lineRule="auto"/>
        <w:ind w:right="0"/>
        <w:jc w:val="both"/>
        <w:rPr>
          <w:b w:val="0"/>
          <w:bCs w:val="0"/>
        </w:rPr>
      </w:pPr>
      <w:bookmarkStart w:name="十、接待调研、沟通、采访等活动" w:id="60"/>
      <w:bookmarkEnd w:id="60"/>
      <w:r>
        <w:rPr>
          <w:b w:val="0"/>
          <w:bCs w:val="0"/>
        </w:rPr>
      </w:r>
      <w:r>
        <w:rPr/>
        <w:t>十、接待调研、沟通、采访等活动</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bookmarkStart w:name="1、报告期内接待调研、沟通、采访等活动登记表" w:id="61"/>
      <w:bookmarkEnd w:id="61"/>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both"/>
      </w:pPr>
      <w:r>
        <w:rPr/>
        <w:t>√ 适用 □ 不适用</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178"/>
        <w:gridCol w:w="2177"/>
        <w:gridCol w:w="2177"/>
        <w:gridCol w:w="3038"/>
      </w:tblGrid>
      <w:tr>
        <w:trPr>
          <w:trHeight w:val="401" w:hRule="exact"/>
        </w:trPr>
        <w:tc>
          <w:tcPr>
            <w:tcW w:w="2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43"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03"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36" w:lineRule="auto" w:before="52"/>
              <w:ind w:left="103" w:right="179"/>
              <w:jc w:val="both"/>
              <w:rPr>
                <w:rFonts w:ascii="宋体" w:hAnsi="宋体" w:cs="宋体" w:eastAsia="宋体" w:hint="default"/>
                <w:sz w:val="18"/>
                <w:szCs w:val="18"/>
              </w:rPr>
            </w:pPr>
            <w:r>
              <w:rPr>
                <w:rFonts w:ascii="宋体" w:hAnsi="宋体" w:cs="宋体" w:eastAsia="宋体" w:hint="default"/>
                <w:sz w:val="18"/>
                <w:szCs w:val="18"/>
              </w:rPr>
              <w:t>详见公司披露于深交所互动易平台 </w:t>
            </w:r>
            <w:hyperlink r:id="rId31">
              <w:r>
                <w:rPr>
                  <w:rFonts w:ascii="Times New Roman" w:hAnsi="Times New Roman" w:cs="Times New Roman" w:eastAsia="Times New Roman" w:hint="default"/>
                  <w:sz w:val="18"/>
                  <w:szCs w:val="18"/>
                </w:rPr>
                <w:t>http://irm.cninfo.com.cn/ssessgs/S002</w:t>
              </w:r>
            </w:hyperlink>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369/</w:t>
            </w:r>
            <w:r>
              <w:rPr>
                <w:rFonts w:ascii="宋体" w:hAnsi="宋体" w:cs="宋体" w:eastAsia="宋体" w:hint="default"/>
                <w:sz w:val="18"/>
                <w:szCs w:val="18"/>
              </w:rPr>
              <w:t>投资者关系活动记录表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36" w:lineRule="auto" w:before="52"/>
              <w:ind w:left="103" w:right="179"/>
              <w:jc w:val="both"/>
              <w:rPr>
                <w:rFonts w:ascii="宋体" w:hAnsi="宋体" w:cs="宋体" w:eastAsia="宋体" w:hint="default"/>
                <w:sz w:val="18"/>
                <w:szCs w:val="18"/>
              </w:rPr>
            </w:pPr>
            <w:r>
              <w:rPr>
                <w:rFonts w:ascii="宋体" w:hAnsi="宋体" w:cs="宋体" w:eastAsia="宋体" w:hint="default"/>
                <w:sz w:val="18"/>
                <w:szCs w:val="18"/>
              </w:rPr>
              <w:t>详见公司披露于深交所互动易平台 </w:t>
            </w:r>
            <w:hyperlink r:id="rId31">
              <w:r>
                <w:rPr>
                  <w:rFonts w:ascii="Times New Roman" w:hAnsi="Times New Roman" w:cs="Times New Roman" w:eastAsia="Times New Roman" w:hint="default"/>
                  <w:sz w:val="18"/>
                  <w:szCs w:val="18"/>
                </w:rPr>
                <w:t>http://irm.cninfo.com.cn/ssessgs/S002</w:t>
              </w:r>
            </w:hyperlink>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369/</w:t>
            </w:r>
            <w:r>
              <w:rPr>
                <w:rFonts w:ascii="宋体" w:hAnsi="宋体" w:cs="宋体" w:eastAsia="宋体" w:hint="default"/>
                <w:sz w:val="18"/>
                <w:szCs w:val="18"/>
              </w:rPr>
              <w:t>投资者关系活动记录表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2"/>
              <w:ind w:left="103" w:right="179"/>
              <w:jc w:val="both"/>
              <w:rPr>
                <w:rFonts w:ascii="宋体" w:hAnsi="宋体" w:cs="宋体" w:eastAsia="宋体" w:hint="default"/>
                <w:sz w:val="18"/>
                <w:szCs w:val="18"/>
              </w:rPr>
            </w:pPr>
            <w:r>
              <w:rPr>
                <w:rFonts w:ascii="宋体" w:hAnsi="宋体" w:cs="宋体" w:eastAsia="宋体" w:hint="default"/>
                <w:sz w:val="18"/>
                <w:szCs w:val="18"/>
              </w:rPr>
              <w:t>详见公司披露于深交所互动易平台 </w:t>
            </w:r>
            <w:hyperlink r:id="rId31">
              <w:r>
                <w:rPr>
                  <w:rFonts w:ascii="Times New Roman" w:hAnsi="Times New Roman" w:cs="Times New Roman" w:eastAsia="Times New Roman" w:hint="default"/>
                  <w:sz w:val="18"/>
                  <w:szCs w:val="18"/>
                </w:rPr>
                <w:t>http://irm.cninfo.com.cn/ssessgs/S002</w:t>
              </w:r>
            </w:hyperlink>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369/</w:t>
            </w:r>
            <w:r>
              <w:rPr>
                <w:rFonts w:ascii="宋体" w:hAnsi="宋体" w:cs="宋体" w:eastAsia="宋体" w:hint="default"/>
                <w:sz w:val="18"/>
                <w:szCs w:val="18"/>
              </w:rPr>
              <w:t>投资者关系活动记录表</w:t>
            </w:r>
          </w:p>
        </w:tc>
      </w:tr>
      <w:tr>
        <w:trPr>
          <w:trHeight w:val="674"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详见公司披露于深交所互动易平台</w:t>
            </w:r>
          </w:p>
          <w:p>
            <w:pPr>
              <w:pStyle w:val="TableParagraph"/>
              <w:spacing w:line="240" w:lineRule="auto" w:before="115"/>
              <w:ind w:left="103" w:right="0"/>
              <w:jc w:val="left"/>
              <w:rPr>
                <w:rFonts w:ascii="Times New Roman" w:hAnsi="Times New Roman" w:cs="Times New Roman" w:eastAsia="Times New Roman" w:hint="default"/>
                <w:sz w:val="18"/>
                <w:szCs w:val="18"/>
              </w:rPr>
            </w:pPr>
            <w:hyperlink r:id="rId31">
              <w:r>
                <w:rPr>
                  <w:rFonts w:ascii="Times New Roman"/>
                  <w:sz w:val="18"/>
                </w:rPr>
                <w:t>http://irm.cninfo.com.cn/ssessgs/S002</w:t>
              </w:r>
            </w:hyperlink>
          </w:p>
        </w:tc>
      </w:tr>
    </w:tbl>
    <w:p>
      <w:pPr>
        <w:spacing w:after="0" w:line="240" w:lineRule="auto"/>
        <w:jc w:val="lef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2178"/>
        <w:gridCol w:w="2177"/>
        <w:gridCol w:w="2177"/>
        <w:gridCol w:w="3038"/>
      </w:tblGrid>
      <w:tr>
        <w:trPr>
          <w:trHeight w:val="362" w:hRule="exact"/>
        </w:trPr>
        <w:tc>
          <w:tcPr>
            <w:tcW w:w="2178" w:type="dxa"/>
            <w:tcBorders>
              <w:top w:val="single" w:sz="4" w:space="0" w:color="000000"/>
              <w:left w:val="single" w:sz="4" w:space="0" w:color="000000"/>
              <w:bottom w:val="single" w:sz="4" w:space="0" w:color="000000"/>
              <w:right w:val="single" w:sz="4" w:space="0" w:color="000000"/>
            </w:tcBorders>
          </w:tcPr>
          <w:p>
            <w:pPr/>
          </w:p>
        </w:tc>
        <w:tc>
          <w:tcPr>
            <w:tcW w:w="2177" w:type="dxa"/>
            <w:tcBorders>
              <w:top w:val="single" w:sz="4" w:space="0" w:color="000000"/>
              <w:left w:val="single" w:sz="4" w:space="0" w:color="000000"/>
              <w:bottom w:val="single" w:sz="4" w:space="0" w:color="000000"/>
              <w:right w:val="single" w:sz="4" w:space="0" w:color="000000"/>
            </w:tcBorders>
          </w:tcPr>
          <w:p>
            <w:pPr/>
          </w:p>
        </w:tc>
        <w:tc>
          <w:tcPr>
            <w:tcW w:w="2177" w:type="dxa"/>
            <w:tcBorders>
              <w:top w:val="single" w:sz="4" w:space="0" w:color="000000"/>
              <w:left w:val="single" w:sz="4" w:space="0" w:color="000000"/>
              <w:bottom w:val="single" w:sz="4" w:space="0" w:color="000000"/>
              <w:right w:val="single" w:sz="4" w:space="0" w:color="000000"/>
            </w:tcBorders>
          </w:tcPr>
          <w:p>
            <w:pP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369/</w:t>
            </w:r>
            <w:r>
              <w:rPr>
                <w:rFonts w:ascii="宋体" w:hAnsi="宋体" w:cs="宋体" w:eastAsia="宋体" w:hint="default"/>
                <w:sz w:val="18"/>
                <w:szCs w:val="18"/>
              </w:rPr>
              <w:t>投资者关系活动记录表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36" w:lineRule="auto" w:before="51"/>
              <w:ind w:left="103" w:right="179"/>
              <w:jc w:val="both"/>
              <w:rPr>
                <w:rFonts w:ascii="宋体" w:hAnsi="宋体" w:cs="宋体" w:eastAsia="宋体" w:hint="default"/>
                <w:sz w:val="18"/>
                <w:szCs w:val="18"/>
              </w:rPr>
            </w:pPr>
            <w:r>
              <w:rPr>
                <w:rFonts w:ascii="宋体" w:hAnsi="宋体" w:cs="宋体" w:eastAsia="宋体" w:hint="default"/>
                <w:sz w:val="18"/>
                <w:szCs w:val="18"/>
              </w:rPr>
              <w:t>详见公司披露于深交所互动易平台 </w:t>
            </w:r>
            <w:hyperlink r:id="rId31">
              <w:r>
                <w:rPr>
                  <w:rFonts w:ascii="Times New Roman" w:hAnsi="Times New Roman" w:cs="Times New Roman" w:eastAsia="Times New Roman" w:hint="default"/>
                  <w:sz w:val="18"/>
                  <w:szCs w:val="18"/>
                </w:rPr>
                <w:t>http://irm.cninfo.com.cn/ssessgs/S002</w:t>
              </w:r>
            </w:hyperlink>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369/</w:t>
            </w:r>
            <w:r>
              <w:rPr>
                <w:rFonts w:ascii="宋体" w:hAnsi="宋体" w:cs="宋体" w:eastAsia="宋体" w:hint="default"/>
                <w:sz w:val="18"/>
                <w:szCs w:val="18"/>
              </w:rPr>
              <w:t>投资者关系活动记录表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36" w:lineRule="auto" w:before="51"/>
              <w:ind w:left="103" w:right="179"/>
              <w:jc w:val="both"/>
              <w:rPr>
                <w:rFonts w:ascii="宋体" w:hAnsi="宋体" w:cs="宋体" w:eastAsia="宋体" w:hint="default"/>
                <w:sz w:val="18"/>
                <w:szCs w:val="18"/>
              </w:rPr>
            </w:pPr>
            <w:r>
              <w:rPr>
                <w:rFonts w:ascii="宋体" w:hAnsi="宋体" w:cs="宋体" w:eastAsia="宋体" w:hint="default"/>
                <w:sz w:val="18"/>
                <w:szCs w:val="18"/>
              </w:rPr>
              <w:t>详见公司披露于深交所互动易平台 </w:t>
            </w:r>
            <w:hyperlink r:id="rId31">
              <w:r>
                <w:rPr>
                  <w:rFonts w:ascii="Times New Roman" w:hAnsi="Times New Roman" w:cs="Times New Roman" w:eastAsia="Times New Roman" w:hint="default"/>
                  <w:sz w:val="18"/>
                  <w:szCs w:val="18"/>
                </w:rPr>
                <w:t>http://irm.cninfo.com.cn/ssessgs/S002</w:t>
              </w:r>
            </w:hyperlink>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369/</w:t>
            </w:r>
            <w:r>
              <w:rPr>
                <w:rFonts w:ascii="宋体" w:hAnsi="宋体" w:cs="宋体" w:eastAsia="宋体" w:hint="default"/>
                <w:sz w:val="18"/>
                <w:szCs w:val="18"/>
              </w:rPr>
              <w:t>投资者关系活动记录表</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36" w:lineRule="auto" w:before="51"/>
              <w:ind w:left="103" w:right="179"/>
              <w:jc w:val="both"/>
              <w:rPr>
                <w:rFonts w:ascii="宋体" w:hAnsi="宋体" w:cs="宋体" w:eastAsia="宋体" w:hint="default"/>
                <w:sz w:val="18"/>
                <w:szCs w:val="18"/>
              </w:rPr>
            </w:pPr>
            <w:r>
              <w:rPr>
                <w:rFonts w:ascii="宋体" w:hAnsi="宋体" w:cs="宋体" w:eastAsia="宋体" w:hint="default"/>
                <w:sz w:val="18"/>
                <w:szCs w:val="18"/>
              </w:rPr>
              <w:t>详见公司披露于深交所互动易平台 </w:t>
            </w:r>
            <w:hyperlink r:id="rId31">
              <w:r>
                <w:rPr>
                  <w:rFonts w:ascii="Times New Roman" w:hAnsi="Times New Roman" w:cs="Times New Roman" w:eastAsia="Times New Roman" w:hint="default"/>
                  <w:sz w:val="18"/>
                  <w:szCs w:val="18"/>
                </w:rPr>
                <w:t>http://irm.cninfo.com.cn/ssessgs/S002</w:t>
              </w:r>
            </w:hyperlink>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369/</w:t>
            </w:r>
            <w:r>
              <w:rPr>
                <w:rFonts w:ascii="宋体" w:hAnsi="宋体" w:cs="宋体" w:eastAsia="宋体" w:hint="default"/>
                <w:sz w:val="18"/>
                <w:szCs w:val="18"/>
              </w:rPr>
              <w:t>投资者关系活动记录表</w:t>
            </w:r>
          </w:p>
        </w:tc>
      </w:tr>
    </w:tbl>
    <w:p>
      <w:pPr>
        <w:spacing w:after="0" w:line="336" w:lineRule="auto"/>
        <w:jc w:val="both"/>
        <w:rPr>
          <w:rFonts w:ascii="宋体" w:hAnsi="宋体" w:cs="宋体" w:eastAsia="宋体" w:hint="default"/>
          <w:sz w:val="18"/>
          <w:szCs w:val="18"/>
        </w:rPr>
        <w:sectPr>
          <w:pgSz w:w="11910" w:h="16840"/>
          <w:pgMar w:header="0" w:footer="1019" w:top="1120" w:bottom="120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2"/>
          <w:szCs w:val="22"/>
        </w:rPr>
      </w:pPr>
    </w:p>
    <w:p>
      <w:pPr>
        <w:pStyle w:val="Heading1"/>
        <w:spacing w:line="240" w:lineRule="auto"/>
        <w:ind w:right="978"/>
        <w:jc w:val="center"/>
        <w:rPr>
          <w:b w:val="0"/>
          <w:bCs w:val="0"/>
        </w:rPr>
      </w:pPr>
      <w:bookmarkStart w:name="第五节 重要事项" w:id="62"/>
      <w:bookmarkEnd w:id="62"/>
      <w:r>
        <w:rPr>
          <w:b w:val="0"/>
          <w:bCs w:val="0"/>
        </w:rPr>
      </w:r>
      <w:bookmarkStart w:name="_bookmark4" w:id="63"/>
      <w:bookmarkEnd w:id="63"/>
      <w:r>
        <w:rPr>
          <w:b w:val="0"/>
          <w:bCs w:val="0"/>
        </w:rPr>
      </w:r>
      <w:r>
        <w:rPr/>
        <w:t>第五节</w:t>
      </w:r>
      <w:r>
        <w:rPr>
          <w:spacing w:val="-5"/>
        </w:rPr>
        <w:t> </w:t>
      </w:r>
      <w:r>
        <w:rPr/>
        <w:t>重要事项</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both"/>
        <w:rPr>
          <w:b w:val="0"/>
          <w:bCs w:val="0"/>
        </w:rPr>
      </w:pPr>
      <w:bookmarkStart w:name="一、公司普通股利润分配及资本公积金转增股本情况" w:id="64"/>
      <w:bookmarkEnd w:id="64"/>
      <w:r>
        <w:rPr>
          <w:b w:val="0"/>
          <w:bCs w:val="0"/>
        </w:rPr>
      </w:r>
      <w:r>
        <w:rPr/>
        <w:t>一、公司普通股利润分配及资本公积金转增股本情况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报告期内普通股利润分配政策，特别是现金分红政策的制定、执行或调整情况</w:t>
      </w:r>
    </w:p>
    <w:p>
      <w:pPr>
        <w:pStyle w:val="BodyText"/>
        <w:spacing w:line="357" w:lineRule="auto" w:before="117"/>
        <w:ind w:left="514" w:right="1032" w:hanging="360"/>
        <w:jc w:val="left"/>
      </w:pPr>
      <w:r>
        <w:rPr/>
        <w:t>√ 适用 □ 不适用 </w:t>
      </w:r>
      <w:r>
        <w:rPr>
          <w:spacing w:val="-5"/>
        </w:rPr>
        <w:t>公司严格按照《关于进一步落实上市公司现金分红有关事项的通知》、《上市公司监管指引第</w:t>
      </w:r>
      <w:r>
        <w:rPr>
          <w:rFonts w:ascii="Times New Roman" w:hAnsi="Times New Roman" w:cs="Times New Roman" w:eastAsia="Times New Roman" w:hint="default"/>
          <w:spacing w:val="-5"/>
        </w:rPr>
        <w:t>3</w:t>
      </w:r>
      <w:r>
        <w:rPr>
          <w:spacing w:val="-5"/>
        </w:rPr>
        <w:t>号</w:t>
      </w:r>
      <w:r>
        <w:rPr>
          <w:rFonts w:ascii="Times New Roman" w:hAnsi="Times New Roman" w:cs="Times New Roman" w:eastAsia="Times New Roman" w:hint="default"/>
          <w:spacing w:val="-5"/>
        </w:rPr>
        <w:t>—</w:t>
      </w:r>
      <w:r>
        <w:rPr>
          <w:spacing w:val="-5"/>
        </w:rPr>
        <w:t>上市公司现金分红》、</w:t>
      </w:r>
    </w:p>
    <w:p>
      <w:pPr>
        <w:pStyle w:val="BodyText"/>
        <w:spacing w:line="201" w:lineRule="exact"/>
        <w:ind w:right="0"/>
        <w:jc w:val="both"/>
      </w:pPr>
      <w:r>
        <w:rPr/>
        <w:t>公司《章程》等相关文件的要求，并结合公司盈利情况及公司未来发展需要制定公司年度利润分配方案，分红标准和比例明</w:t>
      </w:r>
    </w:p>
    <w:p>
      <w:pPr>
        <w:pStyle w:val="BodyText"/>
        <w:spacing w:line="300" w:lineRule="auto" w:before="76"/>
        <w:ind w:right="1129"/>
        <w:jc w:val="both"/>
      </w:pPr>
      <w:r>
        <w:rPr>
          <w:spacing w:val="-3"/>
        </w:rPr>
        <w:t>确、清晰，相关的决策程序和机制完备。</w:t>
      </w:r>
      <w:r>
        <w:rPr>
          <w:rFonts w:ascii="Times New Roman" w:hAnsi="Times New Roman" w:cs="Times New Roman" w:eastAsia="Times New Roman" w:hint="default"/>
          <w:spacing w:val="-3"/>
        </w:rPr>
        <w:t>2018</w:t>
      </w:r>
      <w:r>
        <w:rPr>
          <w:spacing w:val="-3"/>
        </w:rPr>
        <w:t>年，公司制定了《未来三年（</w:t>
      </w:r>
      <w:r>
        <w:rPr>
          <w:rFonts w:ascii="Times New Roman" w:hAnsi="Times New Roman" w:cs="Times New Roman" w:eastAsia="Times New Roman" w:hint="default"/>
          <w:spacing w:val="-3"/>
        </w:rPr>
        <w:t>2018-2020</w:t>
      </w:r>
      <w:r>
        <w:rPr>
          <w:spacing w:val="-3"/>
        </w:rPr>
        <w:t>年）股东回报规划》，并经公司第四届</w:t>
      </w:r>
      <w:r>
        <w:rPr>
          <w:spacing w:val="-50"/>
        </w:rPr>
        <w:t> </w:t>
      </w:r>
      <w:r>
        <w:rPr>
          <w:spacing w:val="-50"/>
        </w:rPr>
      </w:r>
      <w:r>
        <w:rPr/>
        <w:t>董事会第二十次会议及</w:t>
      </w:r>
      <w:r>
        <w:rPr>
          <w:rFonts w:ascii="Times New Roman" w:hAnsi="Times New Roman" w:cs="Times New Roman" w:eastAsia="Times New Roman" w:hint="default"/>
        </w:rPr>
        <w:t>2017</w:t>
      </w:r>
      <w:r>
        <w:rPr/>
        <w:t>年度股东大会审议通过，明确了公司</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-2020</w:t>
      </w:r>
      <w:r>
        <w:rPr/>
        <w:t>年利润分配的具体条件、比例、分配形式等， 健全了有效的股东回报机制。</w:t>
      </w: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397"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70"/>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 是否得到了充分保护：</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71"/>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 透明：</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412" w:lineRule="auto" w:before="72"/>
        <w:ind w:left="514" w:right="0" w:hanging="360"/>
        <w:jc w:val="left"/>
      </w:pPr>
      <w:r>
        <w:rPr/>
        <w:t>公司近</w:t>
      </w:r>
      <w:r>
        <w:rPr>
          <w:spacing w:val="-46"/>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spacing w:val="-3"/>
        </w:rPr>
        <w:t>年（包括本报告期）的普通股股利分配方案（预案）、资本公积金转增股本方案（预案）情况</w:t>
      </w:r>
      <w:r>
        <w:rPr>
          <w:spacing w:val="-58"/>
        </w:rPr>
        <w:t> </w:t>
      </w:r>
      <w:r>
        <w:rPr>
          <w:spacing w:val="-58"/>
        </w:rPr>
      </w:r>
      <w:r>
        <w:rPr>
          <w:rFonts w:ascii="宋体" w:hAnsi="宋体" w:cs="宋体" w:eastAsia="宋体" w:hint="default"/>
          <w:spacing w:val="6"/>
        </w:rPr>
        <w:t>1</w:t>
      </w:r>
      <w:r>
        <w:rPr>
          <w:spacing w:val="6"/>
        </w:rPr>
        <w:t>、公司</w:t>
      </w:r>
      <w:r>
        <w:rPr>
          <w:rFonts w:ascii="宋体" w:hAnsi="宋体" w:cs="宋体" w:eastAsia="宋体" w:hint="default"/>
          <w:spacing w:val="6"/>
        </w:rPr>
        <w:t>2016</w:t>
      </w:r>
      <w:r>
        <w:rPr>
          <w:spacing w:val="6"/>
        </w:rPr>
        <w:t>年度利润分配方案：经大华会计师事务所（特殊普通合伙）审计，公司</w:t>
      </w:r>
      <w:r>
        <w:rPr>
          <w:rFonts w:ascii="宋体" w:hAnsi="宋体" w:cs="宋体" w:eastAsia="宋体" w:hint="default"/>
          <w:spacing w:val="6"/>
        </w:rPr>
        <w:t>2016</w:t>
      </w:r>
      <w:r>
        <w:rPr>
          <w:spacing w:val="6"/>
        </w:rPr>
        <w:t>年度实现的可分配利润为</w:t>
      </w:r>
    </w:p>
    <w:p>
      <w:pPr>
        <w:pStyle w:val="BodyText"/>
        <w:spacing w:line="477" w:lineRule="auto" w:before="103"/>
        <w:ind w:right="1130"/>
        <w:jc w:val="both"/>
      </w:pPr>
      <w:r>
        <w:rPr>
          <w:rFonts w:ascii="宋体" w:hAnsi="宋体" w:cs="宋体" w:eastAsia="宋体" w:hint="default"/>
        </w:rPr>
        <w:t>16,820,012.13</w:t>
      </w:r>
      <w:r>
        <w:rPr/>
        <w:t>元，每股收益为</w:t>
      </w:r>
      <w:r>
        <w:rPr>
          <w:rFonts w:ascii="宋体" w:hAnsi="宋体" w:cs="宋体" w:eastAsia="宋体" w:hint="default"/>
        </w:rPr>
        <w:t>0.04</w:t>
      </w:r>
      <w:r>
        <w:rPr/>
        <w:t>元。经第三届董事会第十四次会议审议通过，公司拟在厦门购买软件园三期的研发楼，</w:t>
      </w:r>
      <w:r>
        <w:rPr>
          <w:spacing w:val="-84"/>
        </w:rPr>
        <w:t> </w:t>
      </w:r>
      <w:r>
        <w:rPr>
          <w:spacing w:val="-84"/>
        </w:rPr>
      </w:r>
      <w:r>
        <w:rPr/>
        <w:t>并于</w:t>
      </w:r>
      <w:r>
        <w:rPr>
          <w:rFonts w:ascii="宋体" w:hAnsi="宋体" w:cs="宋体" w:eastAsia="宋体" w:hint="default"/>
        </w:rPr>
        <w:t>2017</w:t>
      </w:r>
      <w:r>
        <w:rPr/>
        <w:t>年</w:t>
      </w:r>
      <w:r>
        <w:rPr>
          <w:rFonts w:ascii="宋体" w:hAnsi="宋体" w:cs="宋体" w:eastAsia="宋体" w:hint="default"/>
        </w:rPr>
        <w:t>3</w:t>
      </w:r>
      <w:r>
        <w:rPr/>
        <w:t>月</w:t>
      </w:r>
      <w:r>
        <w:rPr>
          <w:rFonts w:ascii="宋体" w:hAnsi="宋体" w:cs="宋体" w:eastAsia="宋体" w:hint="default"/>
        </w:rPr>
        <w:t>15</w:t>
      </w:r>
      <w:r>
        <w:rPr/>
        <w:t>日，与厦门信息集团有限公司签订了认购协议，涉及金额为</w:t>
      </w:r>
      <w:r>
        <w:rPr>
          <w:rFonts w:ascii="宋体" w:hAnsi="宋体" w:cs="宋体" w:eastAsia="宋体" w:hint="default"/>
        </w:rPr>
        <w:t>2.04</w:t>
      </w:r>
      <w:r>
        <w:rPr/>
        <w:t>亿元人民币，占最近一期经审计的公司合</w:t>
      </w:r>
      <w:r>
        <w:rPr>
          <w:spacing w:val="-83"/>
        </w:rPr>
        <w:t> </w:t>
      </w:r>
      <w:r>
        <w:rPr>
          <w:spacing w:val="-83"/>
        </w:rPr>
      </w:r>
      <w:r>
        <w:rPr>
          <w:spacing w:val="-2"/>
        </w:rPr>
        <w:t>并层面净资产的</w:t>
      </w:r>
      <w:r>
        <w:rPr>
          <w:rFonts w:ascii="宋体" w:hAnsi="宋体" w:cs="宋体" w:eastAsia="宋体" w:hint="default"/>
          <w:spacing w:val="-2"/>
        </w:rPr>
        <w:t>15.11%</w:t>
      </w:r>
      <w:r>
        <w:rPr>
          <w:spacing w:val="-2"/>
        </w:rPr>
        <w:t>。为了保证公司后续健康持续稳定发展，公司决定</w:t>
      </w:r>
      <w:r>
        <w:rPr>
          <w:rFonts w:ascii="宋体" w:hAnsi="宋体" w:cs="宋体" w:eastAsia="宋体" w:hint="default"/>
          <w:spacing w:val="-2"/>
        </w:rPr>
        <w:t>2016</w:t>
      </w:r>
      <w:r>
        <w:rPr>
          <w:spacing w:val="-2"/>
        </w:rPr>
        <w:t>年度不进行利润分配，也不进行资本公积金转</w:t>
      </w:r>
      <w:r>
        <w:rPr>
          <w:spacing w:val="-56"/>
        </w:rPr>
        <w:t> </w:t>
      </w:r>
      <w:r>
        <w:rPr>
          <w:spacing w:val="-56"/>
        </w:rPr>
      </w:r>
      <w:r>
        <w:rPr/>
        <w:t>增股本，未分配利润结转至下一年度。</w:t>
      </w:r>
    </w:p>
    <w:p>
      <w:pPr>
        <w:pStyle w:val="BodyText"/>
        <w:spacing w:line="477" w:lineRule="auto" w:before="92"/>
        <w:ind w:right="1131" w:firstLine="360"/>
        <w:jc w:val="both"/>
      </w:pPr>
      <w:r>
        <w:rPr>
          <w:rFonts w:ascii="宋体" w:hAnsi="宋体" w:cs="宋体" w:eastAsia="宋体" w:hint="default"/>
          <w:spacing w:val="-2"/>
        </w:rPr>
        <w:t>2</w:t>
      </w:r>
      <w:r>
        <w:rPr>
          <w:spacing w:val="-2"/>
        </w:rPr>
        <w:t>、公司</w:t>
      </w:r>
      <w:r>
        <w:rPr>
          <w:rFonts w:ascii="宋体" w:hAnsi="宋体" w:cs="宋体" w:eastAsia="宋体" w:hint="default"/>
          <w:spacing w:val="-2"/>
        </w:rPr>
        <w:t>2017</w:t>
      </w:r>
      <w:r>
        <w:rPr>
          <w:spacing w:val="-2"/>
        </w:rPr>
        <w:t>年度利润分配预案：拟以公司截至</w:t>
      </w:r>
      <w:r>
        <w:rPr>
          <w:rFonts w:ascii="宋体" w:hAnsi="宋体" w:cs="宋体" w:eastAsia="宋体" w:hint="default"/>
          <w:spacing w:val="-2"/>
        </w:rPr>
        <w:t>2017</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日总股本</w:t>
      </w:r>
      <w:r>
        <w:rPr>
          <w:rFonts w:ascii="宋体" w:hAnsi="宋体" w:cs="宋体" w:eastAsia="宋体" w:hint="default"/>
          <w:spacing w:val="-2"/>
        </w:rPr>
        <w:t>581,039,204</w:t>
      </w:r>
      <w:r>
        <w:rPr>
          <w:spacing w:val="-2"/>
        </w:rPr>
        <w:t>股为基数，向全体股东每</w:t>
      </w:r>
      <w:r>
        <w:rPr>
          <w:rFonts w:ascii="宋体" w:hAnsi="宋体" w:cs="宋体" w:eastAsia="宋体" w:hint="default"/>
          <w:spacing w:val="-2"/>
        </w:rPr>
        <w:t>10</w:t>
      </w:r>
      <w:r>
        <w:rPr>
          <w:spacing w:val="-2"/>
        </w:rPr>
        <w:t>股派发现</w:t>
      </w:r>
      <w:r>
        <w:rPr/>
        <w:t> </w:t>
      </w:r>
      <w:r>
        <w:rPr>
          <w:spacing w:val="-2"/>
        </w:rPr>
        <w:t>金股利</w:t>
      </w:r>
      <w:r>
        <w:rPr>
          <w:rFonts w:ascii="宋体" w:hAnsi="宋体" w:cs="宋体" w:eastAsia="宋体" w:hint="default"/>
          <w:spacing w:val="-2"/>
        </w:rPr>
        <w:t>0.6</w:t>
      </w:r>
      <w:r>
        <w:rPr>
          <w:spacing w:val="-2"/>
        </w:rPr>
        <w:t>元（含税），共计派发现金</w:t>
      </w:r>
      <w:r>
        <w:rPr>
          <w:rFonts w:ascii="宋体" w:hAnsi="宋体" w:cs="宋体" w:eastAsia="宋体" w:hint="default"/>
          <w:spacing w:val="-2"/>
        </w:rPr>
        <w:t>34,862,352.24</w:t>
      </w:r>
      <w:r>
        <w:rPr>
          <w:spacing w:val="-2"/>
        </w:rPr>
        <w:t>元；不送红股，也不以资本公积金转增股本，剩余未分配利润结转以后</w:t>
      </w:r>
      <w:r>
        <w:rPr>
          <w:spacing w:val="-50"/>
        </w:rPr>
        <w:t> </w:t>
      </w:r>
      <w:r>
        <w:rPr>
          <w:spacing w:val="-50"/>
        </w:rPr>
      </w:r>
      <w:r>
        <w:rPr/>
        <w:t>年度分配。</w:t>
      </w:r>
    </w:p>
    <w:p>
      <w:pPr>
        <w:pStyle w:val="BodyText"/>
        <w:spacing w:line="451" w:lineRule="auto" w:before="92"/>
        <w:ind w:right="1032" w:firstLine="360"/>
        <w:jc w:val="left"/>
      </w:pPr>
      <w:r>
        <w:rPr>
          <w:rFonts w:ascii="宋体" w:hAnsi="宋体" w:cs="宋体" w:eastAsia="宋体" w:hint="default"/>
          <w:spacing w:val="-7"/>
        </w:rPr>
        <w:t>3</w:t>
      </w:r>
      <w:r>
        <w:rPr>
          <w:spacing w:val="-7"/>
        </w:rPr>
        <w:t>、公司</w:t>
      </w:r>
      <w:r>
        <w:rPr>
          <w:rFonts w:ascii="宋体" w:hAnsi="宋体" w:cs="宋体" w:eastAsia="宋体" w:hint="default"/>
          <w:spacing w:val="-7"/>
        </w:rPr>
        <w:t>2018</w:t>
      </w:r>
      <w:r>
        <w:rPr>
          <w:spacing w:val="-7"/>
        </w:rPr>
        <w:t>年度利润分配预案：经亚太会计师事务所（特殊普通合伙）审计，公司</w:t>
      </w:r>
      <w:r>
        <w:rPr>
          <w:rFonts w:ascii="宋体" w:hAnsi="宋体" w:cs="宋体" w:eastAsia="宋体" w:hint="default"/>
          <w:spacing w:val="-7"/>
        </w:rPr>
        <w:t>2018</w:t>
      </w:r>
      <w:r>
        <w:rPr>
          <w:spacing w:val="-7"/>
        </w:rPr>
        <w:t>年度实现的可分配利润为</w:t>
      </w:r>
      <w:r>
        <w:rPr>
          <w:rFonts w:ascii="Times New Roman" w:hAnsi="Times New Roman" w:cs="Times New Roman" w:eastAsia="Times New Roman" w:hint="default"/>
          <w:spacing w:val="-7"/>
        </w:rPr>
        <w:t>-10,280.47</w:t>
      </w:r>
      <w:r>
        <w:rPr>
          <w:rFonts w:ascii="Times New Roman" w:hAnsi="Times New Roman" w:cs="Times New Roman" w:eastAsia="Times New Roman" w:hint="default"/>
        </w:rPr>
        <w:t> </w:t>
      </w:r>
      <w:r>
        <w:rPr/>
        <w:t>万元，不满足公司《章程》规定的现金分红条件，同时结合公司未来资金规划，公司董事会拟定</w:t>
      </w:r>
      <w:r>
        <w:rPr>
          <w:rFonts w:ascii="Times New Roman" w:hAnsi="Times New Roman" w:cs="Times New Roman" w:eastAsia="Times New Roman" w:hint="default"/>
        </w:rPr>
        <w:t>2018</w:t>
      </w:r>
      <w:r>
        <w:rPr/>
        <w:t>年度不进行利润分配， 也不进行资本公积金转增股本。</w:t>
      </w:r>
    </w:p>
    <w:p>
      <w:pPr>
        <w:spacing w:after="0" w:line="451" w:lineRule="auto"/>
        <w:jc w:val="left"/>
        <w:sectPr>
          <w:pgSz w:w="11910" w:h="16840"/>
          <w:pgMar w:header="0" w:footer="1019" w:top="1120" w:bottom="1200" w:left="980" w:right="0"/>
        </w:sectPr>
      </w:pPr>
    </w:p>
    <w:p>
      <w:pPr>
        <w:spacing w:line="240" w:lineRule="auto" w:before="10"/>
        <w:rPr>
          <w:rFonts w:ascii="宋体" w:hAnsi="宋体" w:cs="宋体" w:eastAsia="宋体" w:hint="default"/>
          <w:sz w:val="20"/>
          <w:szCs w:val="20"/>
        </w:rPr>
      </w:pPr>
    </w:p>
    <w:p>
      <w:pPr>
        <w:pStyle w:val="BodyText"/>
        <w:spacing w:line="240" w:lineRule="auto" w:before="44"/>
        <w:ind w:right="0"/>
        <w:jc w:val="left"/>
      </w:pPr>
      <w:r>
        <w:rPr/>
        <w:t>公司近三年（包括本报告期）普通股现金分红情况表</w:t>
      </w:r>
    </w:p>
    <w:p>
      <w:pPr>
        <w:pStyle w:val="BodyText"/>
        <w:spacing w:line="240" w:lineRule="auto" w:before="116"/>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964"/>
        <w:gridCol w:w="1276"/>
        <w:gridCol w:w="1440"/>
        <w:gridCol w:w="1260"/>
        <w:gridCol w:w="1040"/>
        <w:gridCol w:w="1164"/>
        <w:gridCol w:w="1336"/>
        <w:gridCol w:w="1230"/>
      </w:tblGrid>
      <w:tr>
        <w:trPr>
          <w:trHeight w:val="2586" w:hRule="exact"/>
        </w:trPr>
        <w:tc>
          <w:tcPr>
            <w:tcW w:w="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16"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现金分红金 额（含税）</w:t>
            </w:r>
          </w:p>
        </w:tc>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75" w:right="173"/>
              <w:jc w:val="center"/>
              <w:rPr>
                <w:rFonts w:ascii="宋体" w:hAnsi="宋体" w:cs="宋体" w:eastAsia="宋体" w:hint="default"/>
                <w:sz w:val="18"/>
                <w:szCs w:val="18"/>
              </w:rPr>
            </w:pPr>
            <w:r>
              <w:rPr>
                <w:rFonts w:ascii="宋体" w:hAnsi="宋体" w:cs="宋体" w:eastAsia="宋体" w:hint="default"/>
                <w:sz w:val="18"/>
                <w:szCs w:val="18"/>
              </w:rPr>
              <w:t>分红年度合并 报表中归属于 上市公司普通 股股东的净利 润</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75" w:right="173"/>
              <w:jc w:val="center"/>
              <w:rPr>
                <w:rFonts w:ascii="宋体" w:hAnsi="宋体" w:cs="宋体" w:eastAsia="宋体" w:hint="default"/>
                <w:sz w:val="18"/>
                <w:szCs w:val="18"/>
              </w:rPr>
            </w:pPr>
            <w:r>
              <w:rPr>
                <w:rFonts w:ascii="宋体" w:hAnsi="宋体" w:cs="宋体" w:eastAsia="宋体" w:hint="default"/>
                <w:sz w:val="18"/>
                <w:szCs w:val="18"/>
              </w:rPr>
              <w:t>现金分红金 额占合并报 表中归属于 上市公司普 通股股东的 净利润的比 率</w:t>
            </w:r>
          </w:p>
        </w:tc>
        <w:tc>
          <w:tcPr>
            <w:tcW w:w="1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03" w:right="99" w:hanging="1"/>
              <w:jc w:val="center"/>
              <w:rPr>
                <w:rFonts w:ascii="宋体" w:hAnsi="宋体" w:cs="宋体" w:eastAsia="宋体" w:hint="default"/>
                <w:sz w:val="18"/>
                <w:szCs w:val="18"/>
              </w:rPr>
            </w:pPr>
            <w:r>
              <w:rPr>
                <w:rFonts w:ascii="宋体" w:hAnsi="宋体" w:cs="宋体" w:eastAsia="宋体" w:hint="default"/>
                <w:sz w:val="18"/>
                <w:szCs w:val="18"/>
              </w:rPr>
              <w:t>以其他方 </w:t>
            </w:r>
            <w:r>
              <w:rPr>
                <w:rFonts w:ascii="宋体" w:hAnsi="宋体" w:cs="宋体" w:eastAsia="宋体" w:hint="default"/>
                <w:spacing w:val="-15"/>
                <w:sz w:val="18"/>
                <w:szCs w:val="18"/>
              </w:rPr>
              <w:t>式（如回购</w:t>
            </w:r>
            <w:r>
              <w:rPr>
                <w:rFonts w:ascii="宋体" w:hAnsi="宋体" w:cs="宋体" w:eastAsia="宋体" w:hint="default"/>
                <w:sz w:val="18"/>
                <w:szCs w:val="18"/>
              </w:rPr>
              <w:t> </w:t>
            </w:r>
            <w:r>
              <w:rPr>
                <w:rFonts w:ascii="宋体" w:hAnsi="宋体" w:cs="宋体" w:eastAsia="宋体" w:hint="default"/>
                <w:spacing w:val="-15"/>
                <w:sz w:val="18"/>
                <w:szCs w:val="18"/>
              </w:rPr>
              <w:t>股份）现金</w:t>
            </w:r>
            <w:r>
              <w:rPr>
                <w:rFonts w:ascii="宋体" w:hAnsi="宋体" w:cs="宋体" w:eastAsia="宋体" w:hint="default"/>
                <w:sz w:val="18"/>
                <w:szCs w:val="18"/>
              </w:rPr>
              <w:t> 分红的金 额</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7" w:right="125"/>
              <w:jc w:val="center"/>
              <w:rPr>
                <w:rFonts w:ascii="宋体" w:hAnsi="宋体" w:cs="宋体" w:eastAsia="宋体" w:hint="default"/>
                <w:sz w:val="18"/>
                <w:szCs w:val="18"/>
              </w:rPr>
            </w:pPr>
            <w:r>
              <w:rPr>
                <w:rFonts w:ascii="宋体" w:hAnsi="宋体" w:cs="宋体" w:eastAsia="宋体" w:hint="default"/>
                <w:sz w:val="18"/>
                <w:szCs w:val="18"/>
              </w:rPr>
              <w:t>以其他方式 现金分红金 额占合并报 表中归属于 上市公司普 通股股东的 净利润的比 例</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5"/>
              <w:ind w:left="482" w:right="211" w:hanging="270"/>
              <w:jc w:val="left"/>
              <w:rPr>
                <w:rFonts w:ascii="宋体" w:hAnsi="宋体" w:cs="宋体" w:eastAsia="宋体" w:hint="default"/>
                <w:sz w:val="18"/>
                <w:szCs w:val="18"/>
              </w:rPr>
            </w:pPr>
            <w:r>
              <w:rPr>
                <w:rFonts w:ascii="宋体" w:hAnsi="宋体" w:cs="宋体" w:eastAsia="宋体" w:hint="default"/>
                <w:sz w:val="18"/>
                <w:szCs w:val="18"/>
              </w:rPr>
              <w:t>（含其他方 式）</w:t>
            </w:r>
          </w:p>
        </w:tc>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1" w:hanging="2"/>
              <w:jc w:val="center"/>
              <w:rPr>
                <w:rFonts w:ascii="宋体" w:hAnsi="宋体" w:cs="宋体" w:eastAsia="宋体" w:hint="default"/>
                <w:sz w:val="18"/>
                <w:szCs w:val="18"/>
              </w:rPr>
            </w:pPr>
            <w:r>
              <w:rPr>
                <w:rFonts w:ascii="宋体" w:hAnsi="宋体" w:cs="宋体" w:eastAsia="宋体" w:hint="default"/>
                <w:sz w:val="18"/>
                <w:szCs w:val="18"/>
              </w:rPr>
              <w:t>现金分红总 </w:t>
            </w:r>
            <w:r>
              <w:rPr>
                <w:rFonts w:ascii="宋体" w:hAnsi="宋体" w:cs="宋体" w:eastAsia="宋体" w:hint="default"/>
                <w:spacing w:val="-12"/>
                <w:sz w:val="18"/>
                <w:szCs w:val="18"/>
              </w:rPr>
              <w:t>额（含其他方</w:t>
            </w:r>
            <w:r>
              <w:rPr>
                <w:rFonts w:ascii="宋体" w:hAnsi="宋体" w:cs="宋体" w:eastAsia="宋体" w:hint="default"/>
                <w:sz w:val="18"/>
                <w:szCs w:val="18"/>
              </w:rPr>
              <w:t> </w:t>
            </w:r>
            <w:r>
              <w:rPr>
                <w:rFonts w:ascii="宋体" w:hAnsi="宋体" w:cs="宋体" w:eastAsia="宋体" w:hint="default"/>
                <w:spacing w:val="-12"/>
                <w:sz w:val="18"/>
                <w:szCs w:val="18"/>
              </w:rPr>
              <w:t>式）占合并报</w:t>
            </w:r>
            <w:r>
              <w:rPr>
                <w:rFonts w:ascii="宋体" w:hAnsi="宋体" w:cs="宋体" w:eastAsia="宋体" w:hint="default"/>
                <w:sz w:val="18"/>
                <w:szCs w:val="18"/>
              </w:rPr>
              <w:t> 表中归属于 上市公司普 通股股东的 净利润的比 率</w:t>
            </w:r>
          </w:p>
        </w:tc>
      </w:tr>
      <w:tr>
        <w:trPr>
          <w:trHeight w:val="402" w:hRule="exact"/>
        </w:trPr>
        <w:tc>
          <w:tcPr>
            <w:tcW w:w="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-102,804,664.07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34,862,352.24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20,490,737.56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170.14%</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34,862,352.24</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170.14%</w:t>
            </w:r>
          </w:p>
        </w:tc>
      </w:tr>
      <w:tr>
        <w:trPr>
          <w:trHeight w:val="402" w:hRule="exact"/>
        </w:trPr>
        <w:tc>
          <w:tcPr>
            <w:tcW w:w="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16,820,012.13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0.00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0"/>
        <w:jc w:val="left"/>
      </w:pPr>
      <w:r>
        <w:rPr/>
        <w:t>公司报告期内盈利且母公司可供普通股股东分配利润为正但未提出普通股现金红利分配预案</w:t>
      </w:r>
    </w:p>
    <w:p>
      <w:pPr>
        <w:pStyle w:val="BodyText"/>
        <w:spacing w:line="240" w:lineRule="auto" w:before="117"/>
        <w:ind w:right="0"/>
        <w:jc w:val="left"/>
      </w:pPr>
      <w:r>
        <w:rPr/>
        <w:t>□ 适用 √ 不适用</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二、本报告期利润分配及资本公积金转增股本预案情况" w:id="65"/>
      <w:bookmarkEnd w:id="65"/>
      <w:r>
        <w:rPr>
          <w:b w:val="0"/>
          <w:bCs w:val="0"/>
        </w:rPr>
      </w:r>
      <w:r>
        <w:rPr/>
        <w:t>二、本报告期利润分配及资本公积金转增股本预案情况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5532"/>
        <w:jc w:val="left"/>
      </w:pPr>
      <w:r>
        <w:rPr/>
        <w:t>□ 适用 √ 不适用 公司计划年度不派发现金红利，不送红股，不以公积金转增股本。</w:t>
      </w:r>
    </w:p>
    <w:p>
      <w:pPr>
        <w:spacing w:after="0" w:line="357" w:lineRule="auto"/>
        <w:jc w:val="left"/>
        <w:sectPr>
          <w:pgSz w:w="11910" w:h="16840"/>
          <w:pgMar w:header="0" w:footer="1019" w:top="1120" w:bottom="1200" w:left="980" w:right="0"/>
        </w:sectPr>
      </w:pPr>
    </w:p>
    <w:p>
      <w:pPr>
        <w:spacing w:line="20" w:lineRule="exact"/>
        <w:ind w:left="385" w:right="0" w:firstLine="0"/>
        <w:rPr>
          <w:rFonts w:ascii="宋体" w:hAnsi="宋体" w:cs="宋体" w:eastAsia="宋体" w:hint="default"/>
          <w:sz w:val="2"/>
          <w:szCs w:val="2"/>
        </w:rPr>
      </w:pPr>
      <w:r>
        <w:rPr/>
        <w:pict>
          <v:shape style="position:absolute;margin-left:589.234558pt;margin-top:570.43042pt;width:42.067787pt;height:18.946561pt;mso-position-horizontal-relative:page;mso-position-vertical-relative:page;z-index:1264" type="#_x0000_t75" stroked="false">
            <v:imagedata r:id="rId26" o:title=""/>
          </v:shape>
        </w:pict>
      </w: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pStyle w:val="Heading2"/>
        <w:spacing w:line="240" w:lineRule="auto" w:before="11"/>
        <w:ind w:left="420" w:right="0"/>
        <w:jc w:val="left"/>
        <w:rPr>
          <w:b w:val="0"/>
          <w:bCs w:val="0"/>
        </w:rPr>
      </w:pPr>
      <w:bookmarkStart w:name="三、承诺事项履行情况" w:id="66"/>
      <w:bookmarkEnd w:id="66"/>
      <w:r>
        <w:rPr>
          <w:b w:val="0"/>
          <w:bCs w:val="0"/>
        </w:rPr>
      </w:r>
      <w:r>
        <w:rPr/>
        <w:t>三、承诺事项履行情况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420" w:right="0"/>
        <w:jc w:val="left"/>
        <w:rPr>
          <w:b w:val="0"/>
          <w:bCs w:val="0"/>
        </w:rPr>
      </w:pPr>
      <w:bookmarkStart w:name="1、公司实际控制人、股东、关联方、收购人以及公司等承诺相关方在报告期内履行完毕及" w:id="67"/>
      <w:bookmarkEnd w:id="67"/>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、公司实际控制人、股东、关联方、收购人以及公司等承诺相关方在报告期内履行完毕及截至报告期末尚未履行完毕的承诺事项</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420" w:right="0"/>
        <w:jc w:val="left"/>
      </w:pPr>
      <w:r>
        <w:rPr/>
        <w:t>√ 适用 □ 不适用</w:t>
      </w:r>
    </w:p>
    <w:p>
      <w:pPr>
        <w:spacing w:line="240" w:lineRule="auto" w:before="0"/>
        <w:rPr>
          <w:rFonts w:ascii="宋体" w:hAnsi="宋体" w:cs="宋体" w:eastAsia="宋体" w:hint="default"/>
          <w:sz w:val="8"/>
          <w:szCs w:val="8"/>
        </w:rPr>
      </w:pPr>
    </w:p>
    <w:tbl>
      <w:tblPr>
        <w:tblW w:w="0" w:type="auto"/>
        <w:jc w:val="left"/>
        <w:tblInd w:w="415" w:type="dxa"/>
        <w:tblLayout w:type="fixed"/>
        <w:tblCellMar>
          <w:top w:w="0" w:type="dxa"/>
          <w:left w:w="0" w:type="dxa"/>
          <w:bottom w:w="0" w:type="dxa"/>
          <w:right w:w="0" w:type="dxa"/>
        </w:tblCellMar>
        <w:tblLook w:val="01E0"/>
      </w:tblPr>
      <w:tblGrid>
        <w:gridCol w:w="2570"/>
        <w:gridCol w:w="2190"/>
        <w:gridCol w:w="1050"/>
        <w:gridCol w:w="3735"/>
        <w:gridCol w:w="1366"/>
        <w:gridCol w:w="1350"/>
        <w:gridCol w:w="1710"/>
      </w:tblGrid>
      <w:tr>
        <w:trPr>
          <w:trHeight w:val="401" w:hRule="exact"/>
        </w:trPr>
        <w:tc>
          <w:tcPr>
            <w:tcW w:w="2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承诺事由</w:t>
            </w:r>
          </w:p>
        </w:tc>
        <w:tc>
          <w:tcPr>
            <w:tcW w:w="2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承诺方</w:t>
            </w:r>
          </w:p>
        </w:tc>
        <w:tc>
          <w:tcPr>
            <w:tcW w:w="10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9"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3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6"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3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09"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0"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402" w:hRule="exact"/>
        </w:trPr>
        <w:tc>
          <w:tcPr>
            <w:tcW w:w="2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219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3735"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14"/>
              <w:jc w:val="left"/>
              <w:rPr>
                <w:rFonts w:ascii="宋体" w:hAnsi="宋体" w:cs="宋体" w:eastAsia="宋体" w:hint="default"/>
                <w:sz w:val="18"/>
                <w:szCs w:val="18"/>
              </w:rPr>
            </w:pPr>
            <w:r>
              <w:rPr>
                <w:rFonts w:ascii="宋体" w:hAnsi="宋体" w:cs="宋体" w:eastAsia="宋体" w:hint="default"/>
                <w:sz w:val="18"/>
                <w:szCs w:val="18"/>
              </w:rPr>
              <w:t>收购报告书或权益变动报告书 中所作承诺</w:t>
            </w:r>
          </w:p>
        </w:tc>
        <w:tc>
          <w:tcPr>
            <w:tcW w:w="219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3735"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219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3735"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2274" w:hRule="exact"/>
        </w:trPr>
        <w:tc>
          <w:tcPr>
            <w:tcW w:w="25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9" w:lineRule="auto"/>
              <w:ind w:left="103" w:right="114"/>
              <w:jc w:val="left"/>
              <w:rPr>
                <w:rFonts w:ascii="宋体" w:hAnsi="宋体" w:cs="宋体" w:eastAsia="宋体" w:hint="default"/>
                <w:sz w:val="18"/>
                <w:szCs w:val="18"/>
              </w:rPr>
            </w:pPr>
            <w:r>
              <w:rPr>
                <w:rFonts w:ascii="宋体" w:hAnsi="宋体" w:cs="宋体" w:eastAsia="宋体" w:hint="default"/>
                <w:sz w:val="18"/>
                <w:szCs w:val="18"/>
              </w:rPr>
              <w:t>首次公开发行或再融资时所作 承诺</w:t>
            </w:r>
          </w:p>
        </w:tc>
        <w:tc>
          <w:tcPr>
            <w:tcW w:w="2190"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3"/>
              <w:ind w:left="103" w:right="101"/>
              <w:jc w:val="left"/>
              <w:rPr>
                <w:rFonts w:ascii="宋体" w:hAnsi="宋体" w:cs="宋体" w:eastAsia="宋体" w:hint="default"/>
                <w:sz w:val="18"/>
                <w:szCs w:val="18"/>
              </w:rPr>
            </w:pPr>
            <w:r>
              <w:rPr>
                <w:rFonts w:ascii="宋体" w:hAnsi="宋体" w:cs="宋体" w:eastAsia="宋体" w:hint="default"/>
                <w:sz w:val="18"/>
                <w:szCs w:val="18"/>
              </w:rPr>
              <w:t>李超</w:t>
            </w:r>
            <w:r>
              <w:rPr>
                <w:rFonts w:ascii="Times New Roman" w:hAnsi="Times New Roman" w:cs="Times New Roman" w:eastAsia="Times New Roman" w:hint="default"/>
                <w:sz w:val="18"/>
                <w:szCs w:val="18"/>
              </w:rPr>
              <w:t>;</w:t>
            </w:r>
            <w:r>
              <w:rPr>
                <w:rFonts w:ascii="宋体" w:hAnsi="宋体" w:cs="宋体" w:eastAsia="宋体" w:hint="default"/>
                <w:sz w:val="18"/>
                <w:szCs w:val="18"/>
              </w:rPr>
              <w:t>深圳市聚睿投资管 </w:t>
            </w:r>
            <w:r>
              <w:rPr>
                <w:rFonts w:ascii="宋体" w:hAnsi="宋体" w:cs="宋体" w:eastAsia="宋体" w:hint="default"/>
                <w:spacing w:val="-5"/>
                <w:sz w:val="18"/>
                <w:szCs w:val="18"/>
              </w:rPr>
              <w:t>理企业（有限合伙）</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深圳</w:t>
            </w:r>
            <w:r>
              <w:rPr>
                <w:rFonts w:ascii="宋体" w:hAnsi="宋体" w:cs="宋体" w:eastAsia="宋体" w:hint="default"/>
                <w:spacing w:val="-86"/>
                <w:sz w:val="18"/>
                <w:szCs w:val="18"/>
              </w:rPr>
              <w:t> </w:t>
            </w:r>
            <w:r>
              <w:rPr>
                <w:rFonts w:ascii="宋体" w:hAnsi="宋体" w:cs="宋体" w:eastAsia="宋体" w:hint="default"/>
                <w:sz w:val="18"/>
                <w:szCs w:val="18"/>
              </w:rPr>
              <w:t>市上元星晖电子产业股 权投资基金企业（有限合</w:t>
            </w:r>
            <w:r>
              <w:rPr>
                <w:rFonts w:ascii="宋体" w:hAnsi="宋体" w:cs="宋体" w:eastAsia="宋体" w:hint="default"/>
                <w:sz w:val="18"/>
                <w:szCs w:val="18"/>
              </w:rPr>
              <w:t> </w:t>
            </w:r>
            <w:r>
              <w:rPr>
                <w:rFonts w:ascii="宋体" w:hAnsi="宋体" w:cs="宋体" w:eastAsia="宋体" w:hint="default"/>
                <w:spacing w:val="-5"/>
                <w:sz w:val="18"/>
                <w:szCs w:val="18"/>
              </w:rPr>
              <w:t>伙）</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深圳市中科祥瑞资本</w:t>
            </w:r>
            <w:r>
              <w:rPr>
                <w:rFonts w:ascii="宋体" w:hAnsi="宋体" w:cs="宋体" w:eastAsia="宋体" w:hint="default"/>
                <w:spacing w:val="-87"/>
                <w:sz w:val="18"/>
                <w:szCs w:val="18"/>
              </w:rPr>
              <w:t> </w:t>
            </w:r>
            <w:r>
              <w:rPr>
                <w:rFonts w:ascii="宋体" w:hAnsi="宋体" w:cs="宋体" w:eastAsia="宋体" w:hint="default"/>
                <w:sz w:val="18"/>
                <w:szCs w:val="18"/>
              </w:rPr>
              <w:t>管理合伙企业（有限合 伙）</w:t>
            </w:r>
            <w:r>
              <w:rPr>
                <w:rFonts w:ascii="Times New Roman" w:hAnsi="Times New Roman" w:cs="Times New Roman" w:eastAsia="Times New Roman" w:hint="default"/>
                <w:sz w:val="18"/>
                <w:szCs w:val="18"/>
              </w:rPr>
              <w:t>;</w:t>
            </w:r>
            <w:r>
              <w:rPr>
                <w:rFonts w:ascii="宋体" w:hAnsi="宋体" w:cs="宋体" w:eastAsia="宋体" w:hint="default"/>
                <w:sz w:val="18"/>
                <w:szCs w:val="18"/>
              </w:rPr>
              <w:t>王卫</w:t>
            </w:r>
            <w:r>
              <w:rPr>
                <w:rFonts w:ascii="Times New Roman" w:hAnsi="Times New Roman" w:cs="Times New Roman" w:eastAsia="Times New Roman" w:hint="default"/>
                <w:sz w:val="18"/>
                <w:szCs w:val="18"/>
              </w:rPr>
              <w:t>;</w:t>
            </w:r>
            <w:r>
              <w:rPr>
                <w:rFonts w:ascii="宋体" w:hAnsi="宋体" w:cs="宋体" w:eastAsia="宋体" w:hint="default"/>
                <w:sz w:val="18"/>
                <w:szCs w:val="18"/>
              </w:rPr>
              <w:t>王杏才</w:t>
            </w:r>
            <w:r>
              <w:rPr>
                <w:rFonts w:ascii="Times New Roman" w:hAnsi="Times New Roman" w:cs="Times New Roman" w:eastAsia="Times New Roman" w:hint="default"/>
                <w:sz w:val="18"/>
                <w:szCs w:val="18"/>
              </w:rPr>
              <w:t>;</w:t>
            </w:r>
            <w:r>
              <w:rPr>
                <w:rFonts w:ascii="宋体" w:hAnsi="宋体" w:cs="宋体" w:eastAsia="宋体" w:hint="default"/>
                <w:sz w:val="18"/>
                <w:szCs w:val="18"/>
              </w:rPr>
              <w:t>夏传武</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03" w:right="215"/>
              <w:jc w:val="left"/>
              <w:rPr>
                <w:rFonts w:ascii="宋体" w:hAnsi="宋体" w:cs="宋体" w:eastAsia="宋体" w:hint="default"/>
                <w:sz w:val="18"/>
                <w:szCs w:val="18"/>
              </w:rPr>
            </w:pPr>
            <w:r>
              <w:rPr>
                <w:rFonts w:ascii="宋体" w:hAnsi="宋体" w:cs="宋体" w:eastAsia="宋体" w:hint="default"/>
                <w:sz w:val="18"/>
                <w:szCs w:val="18"/>
              </w:rPr>
              <w:t>股份限售 承诺</w:t>
            </w:r>
          </w:p>
        </w:tc>
        <w:tc>
          <w:tcPr>
            <w:tcW w:w="3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103" w:right="21"/>
              <w:jc w:val="left"/>
              <w:rPr>
                <w:rFonts w:ascii="宋体" w:hAnsi="宋体" w:cs="宋体" w:eastAsia="宋体" w:hint="default"/>
                <w:sz w:val="18"/>
                <w:szCs w:val="18"/>
              </w:rPr>
            </w:pPr>
            <w:r>
              <w:rPr>
                <w:rFonts w:ascii="宋体" w:hAnsi="宋体" w:cs="宋体" w:eastAsia="宋体" w:hint="default"/>
                <w:sz w:val="18"/>
                <w:szCs w:val="18"/>
              </w:rPr>
              <w:t>自深圳市卓翼科技股份有限公司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年度非 公开发行上市之日起三十六个月内本人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 司承诺不转让本次非公开发行所认购的股份。</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3" w:right="155"/>
              <w:jc w:val="both"/>
              <w:rPr>
                <w:rFonts w:ascii="宋体" w:hAnsi="宋体" w:cs="宋体" w:eastAsia="宋体" w:hint="default"/>
                <w:sz w:val="18"/>
                <w:szCs w:val="18"/>
              </w:rPr>
            </w:pPr>
            <w:r>
              <w:rPr>
                <w:rFonts w:ascii="宋体" w:hAnsi="宋体" w:cs="宋体" w:eastAsia="宋体" w:hint="default"/>
                <w:sz w:val="18"/>
                <w:szCs w:val="18"/>
              </w:rPr>
              <w:t>承诺人未有违反承 诺的情况，该承诺 事项正常履行中。</w:t>
            </w:r>
          </w:p>
        </w:tc>
      </w:tr>
      <w:tr>
        <w:trPr>
          <w:trHeight w:val="2274" w:hRule="exact"/>
        </w:trPr>
        <w:tc>
          <w:tcPr>
            <w:tcW w:w="2570" w:type="dxa"/>
            <w:vMerge/>
            <w:tcBorders>
              <w:left w:val="single" w:sz="4" w:space="0" w:color="000000"/>
              <w:right w:val="single" w:sz="4" w:space="0" w:color="000000"/>
            </w:tcBorders>
            <w:shd w:val="clear" w:color="auto" w:fill="D2D2D2"/>
          </w:tcPr>
          <w:p>
            <w:pPr/>
          </w:p>
        </w:tc>
        <w:tc>
          <w:tcPr>
            <w:tcW w:w="2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夏传武</w:t>
            </w:r>
            <w:r>
              <w:rPr>
                <w:rFonts w:ascii="Times New Roman" w:hAnsi="Times New Roman" w:cs="Times New Roman" w:eastAsia="Times New Roman" w:hint="default"/>
                <w:sz w:val="18"/>
                <w:szCs w:val="18"/>
              </w:rPr>
              <w:t>;</w:t>
            </w:r>
            <w:r>
              <w:rPr>
                <w:rFonts w:ascii="宋体" w:hAnsi="宋体" w:cs="宋体" w:eastAsia="宋体" w:hint="default"/>
                <w:sz w:val="18"/>
                <w:szCs w:val="18"/>
              </w:rPr>
              <w:t>魏代英</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103" w:right="215"/>
              <w:jc w:val="left"/>
              <w:rPr>
                <w:rFonts w:ascii="宋体" w:hAnsi="宋体" w:cs="宋体" w:eastAsia="宋体" w:hint="default"/>
                <w:sz w:val="18"/>
                <w:szCs w:val="18"/>
              </w:rPr>
            </w:pPr>
            <w:r>
              <w:rPr>
                <w:rFonts w:ascii="宋体" w:hAnsi="宋体" w:cs="宋体" w:eastAsia="宋体" w:hint="default"/>
                <w:sz w:val="18"/>
                <w:szCs w:val="18"/>
              </w:rPr>
              <w:t>股份限售 承诺</w:t>
            </w:r>
          </w:p>
        </w:tc>
        <w:tc>
          <w:tcPr>
            <w:tcW w:w="373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21"/>
              <w:jc w:val="left"/>
              <w:rPr>
                <w:rFonts w:ascii="宋体" w:hAnsi="宋体" w:cs="宋体" w:eastAsia="宋体" w:hint="default"/>
                <w:sz w:val="18"/>
                <w:szCs w:val="18"/>
              </w:rPr>
            </w:pPr>
            <w:r>
              <w:rPr>
                <w:rFonts w:ascii="宋体" w:hAnsi="宋体" w:cs="宋体" w:eastAsia="宋体" w:hint="default"/>
                <w:sz w:val="18"/>
                <w:szCs w:val="18"/>
              </w:rPr>
              <w:t>自股票上市之日起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个月内，不转让或者委 </w:t>
            </w:r>
            <w:r>
              <w:rPr>
                <w:rFonts w:ascii="宋体" w:hAnsi="宋体" w:cs="宋体" w:eastAsia="宋体" w:hint="default"/>
                <w:spacing w:val="-5"/>
                <w:sz w:val="18"/>
                <w:szCs w:val="18"/>
              </w:rPr>
              <w:t>托他人管理其直接和间接持有的公司股份，也</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不由公司收购该部分股份。前述限售期满后， 其所持发行人股份在其任职期间每年转让的 比例不超过所持股份总数的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；其所持发 行人股份在其离职后法规规定的限售期内不 转让。</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03" w:right="155"/>
              <w:jc w:val="both"/>
              <w:rPr>
                <w:rFonts w:ascii="宋体" w:hAnsi="宋体" w:cs="宋体" w:eastAsia="宋体" w:hint="default"/>
                <w:sz w:val="18"/>
                <w:szCs w:val="18"/>
              </w:rPr>
            </w:pPr>
            <w:r>
              <w:rPr>
                <w:rFonts w:ascii="宋体" w:hAnsi="宋体" w:cs="宋体" w:eastAsia="宋体" w:hint="default"/>
                <w:sz w:val="18"/>
                <w:szCs w:val="18"/>
              </w:rPr>
              <w:t>在其任职期间 及离职后法规 规定的限售期 内，该承诺持 续有效。</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03" w:right="155"/>
              <w:jc w:val="both"/>
              <w:rPr>
                <w:rFonts w:ascii="宋体" w:hAnsi="宋体" w:cs="宋体" w:eastAsia="宋体" w:hint="default"/>
                <w:sz w:val="18"/>
                <w:szCs w:val="18"/>
              </w:rPr>
            </w:pPr>
            <w:r>
              <w:rPr>
                <w:rFonts w:ascii="宋体" w:hAnsi="宋体" w:cs="宋体" w:eastAsia="宋体" w:hint="default"/>
                <w:sz w:val="18"/>
                <w:szCs w:val="18"/>
              </w:rPr>
              <w:t>报告期内，承诺人 未有违反承诺的情 况，该承诺事项正 在履行中。</w:t>
            </w:r>
          </w:p>
        </w:tc>
      </w:tr>
      <w:tr>
        <w:trPr>
          <w:trHeight w:val="1338" w:hRule="exact"/>
        </w:trPr>
        <w:tc>
          <w:tcPr>
            <w:tcW w:w="2570" w:type="dxa"/>
            <w:vMerge/>
            <w:tcBorders>
              <w:left w:val="single" w:sz="4" w:space="0" w:color="000000"/>
              <w:bottom w:val="single" w:sz="4" w:space="0" w:color="000000"/>
              <w:right w:val="single" w:sz="4" w:space="0" w:color="000000"/>
            </w:tcBorders>
            <w:shd w:val="clear" w:color="auto" w:fill="D2D2D2"/>
          </w:tcPr>
          <w:p>
            <w:pPr/>
          </w:p>
        </w:tc>
        <w:tc>
          <w:tcPr>
            <w:tcW w:w="2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胡爱武</w:t>
            </w:r>
            <w:r>
              <w:rPr>
                <w:rFonts w:ascii="Times New Roman" w:hAnsi="Times New Roman" w:cs="Times New Roman" w:eastAsia="Times New Roman" w:hint="default"/>
                <w:sz w:val="18"/>
                <w:szCs w:val="18"/>
              </w:rPr>
              <w:t>;</w:t>
            </w:r>
            <w:r>
              <w:rPr>
                <w:rFonts w:ascii="宋体" w:hAnsi="宋体" w:cs="宋体" w:eastAsia="宋体" w:hint="default"/>
                <w:sz w:val="18"/>
                <w:szCs w:val="18"/>
              </w:rPr>
              <w:t>魏代英</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103" w:right="101"/>
              <w:jc w:val="left"/>
              <w:rPr>
                <w:rFonts w:ascii="宋体" w:hAnsi="宋体" w:cs="宋体" w:eastAsia="宋体" w:hint="default"/>
                <w:sz w:val="18"/>
                <w:szCs w:val="18"/>
              </w:rPr>
            </w:pPr>
            <w:r>
              <w:rPr>
                <w:rFonts w:ascii="宋体" w:hAnsi="宋体" w:cs="宋体" w:eastAsia="宋体" w:hint="default"/>
                <w:sz w:val="18"/>
                <w:szCs w:val="18"/>
              </w:rPr>
              <w:t>关于同业 </w:t>
            </w:r>
            <w:r>
              <w:rPr>
                <w:rFonts w:ascii="宋体" w:hAnsi="宋体" w:cs="宋体" w:eastAsia="宋体" w:hint="default"/>
                <w:spacing w:val="-14"/>
                <w:sz w:val="18"/>
                <w:szCs w:val="18"/>
              </w:rPr>
              <w:t>竞争、关联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4"/>
                <w:sz w:val="18"/>
                <w:szCs w:val="18"/>
              </w:rPr>
              <w:t>交易、资金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占用方面</w:t>
            </w:r>
          </w:p>
        </w:tc>
        <w:tc>
          <w:tcPr>
            <w:tcW w:w="373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1"/>
              <w:jc w:val="left"/>
              <w:rPr>
                <w:rFonts w:ascii="宋体" w:hAnsi="宋体" w:cs="宋体" w:eastAsia="宋体" w:hint="default"/>
                <w:sz w:val="18"/>
                <w:szCs w:val="18"/>
              </w:rPr>
            </w:pPr>
            <w:r>
              <w:rPr>
                <w:rFonts w:ascii="宋体" w:hAnsi="宋体" w:cs="宋体" w:eastAsia="宋体" w:hint="default"/>
                <w:sz w:val="18"/>
                <w:szCs w:val="18"/>
              </w:rPr>
              <w:t>本人及本人近亲属在本人任职期间及离职后 </w:t>
            </w:r>
            <w:r>
              <w:rPr>
                <w:rFonts w:ascii="宋体" w:hAnsi="宋体" w:cs="宋体" w:eastAsia="宋体" w:hint="default"/>
                <w:spacing w:val="-5"/>
                <w:sz w:val="18"/>
                <w:szCs w:val="18"/>
              </w:rPr>
              <w:t>半年内，不从事自营或为他人经营与公司同类</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5"/>
                <w:sz w:val="18"/>
                <w:szCs w:val="18"/>
              </w:rPr>
              <w:t>的业务，也不从事与公司利益发生冲突的对外</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投资。</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155"/>
              <w:jc w:val="both"/>
              <w:rPr>
                <w:rFonts w:ascii="宋体" w:hAnsi="宋体" w:cs="宋体" w:eastAsia="宋体" w:hint="default"/>
                <w:sz w:val="18"/>
                <w:szCs w:val="18"/>
              </w:rPr>
            </w:pPr>
            <w:r>
              <w:rPr>
                <w:rFonts w:ascii="宋体" w:hAnsi="宋体" w:cs="宋体" w:eastAsia="宋体" w:hint="default"/>
                <w:sz w:val="18"/>
                <w:szCs w:val="18"/>
              </w:rPr>
              <w:t>在其任职期间 及离职后半年 内有效。</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55"/>
              <w:jc w:val="both"/>
              <w:rPr>
                <w:rFonts w:ascii="宋体" w:hAnsi="宋体" w:cs="宋体" w:eastAsia="宋体" w:hint="default"/>
                <w:sz w:val="18"/>
                <w:szCs w:val="18"/>
              </w:rPr>
            </w:pPr>
            <w:r>
              <w:rPr>
                <w:rFonts w:ascii="宋体" w:hAnsi="宋体" w:cs="宋体" w:eastAsia="宋体" w:hint="default"/>
                <w:sz w:val="18"/>
                <w:szCs w:val="18"/>
              </w:rPr>
              <w:t>报告期内。承诺人 未有违反承诺的情 况，该承诺正在履 行中。</w:t>
            </w:r>
          </w:p>
        </w:tc>
      </w:tr>
    </w:tbl>
    <w:p>
      <w:pPr>
        <w:spacing w:after="0" w:line="319" w:lineRule="auto"/>
        <w:jc w:val="both"/>
        <w:rPr>
          <w:rFonts w:ascii="宋体" w:hAnsi="宋体" w:cs="宋体" w:eastAsia="宋体" w:hint="default"/>
          <w:sz w:val="18"/>
          <w:szCs w:val="18"/>
        </w:rPr>
        <w:sectPr>
          <w:headerReference w:type="default" r:id="rId32"/>
          <w:footerReference w:type="default" r:id="rId33"/>
          <w:pgSz w:w="16840" w:h="11910" w:orient="landscape"/>
          <w:pgMar w:header="907" w:footer="1019" w:top="1100" w:bottom="1200" w:left="1020" w:right="1300"/>
        </w:sect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3"/>
          <w:szCs w:val="3"/>
        </w:rPr>
      </w:pPr>
    </w:p>
    <w:tbl>
      <w:tblPr>
        <w:tblW w:w="0" w:type="auto"/>
        <w:jc w:val="left"/>
        <w:tblInd w:w="135" w:type="dxa"/>
        <w:tblLayout w:type="fixed"/>
        <w:tblCellMar>
          <w:top w:w="0" w:type="dxa"/>
          <w:left w:w="0" w:type="dxa"/>
          <w:bottom w:w="0" w:type="dxa"/>
          <w:right w:w="0" w:type="dxa"/>
        </w:tblCellMar>
        <w:tblLook w:val="01E0"/>
      </w:tblPr>
      <w:tblGrid>
        <w:gridCol w:w="2570"/>
        <w:gridCol w:w="2190"/>
        <w:gridCol w:w="1050"/>
        <w:gridCol w:w="3735"/>
        <w:gridCol w:w="1366"/>
        <w:gridCol w:w="1350"/>
        <w:gridCol w:w="1710"/>
      </w:tblGrid>
      <w:tr>
        <w:trPr>
          <w:trHeight w:val="361" w:hRule="exact"/>
        </w:trPr>
        <w:tc>
          <w:tcPr>
            <w:tcW w:w="2570" w:type="dxa"/>
            <w:vMerge w:val="restart"/>
            <w:tcBorders>
              <w:top w:val="single" w:sz="4" w:space="0" w:color="000000"/>
              <w:left w:val="single" w:sz="4" w:space="0" w:color="000000"/>
              <w:right w:val="single" w:sz="4" w:space="0" w:color="000000"/>
            </w:tcBorders>
            <w:shd w:val="clear" w:color="auto" w:fill="D2D2D2"/>
          </w:tcPr>
          <w:p>
            <w:pPr/>
          </w:p>
        </w:tc>
        <w:tc>
          <w:tcPr>
            <w:tcW w:w="219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的承诺</w:t>
            </w:r>
          </w:p>
        </w:tc>
        <w:tc>
          <w:tcPr>
            <w:tcW w:w="3735"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3210" w:hRule="exact"/>
        </w:trPr>
        <w:tc>
          <w:tcPr>
            <w:tcW w:w="2570" w:type="dxa"/>
            <w:vMerge/>
            <w:tcBorders>
              <w:left w:val="single" w:sz="4" w:space="0" w:color="000000"/>
              <w:right w:val="single" w:sz="4" w:space="0" w:color="000000"/>
            </w:tcBorders>
            <w:shd w:val="clear" w:color="auto" w:fill="D2D2D2"/>
          </w:tcPr>
          <w:p>
            <w:pPr/>
          </w:p>
        </w:tc>
        <w:tc>
          <w:tcPr>
            <w:tcW w:w="2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夏传武</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03" w:right="101"/>
              <w:jc w:val="left"/>
              <w:rPr>
                <w:rFonts w:ascii="宋体" w:hAnsi="宋体" w:cs="宋体" w:eastAsia="宋体" w:hint="default"/>
                <w:sz w:val="18"/>
                <w:szCs w:val="18"/>
              </w:rPr>
            </w:pPr>
            <w:r>
              <w:rPr>
                <w:rFonts w:ascii="宋体" w:hAnsi="宋体" w:cs="宋体" w:eastAsia="宋体" w:hint="default"/>
                <w:sz w:val="18"/>
                <w:szCs w:val="18"/>
              </w:rPr>
              <w:t>关于同业 </w:t>
            </w:r>
            <w:r>
              <w:rPr>
                <w:rFonts w:ascii="宋体" w:hAnsi="宋体" w:cs="宋体" w:eastAsia="宋体" w:hint="default"/>
                <w:spacing w:val="-14"/>
                <w:sz w:val="18"/>
                <w:szCs w:val="18"/>
              </w:rPr>
              <w:t>竞争、关联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4"/>
                <w:sz w:val="18"/>
                <w:szCs w:val="18"/>
              </w:rPr>
              <w:t>交易、资金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占用方面 的承诺</w:t>
            </w:r>
          </w:p>
        </w:tc>
        <w:tc>
          <w:tcPr>
            <w:tcW w:w="373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3"/>
              <w:ind w:left="103" w:right="21"/>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、本人将不在中国境内外以任何方式直接或 </w:t>
            </w:r>
            <w:r>
              <w:rPr>
                <w:rFonts w:ascii="宋体" w:hAnsi="宋体" w:cs="宋体" w:eastAsia="宋体" w:hint="default"/>
                <w:spacing w:val="-5"/>
                <w:sz w:val="18"/>
                <w:szCs w:val="18"/>
              </w:rPr>
              <w:t>间接从事或参与任何与公司相同、相似或在商</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5"/>
                <w:sz w:val="18"/>
                <w:szCs w:val="18"/>
              </w:rPr>
              <w:t>业上构成任何竞争的业务及活动，或拥有与公</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5"/>
                <w:sz w:val="18"/>
                <w:szCs w:val="18"/>
              </w:rPr>
              <w:t>司存在竞争关系的任何经济实体、机构、经济</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5"/>
                <w:sz w:val="18"/>
                <w:szCs w:val="18"/>
              </w:rPr>
              <w:t>组织的权益，或以其他任何形式取得该经济实</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5"/>
                <w:sz w:val="18"/>
                <w:szCs w:val="18"/>
              </w:rPr>
              <w:t>体、机构、经济组织的控制权，或在该经济实</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5"/>
                <w:sz w:val="18"/>
                <w:szCs w:val="18"/>
              </w:rPr>
              <w:t>体、机构、经济组织中担任高级管理人员或核</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心技术人员。</w:t>
            </w:r>
            <w:r>
              <w:rPr>
                <w:rFonts w:ascii="Times New Roman" w:hAnsi="Times New Roman" w:cs="Times New Roman" w:eastAsia="Times New Roman" w:hint="default"/>
                <w:sz w:val="18"/>
                <w:szCs w:val="18"/>
              </w:rPr>
              <w:t>2</w:t>
            </w:r>
            <w:r>
              <w:rPr>
                <w:rFonts w:ascii="宋体" w:hAnsi="宋体" w:cs="宋体" w:eastAsia="宋体" w:hint="default"/>
                <w:sz w:val="18"/>
                <w:szCs w:val="18"/>
              </w:rPr>
              <w:t>、本人在作为公司实际控制人 期间，本承诺持续有效。</w:t>
            </w:r>
            <w:r>
              <w:rPr>
                <w:rFonts w:ascii="Times New Roman" w:hAnsi="Times New Roman" w:cs="Times New Roman" w:eastAsia="Times New Roman" w:hint="default"/>
                <w:sz w:val="18"/>
                <w:szCs w:val="18"/>
              </w:rPr>
              <w:t>3</w:t>
            </w:r>
            <w:r>
              <w:rPr>
                <w:rFonts w:ascii="宋体" w:hAnsi="宋体" w:cs="宋体" w:eastAsia="宋体" w:hint="default"/>
                <w:sz w:val="18"/>
                <w:szCs w:val="18"/>
              </w:rPr>
              <w:t>、本人愿意承担因 违反上述承诺而给公司造成的全部经济损失。</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6" w:lineRule="auto"/>
              <w:ind w:left="103" w:right="155"/>
              <w:jc w:val="left"/>
              <w:rPr>
                <w:rFonts w:ascii="宋体" w:hAnsi="宋体" w:cs="宋体" w:eastAsia="宋体" w:hint="default"/>
                <w:sz w:val="18"/>
                <w:szCs w:val="18"/>
              </w:rPr>
            </w:pPr>
            <w:r>
              <w:rPr>
                <w:rFonts w:ascii="宋体" w:hAnsi="宋体" w:cs="宋体" w:eastAsia="宋体" w:hint="default"/>
                <w:sz w:val="18"/>
                <w:szCs w:val="18"/>
              </w:rPr>
              <w:t>在作为公司实 际控制人期 间，该承诺持 续有效。</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6" w:lineRule="auto"/>
              <w:ind w:left="103" w:right="155"/>
              <w:jc w:val="both"/>
              <w:rPr>
                <w:rFonts w:ascii="宋体" w:hAnsi="宋体" w:cs="宋体" w:eastAsia="宋体" w:hint="default"/>
                <w:sz w:val="18"/>
                <w:szCs w:val="18"/>
              </w:rPr>
            </w:pPr>
            <w:r>
              <w:rPr>
                <w:rFonts w:ascii="宋体" w:hAnsi="宋体" w:cs="宋体" w:eastAsia="宋体" w:hint="default"/>
                <w:sz w:val="18"/>
                <w:szCs w:val="18"/>
              </w:rPr>
              <w:t>报告期内，承诺人 未有违反承诺的情 况，该承诺正在履 行中。</w:t>
            </w:r>
          </w:p>
        </w:tc>
      </w:tr>
      <w:tr>
        <w:trPr>
          <w:trHeight w:val="1650" w:hRule="exact"/>
        </w:trPr>
        <w:tc>
          <w:tcPr>
            <w:tcW w:w="2570" w:type="dxa"/>
            <w:vMerge/>
            <w:tcBorders>
              <w:left w:val="single" w:sz="4" w:space="0" w:color="000000"/>
              <w:right w:val="single" w:sz="4" w:space="0" w:color="000000"/>
            </w:tcBorders>
            <w:shd w:val="clear" w:color="auto" w:fill="D2D2D2"/>
          </w:tcPr>
          <w:p>
            <w:pPr/>
          </w:p>
        </w:tc>
        <w:tc>
          <w:tcPr>
            <w:tcW w:w="2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刘宇宽</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3" w:right="101"/>
              <w:jc w:val="left"/>
              <w:rPr>
                <w:rFonts w:ascii="宋体" w:hAnsi="宋体" w:cs="宋体" w:eastAsia="宋体" w:hint="default"/>
                <w:sz w:val="18"/>
                <w:szCs w:val="18"/>
              </w:rPr>
            </w:pPr>
            <w:r>
              <w:rPr>
                <w:rFonts w:ascii="宋体" w:hAnsi="宋体" w:cs="宋体" w:eastAsia="宋体" w:hint="default"/>
                <w:sz w:val="18"/>
                <w:szCs w:val="18"/>
              </w:rPr>
              <w:t>关于同业 </w:t>
            </w:r>
            <w:r>
              <w:rPr>
                <w:rFonts w:ascii="宋体" w:hAnsi="宋体" w:cs="宋体" w:eastAsia="宋体" w:hint="default"/>
                <w:spacing w:val="-14"/>
                <w:sz w:val="18"/>
                <w:szCs w:val="18"/>
              </w:rPr>
              <w:t>竞争、关联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4"/>
                <w:sz w:val="18"/>
                <w:szCs w:val="18"/>
              </w:rPr>
              <w:t>交易、资金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占用方面 的承诺</w:t>
            </w:r>
          </w:p>
        </w:tc>
        <w:tc>
          <w:tcPr>
            <w:tcW w:w="3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本人及本人近亲属在本人任职期间及离职后 </w:t>
            </w:r>
            <w:r>
              <w:rPr>
                <w:rFonts w:ascii="宋体" w:hAnsi="宋体" w:cs="宋体" w:eastAsia="宋体" w:hint="default"/>
                <w:spacing w:val="-5"/>
                <w:sz w:val="18"/>
                <w:szCs w:val="18"/>
              </w:rPr>
              <w:t>半年内，不从事自营或为他人经营与公司同类</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5"/>
                <w:sz w:val="18"/>
                <w:szCs w:val="18"/>
              </w:rPr>
              <w:t>的业务，也不从事与公司利益发生冲突的对外</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投资。</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3" w:right="155"/>
              <w:jc w:val="both"/>
              <w:rPr>
                <w:rFonts w:ascii="宋体" w:hAnsi="宋体" w:cs="宋体" w:eastAsia="宋体" w:hint="default"/>
                <w:sz w:val="18"/>
                <w:szCs w:val="18"/>
              </w:rPr>
            </w:pPr>
            <w:r>
              <w:rPr>
                <w:rFonts w:ascii="宋体" w:hAnsi="宋体" w:cs="宋体" w:eastAsia="宋体" w:hint="default"/>
                <w:sz w:val="18"/>
                <w:szCs w:val="18"/>
              </w:rPr>
              <w:t>在其任职期间 及离职后半年 内有效。</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316" w:lineRule="auto"/>
              <w:ind w:left="103" w:right="155"/>
              <w:jc w:val="both"/>
              <w:rPr>
                <w:rFonts w:ascii="宋体" w:hAnsi="宋体" w:cs="宋体" w:eastAsia="宋体" w:hint="default"/>
                <w:sz w:val="18"/>
                <w:szCs w:val="18"/>
              </w:rPr>
            </w:pPr>
            <w:r>
              <w:rPr>
                <w:rFonts w:ascii="宋体" w:hAnsi="宋体" w:cs="宋体" w:eastAsia="宋体" w:hint="default"/>
                <w:sz w:val="18"/>
                <w:szCs w:val="18"/>
              </w:rPr>
              <w:t>报告期内，承诺人 未有违反承诺的情 况，该承诺正在履 行中。</w:t>
            </w:r>
          </w:p>
        </w:tc>
      </w:tr>
      <w:tr>
        <w:trPr>
          <w:trHeight w:val="1962" w:hRule="exact"/>
        </w:trPr>
        <w:tc>
          <w:tcPr>
            <w:tcW w:w="2570" w:type="dxa"/>
            <w:vMerge/>
            <w:tcBorders>
              <w:left w:val="single" w:sz="4" w:space="0" w:color="000000"/>
              <w:bottom w:val="single" w:sz="4" w:space="0" w:color="000000"/>
              <w:right w:val="single" w:sz="4" w:space="0" w:color="000000"/>
            </w:tcBorders>
            <w:shd w:val="clear" w:color="auto" w:fill="D2D2D2"/>
          </w:tcPr>
          <w:p>
            <w:pPr/>
          </w:p>
        </w:tc>
        <w:tc>
          <w:tcPr>
            <w:tcW w:w="2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11"/>
              <w:jc w:val="left"/>
              <w:rPr>
                <w:rFonts w:ascii="宋体" w:hAnsi="宋体" w:cs="宋体" w:eastAsia="宋体" w:hint="default"/>
                <w:sz w:val="18"/>
                <w:szCs w:val="18"/>
              </w:rPr>
            </w:pPr>
            <w:r>
              <w:rPr>
                <w:rFonts w:ascii="宋体" w:hAnsi="宋体" w:cs="宋体" w:eastAsia="宋体" w:hint="default"/>
                <w:sz w:val="18"/>
                <w:szCs w:val="18"/>
              </w:rPr>
              <w:t>陈新民、程利、程文、董 海军、冯健、李超、李彤 彤、田昱、王杏才、魏代 </w:t>
            </w:r>
            <w:r>
              <w:rPr>
                <w:rFonts w:ascii="宋体" w:hAnsi="宋体" w:cs="宋体" w:eastAsia="宋体" w:hint="default"/>
                <w:spacing w:val="-9"/>
                <w:sz w:val="18"/>
                <w:szCs w:val="18"/>
              </w:rPr>
              <w:t>英、魏敢、夏传武、袁军、</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周鲁平、周诗红</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373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2"/>
              <w:ind w:left="103" w:right="101"/>
              <w:jc w:val="left"/>
              <w:rPr>
                <w:rFonts w:ascii="宋体" w:hAnsi="宋体" w:cs="宋体" w:eastAsia="宋体" w:hint="default"/>
                <w:sz w:val="18"/>
                <w:szCs w:val="18"/>
              </w:rPr>
            </w:pPr>
            <w:r>
              <w:rPr>
                <w:rFonts w:ascii="宋体" w:hAnsi="宋体" w:cs="宋体" w:eastAsia="宋体" w:hint="default"/>
                <w:sz w:val="18"/>
                <w:szCs w:val="18"/>
              </w:rPr>
              <w:t>若税收主管部门对股份公司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 至本次公开发行完成之日期间已经享受的企 </w:t>
            </w:r>
            <w:r>
              <w:rPr>
                <w:rFonts w:ascii="宋体" w:hAnsi="宋体" w:cs="宋体" w:eastAsia="宋体" w:hint="default"/>
                <w:spacing w:val="-5"/>
                <w:sz w:val="18"/>
                <w:szCs w:val="18"/>
              </w:rPr>
              <w:t>业所得税减免款进行追缴，将以现金方式，按</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股份公司本次公开发行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股前的持股比例， 全额承担股份上述期间应补交的税款及因此 所产生的所有相关费用。</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3" w:right="155"/>
              <w:jc w:val="both"/>
              <w:rPr>
                <w:rFonts w:ascii="宋体" w:hAnsi="宋体" w:cs="宋体" w:eastAsia="宋体" w:hint="default"/>
                <w:sz w:val="18"/>
                <w:szCs w:val="18"/>
              </w:rPr>
            </w:pPr>
            <w:r>
              <w:rPr>
                <w:rFonts w:ascii="宋体" w:hAnsi="宋体" w:cs="宋体" w:eastAsia="宋体" w:hint="default"/>
                <w:sz w:val="18"/>
                <w:szCs w:val="18"/>
              </w:rPr>
              <w:t>报告期内，承诺人 未有违反承诺的情 况，该承诺正在履 行中。</w:t>
            </w:r>
          </w:p>
        </w:tc>
      </w:tr>
      <w:tr>
        <w:trPr>
          <w:trHeight w:val="402" w:hRule="exact"/>
        </w:trPr>
        <w:tc>
          <w:tcPr>
            <w:tcW w:w="2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219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3735"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其他对公司中小股东所作承诺</w:t>
            </w:r>
          </w:p>
        </w:tc>
        <w:tc>
          <w:tcPr>
            <w:tcW w:w="219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3735"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11401"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027" w:hRule="exact"/>
        </w:trPr>
        <w:tc>
          <w:tcPr>
            <w:tcW w:w="2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14"/>
              <w:jc w:val="both"/>
              <w:rPr>
                <w:rFonts w:ascii="宋体" w:hAnsi="宋体" w:cs="宋体" w:eastAsia="宋体" w:hint="default"/>
                <w:sz w:val="18"/>
                <w:szCs w:val="18"/>
              </w:rPr>
            </w:pPr>
            <w:r>
              <w:rPr>
                <w:rFonts w:ascii="宋体" w:hAnsi="宋体" w:cs="宋体" w:eastAsia="宋体" w:hint="default"/>
                <w:sz w:val="18"/>
                <w:szCs w:val="18"/>
              </w:rPr>
              <w:t>如承诺超期未履行完毕的，应 当详细说明未完成履行的具体 原因及下一步的工作计划</w:t>
            </w:r>
          </w:p>
        </w:tc>
        <w:tc>
          <w:tcPr>
            <w:tcW w:w="11401"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footerReference w:type="default" r:id="rId34"/>
          <w:pgSz w:w="16840" w:h="11910" w:orient="landscape"/>
          <w:pgMar w:footer="1019" w:header="907" w:top="1100" w:bottom="1300" w:left="1300" w:right="1300"/>
        </w:sectPr>
      </w:pPr>
    </w:p>
    <w:p>
      <w:pPr>
        <w:spacing w:line="240" w:lineRule="auto" w:before="7"/>
        <w:rPr>
          <w:rFonts w:ascii="宋体" w:hAnsi="宋体" w:cs="宋体" w:eastAsia="宋体" w:hint="default"/>
          <w:sz w:val="19"/>
          <w:szCs w:val="19"/>
        </w:rPr>
      </w:pPr>
      <w:r>
        <w:rPr/>
        <w:pict>
          <v:shape style="position:absolute;margin-left:535.634705pt;margin-top:806.72052pt;width:59.493346pt;height:26.794713pt;mso-position-horizontal-relative:page;mso-position-vertical-relative:page;z-index:1312" type="#_x0000_t75" stroked="false">
            <v:imagedata r:id="rId26" o:title=""/>
          </v:shape>
        </w:pict>
      </w:r>
    </w:p>
    <w:p>
      <w:pPr>
        <w:pStyle w:val="Heading3"/>
        <w:spacing w:line="259" w:lineRule="auto" w:before="35"/>
        <w:ind w:right="0"/>
        <w:jc w:val="left"/>
        <w:rPr>
          <w:b w:val="0"/>
          <w:bCs w:val="0"/>
        </w:rPr>
      </w:pPr>
      <w:bookmarkStart w:name="2、公司资产或项目存在盈利预测，且报告期仍处在盈利预测期间，公司就资产或项目达到" w:id="68"/>
      <w:bookmarkEnd w:id="68"/>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74"/>
        </w:rPr>
        <w:t> </w:t>
      </w:r>
      <w:r>
        <w:rPr>
          <w:spacing w:val="-74"/>
        </w:rPr>
      </w:r>
      <w:r>
        <w:rPr/>
        <w:t>其原因做出说明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0"/>
        <w:rPr>
          <w:rFonts w:ascii="宋体" w:hAnsi="宋体" w:cs="宋体" w:eastAsia="宋体" w:hint="default"/>
          <w:sz w:val="25"/>
          <w:szCs w:val="25"/>
        </w:rPr>
      </w:pPr>
    </w:p>
    <w:p>
      <w:pPr>
        <w:pStyle w:val="Heading2"/>
        <w:spacing w:line="240" w:lineRule="auto"/>
        <w:ind w:right="0"/>
        <w:jc w:val="left"/>
        <w:rPr>
          <w:b w:val="0"/>
          <w:bCs w:val="0"/>
        </w:rPr>
      </w:pPr>
      <w:bookmarkStart w:name="四、控股股东及其关联方对上市公司的非经营性占用资金情况" w:id="69"/>
      <w:bookmarkEnd w:id="69"/>
      <w:r>
        <w:rPr>
          <w:b w:val="0"/>
          <w:bCs w:val="0"/>
        </w:rPr>
      </w:r>
      <w:r>
        <w:rPr/>
        <w:t>四、控股股东及其关联方对上市公司的非经营性占用资金情况</w:t>
      </w:r>
      <w:r>
        <w:rPr>
          <w:b w:val="0"/>
          <w:bCs w:val="0"/>
        </w:rPr>
      </w:r>
    </w:p>
    <w:p>
      <w:pPr>
        <w:spacing w:line="240" w:lineRule="auto" w:before="9"/>
        <w:rPr>
          <w:rFonts w:ascii="宋体" w:hAnsi="宋体" w:cs="宋体" w:eastAsia="宋体" w:hint="default"/>
          <w:b/>
          <w:bCs/>
          <w:sz w:val="26"/>
          <w:szCs w:val="26"/>
        </w:rPr>
      </w:pPr>
    </w:p>
    <w:p>
      <w:pPr>
        <w:pStyle w:val="BodyText"/>
        <w:spacing w:line="360" w:lineRule="auto"/>
        <w:ind w:right="4992"/>
        <w:jc w:val="left"/>
      </w:pPr>
      <w:r>
        <w:rPr/>
        <w:t>□ 适用 √ 不适用 公司报告期不存在控股股东及其关联方对上市公司的非经营性占用资金。</w:t>
      </w:r>
    </w:p>
    <w:p>
      <w:pPr>
        <w:spacing w:line="240" w:lineRule="auto" w:before="1"/>
        <w:rPr>
          <w:rFonts w:ascii="宋体" w:hAnsi="宋体" w:cs="宋体" w:eastAsia="宋体" w:hint="default"/>
          <w:sz w:val="18"/>
          <w:szCs w:val="18"/>
        </w:rPr>
      </w:pPr>
    </w:p>
    <w:p>
      <w:pPr>
        <w:pStyle w:val="Heading2"/>
        <w:spacing w:line="240" w:lineRule="auto"/>
        <w:ind w:right="1392"/>
        <w:jc w:val="left"/>
        <w:rPr>
          <w:b w:val="0"/>
          <w:bCs w:val="0"/>
        </w:rPr>
      </w:pPr>
      <w:bookmarkStart w:name="五、董事会、监事会、独立董事（如有）对会计师事务所本报告期“非标准审计报告”的说" w:id="70"/>
      <w:bookmarkEnd w:id="70"/>
      <w:r>
        <w:rPr>
          <w:b w:val="0"/>
          <w:bCs w:val="0"/>
        </w:rPr>
      </w:r>
      <w:r>
        <w:rPr>
          <w:w w:val="95"/>
        </w:rPr>
        <w:t>五、董事会、监事会、独立董事（如有）对会计师事务所本报告期“非标准审计报告”的说  </w:t>
      </w:r>
      <w:r>
        <w:rPr>
          <w:spacing w:val="112"/>
          <w:w w:val="95"/>
        </w:rPr>
        <w:t> </w:t>
      </w:r>
      <w:r>
        <w:rPr>
          <w:spacing w:val="112"/>
          <w:w w:val="95"/>
        </w:rPr>
      </w:r>
      <w:r>
        <w:rPr/>
        <w:t>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六、与上年度财务报告相比，会计政策、会计估计和核算方法发生变化的情况说明" w:id="71"/>
      <w:bookmarkEnd w:id="71"/>
      <w:r>
        <w:rPr>
          <w:b w:val="0"/>
          <w:bCs w:val="0"/>
        </w:rPr>
      </w:r>
      <w:r>
        <w:rPr/>
        <w:t>六、与上年度财务报告相比，会计政策、会计估计和核算方法发生变化的情况说明</w:t>
      </w:r>
      <w:r>
        <w:rPr>
          <w:b w:val="0"/>
          <w:bCs w:val="0"/>
        </w:rPr>
      </w:r>
    </w:p>
    <w:p>
      <w:pPr>
        <w:spacing w:line="240" w:lineRule="auto" w:before="9"/>
        <w:rPr>
          <w:rFonts w:ascii="宋体" w:hAnsi="宋体" w:cs="宋体" w:eastAsia="宋体" w:hint="default"/>
          <w:b/>
          <w:bCs/>
          <w:sz w:val="26"/>
          <w:szCs w:val="26"/>
        </w:rPr>
      </w:pPr>
    </w:p>
    <w:p>
      <w:pPr>
        <w:spacing w:line="436" w:lineRule="auto" w:before="0"/>
        <w:ind w:left="576" w:right="8613" w:hanging="423"/>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b/>
          <w:bCs/>
          <w:sz w:val="18"/>
          <w:szCs w:val="18"/>
        </w:rPr>
        <w:t>1</w:t>
      </w:r>
      <w:r>
        <w:rPr>
          <w:rFonts w:ascii="宋体" w:hAnsi="宋体" w:cs="宋体" w:eastAsia="宋体" w:hint="default"/>
          <w:b/>
          <w:bCs/>
          <w:sz w:val="18"/>
          <w:szCs w:val="18"/>
        </w:rPr>
        <w:t>）重要会计政策变更</w:t>
      </w:r>
      <w:r>
        <w:rPr>
          <w:rFonts w:ascii="宋体" w:hAnsi="宋体" w:cs="宋体" w:eastAsia="宋体" w:hint="default"/>
          <w:sz w:val="18"/>
          <w:szCs w:val="18"/>
        </w:rPr>
      </w:r>
    </w:p>
    <w:p>
      <w:pPr>
        <w:pStyle w:val="BodyText"/>
        <w:spacing w:line="477" w:lineRule="auto" w:before="85"/>
        <w:ind w:right="0" w:firstLine="423"/>
        <w:jc w:val="left"/>
      </w:pPr>
      <w:r>
        <w:rPr/>
        <w:pict>
          <v:shape style="position:absolute;margin-left:56.459999pt;margin-top:93.441696pt;width:479.5pt;height:288.8pt;mso-position-horizontal-relative:page;mso-position-vertical-relative:paragraph;z-index:13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970"/>
                    <w:gridCol w:w="2340"/>
                    <w:gridCol w:w="2264"/>
                  </w:tblGrid>
                  <w:tr>
                    <w:trPr>
                      <w:trHeight w:val="654" w:hRule="exact"/>
                    </w:trPr>
                    <w:tc>
                      <w:tcPr>
                        <w:tcW w:w="4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399"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623" w:right="624"/>
                          <w:jc w:val="left"/>
                          <w:rPr>
                            <w:rFonts w:ascii="宋体" w:hAnsi="宋体" w:cs="宋体" w:eastAsia="宋体" w:hint="default"/>
                            <w:sz w:val="18"/>
                            <w:szCs w:val="18"/>
                          </w:rPr>
                        </w:pPr>
                        <w:r>
                          <w:rPr>
                            <w:rFonts w:ascii="宋体" w:hAnsi="宋体" w:cs="宋体" w:eastAsia="宋体" w:hint="default"/>
                            <w:sz w:val="18"/>
                            <w:szCs w:val="18"/>
                          </w:rPr>
                          <w:t>受重要影响的 报表项目名称</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影响金额</w:t>
                        </w:r>
                      </w:p>
                    </w:tc>
                  </w:tr>
                  <w:tr>
                    <w:trPr>
                      <w:trHeight w:val="1278" w:hRule="exact"/>
                    </w:trPr>
                    <w:tc>
                      <w:tcPr>
                        <w:tcW w:w="4970" w:type="dxa"/>
                        <w:vMerge w:val="restart"/>
                        <w:tcBorders>
                          <w:top w:val="single" w:sz="4" w:space="0" w:color="000000"/>
                          <w:left w:val="single" w:sz="4" w:space="0" w:color="000000"/>
                          <w:right w:val="single" w:sz="4" w:space="0" w:color="000000"/>
                        </w:tcBorders>
                      </w:tcPr>
                      <w:p>
                        <w:pPr>
                          <w:pStyle w:val="TableParagraph"/>
                          <w:spacing w:line="477" w:lineRule="auto" w:before="99"/>
                          <w:ind w:left="4" w:right="33"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年度一般企业财务报表格 </w:t>
                        </w:r>
                        <w:r>
                          <w:rPr>
                            <w:rFonts w:ascii="宋体" w:hAnsi="宋体" w:cs="宋体" w:eastAsia="宋体" w:hint="default"/>
                            <w:spacing w:val="-6"/>
                            <w:w w:val="99"/>
                            <w:sz w:val="18"/>
                            <w:szCs w:val="18"/>
                          </w:rPr>
                          <w:t>式的通知》（财会</w:t>
                        </w:r>
                        <w:r>
                          <w:rPr>
                            <w:rFonts w:ascii="宋体" w:hAnsi="宋体" w:cs="宋体" w:eastAsia="宋体" w:hint="default"/>
                            <w:b/>
                            <w:bCs/>
                            <w:spacing w:val="-6"/>
                            <w:w w:val="99"/>
                            <w:sz w:val="18"/>
                            <w:szCs w:val="18"/>
                          </w:rPr>
                          <w:t>[</w:t>
                        </w:r>
                        <w:r>
                          <w:rPr>
                            <w:rFonts w:ascii="宋体" w:hAnsi="宋体" w:cs="宋体" w:eastAsia="宋体" w:hint="default"/>
                            <w:spacing w:val="-6"/>
                            <w:w w:val="99"/>
                            <w:sz w:val="18"/>
                            <w:szCs w:val="18"/>
                          </w:rPr>
                          <w:t>2018</w:t>
                        </w:r>
                        <w:r>
                          <w:rPr>
                            <w:rFonts w:ascii="宋体" w:hAnsi="宋体" w:cs="宋体" w:eastAsia="宋体" w:hint="default"/>
                            <w:b/>
                            <w:bCs/>
                            <w:spacing w:val="-6"/>
                            <w:w w:val="99"/>
                            <w:sz w:val="18"/>
                            <w:szCs w:val="18"/>
                          </w:rPr>
                          <w:t>]</w:t>
                        </w:r>
                        <w:r>
                          <w:rPr>
                            <w:rFonts w:ascii="宋体" w:hAnsi="宋体" w:cs="宋体" w:eastAsia="宋体" w:hint="default"/>
                            <w:spacing w:val="-6"/>
                            <w:w w:val="99"/>
                            <w:sz w:val="18"/>
                            <w:szCs w:val="18"/>
                          </w:rPr>
                          <w:t>15</w:t>
                        </w:r>
                        <w:r>
                          <w:rPr>
                            <w:rFonts w:ascii="宋体" w:hAnsi="宋体" w:cs="宋体" w:eastAsia="宋体" w:hint="default"/>
                            <w:spacing w:val="-6"/>
                            <w:w w:val="99"/>
                            <w:sz w:val="18"/>
                            <w:szCs w:val="18"/>
                          </w:rPr>
                          <w:t>号），在资产负债表中删除原“应收</w:t>
                        </w:r>
                        <w:r>
                          <w:rPr>
                            <w:rFonts w:ascii="宋体" w:hAnsi="宋体" w:cs="宋体" w:eastAsia="宋体" w:hint="default"/>
                            <w:spacing w:val="-77"/>
                            <w:w w:val="99"/>
                            <w:sz w:val="18"/>
                            <w:szCs w:val="18"/>
                          </w:rPr>
                          <w:t> </w:t>
                        </w:r>
                        <w:r>
                          <w:rPr>
                            <w:rFonts w:ascii="宋体" w:hAnsi="宋体" w:cs="宋体" w:eastAsia="宋体" w:hint="default"/>
                            <w:spacing w:val="-77"/>
                            <w:w w:val="99"/>
                            <w:sz w:val="18"/>
                            <w:szCs w:val="18"/>
                          </w:rPr>
                        </w:r>
                        <w:r>
                          <w:rPr>
                            <w:rFonts w:ascii="宋体" w:hAnsi="宋体" w:cs="宋体" w:eastAsia="宋体" w:hint="default"/>
                            <w:sz w:val="18"/>
                            <w:szCs w:val="18"/>
                          </w:rPr>
                          <w:t>票据”及“应收账款”项目，将其整合为新增的“应收票据及 应收账款”项目，反映资产负债表日以摊余成本计量的、企业 因销售商品、提供服务等经营活动应收取的款项，以及收到的 商业汇票，包括银行承兑汇票和商业承兑汇票。</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0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699,036,961.21</w:t>
                        </w:r>
                        <w:r>
                          <w:rPr>
                            <w:rFonts w:ascii="宋体" w:hAnsi="宋体" w:cs="宋体" w:eastAsia="宋体" w:hint="default"/>
                            <w:sz w:val="18"/>
                            <w:szCs w:val="18"/>
                          </w:rPr>
                          <w:t>元</w:t>
                        </w:r>
                      </w:p>
                      <w:p>
                        <w:pPr>
                          <w:pStyle w:val="TableParagraph"/>
                          <w:spacing w:line="316" w:lineRule="auto" w:before="19"/>
                          <w:ind w:left="4" w:right="80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786,352,089.64</w:t>
                        </w:r>
                        <w:r>
                          <w:rPr>
                            <w:rFonts w:ascii="宋体" w:hAnsi="宋体" w:cs="宋体" w:eastAsia="宋体" w:hint="default"/>
                            <w:sz w:val="18"/>
                            <w:szCs w:val="18"/>
                          </w:rPr>
                          <w:t>元</w:t>
                        </w:r>
                      </w:p>
                    </w:tc>
                  </w:tr>
                  <w:tr>
                    <w:trPr>
                      <w:trHeight w:val="1278" w:hRule="exact"/>
                    </w:trPr>
                    <w:tc>
                      <w:tcPr>
                        <w:tcW w:w="4970" w:type="dxa"/>
                        <w:vMerge/>
                        <w:tcBorders>
                          <w:left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98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7,045,503.53</w:t>
                        </w:r>
                        <w:r>
                          <w:rPr>
                            <w:rFonts w:ascii="宋体" w:hAnsi="宋体" w:cs="宋体" w:eastAsia="宋体" w:hint="default"/>
                            <w:sz w:val="18"/>
                            <w:szCs w:val="18"/>
                          </w:rPr>
                          <w:t>元</w:t>
                        </w:r>
                      </w:p>
                      <w:p>
                        <w:pPr>
                          <w:pStyle w:val="TableParagraph"/>
                          <w:spacing w:line="316" w:lineRule="auto" w:before="19"/>
                          <w:ind w:left="4" w:right="80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489,549,253.77</w:t>
                        </w:r>
                        <w:r>
                          <w:rPr>
                            <w:rFonts w:ascii="宋体" w:hAnsi="宋体" w:cs="宋体" w:eastAsia="宋体" w:hint="default"/>
                            <w:sz w:val="18"/>
                            <w:szCs w:val="18"/>
                          </w:rPr>
                          <w:t>元</w:t>
                        </w:r>
                      </w:p>
                    </w:tc>
                  </w:tr>
                  <w:tr>
                    <w:trPr>
                      <w:trHeight w:val="1278" w:hRule="exact"/>
                    </w:trPr>
                    <w:tc>
                      <w:tcPr>
                        <w:tcW w:w="4970" w:type="dxa"/>
                        <w:vMerge/>
                        <w:tcBorders>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0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691,991,457.68</w:t>
                        </w:r>
                        <w:r>
                          <w:rPr>
                            <w:rFonts w:ascii="宋体" w:hAnsi="宋体" w:cs="宋体" w:eastAsia="宋体" w:hint="default"/>
                            <w:sz w:val="18"/>
                            <w:szCs w:val="18"/>
                          </w:rPr>
                          <w:t>元</w:t>
                        </w:r>
                      </w:p>
                      <w:p>
                        <w:pPr>
                          <w:pStyle w:val="TableParagraph"/>
                          <w:spacing w:line="316" w:lineRule="auto" w:before="19"/>
                          <w:ind w:left="4" w:right="80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296,802,835.87</w:t>
                        </w:r>
                        <w:r>
                          <w:rPr>
                            <w:rFonts w:ascii="宋体" w:hAnsi="宋体" w:cs="宋体" w:eastAsia="宋体" w:hint="default"/>
                            <w:sz w:val="18"/>
                            <w:szCs w:val="18"/>
                          </w:rPr>
                          <w:t>元</w:t>
                        </w:r>
                      </w:p>
                    </w:tc>
                  </w:tr>
                  <w:tr>
                    <w:trPr>
                      <w:trHeight w:val="1278" w:hRule="exact"/>
                    </w:trPr>
                    <w:tc>
                      <w:tcPr>
                        <w:tcW w:w="4970" w:type="dxa"/>
                        <w:tcBorders>
                          <w:top w:val="single" w:sz="4" w:space="0" w:color="000000"/>
                          <w:left w:val="single" w:sz="4" w:space="0" w:color="000000"/>
                          <w:bottom w:val="single" w:sz="4" w:space="0" w:color="000000"/>
                          <w:right w:val="single" w:sz="4" w:space="0" w:color="000000"/>
                        </w:tcBorders>
                      </w:tcPr>
                      <w:p>
                        <w:pPr>
                          <w:pStyle w:val="TableParagraph"/>
                          <w:spacing w:line="477" w:lineRule="auto" w:before="99"/>
                          <w:ind w:left="4" w:right="33"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年度一般企业财务报表格 </w:t>
                        </w:r>
                        <w:r>
                          <w:rPr>
                            <w:rFonts w:ascii="宋体" w:hAnsi="宋体" w:cs="宋体" w:eastAsia="宋体" w:hint="default"/>
                            <w:spacing w:val="-6"/>
                            <w:sz w:val="18"/>
                            <w:szCs w:val="18"/>
                          </w:rPr>
                          <w:t>式的通知》（财会</w:t>
                        </w:r>
                        <w:r>
                          <w:rPr>
                            <w:rFonts w:ascii="宋体" w:hAnsi="宋体" w:cs="宋体" w:eastAsia="宋体" w:hint="default"/>
                            <w:spacing w:val="-6"/>
                            <w:sz w:val="18"/>
                            <w:szCs w:val="18"/>
                          </w:rPr>
                          <w:t>[2018]15</w:t>
                        </w:r>
                        <w:r>
                          <w:rPr>
                            <w:rFonts w:ascii="宋体" w:hAnsi="宋体" w:cs="宋体" w:eastAsia="宋体" w:hint="default"/>
                            <w:spacing w:val="-6"/>
                            <w:sz w:val="18"/>
                            <w:szCs w:val="18"/>
                          </w:rPr>
                          <w:t>号），在资产负债表中删除原“应收</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9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36,364,360.85</w:t>
                        </w:r>
                        <w:r>
                          <w:rPr>
                            <w:rFonts w:ascii="宋体" w:hAnsi="宋体" w:cs="宋体" w:eastAsia="宋体" w:hint="default"/>
                            <w:sz w:val="18"/>
                            <w:szCs w:val="18"/>
                          </w:rPr>
                          <w:t>元</w:t>
                        </w:r>
                      </w:p>
                      <w:p>
                        <w:pPr>
                          <w:pStyle w:val="TableParagraph"/>
                          <w:spacing w:line="316" w:lineRule="auto" w:before="19"/>
                          <w:ind w:left="4" w:right="89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28,108,390.70</w:t>
                        </w:r>
                        <w:r>
                          <w:rPr>
                            <w:rFonts w:ascii="宋体" w:hAnsi="宋体" w:cs="宋体" w:eastAsia="宋体" w:hint="default"/>
                            <w:sz w:val="18"/>
                            <w:szCs w:val="18"/>
                          </w:rPr>
                          <w:t>元</w:t>
                        </w:r>
                      </w:p>
                    </w:tc>
                  </w:tr>
                </w:tbl>
                <w:p>
                  <w:pPr/>
                </w:p>
              </w:txbxContent>
            </v:textbox>
            <w10:wrap type="none"/>
          </v:shape>
        </w:pict>
      </w:r>
      <w:r>
        <w:rPr>
          <w:spacing w:val="-2"/>
        </w:rPr>
        <w:t>公司按照财政部于</w:t>
      </w:r>
      <w:r>
        <w:rPr>
          <w:rFonts w:ascii="宋体" w:hAnsi="宋体" w:cs="宋体" w:eastAsia="宋体" w:hint="default"/>
          <w:spacing w:val="-2"/>
        </w:rPr>
        <w:t>2018</w:t>
      </w:r>
      <w:r>
        <w:rPr>
          <w:spacing w:val="-2"/>
        </w:rPr>
        <w:t>年度颁布的《财政部关于修订印发</w:t>
      </w:r>
      <w:r>
        <w:rPr>
          <w:rFonts w:ascii="宋体" w:hAnsi="宋体" w:cs="宋体" w:eastAsia="宋体" w:hint="default"/>
          <w:spacing w:val="-2"/>
        </w:rPr>
        <w:t>2018</w:t>
      </w:r>
      <w:r>
        <w:rPr>
          <w:spacing w:val="-2"/>
        </w:rPr>
        <w:t>年度一般企业财务报表格式的通知》（财会</w:t>
      </w:r>
      <w:r>
        <w:rPr>
          <w:rFonts w:ascii="宋体" w:hAnsi="宋体" w:cs="宋体" w:eastAsia="宋体" w:hint="default"/>
          <w:spacing w:val="-2"/>
        </w:rPr>
        <w:t>[2018]15</w:t>
      </w:r>
      <w:r>
        <w:rPr>
          <w:spacing w:val="-2"/>
        </w:rPr>
        <w:t>号）</w:t>
      </w:r>
      <w:r>
        <w:rPr/>
        <w:t> 的规定修订公司的财务报表格式。因公司尚未执行新金融准则和新收入准则，应采用通知附件</w:t>
      </w:r>
      <w:r>
        <w:rPr>
          <w:rFonts w:ascii="宋体" w:hAnsi="宋体" w:cs="宋体" w:eastAsia="宋体" w:hint="default"/>
        </w:rPr>
        <w:t>1</w:t>
      </w:r>
      <w:r>
        <w:rPr/>
        <w:t>的要求编制财务报表，并对 </w:t>
      </w:r>
      <w:r>
        <w:rPr>
          <w:spacing w:val="-2"/>
        </w:rPr>
        <w:t>比较报表的列报进行相应调整。本次会计政策变更，仅对财务报表项目列示产生影响，对公司财务状况、经营成果和现金流</w:t>
      </w:r>
      <w:r>
        <w:rPr>
          <w:spacing w:val="-65"/>
        </w:rPr>
        <w:t> </w:t>
      </w:r>
      <w:r>
        <w:rPr>
          <w:spacing w:val="-65"/>
        </w:rPr>
      </w:r>
      <w:r>
        <w:rPr/>
        <w:t>量无重大影响。</w:t>
      </w:r>
    </w:p>
    <w:p>
      <w:pPr>
        <w:spacing w:after="0" w:line="477" w:lineRule="auto"/>
        <w:jc w:val="left"/>
        <w:sectPr>
          <w:headerReference w:type="default" r:id="rId35"/>
          <w:footerReference w:type="default" r:id="rId36"/>
          <w:pgSz w:w="11910" w:h="16840"/>
          <w:pgMar w:header="917"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4970"/>
        <w:gridCol w:w="2340"/>
        <w:gridCol w:w="2264"/>
      </w:tblGrid>
      <w:tr>
        <w:trPr>
          <w:trHeight w:val="1278" w:hRule="exact"/>
        </w:trPr>
        <w:tc>
          <w:tcPr>
            <w:tcW w:w="4970" w:type="dxa"/>
            <w:vMerge w:val="restart"/>
            <w:tcBorders>
              <w:top w:val="single" w:sz="4" w:space="0" w:color="000000"/>
              <w:left w:val="single" w:sz="4" w:space="0" w:color="000000"/>
              <w:right w:val="single" w:sz="4" w:space="0" w:color="000000"/>
            </w:tcBorders>
          </w:tcPr>
          <w:p>
            <w:pPr>
              <w:pStyle w:val="TableParagraph"/>
              <w:spacing w:line="240" w:lineRule="auto" w:before="99"/>
              <w:ind w:left="4" w:right="0"/>
              <w:jc w:val="left"/>
              <w:rPr>
                <w:rFonts w:ascii="宋体" w:hAnsi="宋体" w:cs="宋体" w:eastAsia="宋体" w:hint="default"/>
                <w:sz w:val="18"/>
                <w:szCs w:val="18"/>
              </w:rPr>
            </w:pPr>
            <w:r>
              <w:rPr>
                <w:rFonts w:ascii="宋体" w:hAnsi="宋体" w:cs="宋体" w:eastAsia="宋体" w:hint="default"/>
                <w:sz w:val="18"/>
                <w:szCs w:val="18"/>
              </w:rPr>
              <w:t>利息”及“应收股利”项目，归并至“其他应收款”项目。</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116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324,236.89</w:t>
            </w:r>
            <w:r>
              <w:rPr>
                <w:rFonts w:ascii="宋体" w:hAnsi="宋体" w:cs="宋体" w:eastAsia="宋体" w:hint="default"/>
                <w:sz w:val="18"/>
                <w:szCs w:val="18"/>
              </w:rPr>
              <w:t>元</w:t>
            </w:r>
          </w:p>
          <w:p>
            <w:pPr>
              <w:pStyle w:val="TableParagraph"/>
              <w:spacing w:line="316" w:lineRule="auto" w:before="19"/>
              <w:ind w:left="4" w:right="116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325,694.44</w:t>
            </w:r>
            <w:r>
              <w:rPr>
                <w:rFonts w:ascii="宋体" w:hAnsi="宋体" w:cs="宋体" w:eastAsia="宋体" w:hint="default"/>
                <w:sz w:val="18"/>
                <w:szCs w:val="18"/>
              </w:rPr>
              <w:t>元</w:t>
            </w:r>
          </w:p>
        </w:tc>
      </w:tr>
      <w:tr>
        <w:trPr>
          <w:trHeight w:val="654" w:hRule="exact"/>
        </w:trPr>
        <w:tc>
          <w:tcPr>
            <w:tcW w:w="4970" w:type="dxa"/>
            <w:vMerge/>
            <w:tcBorders>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09"/>
              <w:jc w:val="left"/>
              <w:rPr>
                <w:rFonts w:ascii="宋体" w:hAnsi="宋体" w:cs="宋体" w:eastAsia="宋体" w:hint="default"/>
                <w:sz w:val="18"/>
                <w:szCs w:val="18"/>
              </w:rPr>
            </w:pPr>
            <w:r>
              <w:rPr>
                <w:rFonts w:ascii="宋体" w:hAnsi="宋体" w:cs="宋体" w:eastAsia="宋体" w:hint="default"/>
                <w:sz w:val="18"/>
                <w:szCs w:val="18"/>
              </w:rPr>
              <w:t>本期金额：</w:t>
            </w:r>
            <w:r>
              <w:rPr>
                <w:rFonts w:ascii="宋体" w:hAnsi="宋体" w:cs="宋体" w:eastAsia="宋体" w:hint="default"/>
                <w:sz w:val="18"/>
                <w:szCs w:val="18"/>
              </w:rPr>
              <w:t>0.00</w:t>
            </w:r>
            <w:r>
              <w:rPr>
                <w:rFonts w:ascii="宋体" w:hAnsi="宋体" w:cs="宋体" w:eastAsia="宋体" w:hint="default"/>
                <w:sz w:val="18"/>
                <w:szCs w:val="18"/>
              </w:rPr>
              <w:t>元 上期金额：</w:t>
            </w:r>
            <w:r>
              <w:rPr>
                <w:rFonts w:ascii="宋体" w:hAnsi="宋体" w:cs="宋体" w:eastAsia="宋体" w:hint="default"/>
                <w:sz w:val="18"/>
                <w:szCs w:val="18"/>
              </w:rPr>
              <w:t>0.00</w:t>
            </w:r>
            <w:r>
              <w:rPr>
                <w:rFonts w:ascii="宋体" w:hAnsi="宋体" w:cs="宋体" w:eastAsia="宋体" w:hint="default"/>
                <w:sz w:val="18"/>
                <w:szCs w:val="18"/>
              </w:rPr>
              <w:t>元</w:t>
            </w:r>
          </w:p>
        </w:tc>
      </w:tr>
      <w:tr>
        <w:trPr>
          <w:trHeight w:val="1278" w:hRule="exact"/>
        </w:trPr>
        <w:tc>
          <w:tcPr>
            <w:tcW w:w="4970" w:type="dxa"/>
            <w:vMerge w:val="restart"/>
            <w:tcBorders>
              <w:top w:val="single" w:sz="4" w:space="0" w:color="000000"/>
              <w:left w:val="single" w:sz="4" w:space="0" w:color="000000"/>
              <w:right w:val="single" w:sz="4" w:space="0" w:color="000000"/>
            </w:tcBorders>
          </w:tcPr>
          <w:p>
            <w:pPr>
              <w:pStyle w:val="TableParagraph"/>
              <w:spacing w:line="477" w:lineRule="auto" w:before="99"/>
              <w:ind w:left="4" w:right="33"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年度一般企业财务报表格 </w:t>
            </w:r>
            <w:r>
              <w:rPr>
                <w:rFonts w:ascii="宋体" w:hAnsi="宋体" w:cs="宋体" w:eastAsia="宋体" w:hint="default"/>
                <w:spacing w:val="-6"/>
                <w:sz w:val="18"/>
                <w:szCs w:val="18"/>
              </w:rPr>
              <w:t>式的通知》（财会</w:t>
            </w:r>
            <w:r>
              <w:rPr>
                <w:rFonts w:ascii="宋体" w:hAnsi="宋体" w:cs="宋体" w:eastAsia="宋体" w:hint="default"/>
                <w:spacing w:val="-6"/>
                <w:sz w:val="18"/>
                <w:szCs w:val="18"/>
              </w:rPr>
              <w:t>[2018]15</w:t>
            </w:r>
            <w:r>
              <w:rPr>
                <w:rFonts w:ascii="宋体" w:hAnsi="宋体" w:cs="宋体" w:eastAsia="宋体" w:hint="default"/>
                <w:spacing w:val="-6"/>
                <w:sz w:val="18"/>
                <w:szCs w:val="18"/>
              </w:rPr>
              <w:t>号），在资产负债表中删除原“固定</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资产清理”项目，归并至“固定资产”项目，反映资产负债表 日固定资产的期末账面价值和尚未清理完毕的固定资产清理净</w:t>
            </w:r>
          </w:p>
          <w:p>
            <w:pPr>
              <w:pStyle w:val="TableParagraph"/>
              <w:spacing w:line="240" w:lineRule="auto" w:before="54"/>
              <w:ind w:left="4" w:right="0"/>
              <w:jc w:val="left"/>
              <w:rPr>
                <w:rFonts w:ascii="宋体" w:hAnsi="宋体" w:cs="宋体" w:eastAsia="宋体" w:hint="default"/>
                <w:sz w:val="18"/>
                <w:szCs w:val="18"/>
              </w:rPr>
            </w:pPr>
            <w:r>
              <w:rPr>
                <w:rFonts w:ascii="宋体" w:hAnsi="宋体" w:cs="宋体" w:eastAsia="宋体" w:hint="default"/>
                <w:sz w:val="18"/>
                <w:szCs w:val="18"/>
              </w:rPr>
              <w:t>损益。</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62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1,234,307,153.03</w:t>
            </w:r>
            <w:r>
              <w:rPr>
                <w:rFonts w:ascii="宋体" w:hAnsi="宋体" w:cs="宋体" w:eastAsia="宋体" w:hint="default"/>
                <w:sz w:val="18"/>
                <w:szCs w:val="18"/>
              </w:rPr>
              <w:t>元</w:t>
            </w:r>
          </w:p>
          <w:p>
            <w:pPr>
              <w:pStyle w:val="TableParagraph"/>
              <w:spacing w:line="316" w:lineRule="auto" w:before="19"/>
              <w:ind w:left="4" w:right="62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1,033,044,877.92</w:t>
            </w:r>
            <w:r>
              <w:rPr>
                <w:rFonts w:ascii="宋体" w:hAnsi="宋体" w:cs="宋体" w:eastAsia="宋体" w:hint="default"/>
                <w:sz w:val="18"/>
                <w:szCs w:val="18"/>
              </w:rPr>
              <w:t>元</w:t>
            </w:r>
          </w:p>
        </w:tc>
      </w:tr>
      <w:tr>
        <w:trPr>
          <w:trHeight w:val="1092" w:hRule="exact"/>
        </w:trPr>
        <w:tc>
          <w:tcPr>
            <w:tcW w:w="4970" w:type="dxa"/>
            <w:vMerge/>
            <w:tcBorders>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09"/>
              <w:jc w:val="left"/>
              <w:rPr>
                <w:rFonts w:ascii="宋体" w:hAnsi="宋体" w:cs="宋体" w:eastAsia="宋体" w:hint="default"/>
                <w:sz w:val="18"/>
                <w:szCs w:val="18"/>
              </w:rPr>
            </w:pPr>
            <w:r>
              <w:rPr>
                <w:rFonts w:ascii="宋体" w:hAnsi="宋体" w:cs="宋体" w:eastAsia="宋体" w:hint="default"/>
                <w:sz w:val="18"/>
                <w:szCs w:val="18"/>
              </w:rPr>
              <w:t>本期金额：</w:t>
            </w:r>
            <w:r>
              <w:rPr>
                <w:rFonts w:ascii="宋体" w:hAnsi="宋体" w:cs="宋体" w:eastAsia="宋体" w:hint="default"/>
                <w:sz w:val="18"/>
                <w:szCs w:val="18"/>
              </w:rPr>
              <w:t>0.00</w:t>
            </w:r>
            <w:r>
              <w:rPr>
                <w:rFonts w:ascii="宋体" w:hAnsi="宋体" w:cs="宋体" w:eastAsia="宋体" w:hint="default"/>
                <w:sz w:val="18"/>
                <w:szCs w:val="18"/>
              </w:rPr>
              <w:t>元 上期金额：</w:t>
            </w:r>
            <w:r>
              <w:rPr>
                <w:rFonts w:ascii="宋体" w:hAnsi="宋体" w:cs="宋体" w:eastAsia="宋体" w:hint="default"/>
                <w:sz w:val="18"/>
                <w:szCs w:val="18"/>
              </w:rPr>
              <w:t>0.00</w:t>
            </w:r>
            <w:r>
              <w:rPr>
                <w:rFonts w:ascii="宋体" w:hAnsi="宋体" w:cs="宋体" w:eastAsia="宋体" w:hint="default"/>
                <w:sz w:val="18"/>
                <w:szCs w:val="18"/>
              </w:rPr>
              <w:t>元</w:t>
            </w:r>
          </w:p>
        </w:tc>
      </w:tr>
      <w:tr>
        <w:trPr>
          <w:trHeight w:val="1278" w:hRule="exact"/>
        </w:trPr>
        <w:tc>
          <w:tcPr>
            <w:tcW w:w="4970" w:type="dxa"/>
            <w:vMerge w:val="restart"/>
            <w:tcBorders>
              <w:top w:val="single" w:sz="4" w:space="0" w:color="000000"/>
              <w:left w:val="single" w:sz="4" w:space="0" w:color="000000"/>
              <w:right w:val="single" w:sz="4" w:space="0" w:color="000000"/>
            </w:tcBorders>
          </w:tcPr>
          <w:p>
            <w:pPr>
              <w:pStyle w:val="TableParagraph"/>
              <w:spacing w:line="477" w:lineRule="auto" w:before="99"/>
              <w:ind w:left="4" w:right="33"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年度一般企业财务报表格 </w:t>
            </w:r>
            <w:r>
              <w:rPr>
                <w:rFonts w:ascii="宋体" w:hAnsi="宋体" w:cs="宋体" w:eastAsia="宋体" w:hint="default"/>
                <w:spacing w:val="-6"/>
                <w:sz w:val="18"/>
                <w:szCs w:val="18"/>
              </w:rPr>
              <w:t>式的通知》（财会</w:t>
            </w:r>
            <w:r>
              <w:rPr>
                <w:rFonts w:ascii="宋体" w:hAnsi="宋体" w:cs="宋体" w:eastAsia="宋体" w:hint="default"/>
                <w:spacing w:val="-6"/>
                <w:sz w:val="18"/>
                <w:szCs w:val="18"/>
              </w:rPr>
              <w:t>[2018]15</w:t>
            </w:r>
            <w:r>
              <w:rPr>
                <w:rFonts w:ascii="宋体" w:hAnsi="宋体" w:cs="宋体" w:eastAsia="宋体" w:hint="default"/>
                <w:spacing w:val="-6"/>
                <w:sz w:val="18"/>
                <w:szCs w:val="18"/>
              </w:rPr>
              <w:t>号），在资产负债表中删除原“工程</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物资”项目，归并至“在建工程”项目，反映资产负债表日尚 未达到预定可使用状态的在建工程的期末账面价值和为在建工</w:t>
            </w:r>
          </w:p>
          <w:p>
            <w:pPr>
              <w:pStyle w:val="TableParagraph"/>
              <w:spacing w:line="240" w:lineRule="auto" w:before="54"/>
              <w:ind w:left="4" w:right="0"/>
              <w:jc w:val="left"/>
              <w:rPr>
                <w:rFonts w:ascii="宋体" w:hAnsi="宋体" w:cs="宋体" w:eastAsia="宋体" w:hint="default"/>
                <w:sz w:val="18"/>
                <w:szCs w:val="18"/>
              </w:rPr>
            </w:pPr>
            <w:r>
              <w:rPr>
                <w:rFonts w:ascii="宋体" w:hAnsi="宋体" w:cs="宋体" w:eastAsia="宋体" w:hint="default"/>
                <w:sz w:val="18"/>
                <w:szCs w:val="18"/>
              </w:rPr>
              <w:t>程准备的各种物资的期末账面价值。</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0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165,595,023.06</w:t>
            </w:r>
            <w:r>
              <w:rPr>
                <w:rFonts w:ascii="宋体" w:hAnsi="宋体" w:cs="宋体" w:eastAsia="宋体" w:hint="default"/>
                <w:sz w:val="18"/>
                <w:szCs w:val="18"/>
              </w:rPr>
              <w:t>元</w:t>
            </w:r>
          </w:p>
          <w:p>
            <w:pPr>
              <w:pStyle w:val="TableParagraph"/>
              <w:spacing w:line="316" w:lineRule="auto" w:before="19"/>
              <w:ind w:left="4" w:right="80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378,545,016.60</w:t>
            </w:r>
            <w:r>
              <w:rPr>
                <w:rFonts w:ascii="宋体" w:hAnsi="宋体" w:cs="宋体" w:eastAsia="宋体" w:hint="default"/>
                <w:sz w:val="18"/>
                <w:szCs w:val="18"/>
              </w:rPr>
              <w:t>元</w:t>
            </w:r>
          </w:p>
        </w:tc>
      </w:tr>
      <w:tr>
        <w:trPr>
          <w:trHeight w:val="1092" w:hRule="exact"/>
        </w:trPr>
        <w:tc>
          <w:tcPr>
            <w:tcW w:w="4970" w:type="dxa"/>
            <w:vMerge/>
            <w:tcBorders>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09"/>
              <w:jc w:val="left"/>
              <w:rPr>
                <w:rFonts w:ascii="宋体" w:hAnsi="宋体" w:cs="宋体" w:eastAsia="宋体" w:hint="default"/>
                <w:sz w:val="18"/>
                <w:szCs w:val="18"/>
              </w:rPr>
            </w:pPr>
            <w:r>
              <w:rPr>
                <w:rFonts w:ascii="宋体" w:hAnsi="宋体" w:cs="宋体" w:eastAsia="宋体" w:hint="default"/>
                <w:sz w:val="18"/>
                <w:szCs w:val="18"/>
              </w:rPr>
              <w:t>本期金额：</w:t>
            </w:r>
            <w:r>
              <w:rPr>
                <w:rFonts w:ascii="宋体" w:hAnsi="宋体" w:cs="宋体" w:eastAsia="宋体" w:hint="default"/>
                <w:sz w:val="18"/>
                <w:szCs w:val="18"/>
              </w:rPr>
              <w:t>0.00</w:t>
            </w:r>
            <w:r>
              <w:rPr>
                <w:rFonts w:ascii="宋体" w:hAnsi="宋体" w:cs="宋体" w:eastAsia="宋体" w:hint="default"/>
                <w:sz w:val="18"/>
                <w:szCs w:val="18"/>
              </w:rPr>
              <w:t>元 上期金额：</w:t>
            </w:r>
            <w:r>
              <w:rPr>
                <w:rFonts w:ascii="宋体" w:hAnsi="宋体" w:cs="宋体" w:eastAsia="宋体" w:hint="default"/>
                <w:sz w:val="18"/>
                <w:szCs w:val="18"/>
              </w:rPr>
              <w:t>0.00</w:t>
            </w:r>
            <w:r>
              <w:rPr>
                <w:rFonts w:ascii="宋体" w:hAnsi="宋体" w:cs="宋体" w:eastAsia="宋体" w:hint="default"/>
                <w:sz w:val="18"/>
                <w:szCs w:val="18"/>
              </w:rPr>
              <w:t>元</w:t>
            </w:r>
          </w:p>
        </w:tc>
      </w:tr>
      <w:tr>
        <w:trPr>
          <w:trHeight w:val="1278" w:hRule="exact"/>
        </w:trPr>
        <w:tc>
          <w:tcPr>
            <w:tcW w:w="4970" w:type="dxa"/>
            <w:vMerge w:val="restart"/>
            <w:tcBorders>
              <w:top w:val="single" w:sz="4" w:space="0" w:color="000000"/>
              <w:left w:val="single" w:sz="4" w:space="0" w:color="000000"/>
              <w:right w:val="single" w:sz="4" w:space="0" w:color="000000"/>
            </w:tcBorders>
          </w:tcPr>
          <w:p>
            <w:pPr>
              <w:pStyle w:val="TableParagraph"/>
              <w:spacing w:line="477" w:lineRule="auto" w:before="99"/>
              <w:ind w:left="4" w:right="33"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年度一般企业财务报表格 </w:t>
            </w:r>
            <w:r>
              <w:rPr>
                <w:rFonts w:ascii="宋体" w:hAnsi="宋体" w:cs="宋体" w:eastAsia="宋体" w:hint="default"/>
                <w:spacing w:val="-6"/>
                <w:sz w:val="18"/>
                <w:szCs w:val="18"/>
              </w:rPr>
              <w:t>式的通知》（财会</w:t>
            </w:r>
            <w:r>
              <w:rPr>
                <w:rFonts w:ascii="宋体" w:hAnsi="宋体" w:cs="宋体" w:eastAsia="宋体" w:hint="default"/>
                <w:spacing w:val="-6"/>
                <w:sz w:val="18"/>
                <w:szCs w:val="18"/>
              </w:rPr>
              <w:t>[2018]15</w:t>
            </w:r>
            <w:r>
              <w:rPr>
                <w:rFonts w:ascii="宋体" w:hAnsi="宋体" w:cs="宋体" w:eastAsia="宋体" w:hint="default"/>
                <w:spacing w:val="-6"/>
                <w:sz w:val="18"/>
                <w:szCs w:val="18"/>
              </w:rPr>
              <w:t>号），在资产负债表中删除原“应付</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票据”及“应付账款”项目，将其整合为新增的“应付票据及 应付账款”项目，反映资产负债表日因购买材料、商品和接受 服务等经营活动应支付的款项，以及开出、承兑的商业汇票， 包括银行承兑汇票和商业承兑汇票。</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21"/>
              <w:ind w:left="4" w:right="80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917,669,360.03</w:t>
            </w:r>
            <w:r>
              <w:rPr>
                <w:rFonts w:ascii="宋体" w:hAnsi="宋体" w:cs="宋体" w:eastAsia="宋体" w:hint="default"/>
                <w:sz w:val="18"/>
                <w:szCs w:val="18"/>
              </w:rPr>
              <w:t>元</w:t>
            </w:r>
          </w:p>
          <w:p>
            <w:pPr>
              <w:pStyle w:val="TableParagraph"/>
              <w:spacing w:line="316" w:lineRule="auto" w:before="17"/>
              <w:ind w:left="4" w:right="62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1,164,004,777.67</w:t>
            </w:r>
            <w:r>
              <w:rPr>
                <w:rFonts w:ascii="宋体" w:hAnsi="宋体" w:cs="宋体" w:eastAsia="宋体" w:hint="default"/>
                <w:sz w:val="18"/>
                <w:szCs w:val="18"/>
              </w:rPr>
              <w:t>元</w:t>
            </w:r>
          </w:p>
        </w:tc>
      </w:tr>
      <w:tr>
        <w:trPr>
          <w:trHeight w:val="1278" w:hRule="exact"/>
        </w:trPr>
        <w:tc>
          <w:tcPr>
            <w:tcW w:w="4970" w:type="dxa"/>
            <w:vMerge/>
            <w:tcBorders>
              <w:left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0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186,418,052.15</w:t>
            </w:r>
            <w:r>
              <w:rPr>
                <w:rFonts w:ascii="宋体" w:hAnsi="宋体" w:cs="宋体" w:eastAsia="宋体" w:hint="default"/>
                <w:sz w:val="18"/>
                <w:szCs w:val="18"/>
              </w:rPr>
              <w:t>元</w:t>
            </w:r>
          </w:p>
          <w:p>
            <w:pPr>
              <w:pStyle w:val="TableParagraph"/>
              <w:spacing w:line="316" w:lineRule="auto" w:before="19"/>
              <w:ind w:left="4" w:right="80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139,623,906.42</w:t>
            </w:r>
            <w:r>
              <w:rPr>
                <w:rFonts w:ascii="宋体" w:hAnsi="宋体" w:cs="宋体" w:eastAsia="宋体" w:hint="default"/>
                <w:sz w:val="18"/>
                <w:szCs w:val="18"/>
              </w:rPr>
              <w:t>元</w:t>
            </w:r>
          </w:p>
        </w:tc>
      </w:tr>
      <w:tr>
        <w:trPr>
          <w:trHeight w:val="1278" w:hRule="exact"/>
        </w:trPr>
        <w:tc>
          <w:tcPr>
            <w:tcW w:w="4970" w:type="dxa"/>
            <w:vMerge/>
            <w:tcBorders>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0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731,251,307.88</w:t>
            </w:r>
            <w:r>
              <w:rPr>
                <w:rFonts w:ascii="宋体" w:hAnsi="宋体" w:cs="宋体" w:eastAsia="宋体" w:hint="default"/>
                <w:sz w:val="18"/>
                <w:szCs w:val="18"/>
              </w:rPr>
              <w:t>元</w:t>
            </w:r>
          </w:p>
          <w:p>
            <w:pPr>
              <w:pStyle w:val="TableParagraph"/>
              <w:spacing w:line="316" w:lineRule="auto" w:before="19"/>
              <w:ind w:left="4" w:right="62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1,024,380,871.25</w:t>
            </w:r>
            <w:r>
              <w:rPr>
                <w:rFonts w:ascii="宋体" w:hAnsi="宋体" w:cs="宋体" w:eastAsia="宋体" w:hint="default"/>
                <w:sz w:val="18"/>
                <w:szCs w:val="18"/>
              </w:rPr>
              <w:t>元</w:t>
            </w:r>
          </w:p>
        </w:tc>
      </w:tr>
      <w:tr>
        <w:trPr>
          <w:trHeight w:val="1278" w:hRule="exact"/>
        </w:trPr>
        <w:tc>
          <w:tcPr>
            <w:tcW w:w="4970" w:type="dxa"/>
            <w:vMerge w:val="restart"/>
            <w:tcBorders>
              <w:top w:val="single" w:sz="4" w:space="0" w:color="000000"/>
              <w:left w:val="single" w:sz="4" w:space="0" w:color="000000"/>
              <w:right w:val="single" w:sz="4" w:space="0" w:color="000000"/>
            </w:tcBorders>
          </w:tcPr>
          <w:p>
            <w:pPr>
              <w:pStyle w:val="TableParagraph"/>
              <w:spacing w:line="477" w:lineRule="auto" w:before="99"/>
              <w:ind w:left="4" w:right="33"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年度一般企业财务报表格 </w:t>
            </w:r>
            <w:r>
              <w:rPr>
                <w:rFonts w:ascii="宋体" w:hAnsi="宋体" w:cs="宋体" w:eastAsia="宋体" w:hint="default"/>
                <w:spacing w:val="-6"/>
                <w:sz w:val="18"/>
                <w:szCs w:val="18"/>
              </w:rPr>
              <w:t>式的通知》（财会</w:t>
            </w:r>
            <w:r>
              <w:rPr>
                <w:rFonts w:ascii="宋体" w:hAnsi="宋体" w:cs="宋体" w:eastAsia="宋体" w:hint="default"/>
                <w:spacing w:val="-6"/>
                <w:sz w:val="18"/>
                <w:szCs w:val="18"/>
              </w:rPr>
              <w:t>[2018]15</w:t>
            </w:r>
            <w:r>
              <w:rPr>
                <w:rFonts w:ascii="宋体" w:hAnsi="宋体" w:cs="宋体" w:eastAsia="宋体" w:hint="default"/>
                <w:spacing w:val="-6"/>
                <w:sz w:val="18"/>
                <w:szCs w:val="18"/>
              </w:rPr>
              <w:t>号），在资产负债表中删除原“应付</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利息”及“应付股利”项目，归并至“其他应付款”项目。</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9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45,368,521.24</w:t>
            </w:r>
            <w:r>
              <w:rPr>
                <w:rFonts w:ascii="宋体" w:hAnsi="宋体" w:cs="宋体" w:eastAsia="宋体" w:hint="default"/>
                <w:sz w:val="18"/>
                <w:szCs w:val="18"/>
              </w:rPr>
              <w:t>元</w:t>
            </w:r>
          </w:p>
          <w:p>
            <w:pPr>
              <w:pStyle w:val="TableParagraph"/>
              <w:spacing w:line="316" w:lineRule="auto" w:before="19"/>
              <w:ind w:left="4" w:right="89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47,925,487.37</w:t>
            </w:r>
            <w:r>
              <w:rPr>
                <w:rFonts w:ascii="宋体" w:hAnsi="宋体" w:cs="宋体" w:eastAsia="宋体" w:hint="default"/>
                <w:sz w:val="18"/>
                <w:szCs w:val="18"/>
              </w:rPr>
              <w:t>元</w:t>
            </w:r>
          </w:p>
        </w:tc>
      </w:tr>
      <w:tr>
        <w:trPr>
          <w:trHeight w:val="1278" w:hRule="exact"/>
        </w:trPr>
        <w:tc>
          <w:tcPr>
            <w:tcW w:w="4970" w:type="dxa"/>
            <w:vMerge/>
            <w:tcBorders>
              <w:left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98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2,868,509.53</w:t>
            </w:r>
            <w:r>
              <w:rPr>
                <w:rFonts w:ascii="宋体" w:hAnsi="宋体" w:cs="宋体" w:eastAsia="宋体" w:hint="default"/>
                <w:sz w:val="18"/>
                <w:szCs w:val="18"/>
              </w:rPr>
              <w:t>元</w:t>
            </w:r>
          </w:p>
          <w:p>
            <w:pPr>
              <w:pStyle w:val="TableParagraph"/>
              <w:spacing w:line="316" w:lineRule="auto" w:before="19"/>
              <w:ind w:left="4" w:right="116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862,375.80</w:t>
            </w:r>
            <w:r>
              <w:rPr>
                <w:rFonts w:ascii="宋体" w:hAnsi="宋体" w:cs="宋体" w:eastAsia="宋体" w:hint="default"/>
                <w:sz w:val="18"/>
                <w:szCs w:val="18"/>
              </w:rPr>
              <w:t>元</w:t>
            </w:r>
          </w:p>
        </w:tc>
      </w:tr>
      <w:tr>
        <w:trPr>
          <w:trHeight w:val="654" w:hRule="exact"/>
        </w:trPr>
        <w:tc>
          <w:tcPr>
            <w:tcW w:w="4970" w:type="dxa"/>
            <w:vMerge/>
            <w:tcBorders>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134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0.00</w:t>
            </w:r>
            <w:r>
              <w:rPr>
                <w:rFonts w:ascii="宋体" w:hAnsi="宋体" w:cs="宋体" w:eastAsia="宋体" w:hint="default"/>
                <w:sz w:val="18"/>
                <w:szCs w:val="18"/>
              </w:rPr>
              <w:t>元</w:t>
            </w:r>
          </w:p>
        </w:tc>
      </w:tr>
    </w:tbl>
    <w:p>
      <w:pPr>
        <w:spacing w:after="0" w:line="316" w:lineRule="auto"/>
        <w:jc w:val="left"/>
        <w:rPr>
          <w:rFonts w:ascii="宋体" w:hAnsi="宋体" w:cs="宋体" w:eastAsia="宋体" w:hint="default"/>
          <w:sz w:val="18"/>
          <w:szCs w:val="18"/>
        </w:rPr>
        <w:sectPr>
          <w:footerReference w:type="default" r:id="rId37"/>
          <w:pgSz w:w="11910" w:h="16840"/>
          <w:pgMar w:footer="1019" w:header="917" w:top="1120" w:bottom="1200" w:left="980" w:right="0"/>
          <w:pgNumType w:start="46"/>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4970"/>
        <w:gridCol w:w="2340"/>
        <w:gridCol w:w="2264"/>
      </w:tblGrid>
      <w:tr>
        <w:trPr>
          <w:trHeight w:val="654" w:hRule="exact"/>
        </w:trPr>
        <w:tc>
          <w:tcPr>
            <w:tcW w:w="497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134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0.00</w:t>
            </w:r>
            <w:r>
              <w:rPr>
                <w:rFonts w:ascii="宋体" w:hAnsi="宋体" w:cs="宋体" w:eastAsia="宋体" w:hint="default"/>
                <w:sz w:val="18"/>
                <w:szCs w:val="18"/>
              </w:rPr>
              <w:t>元</w:t>
            </w:r>
          </w:p>
        </w:tc>
      </w:tr>
      <w:tr>
        <w:trPr>
          <w:trHeight w:val="1278" w:hRule="exact"/>
        </w:trPr>
        <w:tc>
          <w:tcPr>
            <w:tcW w:w="4970" w:type="dxa"/>
            <w:vMerge w:val="restart"/>
            <w:tcBorders>
              <w:top w:val="single" w:sz="4" w:space="0" w:color="000000"/>
              <w:left w:val="single" w:sz="4" w:space="0" w:color="000000"/>
              <w:right w:val="single" w:sz="4" w:space="0" w:color="000000"/>
            </w:tcBorders>
          </w:tcPr>
          <w:p>
            <w:pPr>
              <w:pStyle w:val="TableParagraph"/>
              <w:spacing w:line="477" w:lineRule="auto" w:before="99"/>
              <w:ind w:left="4" w:right="33"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年度一般企业财务报表格 </w:t>
            </w:r>
            <w:r>
              <w:rPr>
                <w:rFonts w:ascii="宋体" w:hAnsi="宋体" w:cs="宋体" w:eastAsia="宋体" w:hint="default"/>
                <w:spacing w:val="-6"/>
                <w:sz w:val="18"/>
                <w:szCs w:val="18"/>
              </w:rPr>
              <w:t>式的通知》（财会</w:t>
            </w:r>
            <w:r>
              <w:rPr>
                <w:rFonts w:ascii="宋体" w:hAnsi="宋体" w:cs="宋体" w:eastAsia="宋体" w:hint="default"/>
                <w:spacing w:val="-6"/>
                <w:sz w:val="18"/>
                <w:szCs w:val="18"/>
              </w:rPr>
              <w:t>[2018]15</w:t>
            </w:r>
            <w:r>
              <w:rPr>
                <w:rFonts w:ascii="宋体" w:hAnsi="宋体" w:cs="宋体" w:eastAsia="宋体" w:hint="default"/>
                <w:spacing w:val="-6"/>
                <w:sz w:val="18"/>
                <w:szCs w:val="18"/>
              </w:rPr>
              <w:t>号），在利润表中新增“研发费用”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项目，反映进行研究与开发过程中发生的费用化支出。</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0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161,399,861.30</w:t>
            </w:r>
            <w:r>
              <w:rPr>
                <w:rFonts w:ascii="宋体" w:hAnsi="宋体" w:cs="宋体" w:eastAsia="宋体" w:hint="default"/>
                <w:sz w:val="18"/>
                <w:szCs w:val="18"/>
              </w:rPr>
              <w:t>元</w:t>
            </w:r>
          </w:p>
          <w:p>
            <w:pPr>
              <w:pStyle w:val="TableParagraph"/>
              <w:spacing w:line="316" w:lineRule="auto" w:before="19"/>
              <w:ind w:left="4" w:right="80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106,034,890.80</w:t>
            </w:r>
            <w:r>
              <w:rPr>
                <w:rFonts w:ascii="宋体" w:hAnsi="宋体" w:cs="宋体" w:eastAsia="宋体" w:hint="default"/>
                <w:sz w:val="18"/>
                <w:szCs w:val="18"/>
              </w:rPr>
              <w:t>元</w:t>
            </w:r>
          </w:p>
        </w:tc>
      </w:tr>
      <w:tr>
        <w:trPr>
          <w:trHeight w:val="1278" w:hRule="exact"/>
        </w:trPr>
        <w:tc>
          <w:tcPr>
            <w:tcW w:w="4970" w:type="dxa"/>
            <w:vMerge/>
            <w:tcBorders>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0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105,363,180.20</w:t>
            </w:r>
            <w:r>
              <w:rPr>
                <w:rFonts w:ascii="宋体" w:hAnsi="宋体" w:cs="宋体" w:eastAsia="宋体" w:hint="default"/>
                <w:sz w:val="18"/>
                <w:szCs w:val="18"/>
              </w:rPr>
              <w:t>元</w:t>
            </w:r>
          </w:p>
          <w:p>
            <w:pPr>
              <w:pStyle w:val="TableParagraph"/>
              <w:spacing w:line="316" w:lineRule="auto" w:before="19"/>
              <w:ind w:left="4" w:right="89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98,893,572.55</w:t>
            </w:r>
            <w:r>
              <w:rPr>
                <w:rFonts w:ascii="宋体" w:hAnsi="宋体" w:cs="宋体" w:eastAsia="宋体" w:hint="default"/>
                <w:sz w:val="18"/>
                <w:szCs w:val="18"/>
              </w:rPr>
              <w:t>元</w:t>
            </w:r>
          </w:p>
        </w:tc>
      </w:tr>
      <w:tr>
        <w:trPr>
          <w:trHeight w:val="1278" w:hRule="exact"/>
        </w:trPr>
        <w:tc>
          <w:tcPr>
            <w:tcW w:w="4970" w:type="dxa"/>
            <w:vMerge w:val="restart"/>
            <w:tcBorders>
              <w:top w:val="single" w:sz="4" w:space="0" w:color="000000"/>
              <w:left w:val="single" w:sz="4" w:space="0" w:color="000000"/>
              <w:right w:val="single" w:sz="4" w:space="0" w:color="000000"/>
            </w:tcBorders>
          </w:tcPr>
          <w:p>
            <w:pPr>
              <w:pStyle w:val="TableParagraph"/>
              <w:spacing w:line="477" w:lineRule="auto" w:before="99"/>
              <w:ind w:left="4" w:right="33"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年度一般企业财务报表格 </w:t>
            </w:r>
            <w:r>
              <w:rPr>
                <w:rFonts w:ascii="宋体" w:hAnsi="宋体" w:cs="宋体" w:eastAsia="宋体" w:hint="default"/>
                <w:spacing w:val="-6"/>
                <w:sz w:val="18"/>
                <w:szCs w:val="18"/>
              </w:rPr>
              <w:t>式的通知》（财会</w:t>
            </w:r>
            <w:r>
              <w:rPr>
                <w:rFonts w:ascii="宋体" w:hAnsi="宋体" w:cs="宋体" w:eastAsia="宋体" w:hint="default"/>
                <w:spacing w:val="-6"/>
                <w:sz w:val="18"/>
                <w:szCs w:val="18"/>
              </w:rPr>
              <w:t>[2018]15</w:t>
            </w:r>
            <w:r>
              <w:rPr>
                <w:rFonts w:ascii="宋体" w:hAnsi="宋体" w:cs="宋体" w:eastAsia="宋体" w:hint="default"/>
                <w:spacing w:val="-6"/>
                <w:sz w:val="18"/>
                <w:szCs w:val="18"/>
              </w:rPr>
              <w:t>号），在利润表“财务费用”下新增</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“利息费用”与“利息收入”项目，分别反映为筹集生产经营 所需资金等而发生的应予费用化的利息支出和确认的利息收 入。</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89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28,877,813.98</w:t>
            </w:r>
            <w:r>
              <w:rPr>
                <w:rFonts w:ascii="宋体" w:hAnsi="宋体" w:cs="宋体" w:eastAsia="宋体" w:hint="default"/>
                <w:sz w:val="18"/>
                <w:szCs w:val="18"/>
              </w:rPr>
              <w:t>元</w:t>
            </w:r>
          </w:p>
          <w:p>
            <w:pPr>
              <w:pStyle w:val="TableParagraph"/>
              <w:spacing w:line="316" w:lineRule="auto" w:before="19"/>
              <w:ind w:left="4" w:right="89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18,308,140.48</w:t>
            </w:r>
            <w:r>
              <w:rPr>
                <w:rFonts w:ascii="宋体" w:hAnsi="宋体" w:cs="宋体" w:eastAsia="宋体" w:hint="default"/>
                <w:sz w:val="18"/>
                <w:szCs w:val="18"/>
              </w:rPr>
              <w:t>元</w:t>
            </w:r>
          </w:p>
        </w:tc>
      </w:tr>
      <w:tr>
        <w:trPr>
          <w:trHeight w:val="1278" w:hRule="exact"/>
        </w:trPr>
        <w:tc>
          <w:tcPr>
            <w:tcW w:w="4970" w:type="dxa"/>
            <w:vMerge/>
            <w:tcBorders>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989"/>
              <w:jc w:val="left"/>
              <w:rPr>
                <w:rFonts w:ascii="宋体" w:hAnsi="宋体" w:cs="宋体" w:eastAsia="宋体" w:hint="default"/>
                <w:sz w:val="18"/>
                <w:szCs w:val="18"/>
              </w:rPr>
            </w:pPr>
            <w:r>
              <w:rPr>
                <w:rFonts w:ascii="宋体" w:hAnsi="宋体" w:cs="宋体" w:eastAsia="宋体" w:hint="default"/>
                <w:sz w:val="18"/>
                <w:szCs w:val="18"/>
              </w:rPr>
              <w:t>本期金额： </w:t>
            </w:r>
            <w:r>
              <w:rPr>
                <w:rFonts w:ascii="宋体" w:hAnsi="宋体" w:cs="宋体" w:eastAsia="宋体" w:hint="default"/>
                <w:sz w:val="18"/>
                <w:szCs w:val="18"/>
              </w:rPr>
              <w:t>3,818,492.77</w:t>
            </w:r>
            <w:r>
              <w:rPr>
                <w:rFonts w:ascii="宋体" w:hAnsi="宋体" w:cs="宋体" w:eastAsia="宋体" w:hint="default"/>
                <w:sz w:val="18"/>
                <w:szCs w:val="18"/>
              </w:rPr>
              <w:t>元</w:t>
            </w:r>
          </w:p>
          <w:p>
            <w:pPr>
              <w:pStyle w:val="TableParagraph"/>
              <w:spacing w:line="316" w:lineRule="auto" w:before="19"/>
              <w:ind w:left="4" w:right="989"/>
              <w:jc w:val="left"/>
              <w:rPr>
                <w:rFonts w:ascii="宋体" w:hAnsi="宋体" w:cs="宋体" w:eastAsia="宋体" w:hint="default"/>
                <w:sz w:val="18"/>
                <w:szCs w:val="18"/>
              </w:rPr>
            </w:pPr>
            <w:r>
              <w:rPr>
                <w:rFonts w:ascii="宋体" w:hAnsi="宋体" w:cs="宋体" w:eastAsia="宋体" w:hint="default"/>
                <w:sz w:val="18"/>
                <w:szCs w:val="18"/>
              </w:rPr>
              <w:t>上期金额： </w:t>
            </w:r>
            <w:r>
              <w:rPr>
                <w:rFonts w:ascii="宋体" w:hAnsi="宋体" w:cs="宋体" w:eastAsia="宋体" w:hint="default"/>
                <w:sz w:val="18"/>
                <w:szCs w:val="18"/>
              </w:rPr>
              <w:t>8,085,186.23</w:t>
            </w:r>
            <w:r>
              <w:rPr>
                <w:rFonts w:ascii="宋体" w:hAnsi="宋体" w:cs="宋体" w:eastAsia="宋体" w:hint="default"/>
                <w:sz w:val="18"/>
                <w:szCs w:val="18"/>
              </w:rPr>
              <w:t>元</w:t>
            </w:r>
          </w:p>
        </w:tc>
      </w:tr>
      <w:tr>
        <w:trPr>
          <w:trHeight w:val="1278" w:hRule="exact"/>
        </w:trPr>
        <w:tc>
          <w:tcPr>
            <w:tcW w:w="4970" w:type="dxa"/>
            <w:vMerge w:val="restart"/>
            <w:tcBorders>
              <w:top w:val="single" w:sz="4" w:space="0" w:color="000000"/>
              <w:left w:val="single" w:sz="4" w:space="0" w:color="000000"/>
              <w:right w:val="single" w:sz="4" w:space="0" w:color="000000"/>
            </w:tcBorders>
          </w:tcPr>
          <w:p>
            <w:pPr>
              <w:pStyle w:val="TableParagraph"/>
              <w:spacing w:line="477" w:lineRule="auto" w:before="99"/>
              <w:ind w:left="4" w:right="33"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年度一般企业财务报表格 </w:t>
            </w:r>
            <w:r>
              <w:rPr>
                <w:rFonts w:ascii="宋体" w:hAnsi="宋体" w:cs="宋体" w:eastAsia="宋体" w:hint="default"/>
                <w:spacing w:val="-6"/>
                <w:sz w:val="18"/>
                <w:szCs w:val="18"/>
              </w:rPr>
              <w:t>式的通知》（财会</w:t>
            </w:r>
            <w:r>
              <w:rPr>
                <w:rFonts w:ascii="宋体" w:hAnsi="宋体" w:cs="宋体" w:eastAsia="宋体" w:hint="default"/>
                <w:spacing w:val="-6"/>
                <w:sz w:val="18"/>
                <w:szCs w:val="18"/>
              </w:rPr>
              <w:t>[2018]15</w:t>
            </w:r>
            <w:r>
              <w:rPr>
                <w:rFonts w:ascii="宋体" w:hAnsi="宋体" w:cs="宋体" w:eastAsia="宋体" w:hint="default"/>
                <w:spacing w:val="-6"/>
                <w:sz w:val="18"/>
                <w:szCs w:val="18"/>
              </w:rPr>
              <w:t>号），利润表中将原“权益法下在被</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投资单位以后将重分类进损益的其他综合收益中享有的份额” 项目变更为“权益法下可转损益的其他综合收益”项目。</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165"/>
              <w:jc w:val="left"/>
              <w:rPr>
                <w:rFonts w:ascii="宋体" w:hAnsi="宋体" w:cs="宋体" w:eastAsia="宋体" w:hint="default"/>
                <w:sz w:val="18"/>
                <w:szCs w:val="18"/>
              </w:rPr>
            </w:pPr>
            <w:r>
              <w:rPr>
                <w:rFonts w:ascii="宋体" w:hAnsi="宋体" w:cs="宋体" w:eastAsia="宋体" w:hint="default"/>
                <w:sz w:val="18"/>
                <w:szCs w:val="18"/>
              </w:rPr>
              <w:t>权益法下可转损益的其他综 合收益</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-135,317.26</w:t>
            </w:r>
            <w:r>
              <w:rPr>
                <w:rFonts w:ascii="宋体" w:hAnsi="宋体" w:cs="宋体" w:eastAsia="宋体" w:hint="default"/>
                <w:sz w:val="18"/>
                <w:szCs w:val="18"/>
              </w:rPr>
              <w:t>元</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-78,888.41</w:t>
            </w:r>
            <w:r>
              <w:rPr>
                <w:rFonts w:ascii="宋体" w:hAnsi="宋体" w:cs="宋体" w:eastAsia="宋体" w:hint="default"/>
                <w:sz w:val="18"/>
                <w:szCs w:val="18"/>
              </w:rPr>
              <w:t>元</w:t>
            </w:r>
          </w:p>
        </w:tc>
      </w:tr>
      <w:tr>
        <w:trPr>
          <w:trHeight w:val="1278" w:hRule="exact"/>
        </w:trPr>
        <w:tc>
          <w:tcPr>
            <w:tcW w:w="4970" w:type="dxa"/>
            <w:vMerge/>
            <w:tcBorders>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165"/>
              <w:jc w:val="both"/>
              <w:rPr>
                <w:rFonts w:ascii="宋体" w:hAnsi="宋体" w:cs="宋体" w:eastAsia="宋体" w:hint="default"/>
                <w:sz w:val="18"/>
                <w:szCs w:val="18"/>
              </w:rPr>
            </w:pPr>
            <w:r>
              <w:rPr>
                <w:rFonts w:ascii="宋体" w:hAnsi="宋体" w:cs="宋体" w:eastAsia="宋体" w:hint="default"/>
                <w:sz w:val="18"/>
                <w:szCs w:val="18"/>
              </w:rPr>
              <w:t>权益法下在被投资单位以后 将重分类进损益的其他综合 收益中享有的份额</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-135,317.26</w:t>
            </w:r>
            <w:r>
              <w:rPr>
                <w:rFonts w:ascii="宋体" w:hAnsi="宋体" w:cs="宋体" w:eastAsia="宋体" w:hint="default"/>
                <w:sz w:val="18"/>
                <w:szCs w:val="18"/>
              </w:rPr>
              <w:t>元</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-78,888.41</w:t>
            </w:r>
            <w:r>
              <w:rPr>
                <w:rFonts w:ascii="宋体" w:hAnsi="宋体" w:cs="宋体" w:eastAsia="宋体" w:hint="default"/>
                <w:sz w:val="18"/>
                <w:szCs w:val="18"/>
              </w:rPr>
              <w:t>元</w:t>
            </w:r>
          </w:p>
        </w:tc>
      </w:tr>
    </w:tbl>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4"/>
          <w:szCs w:val="14"/>
        </w:rPr>
      </w:pPr>
    </w:p>
    <w:p>
      <w:pPr>
        <w:pStyle w:val="BodyText"/>
        <w:spacing w:line="477" w:lineRule="auto"/>
        <w:ind w:left="577" w:right="1149" w:hanging="63"/>
        <w:jc w:val="left"/>
      </w:pPr>
      <w:r>
        <w:rPr>
          <w:rFonts w:ascii="宋体" w:hAnsi="宋体" w:cs="宋体" w:eastAsia="宋体" w:hint="default"/>
          <w:b/>
          <w:bCs/>
        </w:rPr>
        <w:t>2</w:t>
      </w:r>
      <w:r>
        <w:rPr>
          <w:rFonts w:ascii="宋体" w:hAnsi="宋体" w:cs="宋体" w:eastAsia="宋体" w:hint="default"/>
          <w:b/>
          <w:bCs/>
        </w:rPr>
        <w:t>）重要会计估计变更</w:t>
      </w:r>
      <w:r>
        <w:rPr>
          <w:rFonts w:ascii="宋体" w:hAnsi="宋体" w:cs="宋体" w:eastAsia="宋体" w:hint="default"/>
          <w:b/>
          <w:bCs/>
          <w:w w:val="99"/>
        </w:rPr>
        <w:t> </w:t>
      </w:r>
      <w:r>
        <w:rPr/>
        <w:t>会计估计变更的内容：本报告期内公司对信用风险特征组合中应收款项账龄组合的部分，按照账龄分析法计提坏账准</w:t>
      </w:r>
    </w:p>
    <w:p>
      <w:pPr>
        <w:pStyle w:val="BodyText"/>
        <w:spacing w:line="477" w:lineRule="auto" w:before="54"/>
        <w:ind w:left="651" w:right="4093" w:hanging="498"/>
        <w:jc w:val="left"/>
      </w:pPr>
      <w:r>
        <w:rPr/>
        <w:t>备的比例根据实际测算比例进行调整；对应收的押金、保证金组合不计提坏账准备。 变更前执行的方法：</w:t>
      </w:r>
    </w:p>
    <w:p>
      <w:pPr>
        <w:pStyle w:val="BodyText"/>
        <w:spacing w:line="463" w:lineRule="auto" w:before="54"/>
        <w:ind w:right="1131" w:firstLine="420"/>
        <w:jc w:val="both"/>
      </w:pPr>
      <w:r>
        <w:rPr>
          <w:spacing w:val="-3"/>
        </w:rPr>
        <w:t>对于单项金额重大的应收款项（单项金额超过人民币</w:t>
      </w:r>
      <w:r>
        <w:rPr>
          <w:rFonts w:ascii="Times New Roman" w:hAnsi="Times New Roman" w:cs="Times New Roman" w:eastAsia="Times New Roman" w:hint="default"/>
          <w:spacing w:val="-3"/>
        </w:rPr>
        <w:t>50</w:t>
      </w:r>
      <w:r>
        <w:rPr>
          <w:spacing w:val="-3"/>
        </w:rPr>
        <w:t>万）、其他应收款（单项金额超过人民币</w:t>
      </w:r>
      <w:r>
        <w:rPr>
          <w:rFonts w:ascii="Times New Roman" w:hAnsi="Times New Roman" w:cs="Times New Roman" w:eastAsia="Times New Roman" w:hint="default"/>
          <w:spacing w:val="-3"/>
        </w:rPr>
        <w:t>10</w:t>
      </w:r>
      <w:r>
        <w:rPr>
          <w:spacing w:val="-3"/>
        </w:rPr>
        <w:t>万）及有减值迹象的</w:t>
      </w:r>
      <w:r>
        <w:rPr/>
        <w:t> </w:t>
      </w:r>
      <w:r>
        <w:rPr>
          <w:spacing w:val="-2"/>
        </w:rPr>
        <w:t>单项金额虽不重大的应收款项，应单独进行减值测试，有客观证据表明其发生了减值的，应根据其未来现金流量现值低于其</w:t>
      </w:r>
      <w:r>
        <w:rPr>
          <w:spacing w:val="-66"/>
        </w:rPr>
        <w:t> </w:t>
      </w:r>
      <w:r>
        <w:rPr>
          <w:spacing w:val="-66"/>
        </w:rPr>
      </w:r>
      <w:r>
        <w:rPr/>
        <w:t>账面价值的差额，确认减值损失，计提坏账准备。</w:t>
      </w:r>
    </w:p>
    <w:p>
      <w:pPr>
        <w:pStyle w:val="BodyText"/>
        <w:spacing w:line="477" w:lineRule="auto" w:before="65"/>
        <w:ind w:right="1166" w:firstLine="423"/>
        <w:jc w:val="both"/>
      </w:pPr>
      <w:r>
        <w:rPr/>
        <w:pict>
          <v:shape style="position:absolute;margin-left:56.459999pt;margin-top:45.641685pt;width:426.9pt;height:50.35pt;mso-position-horizontal-relative:page;mso-position-vertical-relative:paragraph;z-index:13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62"/>
                    <w:gridCol w:w="4262"/>
                  </w:tblGrid>
                  <w:tr>
                    <w:trPr>
                      <w:trHeight w:val="498" w:hRule="exact"/>
                    </w:trPr>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99" w:hRule="exact"/>
                    </w:trPr>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4"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hAnsi="宋体" w:cs="宋体" w:eastAsia="宋体" w:hint="default"/>
                            <w:sz w:val="18"/>
                            <w:szCs w:val="18"/>
                          </w:rPr>
                          <w:t>账龄分析法</w:t>
                        </w:r>
                      </w:p>
                    </w:tc>
                  </w:tr>
                </w:tbl>
                <w:p>
                  <w:pPr/>
                </w:p>
              </w:txbxContent>
            </v:textbox>
            <w10:wrap type="none"/>
          </v:shape>
        </w:pict>
      </w:r>
      <w:r>
        <w:rPr/>
        <w:t>对于剩余单项金额非重大的应收款项与经单独测试后未减值的单项金额重大的应收款项按照信用风险特征组合计提坏 账准备。</w:t>
      </w:r>
    </w:p>
    <w:p>
      <w:pPr>
        <w:spacing w:after="0" w:line="477" w:lineRule="auto"/>
        <w:jc w:val="both"/>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4262"/>
        <w:gridCol w:w="4262"/>
      </w:tblGrid>
      <w:tr>
        <w:trPr>
          <w:trHeight w:val="498" w:hRule="exact"/>
        </w:trPr>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4" w:right="0"/>
              <w:jc w:val="left"/>
              <w:rPr>
                <w:rFonts w:ascii="宋体" w:hAnsi="宋体" w:cs="宋体" w:eastAsia="宋体" w:hint="default"/>
                <w:sz w:val="18"/>
                <w:szCs w:val="18"/>
              </w:rPr>
            </w:pPr>
            <w:r>
              <w:rPr>
                <w:rFonts w:ascii="宋体" w:hAnsi="宋体" w:cs="宋体" w:eastAsia="宋体" w:hint="default"/>
                <w:sz w:val="18"/>
                <w:szCs w:val="18"/>
              </w:rPr>
              <w:t>应收出口退税款</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hAnsi="宋体" w:cs="宋体" w:eastAsia="宋体" w:hint="default"/>
                <w:sz w:val="18"/>
                <w:szCs w:val="18"/>
              </w:rPr>
              <w:t>不计提坏账准备</w:t>
            </w:r>
          </w:p>
        </w:tc>
      </w:tr>
      <w:tr>
        <w:trPr>
          <w:trHeight w:val="498" w:hRule="exact"/>
        </w:trPr>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4" w:right="0"/>
              <w:jc w:val="left"/>
              <w:rPr>
                <w:rFonts w:ascii="宋体" w:hAnsi="宋体" w:cs="宋体" w:eastAsia="宋体" w:hint="default"/>
                <w:sz w:val="18"/>
                <w:szCs w:val="18"/>
              </w:rPr>
            </w:pPr>
            <w:r>
              <w:rPr>
                <w:rFonts w:ascii="宋体" w:hAnsi="宋体" w:cs="宋体" w:eastAsia="宋体" w:hint="default"/>
                <w:sz w:val="18"/>
                <w:szCs w:val="18"/>
              </w:rPr>
              <w:t>应收集团内公司款项</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hAnsi="宋体" w:cs="宋体" w:eastAsia="宋体" w:hint="default"/>
                <w:sz w:val="18"/>
                <w:szCs w:val="18"/>
              </w:rPr>
              <w:t>不计提坏账准备</w:t>
            </w:r>
          </w:p>
        </w:tc>
      </w:tr>
    </w:tbl>
    <w:p>
      <w:pPr>
        <w:pStyle w:val="BodyText"/>
        <w:spacing w:line="260" w:lineRule="exact"/>
        <w:ind w:left="574" w:right="0"/>
        <w:jc w:val="left"/>
        <w:rPr>
          <w:sz w:val="21"/>
          <w:szCs w:val="21"/>
        </w:rPr>
      </w:pPr>
      <w:r>
        <w:rPr/>
        <w:t>组合中，采用账龄分析法计提坏账准备</w:t>
      </w:r>
      <w:r>
        <w:rPr>
          <w:sz w:val="21"/>
          <w:szCs w:val="21"/>
        </w:rPr>
        <w:t>：</w:t>
      </w:r>
    </w:p>
    <w:p>
      <w:pPr>
        <w:spacing w:line="240" w:lineRule="auto" w:before="13"/>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2961"/>
        <w:gridCol w:w="2620"/>
        <w:gridCol w:w="2949"/>
      </w:tblGrid>
      <w:tr>
        <w:trPr>
          <w:trHeight w:val="498"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应收账款计提比例</w:t>
            </w:r>
            <w:r>
              <w:rPr>
                <w:rFonts w:ascii="宋体" w:hAnsi="宋体" w:cs="宋体" w:eastAsia="宋体" w:hint="default"/>
                <w:sz w:val="18"/>
                <w:szCs w:val="18"/>
              </w:rPr>
              <w:t>(%)</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其他应收款计提比例</w:t>
            </w:r>
            <w:r>
              <w:rPr>
                <w:rFonts w:ascii="宋体" w:hAnsi="宋体" w:cs="宋体" w:eastAsia="宋体" w:hint="default"/>
                <w:sz w:val="18"/>
                <w:szCs w:val="18"/>
              </w:rPr>
              <w:t>(%)</w:t>
            </w:r>
          </w:p>
        </w:tc>
      </w:tr>
      <w:tr>
        <w:trPr>
          <w:trHeight w:val="498"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84"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年以内（含</w:t>
            </w:r>
            <w:r>
              <w:rPr>
                <w:rFonts w:ascii="宋体" w:hAnsi="宋体" w:cs="宋体" w:eastAsia="宋体" w:hint="default"/>
                <w:sz w:val="18"/>
                <w:szCs w:val="18"/>
              </w:rPr>
              <w:t>1</w:t>
            </w:r>
            <w:r>
              <w:rPr>
                <w:rFonts w:ascii="宋体" w:hAnsi="宋体" w:cs="宋体" w:eastAsia="宋体" w:hint="default"/>
                <w:sz w:val="18"/>
                <w:szCs w:val="18"/>
              </w:rPr>
              <w:t>年）</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sz w:val="18"/>
              </w:rPr>
              <w:t>5</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sz w:val="18"/>
              </w:rPr>
              <w:t>5</w:t>
            </w:r>
          </w:p>
        </w:tc>
      </w:tr>
      <w:tr>
        <w:trPr>
          <w:trHeight w:val="498"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84"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年</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sz w:val="18"/>
              </w:rPr>
              <w:t>10</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sz w:val="18"/>
              </w:rPr>
              <w:t>10</w:t>
            </w:r>
          </w:p>
        </w:tc>
      </w:tr>
      <w:tr>
        <w:trPr>
          <w:trHeight w:val="498"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84"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年</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sz w:val="18"/>
              </w:rPr>
              <w:t>30</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sz w:val="18"/>
              </w:rPr>
              <w:t>30</w:t>
            </w:r>
          </w:p>
        </w:tc>
      </w:tr>
      <w:tr>
        <w:trPr>
          <w:trHeight w:val="498"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84"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年</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sz w:val="18"/>
              </w:rPr>
              <w:t>80</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sz w:val="18"/>
              </w:rPr>
              <w:t>80</w:t>
            </w:r>
          </w:p>
        </w:tc>
      </w:tr>
      <w:tr>
        <w:trPr>
          <w:trHeight w:val="499"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84"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年以上</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sz w:val="18"/>
              </w:rPr>
              <w:t>100</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sz w:val="18"/>
              </w:rPr>
              <w:t>100</w:t>
            </w:r>
          </w:p>
        </w:tc>
      </w:tr>
    </w:tbl>
    <w:p>
      <w:pPr>
        <w:pStyle w:val="BodyText"/>
        <w:spacing w:line="477" w:lineRule="auto" w:before="88"/>
        <w:ind w:right="1349" w:firstLine="315"/>
        <w:jc w:val="left"/>
      </w:pPr>
      <w:r>
        <w:rPr/>
        <w:t>变更后执</w:t>
      </w:r>
      <w:r>
        <w:rPr>
          <w:spacing w:val="-2"/>
        </w:rPr>
        <w:t>行</w:t>
      </w:r>
      <w:r>
        <w:rPr/>
        <w:t>的方法：详见公司《</w:t>
      </w:r>
      <w:r>
        <w:rPr>
          <w:rFonts w:ascii="宋体" w:hAnsi="宋体" w:cs="宋体" w:eastAsia="宋体" w:hint="default"/>
        </w:rPr>
        <w:t>2018</w:t>
      </w:r>
      <w:r>
        <w:rPr/>
        <w:t>年度报告全文</w:t>
      </w:r>
      <w:r>
        <w:rPr>
          <w:spacing w:val="-90"/>
        </w:rPr>
        <w:t>》</w:t>
      </w:r>
      <w:r>
        <w:rPr/>
        <w:t>“第十一节、五、重要会计政策及会计估计”中“</w:t>
      </w:r>
      <w:r>
        <w:rPr>
          <w:rFonts w:ascii="宋体" w:hAnsi="宋体" w:cs="宋体" w:eastAsia="宋体" w:hint="default"/>
        </w:rPr>
        <w:t>11</w:t>
      </w:r>
      <w:r>
        <w:rPr/>
        <w:t>、应收票据 应收账款”中“</w:t>
      </w:r>
      <w:r>
        <w:rPr>
          <w:rFonts w:ascii="宋体" w:hAnsi="宋体" w:cs="宋体" w:eastAsia="宋体" w:hint="default"/>
        </w:rPr>
        <w:t>2.</w:t>
      </w:r>
      <w:r>
        <w:rPr/>
        <w:t>按信用风险特征组合计提坏账准备的应收款项</w:t>
      </w:r>
      <w:r>
        <w:rPr>
          <w:spacing w:val="-90"/>
        </w:rPr>
        <w:t>”</w:t>
      </w:r>
      <w:r>
        <w:rPr/>
        <w:t>。</w:t>
      </w:r>
    </w:p>
    <w:p>
      <w:pPr>
        <w:pStyle w:val="BodyText"/>
        <w:spacing w:line="477" w:lineRule="auto" w:before="54"/>
        <w:ind w:right="0" w:firstLine="360"/>
        <w:jc w:val="left"/>
      </w:pPr>
      <w:r>
        <w:rPr>
          <w:spacing w:val="-2"/>
        </w:rPr>
        <w:t>会计估计变更的原因：公司经营规模持续发展及销售渠道拓展，销售客户结构优化，公司不断加强对应收款项的坏账风</w:t>
      </w:r>
      <w:r>
        <w:rPr/>
        <w:t> 险管控，实际坏账发生比例远低于前期测算确定的比例。</w:t>
      </w:r>
    </w:p>
    <w:p>
      <w:pPr>
        <w:pStyle w:val="BodyText"/>
        <w:spacing w:line="451" w:lineRule="auto" w:before="54"/>
        <w:ind w:right="0" w:firstLine="360"/>
        <w:jc w:val="left"/>
      </w:pPr>
      <w:r>
        <w:rPr>
          <w:spacing w:val="-2"/>
        </w:rPr>
        <w:t>执行的审批程序：会计估计变更经公司第四届董事会第十九次会议、第四届监事会第十四次会议、</w:t>
      </w:r>
      <w:r>
        <w:rPr>
          <w:rFonts w:ascii="Times New Roman" w:hAnsi="Times New Roman" w:cs="Times New Roman" w:eastAsia="Times New Roman" w:hint="default"/>
          <w:spacing w:val="-2"/>
        </w:rPr>
        <w:t>2018</w:t>
      </w:r>
      <w:r>
        <w:rPr>
          <w:spacing w:val="-2"/>
        </w:rPr>
        <w:t>年第三次临时股</w:t>
      </w:r>
      <w:r>
        <w:rPr/>
        <w:t> 东大会会议审议通过。</w:t>
      </w:r>
    </w:p>
    <w:p>
      <w:pPr>
        <w:pStyle w:val="BodyText"/>
        <w:spacing w:line="240" w:lineRule="auto" w:before="74"/>
        <w:ind w:left="577" w:right="0"/>
        <w:jc w:val="left"/>
      </w:pPr>
      <w:r>
        <w:rPr/>
        <w:t>开始适用的时点：</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18</w:t>
      </w:r>
      <w:r>
        <w:rPr/>
        <w:t>日</w:t>
      </w:r>
    </w:p>
    <w:p>
      <w:pPr>
        <w:spacing w:line="240" w:lineRule="auto" w:before="12"/>
        <w:rPr>
          <w:rFonts w:ascii="宋体" w:hAnsi="宋体" w:cs="宋体" w:eastAsia="宋体" w:hint="default"/>
          <w:sz w:val="9"/>
          <w:szCs w:val="9"/>
        </w:rPr>
      </w:pPr>
    </w:p>
    <w:tbl>
      <w:tblPr>
        <w:tblW w:w="0" w:type="auto"/>
        <w:jc w:val="left"/>
        <w:tblInd w:w="149" w:type="dxa"/>
        <w:tblLayout w:type="fixed"/>
        <w:tblCellMar>
          <w:top w:w="0" w:type="dxa"/>
          <w:left w:w="0" w:type="dxa"/>
          <w:bottom w:w="0" w:type="dxa"/>
          <w:right w:w="0" w:type="dxa"/>
        </w:tblCellMar>
        <w:tblLook w:val="01E0"/>
      </w:tblPr>
      <w:tblGrid>
        <w:gridCol w:w="4466"/>
        <w:gridCol w:w="4052"/>
      </w:tblGrid>
      <w:tr>
        <w:trPr>
          <w:trHeight w:val="498"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57" w:right="0"/>
              <w:jc w:val="left"/>
              <w:rPr>
                <w:rFonts w:ascii="宋体" w:hAnsi="宋体" w:cs="宋体" w:eastAsia="宋体" w:hint="default"/>
                <w:sz w:val="18"/>
                <w:szCs w:val="18"/>
              </w:rPr>
            </w:pPr>
            <w:r>
              <w:rPr>
                <w:rFonts w:ascii="宋体" w:hAnsi="宋体" w:cs="宋体" w:eastAsia="宋体" w:hint="default"/>
                <w:sz w:val="18"/>
                <w:szCs w:val="18"/>
              </w:rPr>
              <w:t>受影响的资产负债表项目名称</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18"/>
                <w:szCs w:val="18"/>
              </w:rPr>
            </w:pPr>
            <w:r>
              <w:rPr>
                <w:rFonts w:ascii="宋体" w:hAnsi="宋体" w:cs="宋体" w:eastAsia="宋体" w:hint="default"/>
                <w:sz w:val="18"/>
                <w:szCs w:val="18"/>
              </w:rPr>
              <w:t>影响金额</w:t>
            </w:r>
          </w:p>
        </w:tc>
      </w:tr>
      <w:tr>
        <w:trPr>
          <w:trHeight w:val="498"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4"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3"/>
              <w:jc w:val="right"/>
              <w:rPr>
                <w:rFonts w:ascii="Times New Roman" w:hAnsi="Times New Roman" w:cs="Times New Roman" w:eastAsia="Times New Roman" w:hint="default"/>
                <w:sz w:val="18"/>
                <w:szCs w:val="18"/>
              </w:rPr>
            </w:pPr>
            <w:r>
              <w:rPr>
                <w:rFonts w:ascii="Times New Roman"/>
                <w:spacing w:val="-1"/>
                <w:sz w:val="18"/>
              </w:rPr>
              <w:t>31,921,373.24</w:t>
            </w:r>
          </w:p>
        </w:tc>
      </w:tr>
      <w:tr>
        <w:trPr>
          <w:trHeight w:val="498"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3"/>
              <w:jc w:val="right"/>
              <w:rPr>
                <w:rFonts w:ascii="Times New Roman" w:hAnsi="Times New Roman" w:cs="Times New Roman" w:eastAsia="Times New Roman" w:hint="default"/>
                <w:sz w:val="18"/>
                <w:szCs w:val="18"/>
              </w:rPr>
            </w:pPr>
            <w:r>
              <w:rPr>
                <w:rFonts w:ascii="Times New Roman"/>
                <w:spacing w:val="-1"/>
                <w:sz w:val="18"/>
              </w:rPr>
              <w:t>2,865,297.73</w:t>
            </w:r>
          </w:p>
        </w:tc>
      </w:tr>
      <w:tr>
        <w:trPr>
          <w:trHeight w:val="498"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3"/>
              <w:jc w:val="right"/>
              <w:rPr>
                <w:rFonts w:ascii="Times New Roman" w:hAnsi="Times New Roman" w:cs="Times New Roman" w:eastAsia="Times New Roman" w:hint="default"/>
                <w:sz w:val="18"/>
                <w:szCs w:val="18"/>
              </w:rPr>
            </w:pPr>
            <w:r>
              <w:rPr>
                <w:rFonts w:ascii="Times New Roman"/>
                <w:spacing w:val="-1"/>
                <w:sz w:val="18"/>
              </w:rPr>
              <w:t>-6,040,914.87</w:t>
            </w:r>
          </w:p>
        </w:tc>
      </w:tr>
      <w:tr>
        <w:trPr>
          <w:trHeight w:val="498"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3"/>
              <w:jc w:val="right"/>
              <w:rPr>
                <w:rFonts w:ascii="Times New Roman" w:hAnsi="Times New Roman" w:cs="Times New Roman" w:eastAsia="Times New Roman" w:hint="default"/>
                <w:sz w:val="18"/>
                <w:szCs w:val="18"/>
              </w:rPr>
            </w:pPr>
            <w:r>
              <w:rPr>
                <w:rFonts w:ascii="Times New Roman"/>
                <w:spacing w:val="-1"/>
                <w:sz w:val="18"/>
              </w:rPr>
              <w:t>28,745,756.10</w:t>
            </w:r>
          </w:p>
        </w:tc>
      </w:tr>
      <w:tr>
        <w:trPr>
          <w:trHeight w:val="498"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4" w:right="0"/>
              <w:jc w:val="left"/>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3"/>
              <w:jc w:val="right"/>
              <w:rPr>
                <w:rFonts w:ascii="Times New Roman" w:hAnsi="Times New Roman" w:cs="Times New Roman" w:eastAsia="Times New Roman" w:hint="default"/>
                <w:sz w:val="18"/>
                <w:szCs w:val="18"/>
              </w:rPr>
            </w:pPr>
            <w:r>
              <w:rPr>
                <w:rFonts w:ascii="Times New Roman"/>
                <w:spacing w:val="-1"/>
                <w:sz w:val="18"/>
              </w:rPr>
              <w:t>28,760,853.31</w:t>
            </w:r>
          </w:p>
        </w:tc>
      </w:tr>
      <w:tr>
        <w:trPr>
          <w:trHeight w:val="498"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4"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3"/>
              <w:jc w:val="right"/>
              <w:rPr>
                <w:rFonts w:ascii="Times New Roman" w:hAnsi="Times New Roman" w:cs="Times New Roman" w:eastAsia="Times New Roman" w:hint="default"/>
                <w:sz w:val="18"/>
                <w:szCs w:val="18"/>
              </w:rPr>
            </w:pPr>
            <w:r>
              <w:rPr>
                <w:rFonts w:ascii="Times New Roman"/>
                <w:w w:val="95"/>
                <w:sz w:val="18"/>
              </w:rPr>
              <w:t>-15,097.21</w:t>
            </w:r>
            <w:r>
              <w:rPr>
                <w:rFonts w:ascii="Times New Roman"/>
                <w:sz w:val="18"/>
              </w:rPr>
            </w:r>
          </w:p>
        </w:tc>
      </w:tr>
    </w:tbl>
    <w:p>
      <w:pPr>
        <w:pStyle w:val="BodyText"/>
        <w:spacing w:line="240" w:lineRule="auto" w:before="10"/>
        <w:ind w:left="577" w:right="0"/>
        <w:jc w:val="left"/>
      </w:pPr>
      <w:r>
        <w:rPr/>
        <w:t>上述会计估计变更对</w:t>
      </w:r>
      <w:r>
        <w:rPr>
          <w:rFonts w:ascii="Times New Roman" w:hAnsi="Times New Roman" w:cs="Times New Roman" w:eastAsia="Times New Roman" w:hint="default"/>
        </w:rPr>
        <w:t>2018</w:t>
      </w:r>
      <w:r>
        <w:rPr/>
        <w:t>年度净利润的影响如下</w:t>
      </w:r>
    </w:p>
    <w:p>
      <w:pPr>
        <w:spacing w:line="240" w:lineRule="auto" w:before="13"/>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4531"/>
        <w:gridCol w:w="4052"/>
      </w:tblGrid>
      <w:tr>
        <w:trPr>
          <w:trHeight w:val="498"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影响金额</w:t>
            </w:r>
          </w:p>
        </w:tc>
      </w:tr>
      <w:tr>
        <w:trPr>
          <w:trHeight w:val="498"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4"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3"/>
              <w:jc w:val="right"/>
              <w:rPr>
                <w:rFonts w:ascii="Times New Roman" w:hAnsi="Times New Roman" w:cs="Times New Roman" w:eastAsia="Times New Roman" w:hint="default"/>
                <w:sz w:val="21"/>
                <w:szCs w:val="21"/>
              </w:rPr>
            </w:pPr>
            <w:r>
              <w:rPr>
                <w:rFonts w:ascii="Times New Roman"/>
                <w:spacing w:val="-1"/>
                <w:sz w:val="21"/>
              </w:rPr>
              <w:t>-34,786,670.97</w:t>
            </w:r>
          </w:p>
        </w:tc>
      </w:tr>
      <w:tr>
        <w:trPr>
          <w:trHeight w:val="498"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4"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4"/>
              <w:jc w:val="right"/>
              <w:rPr>
                <w:rFonts w:ascii="Times New Roman" w:hAnsi="Times New Roman" w:cs="Times New Roman" w:eastAsia="Times New Roman" w:hint="default"/>
                <w:sz w:val="21"/>
                <w:szCs w:val="21"/>
              </w:rPr>
            </w:pPr>
            <w:r>
              <w:rPr>
                <w:rFonts w:ascii="Times New Roman"/>
                <w:spacing w:val="-1"/>
                <w:sz w:val="21"/>
              </w:rPr>
              <w:t>6,040,914.87</w:t>
            </w:r>
          </w:p>
        </w:tc>
      </w:tr>
      <w:tr>
        <w:trPr>
          <w:trHeight w:val="498"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4"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3"/>
              <w:jc w:val="right"/>
              <w:rPr>
                <w:rFonts w:ascii="Times New Roman" w:hAnsi="Times New Roman" w:cs="Times New Roman" w:eastAsia="Times New Roman" w:hint="default"/>
                <w:sz w:val="21"/>
                <w:szCs w:val="21"/>
              </w:rPr>
            </w:pPr>
            <w:r>
              <w:rPr>
                <w:rFonts w:ascii="Times New Roman"/>
                <w:sz w:val="21"/>
              </w:rPr>
              <w:t>28,745,756.10</w:t>
            </w:r>
          </w:p>
        </w:tc>
      </w:tr>
      <w:tr>
        <w:trPr>
          <w:trHeight w:val="498"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4"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2"/>
              <w:jc w:val="right"/>
              <w:rPr>
                <w:rFonts w:ascii="Times New Roman" w:hAnsi="Times New Roman" w:cs="Times New Roman" w:eastAsia="Times New Roman" w:hint="default"/>
                <w:sz w:val="21"/>
                <w:szCs w:val="21"/>
              </w:rPr>
            </w:pPr>
            <w:r>
              <w:rPr>
                <w:rFonts w:ascii="Times New Roman"/>
                <w:w w:val="95"/>
                <w:sz w:val="21"/>
              </w:rPr>
              <w:t>-15,097.21</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4531"/>
        <w:gridCol w:w="4052"/>
      </w:tblGrid>
      <w:tr>
        <w:trPr>
          <w:trHeight w:val="498"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4"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3"/>
              <w:jc w:val="right"/>
              <w:rPr>
                <w:rFonts w:ascii="Times New Roman" w:hAnsi="Times New Roman" w:cs="Times New Roman" w:eastAsia="Times New Roman" w:hint="default"/>
                <w:sz w:val="21"/>
                <w:szCs w:val="21"/>
              </w:rPr>
            </w:pPr>
            <w:r>
              <w:rPr>
                <w:rFonts w:ascii="Times New Roman"/>
                <w:sz w:val="21"/>
              </w:rPr>
              <w:t>28,760,853.31</w:t>
            </w:r>
          </w:p>
        </w:tc>
      </w:tr>
    </w:tbl>
    <w:p>
      <w:pPr>
        <w:pStyle w:val="BodyText"/>
        <w:spacing w:line="240" w:lineRule="auto" w:before="88"/>
        <w:ind w:right="0"/>
        <w:jc w:val="left"/>
      </w:pPr>
      <w:r>
        <w:rPr/>
        <w:t>注：影响金额为正数表示报表项目列报金额增加，负数表示减少。</w:t>
      </w:r>
    </w:p>
    <w:p>
      <w:pPr>
        <w:spacing w:line="240" w:lineRule="auto" w:before="10"/>
        <w:rPr>
          <w:rFonts w:ascii="宋体" w:hAnsi="宋体" w:cs="宋体" w:eastAsia="宋体" w:hint="default"/>
          <w:sz w:val="17"/>
          <w:szCs w:val="17"/>
        </w:rPr>
      </w:pPr>
    </w:p>
    <w:p>
      <w:pPr>
        <w:pStyle w:val="Heading5"/>
        <w:spacing w:line="240" w:lineRule="auto"/>
        <w:ind w:right="0"/>
        <w:jc w:val="left"/>
        <w:rPr>
          <w:b w:val="0"/>
          <w:bCs w:val="0"/>
        </w:rPr>
      </w:pPr>
      <w:r>
        <w:rPr>
          <w:rFonts w:ascii="Times New Roman" w:hAnsi="Times New Roman" w:cs="Times New Roman" w:eastAsia="Times New Roman" w:hint="default"/>
        </w:rPr>
        <w:t>3</w:t>
      </w:r>
      <w:r>
        <w:rPr/>
        <w:t>）会计核算方法变化</w:t>
      </w:r>
      <w:r>
        <w:rPr>
          <w:b w:val="0"/>
          <w:bCs w:val="0"/>
        </w:rPr>
      </w:r>
    </w:p>
    <w:p>
      <w:pPr>
        <w:spacing w:line="240" w:lineRule="auto" w:before="11"/>
        <w:rPr>
          <w:rFonts w:ascii="宋体" w:hAnsi="宋体" w:cs="宋体" w:eastAsia="宋体" w:hint="default"/>
          <w:b/>
          <w:bCs/>
          <w:sz w:val="19"/>
          <w:szCs w:val="19"/>
        </w:rPr>
      </w:pPr>
    </w:p>
    <w:p>
      <w:pPr>
        <w:pStyle w:val="BodyText"/>
        <w:spacing w:line="477" w:lineRule="auto"/>
        <w:ind w:right="1130" w:firstLine="360"/>
        <w:jc w:val="both"/>
      </w:pPr>
      <w:r>
        <w:rPr>
          <w:rFonts w:ascii="宋体" w:hAnsi="宋体" w:cs="宋体" w:eastAsia="宋体" w:hint="default"/>
        </w:rPr>
        <w:t>2018</w:t>
      </w:r>
      <w:r>
        <w:rPr>
          <w:rFonts w:ascii="宋体" w:hAnsi="宋体" w:cs="宋体" w:eastAsia="宋体" w:hint="default"/>
          <w:spacing w:val="-46"/>
        </w:rPr>
        <w:t> </w:t>
      </w:r>
      <w:r>
        <w:rPr/>
        <w:t>年</w:t>
      </w:r>
      <w:r>
        <w:rPr>
          <w:spacing w:val="-46"/>
        </w:rPr>
        <w:t> </w:t>
      </w:r>
      <w:r>
        <w:rPr>
          <w:rFonts w:ascii="宋体" w:hAnsi="宋体" w:cs="宋体" w:eastAsia="宋体" w:hint="default"/>
        </w:rPr>
        <w:t>2</w:t>
      </w:r>
      <w:r>
        <w:rPr>
          <w:rFonts w:ascii="宋体" w:hAnsi="宋体" w:cs="宋体" w:eastAsia="宋体" w:hint="default"/>
          <w:spacing w:val="-45"/>
        </w:rPr>
        <w:t> </w:t>
      </w:r>
      <w:r>
        <w:rPr/>
        <w:t>月</w:t>
      </w:r>
      <w:r>
        <w:rPr>
          <w:spacing w:val="-46"/>
        </w:rPr>
        <w:t> </w:t>
      </w:r>
      <w:r>
        <w:rPr>
          <w:rFonts w:ascii="宋体" w:hAnsi="宋体" w:cs="宋体" w:eastAsia="宋体" w:hint="default"/>
        </w:rPr>
        <w:t>5</w:t>
      </w:r>
      <w:r>
        <w:rPr>
          <w:rFonts w:ascii="宋体" w:hAnsi="宋体" w:cs="宋体" w:eastAsia="宋体" w:hint="default"/>
          <w:spacing w:val="-45"/>
        </w:rPr>
        <w:t> </w:t>
      </w:r>
      <w:r>
        <w:rPr/>
        <w:t>日，公司召开了第四届董事会第十七次会议，审议通过了《关于公司部分自用房地产转为投资性房地产 </w:t>
      </w:r>
      <w:r>
        <w:rPr>
          <w:spacing w:val="-3"/>
        </w:rPr>
        <w:t>及采用公允价值模式计量的议案》，公司位于厦门软件园三期高速路以北研发区一期工程第二部分（</w:t>
      </w:r>
      <w:r>
        <w:rPr>
          <w:rFonts w:ascii="宋体" w:hAnsi="宋体" w:cs="宋体" w:eastAsia="宋体" w:hint="default"/>
          <w:spacing w:val="-3"/>
        </w:rPr>
        <w:t>A12</w:t>
      </w:r>
      <w:r>
        <w:rPr>
          <w:rFonts w:ascii="宋体" w:hAnsi="宋体" w:cs="宋体" w:eastAsia="宋体" w:hint="default"/>
          <w:spacing w:val="-39"/>
        </w:rPr>
        <w:t> </w:t>
      </w:r>
      <w:r>
        <w:rPr>
          <w:spacing w:val="-3"/>
        </w:rPr>
        <w:t>号楼）</w:t>
      </w:r>
      <w:r>
        <w:rPr>
          <w:rFonts w:ascii="宋体" w:hAnsi="宋体" w:cs="宋体" w:eastAsia="宋体" w:hint="default"/>
          <w:spacing w:val="-3"/>
        </w:rPr>
        <w:t>2</w:t>
      </w:r>
      <w:r>
        <w:rPr>
          <w:rFonts w:ascii="宋体" w:hAnsi="宋体" w:cs="宋体" w:eastAsia="宋体" w:hint="default"/>
          <w:spacing w:val="-39"/>
        </w:rPr>
        <w:t> </w:t>
      </w:r>
      <w:r>
        <w:rPr/>
        <w:t>层</w:t>
      </w:r>
      <w:r>
        <w:rPr>
          <w:spacing w:val="-39"/>
        </w:rPr>
        <w:t> </w:t>
      </w:r>
      <w:r>
        <w:rPr>
          <w:rFonts w:ascii="宋体" w:hAnsi="宋体" w:cs="宋体" w:eastAsia="宋体" w:hint="default"/>
        </w:rPr>
        <w:t>201-204</w:t>
      </w:r>
      <w:r>
        <w:rPr>
          <w:rFonts w:ascii="宋体" w:hAnsi="宋体" w:cs="宋体" w:eastAsia="宋体" w:hint="default"/>
          <w:spacing w:val="-88"/>
        </w:rPr>
        <w:t> </w:t>
      </w:r>
      <w:r>
        <w:rPr/>
        <w:t>单元至</w:t>
      </w:r>
      <w:r>
        <w:rPr>
          <w:spacing w:val="-53"/>
        </w:rPr>
        <w:t> </w:t>
      </w:r>
      <w:r>
        <w:rPr>
          <w:rFonts w:ascii="宋体" w:hAnsi="宋体" w:cs="宋体" w:eastAsia="宋体" w:hint="default"/>
        </w:rPr>
        <w:t>22</w:t>
      </w:r>
      <w:r>
        <w:rPr>
          <w:rFonts w:ascii="宋体" w:hAnsi="宋体" w:cs="宋体" w:eastAsia="宋体" w:hint="default"/>
          <w:spacing w:val="-53"/>
        </w:rPr>
        <w:t> </w:t>
      </w:r>
      <w:r>
        <w:rPr/>
        <w:t>层</w:t>
      </w:r>
      <w:r>
        <w:rPr>
          <w:spacing w:val="-53"/>
        </w:rPr>
        <w:t> </w:t>
      </w:r>
      <w:r>
        <w:rPr>
          <w:rFonts w:ascii="宋体" w:hAnsi="宋体" w:cs="宋体" w:eastAsia="宋体" w:hint="default"/>
        </w:rPr>
        <w:t>2201</w:t>
      </w:r>
      <w:r>
        <w:rPr>
          <w:rFonts w:ascii="宋体" w:hAnsi="宋体" w:cs="宋体" w:eastAsia="宋体" w:hint="default"/>
          <w:spacing w:val="-53"/>
        </w:rPr>
        <w:t> </w:t>
      </w:r>
      <w:r>
        <w:rPr/>
        <w:t>单元</w:t>
      </w:r>
      <w:r>
        <w:rPr>
          <w:rFonts w:ascii="宋体" w:hAnsi="宋体" w:cs="宋体" w:eastAsia="宋体" w:hint="default"/>
        </w:rPr>
        <w:t>-2204</w:t>
      </w:r>
      <w:r>
        <w:rPr>
          <w:rFonts w:ascii="宋体" w:hAnsi="宋体" w:cs="宋体" w:eastAsia="宋体" w:hint="default"/>
          <w:spacing w:val="-53"/>
        </w:rPr>
        <w:t> </w:t>
      </w:r>
      <w:r>
        <w:rPr/>
        <w:t>单元的研发楼房产，公司董事会基于后续拟将厦门研发楼部分闲置房屋对外出租获取收益等考 </w:t>
      </w:r>
      <w:r>
        <w:rPr>
          <w:spacing w:val="-2"/>
        </w:rPr>
        <w:t>虑，将厦门研发楼以“投资性房地产”入账。同时，为了更准确地反映公司持有的投资性房地产的价值，增强公司财务信息</w:t>
      </w:r>
      <w:r>
        <w:rPr>
          <w:spacing w:val="-67"/>
        </w:rPr>
        <w:t> </w:t>
      </w:r>
      <w:r>
        <w:rPr>
          <w:spacing w:val="-67"/>
        </w:rPr>
      </w:r>
      <w:r>
        <w:rPr/>
        <w:t>的准确性，公司拟对该投资性房地产采用公允价值计量模式进行后续计量。</w:t>
      </w:r>
    </w:p>
    <w:p>
      <w:pPr>
        <w:spacing w:line="240" w:lineRule="auto" w:before="13"/>
        <w:rPr>
          <w:rFonts w:ascii="宋体" w:hAnsi="宋体" w:cs="宋体" w:eastAsia="宋体" w:hint="default"/>
          <w:sz w:val="26"/>
          <w:szCs w:val="26"/>
        </w:rPr>
      </w:pPr>
    </w:p>
    <w:p>
      <w:pPr>
        <w:pStyle w:val="BodyText"/>
        <w:spacing w:line="477" w:lineRule="auto"/>
        <w:ind w:right="1128" w:firstLine="361"/>
        <w:jc w:val="both"/>
      </w:pPr>
      <w:bookmarkStart w:name="鉴于厦门研发楼由自用房地产转为投资性房地产后，该区域缺乏活跃的房地产交易市场，难" w:id="72"/>
      <w:bookmarkEnd w:id="72"/>
      <w:r>
        <w:rPr/>
      </w:r>
      <w:r>
        <w:rPr>
          <w:spacing w:val="-2"/>
        </w:rPr>
        <w:t>鉴于厦门研发楼由自用房地产转为投资性房地产后，该区域缺乏活跃的房地产交易市场，难以取得公允价值，采用公允</w:t>
      </w:r>
      <w:r>
        <w:rPr/>
        <w:t> </w:t>
      </w:r>
      <w:r>
        <w:rPr>
          <w:spacing w:val="-2"/>
        </w:rPr>
        <w:t>价值计量模式不太适合。经咨询专业机构，公司出于谨慎性考虑，决定将厦门研发楼从期初计入“投资性房地产”开始，采</w:t>
      </w:r>
      <w:r>
        <w:rPr>
          <w:spacing w:val="-65"/>
        </w:rPr>
        <w:t> </w:t>
      </w:r>
      <w:r>
        <w:rPr>
          <w:spacing w:val="-65"/>
        </w:rPr>
      </w:r>
      <w:r>
        <w:rPr/>
        <w:t>用成本模式计量。</w:t>
      </w:r>
    </w:p>
    <w:p>
      <w:pPr>
        <w:spacing w:line="240" w:lineRule="auto" w:before="7"/>
        <w:rPr>
          <w:rFonts w:ascii="宋体" w:hAnsi="宋体" w:cs="宋体" w:eastAsia="宋体" w:hint="default"/>
          <w:sz w:val="17"/>
          <w:szCs w:val="17"/>
        </w:rPr>
      </w:pPr>
    </w:p>
    <w:p>
      <w:pPr>
        <w:pStyle w:val="Heading2"/>
        <w:spacing w:line="240" w:lineRule="auto"/>
        <w:ind w:right="0"/>
        <w:jc w:val="left"/>
        <w:rPr>
          <w:b w:val="0"/>
          <w:bCs w:val="0"/>
        </w:rPr>
      </w:pPr>
      <w:bookmarkStart w:name="七、报告期内发生重大会计差错更正需追溯重述的情况说明" w:id="73"/>
      <w:bookmarkEnd w:id="73"/>
      <w:r>
        <w:rPr>
          <w:b w:val="0"/>
          <w:bCs w:val="0"/>
        </w:rPr>
      </w:r>
      <w:r>
        <w:rPr/>
        <w:t>七、报告期内发生重大会计差错更正需追溯重述的情况说明</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6612"/>
        <w:jc w:val="left"/>
      </w:pPr>
      <w:r>
        <w:rPr/>
        <w:t>□ 适用 √ 不适用 公司报告期无重大会计差错更正需追溯重述的情况。</w:t>
      </w:r>
    </w:p>
    <w:p>
      <w:pPr>
        <w:spacing w:line="240" w:lineRule="auto" w:before="3"/>
        <w:rPr>
          <w:rFonts w:ascii="宋体" w:hAnsi="宋体" w:cs="宋体" w:eastAsia="宋体" w:hint="default"/>
          <w:sz w:val="18"/>
          <w:szCs w:val="18"/>
        </w:rPr>
      </w:pPr>
    </w:p>
    <w:p>
      <w:pPr>
        <w:pStyle w:val="Heading2"/>
        <w:spacing w:line="240" w:lineRule="auto"/>
        <w:ind w:right="0"/>
        <w:jc w:val="left"/>
        <w:rPr>
          <w:b w:val="0"/>
          <w:bCs w:val="0"/>
        </w:rPr>
      </w:pPr>
      <w:bookmarkStart w:name="八、与上年度财务报告相比，合并报表范围发生变化的情况说明" w:id="74"/>
      <w:bookmarkEnd w:id="74"/>
      <w:r>
        <w:rPr>
          <w:b w:val="0"/>
          <w:bCs w:val="0"/>
        </w:rPr>
      </w:r>
      <w:r>
        <w:rPr/>
        <w:t>八、与上年度财务报告相比，合并报表范围发生变化的情况说明</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7152"/>
        <w:jc w:val="left"/>
      </w:pPr>
      <w:r>
        <w:rPr/>
        <w:t>□ 适用 √ 不适用 公司报告期无合并报表范围发生变化的情况。</w:t>
      </w:r>
    </w:p>
    <w:p>
      <w:pPr>
        <w:spacing w:line="240" w:lineRule="auto" w:before="4"/>
        <w:rPr>
          <w:rFonts w:ascii="宋体" w:hAnsi="宋体" w:cs="宋体" w:eastAsia="宋体" w:hint="default"/>
          <w:sz w:val="18"/>
          <w:szCs w:val="18"/>
        </w:rPr>
      </w:pPr>
    </w:p>
    <w:p>
      <w:pPr>
        <w:pStyle w:val="Heading2"/>
        <w:spacing w:line="240" w:lineRule="auto"/>
        <w:ind w:right="0"/>
        <w:jc w:val="left"/>
        <w:rPr>
          <w:b w:val="0"/>
          <w:bCs w:val="0"/>
        </w:rPr>
      </w:pPr>
      <w:bookmarkStart w:name="九、聘任、解聘会计师事务所情况" w:id="75"/>
      <w:bookmarkEnd w:id="75"/>
      <w:r>
        <w:rPr>
          <w:b w:val="0"/>
          <w:bCs w:val="0"/>
        </w:rPr>
      </w:r>
      <w:r>
        <w:rPr/>
        <w:t>九、聘任、解聘会计师事务所情况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现聘任的会计师事务所</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92"/>
        <w:gridCol w:w="4777"/>
      </w:tblGrid>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亚太（集团）会计师事务所（特殊普通合伙）</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95</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z w:val="18"/>
                <w:szCs w:val="18"/>
              </w:rPr>
              <w:t>周英、林丹妮</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境外会计师事务所名称（如有）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境外会计师事务所报酬（万元</w:t>
            </w:r>
            <w:r>
              <w:rPr>
                <w:rFonts w:ascii="宋体" w:hAnsi="宋体" w:cs="宋体" w:eastAsia="宋体" w:hint="default"/>
                <w:spacing w:val="-90"/>
                <w:sz w:val="18"/>
                <w:szCs w:val="18"/>
              </w:rPr>
              <w:t>）</w:t>
            </w:r>
            <w:r>
              <w:rPr>
                <w:rFonts w:ascii="宋体" w:hAnsi="宋体" w:cs="宋体" w:eastAsia="宋体" w:hint="default"/>
                <w:sz w:val="18"/>
                <w:szCs w:val="18"/>
              </w:rPr>
              <w:t>（如有）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境外会计师事务所审计服务的连续年限（如有）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境外会计师事务所注册会计师姓名（如有）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right"/>
        <w:rPr>
          <w:rFonts w:ascii="宋体" w:hAnsi="宋体" w:cs="宋体" w:eastAsia="宋体"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4792"/>
        <w:gridCol w:w="4777"/>
      </w:tblGrid>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境外会计师事务所注册会计师审计服务的连续年限（如有）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51"/>
        <w:ind w:right="0"/>
        <w:jc w:val="left"/>
      </w:pPr>
      <w:r>
        <w:rPr/>
        <w:t>当期是否改聘会计师事务所</w:t>
      </w:r>
    </w:p>
    <w:p>
      <w:pPr>
        <w:pStyle w:val="BodyText"/>
        <w:spacing w:line="357" w:lineRule="auto" w:before="117"/>
        <w:ind w:right="6252"/>
        <w:jc w:val="left"/>
      </w:pPr>
      <w:r>
        <w:rPr/>
        <w:t>□ 是 √ 否 聘请内部控制审计会计师事务所、财务顾问或保荐人情况</w:t>
      </w:r>
    </w:p>
    <w:p>
      <w:pPr>
        <w:pStyle w:val="BodyText"/>
        <w:spacing w:line="240" w:lineRule="auto" w:before="29"/>
        <w:ind w:right="0"/>
        <w:jc w:val="left"/>
      </w:pPr>
      <w:r>
        <w:rPr/>
        <w:t>□ 适用 √ 不适用</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十、年度报告披露后面临暂停上市和终止上市情况" w:id="76"/>
      <w:bookmarkEnd w:id="76"/>
      <w:r>
        <w:rPr>
          <w:b w:val="0"/>
          <w:bCs w:val="0"/>
        </w:rPr>
      </w:r>
      <w:r>
        <w:rPr/>
        <w:t>十、年度报告披露后面临暂停上市和终止上市情况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十一、破产重整相关事项" w:id="77"/>
      <w:bookmarkEnd w:id="77"/>
      <w:r>
        <w:rPr>
          <w:b w:val="0"/>
          <w:bCs w:val="0"/>
        </w:rPr>
      </w:r>
      <w:r>
        <w:rPr/>
        <w:t>十一、破产重整相关事项</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7692"/>
        <w:jc w:val="left"/>
      </w:pPr>
      <w:r>
        <w:rPr/>
        <w:t>□ 适用 √ 不适用 公司报告期未发生破产重整相关事项。</w:t>
      </w:r>
    </w:p>
    <w:p>
      <w:pPr>
        <w:spacing w:line="240" w:lineRule="auto" w:before="3"/>
        <w:rPr>
          <w:rFonts w:ascii="宋体" w:hAnsi="宋体" w:cs="宋体" w:eastAsia="宋体" w:hint="default"/>
          <w:sz w:val="18"/>
          <w:szCs w:val="18"/>
        </w:rPr>
      </w:pPr>
    </w:p>
    <w:p>
      <w:pPr>
        <w:pStyle w:val="Heading2"/>
        <w:spacing w:line="240" w:lineRule="auto"/>
        <w:ind w:right="0"/>
        <w:jc w:val="left"/>
        <w:rPr>
          <w:b w:val="0"/>
          <w:bCs w:val="0"/>
        </w:rPr>
      </w:pPr>
      <w:bookmarkStart w:name="十二、重大诉讼、仲裁事项" w:id="78"/>
      <w:bookmarkEnd w:id="78"/>
      <w:r>
        <w:rPr>
          <w:b w:val="0"/>
          <w:bCs w:val="0"/>
        </w:rPr>
      </w:r>
      <w:r>
        <w:rPr/>
        <w:t>十二、重大诉讼、仲裁事项</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60"/>
        <w:gridCol w:w="1072"/>
        <w:gridCol w:w="1248"/>
        <w:gridCol w:w="938"/>
        <w:gridCol w:w="1374"/>
        <w:gridCol w:w="1248"/>
        <w:gridCol w:w="1064"/>
        <w:gridCol w:w="1063"/>
      </w:tblGrid>
      <w:tr>
        <w:trPr>
          <w:trHeight w:val="714"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595" w:right="173" w:hanging="421"/>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 情况</w:t>
            </w:r>
          </w:p>
        </w:tc>
        <w:tc>
          <w:tcPr>
            <w:tcW w:w="10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70" w:right="0"/>
              <w:jc w:val="left"/>
              <w:rPr>
                <w:rFonts w:ascii="宋体" w:hAnsi="宋体" w:cs="宋体" w:eastAsia="宋体" w:hint="default"/>
                <w:sz w:val="18"/>
                <w:szCs w:val="18"/>
              </w:rPr>
            </w:pPr>
            <w:r>
              <w:rPr>
                <w:rFonts w:ascii="宋体" w:hAnsi="宋体" w:cs="宋体" w:eastAsia="宋体" w:hint="default"/>
                <w:sz w:val="18"/>
                <w:szCs w:val="18"/>
              </w:rPr>
              <w:t>涉案金额</w:t>
            </w:r>
          </w:p>
          <w:p>
            <w:pPr>
              <w:pStyle w:val="TableParagraph"/>
              <w:spacing w:line="240" w:lineRule="auto" w:before="76"/>
              <w:ind w:left="170"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7" w:right="168" w:hanging="180"/>
              <w:jc w:val="left"/>
              <w:rPr>
                <w:rFonts w:ascii="宋体" w:hAnsi="宋体" w:cs="宋体" w:eastAsia="宋体" w:hint="default"/>
                <w:sz w:val="18"/>
                <w:szCs w:val="18"/>
              </w:rPr>
            </w:pPr>
            <w:r>
              <w:rPr>
                <w:rFonts w:ascii="宋体" w:hAnsi="宋体" w:cs="宋体" w:eastAsia="宋体" w:hint="default"/>
                <w:sz w:val="18"/>
                <w:szCs w:val="18"/>
              </w:rPr>
              <w:t>是否形成预 计负债</w:t>
            </w:r>
          </w:p>
        </w:tc>
        <w:tc>
          <w:tcPr>
            <w:tcW w:w="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63" w:right="163"/>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 裁</w:t>
            </w:r>
            <w:r>
              <w:rPr>
                <w:rFonts w:ascii="Times New Roman" w:hAnsi="Times New Roman" w:cs="Times New Roman" w:eastAsia="Times New Roman" w:hint="default"/>
                <w:sz w:val="18"/>
                <w:szCs w:val="18"/>
              </w:rPr>
              <w:t>)</w:t>
            </w:r>
            <w:r>
              <w:rPr>
                <w:rFonts w:ascii="宋体" w:hAnsi="宋体" w:cs="宋体" w:eastAsia="宋体" w:hint="default"/>
                <w:sz w:val="18"/>
                <w:szCs w:val="18"/>
              </w:rPr>
              <w:t>进展</w:t>
            </w:r>
          </w:p>
        </w:tc>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41" w:right="140" w:firstLine="3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 理结果及影响</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69" w:right="107" w:hanging="6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 决执行情况</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6019"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p>
          <w:p>
            <w:pPr>
              <w:pStyle w:val="TableParagraph"/>
              <w:spacing w:line="324" w:lineRule="auto" w:before="62"/>
              <w:ind w:left="103" w:right="101"/>
              <w:jc w:val="left"/>
              <w:rPr>
                <w:rFonts w:ascii="Times New Roman" w:hAnsi="Times New Roman" w:cs="Times New Roman" w:eastAsia="Times New Roman" w:hint="default"/>
                <w:sz w:val="18"/>
                <w:szCs w:val="18"/>
              </w:rPr>
            </w:pPr>
            <w:r>
              <w:rPr>
                <w:rFonts w:ascii="宋体" w:hAnsi="宋体" w:cs="宋体" w:eastAsia="宋体" w:hint="default"/>
                <w:sz w:val="18"/>
                <w:szCs w:val="18"/>
              </w:rPr>
              <w:t>日，荷兰皇家飞 利浦公司美国分 </w:t>
            </w:r>
            <w:r>
              <w:rPr>
                <w:rFonts w:ascii="宋体" w:hAnsi="宋体" w:cs="宋体" w:eastAsia="宋体" w:hint="default"/>
                <w:spacing w:val="-5"/>
                <w:sz w:val="18"/>
                <w:szCs w:val="18"/>
              </w:rPr>
              <w:t>公司（</w:t>
            </w:r>
            <w:r>
              <w:rPr>
                <w:rFonts w:ascii="Times New Roman" w:hAnsi="Times New Roman" w:cs="Times New Roman" w:eastAsia="Times New Roman" w:hint="default"/>
                <w:spacing w:val="-5"/>
                <w:sz w:val="18"/>
                <w:szCs w:val="18"/>
              </w:rPr>
              <w:t>Koninklijke</w:t>
            </w:r>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Times New Roman" w:hAnsi="Times New Roman" w:cs="Times New Roman" w:eastAsia="Times New Roman" w:hint="default"/>
                <w:sz w:val="18"/>
                <w:szCs w:val="18"/>
              </w:rPr>
              <w:t>Philips N.V</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U.S</w:t>
            </w:r>
          </w:p>
          <w:p>
            <w:pPr>
              <w:pStyle w:val="TableParagraph"/>
              <w:spacing w:line="314" w:lineRule="auto" w:before="35"/>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Philips</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pacing w:val="-5"/>
                <w:sz w:val="18"/>
                <w:szCs w:val="18"/>
              </w:rPr>
              <w:t>Corporation</w:t>
            </w:r>
            <w:r>
              <w:rPr>
                <w:rFonts w:ascii="宋体" w:hAnsi="宋体" w:cs="宋体" w:eastAsia="宋体" w:hint="default"/>
                <w:spacing w:val="-5"/>
                <w:sz w:val="18"/>
                <w:szCs w:val="18"/>
              </w:rPr>
              <w:t>）向美</w:t>
            </w:r>
            <w:r>
              <w:rPr>
                <w:rFonts w:ascii="宋体" w:hAnsi="宋体" w:cs="宋体" w:eastAsia="宋体" w:hint="default"/>
                <w:w w:val="99"/>
                <w:sz w:val="18"/>
                <w:szCs w:val="18"/>
              </w:rPr>
              <w:t> </w:t>
            </w:r>
            <w:r>
              <w:rPr>
                <w:rFonts w:ascii="宋体" w:hAnsi="宋体" w:cs="宋体" w:eastAsia="宋体" w:hint="default"/>
                <w:sz w:val="18"/>
                <w:szCs w:val="18"/>
              </w:rPr>
              <w:t>国地方法院起诉</w:t>
            </w:r>
            <w:r>
              <w:rPr>
                <w:rFonts w:ascii="宋体" w:hAnsi="宋体" w:cs="宋体" w:eastAsia="宋体" w:hint="default"/>
                <w:w w:val="99"/>
                <w:sz w:val="18"/>
                <w:szCs w:val="18"/>
              </w:rPr>
              <w:t> </w:t>
            </w:r>
            <w:r>
              <w:rPr>
                <w:rFonts w:ascii="宋体" w:hAnsi="宋体" w:cs="宋体" w:eastAsia="宋体" w:hint="default"/>
                <w:sz w:val="18"/>
                <w:szCs w:val="18"/>
              </w:rPr>
              <w:t>本公司及其他七</w:t>
            </w:r>
            <w:r>
              <w:rPr>
                <w:rFonts w:ascii="宋体" w:hAnsi="宋体" w:cs="宋体" w:eastAsia="宋体" w:hint="default"/>
                <w:w w:val="99"/>
                <w:sz w:val="18"/>
                <w:szCs w:val="18"/>
              </w:rPr>
              <w:t> </w:t>
            </w:r>
            <w:r>
              <w:rPr>
                <w:rFonts w:ascii="宋体" w:hAnsi="宋体" w:cs="宋体" w:eastAsia="宋体" w:hint="default"/>
                <w:sz w:val="18"/>
                <w:szCs w:val="18"/>
              </w:rPr>
              <w:t>家公司，控告本</w:t>
            </w:r>
            <w:r>
              <w:rPr>
                <w:rFonts w:ascii="宋体" w:hAnsi="宋体" w:cs="宋体" w:eastAsia="宋体" w:hint="default"/>
                <w:w w:val="99"/>
                <w:sz w:val="18"/>
                <w:szCs w:val="18"/>
              </w:rPr>
              <w:t> </w:t>
            </w:r>
            <w:r>
              <w:rPr>
                <w:rFonts w:ascii="宋体" w:hAnsi="宋体" w:cs="宋体" w:eastAsia="宋体" w:hint="default"/>
                <w:sz w:val="18"/>
                <w:szCs w:val="18"/>
              </w:rPr>
              <w:t>公司生产的部分</w:t>
            </w:r>
            <w:r>
              <w:rPr>
                <w:rFonts w:ascii="宋体" w:hAnsi="宋体" w:cs="宋体" w:eastAsia="宋体" w:hint="default"/>
                <w:w w:val="99"/>
                <w:sz w:val="18"/>
                <w:szCs w:val="18"/>
              </w:rPr>
              <w:t> </w:t>
            </w:r>
            <w:r>
              <w:rPr>
                <w:rFonts w:ascii="宋体" w:hAnsi="宋体" w:cs="宋体" w:eastAsia="宋体" w:hint="default"/>
                <w:sz w:val="18"/>
                <w:szCs w:val="18"/>
              </w:rPr>
              <w:t>平板电脑产品</w:t>
            </w:r>
          </w:p>
          <w:p>
            <w:pPr>
              <w:pStyle w:val="TableParagraph"/>
              <w:spacing w:line="312" w:lineRule="auto" w:before="20"/>
              <w:ind w:left="103" w:right="101"/>
              <w:jc w:val="left"/>
              <w:rPr>
                <w:rFonts w:ascii="宋体" w:hAnsi="宋体" w:cs="宋体" w:eastAsia="宋体" w:hint="default"/>
                <w:sz w:val="18"/>
                <w:szCs w:val="18"/>
              </w:rPr>
            </w:pPr>
            <w:r>
              <w:rPr>
                <w:rFonts w:ascii="宋体" w:hAnsi="宋体" w:cs="宋体" w:eastAsia="宋体" w:hint="default"/>
                <w:sz w:val="18"/>
                <w:szCs w:val="18"/>
              </w:rPr>
              <w:t>（系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Android </w:t>
            </w:r>
            <w:r>
              <w:rPr>
                <w:rFonts w:ascii="宋体" w:hAnsi="宋体" w:cs="宋体" w:eastAsia="宋体" w:hint="default"/>
                <w:sz w:val="18"/>
                <w:szCs w:val="18"/>
              </w:rPr>
              <w:t>系 统内嵌软件）涉 嫌侵犯其拥有的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pacing w:val="-8"/>
                <w:sz w:val="18"/>
                <w:szCs w:val="18"/>
              </w:rPr>
              <w:t>项专利权，要求</w:t>
            </w:r>
            <w:r>
              <w:rPr>
                <w:rFonts w:ascii="宋体" w:hAnsi="宋体" w:cs="宋体" w:eastAsia="宋体" w:hint="default"/>
                <w:sz w:val="18"/>
                <w:szCs w:val="18"/>
              </w:rPr>
              <w:t> 停止侵犯并赔偿 损失及相关费 用。</w:t>
            </w:r>
          </w:p>
        </w:tc>
        <w:tc>
          <w:tcPr>
            <w:tcW w:w="1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38" w:lineRule="auto"/>
              <w:ind w:left="102" w:right="104"/>
              <w:jc w:val="both"/>
              <w:rPr>
                <w:rFonts w:ascii="Times New Roman" w:hAnsi="Times New Roman" w:cs="Times New Roman" w:eastAsia="Times New Roman" w:hint="default"/>
                <w:sz w:val="18"/>
                <w:szCs w:val="18"/>
              </w:rPr>
            </w:pPr>
            <w:r>
              <w:rPr>
                <w:rFonts w:ascii="宋体" w:hAnsi="宋体" w:cs="宋体" w:eastAsia="宋体" w:hint="default"/>
                <w:sz w:val="18"/>
                <w:szCs w:val="18"/>
              </w:rPr>
              <w:t>被控产品 使用的是 </w:t>
            </w:r>
            <w:r>
              <w:rPr>
                <w:rFonts w:ascii="Times New Roman" w:hAnsi="Times New Roman" w:cs="Times New Roman" w:eastAsia="Times New Roman" w:hint="default"/>
                <w:sz w:val="18"/>
                <w:szCs w:val="18"/>
              </w:rPr>
              <w:t>Android</w:t>
            </w:r>
          </w:p>
          <w:p>
            <w:pPr>
              <w:pStyle w:val="TableParagraph"/>
              <w:spacing w:line="219" w:lineRule="exact"/>
              <w:ind w:left="102" w:right="0"/>
              <w:jc w:val="both"/>
              <w:rPr>
                <w:rFonts w:ascii="宋体" w:hAnsi="宋体" w:cs="宋体" w:eastAsia="宋体" w:hint="default"/>
                <w:sz w:val="18"/>
                <w:szCs w:val="18"/>
              </w:rPr>
            </w:pPr>
            <w:r>
              <w:rPr>
                <w:rFonts w:ascii="宋体" w:hAnsi="宋体" w:cs="宋体" w:eastAsia="宋体" w:hint="default"/>
                <w:sz w:val="18"/>
                <w:szCs w:val="18"/>
              </w:rPr>
              <w:t>系统，已</w:t>
            </w:r>
          </w:p>
          <w:p>
            <w:pPr>
              <w:pStyle w:val="TableParagraph"/>
              <w:spacing w:line="336" w:lineRule="auto" w:before="76"/>
              <w:ind w:left="102" w:right="210"/>
              <w:jc w:val="both"/>
              <w:rPr>
                <w:rFonts w:ascii="Times New Roman" w:hAnsi="Times New Roman" w:cs="Times New Roman" w:eastAsia="Times New Roman" w:hint="default"/>
                <w:sz w:val="18"/>
                <w:szCs w:val="18"/>
              </w:rPr>
            </w:pPr>
            <w:r>
              <w:rPr>
                <w:rFonts w:ascii="宋体" w:hAnsi="宋体" w:cs="宋体" w:eastAsia="宋体" w:hint="default"/>
                <w:sz w:val="18"/>
                <w:szCs w:val="18"/>
              </w:rPr>
              <w:t>通过了 </w:t>
            </w:r>
            <w:r>
              <w:rPr>
                <w:rFonts w:ascii="Times New Roman" w:hAnsi="Times New Roman" w:cs="Times New Roman" w:eastAsia="Times New Roman" w:hint="default"/>
                <w:sz w:val="18"/>
                <w:szCs w:val="18"/>
              </w:rPr>
              <w:t>Google </w:t>
            </w:r>
            <w:r>
              <w:rPr>
                <w:rFonts w:ascii="宋体" w:hAnsi="宋体" w:cs="宋体" w:eastAsia="宋体" w:hint="default"/>
                <w:sz w:val="18"/>
                <w:szCs w:val="18"/>
              </w:rPr>
              <w:t>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GMS</w:t>
            </w:r>
          </w:p>
          <w:p>
            <w:pPr>
              <w:pStyle w:val="TableParagraph"/>
              <w:spacing w:line="219" w:lineRule="exact"/>
              <w:ind w:left="102" w:right="0"/>
              <w:jc w:val="both"/>
              <w:rPr>
                <w:rFonts w:ascii="宋体" w:hAnsi="宋体" w:cs="宋体" w:eastAsia="宋体" w:hint="default"/>
                <w:sz w:val="18"/>
                <w:szCs w:val="18"/>
              </w:rPr>
            </w:pPr>
            <w:r>
              <w:rPr>
                <w:rFonts w:ascii="宋体" w:hAnsi="宋体" w:cs="宋体" w:eastAsia="宋体" w:hint="default"/>
                <w:sz w:val="18"/>
                <w:szCs w:val="18"/>
              </w:rPr>
              <w:t>认证。</w:t>
            </w:r>
          </w:p>
          <w:p>
            <w:pPr>
              <w:pStyle w:val="TableParagraph"/>
              <w:spacing w:line="316" w:lineRule="auto" w:before="116"/>
              <w:ind w:left="102" w:right="104"/>
              <w:jc w:val="left"/>
              <w:rPr>
                <w:rFonts w:ascii="宋体" w:hAnsi="宋体" w:cs="宋体" w:eastAsia="宋体" w:hint="default"/>
                <w:sz w:val="18"/>
                <w:szCs w:val="18"/>
              </w:rPr>
            </w:pPr>
            <w:r>
              <w:rPr>
                <w:rFonts w:ascii="Times New Roman" w:hAnsi="Times New Roman" w:cs="Times New Roman" w:eastAsia="Times New Roman" w:hint="default"/>
                <w:sz w:val="18"/>
                <w:szCs w:val="18"/>
              </w:rPr>
              <w:t>Google</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已召集所</w:t>
            </w:r>
            <w:r>
              <w:rPr>
                <w:rFonts w:ascii="宋体" w:hAnsi="宋体" w:cs="宋体" w:eastAsia="宋体" w:hint="default"/>
                <w:w w:val="99"/>
                <w:sz w:val="18"/>
                <w:szCs w:val="18"/>
              </w:rPr>
              <w:t> </w:t>
            </w:r>
            <w:r>
              <w:rPr>
                <w:rFonts w:ascii="宋体" w:hAnsi="宋体" w:cs="宋体" w:eastAsia="宋体" w:hint="default"/>
                <w:sz w:val="18"/>
                <w:szCs w:val="18"/>
              </w:rPr>
              <w:t>有被告形</w:t>
            </w:r>
            <w:r>
              <w:rPr>
                <w:rFonts w:ascii="宋体" w:hAnsi="宋体" w:cs="宋体" w:eastAsia="宋体" w:hint="default"/>
                <w:w w:val="99"/>
                <w:sz w:val="18"/>
                <w:szCs w:val="18"/>
              </w:rPr>
              <w:t> </w:t>
            </w:r>
            <w:r>
              <w:rPr>
                <w:rFonts w:ascii="宋体" w:hAnsi="宋体" w:cs="宋体" w:eastAsia="宋体" w:hint="default"/>
                <w:sz w:val="18"/>
                <w:szCs w:val="18"/>
              </w:rPr>
              <w:t>成联合抗</w:t>
            </w:r>
            <w:r>
              <w:rPr>
                <w:rFonts w:ascii="宋体" w:hAnsi="宋体" w:cs="宋体" w:eastAsia="宋体" w:hint="default"/>
                <w:w w:val="99"/>
                <w:sz w:val="18"/>
                <w:szCs w:val="18"/>
              </w:rPr>
              <w:t> </w:t>
            </w:r>
            <w:r>
              <w:rPr>
                <w:rFonts w:ascii="宋体" w:hAnsi="宋体" w:cs="宋体" w:eastAsia="宋体" w:hint="default"/>
                <w:sz w:val="18"/>
                <w:szCs w:val="18"/>
              </w:rPr>
              <w:t>辩小组，</w:t>
            </w:r>
            <w:r>
              <w:rPr>
                <w:rFonts w:ascii="宋体" w:hAnsi="宋体" w:cs="宋体" w:eastAsia="宋体" w:hint="default"/>
                <w:w w:val="99"/>
                <w:sz w:val="18"/>
                <w:szCs w:val="18"/>
              </w:rPr>
              <w:t> </w:t>
            </w:r>
            <w:r>
              <w:rPr>
                <w:rFonts w:ascii="宋体" w:hAnsi="宋体" w:cs="宋体" w:eastAsia="宋体" w:hint="default"/>
                <w:sz w:val="18"/>
                <w:szCs w:val="18"/>
              </w:rPr>
              <w:t>共同积极</w:t>
            </w:r>
            <w:r>
              <w:rPr>
                <w:rFonts w:ascii="宋体" w:hAnsi="宋体" w:cs="宋体" w:eastAsia="宋体" w:hint="default"/>
                <w:w w:val="99"/>
                <w:sz w:val="18"/>
                <w:szCs w:val="18"/>
              </w:rPr>
              <w:t> </w:t>
            </w:r>
            <w:r>
              <w:rPr>
                <w:rFonts w:ascii="宋体" w:hAnsi="宋体" w:cs="宋体" w:eastAsia="宋体" w:hint="default"/>
                <w:sz w:val="18"/>
                <w:szCs w:val="18"/>
              </w:rPr>
              <w:t>应诉。</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314" w:lineRule="auto"/>
              <w:ind w:left="103" w:right="179"/>
              <w:jc w:val="left"/>
              <w:rPr>
                <w:rFonts w:ascii="宋体" w:hAnsi="宋体" w:cs="宋体" w:eastAsia="宋体" w:hint="default"/>
                <w:sz w:val="18"/>
                <w:szCs w:val="18"/>
              </w:rPr>
            </w:pPr>
            <w:r>
              <w:rPr>
                <w:rFonts w:ascii="宋体" w:hAnsi="宋体" w:cs="宋体" w:eastAsia="宋体" w:hint="default"/>
                <w:sz w:val="18"/>
                <w:szCs w:val="18"/>
              </w:rPr>
              <w:t>考虑到美国诉 讼成本非常 高，我司向 </w:t>
            </w:r>
            <w:r>
              <w:rPr>
                <w:rFonts w:ascii="Times New Roman" w:hAnsi="Times New Roman" w:cs="Times New Roman" w:eastAsia="Times New Roman" w:hint="default"/>
                <w:sz w:val="18"/>
                <w:szCs w:val="18"/>
              </w:rPr>
              <w:t>Philip </w:t>
            </w:r>
            <w:r>
              <w:rPr>
                <w:rFonts w:ascii="宋体" w:hAnsi="宋体" w:cs="宋体" w:eastAsia="宋体" w:hint="default"/>
                <w:sz w:val="18"/>
                <w:szCs w:val="18"/>
              </w:rPr>
              <w:t>支付</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万美金，和解 该案件。</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已结案</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十三、处罚及整改情况" w:id="79"/>
      <w:bookmarkEnd w:id="79"/>
      <w:r>
        <w:rPr>
          <w:b w:val="0"/>
          <w:bCs w:val="0"/>
        </w:rPr>
      </w:r>
      <w:r>
        <w:rPr/>
        <w:t>十三、处罚及整改情况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917" w:footer="1019" w:top="1120" w:bottom="1200" w:left="980" w:right="0"/>
        </w:sectPr>
      </w:pPr>
    </w:p>
    <w:p>
      <w:pPr>
        <w:spacing w:line="240" w:lineRule="auto" w:before="10"/>
        <w:rPr>
          <w:rFonts w:ascii="宋体" w:hAnsi="宋体" w:cs="宋体" w:eastAsia="宋体" w:hint="default"/>
          <w:sz w:val="20"/>
          <w:szCs w:val="20"/>
        </w:rPr>
      </w:pPr>
    </w:p>
    <w:p>
      <w:pPr>
        <w:pStyle w:val="BodyText"/>
        <w:spacing w:line="240" w:lineRule="auto" w:before="44"/>
        <w:ind w:right="0"/>
        <w:jc w:val="left"/>
      </w:pPr>
      <w:r>
        <w:rPr/>
        <w:t>公司报告期不存在处罚及整改情况。</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十四、公司及其控股股东、实际控制人的诚信状况" w:id="80"/>
      <w:bookmarkEnd w:id="80"/>
      <w:r>
        <w:rPr>
          <w:b w:val="0"/>
          <w:bCs w:val="0"/>
        </w:rPr>
      </w:r>
      <w:r>
        <w:rPr/>
        <w:t>十四、公司及其控股股东、实际控制人的诚信状况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十五、公司股权激励计划、员工持股计划或其他员工激励措施的实施情况" w:id="81"/>
      <w:bookmarkEnd w:id="81"/>
      <w:r>
        <w:rPr>
          <w:b w:val="0"/>
          <w:bCs w:val="0"/>
        </w:rPr>
      </w:r>
      <w:r>
        <w:rPr/>
        <w:t>十五、公司股权激励计划、员工持股计划或其他员工激励措施的实施情况</w:t>
      </w:r>
      <w:r>
        <w:rPr>
          <w:b w:val="0"/>
          <w:bCs w:val="0"/>
        </w:rPr>
      </w:r>
    </w:p>
    <w:p>
      <w:pPr>
        <w:spacing w:line="240" w:lineRule="auto" w:before="9"/>
        <w:rPr>
          <w:rFonts w:ascii="宋体" w:hAnsi="宋体" w:cs="宋体" w:eastAsia="宋体" w:hint="default"/>
          <w:b/>
          <w:bCs/>
          <w:sz w:val="26"/>
          <w:szCs w:val="26"/>
        </w:rPr>
      </w:pPr>
    </w:p>
    <w:p>
      <w:pPr>
        <w:pStyle w:val="BodyText"/>
        <w:spacing w:line="436" w:lineRule="auto"/>
        <w:ind w:left="514" w:right="6972" w:hanging="360"/>
        <w:jc w:val="left"/>
      </w:pPr>
      <w:r>
        <w:rPr/>
        <w:t>√ 适用 □ 不适用 一、</w:t>
      </w:r>
      <w:r>
        <w:rPr>
          <w:rFonts w:ascii="Times New Roman" w:hAnsi="Times New Roman" w:cs="Times New Roman" w:eastAsia="Times New Roman" w:hint="default"/>
        </w:rPr>
        <w:t>2017</w:t>
      </w:r>
      <w:r>
        <w:rPr/>
        <w:t>年股票期权与限制性股票激励计划</w:t>
      </w:r>
    </w:p>
    <w:p>
      <w:pPr>
        <w:pStyle w:val="BodyText"/>
        <w:spacing w:line="516" w:lineRule="auto" w:before="96"/>
        <w:ind w:left="514" w:right="1122"/>
        <w:jc w:val="left"/>
      </w:pPr>
      <w:r>
        <w:rPr/>
        <w:t>（一）股票期权与限制性股票激励计划的实施 经公司</w:t>
      </w:r>
      <w:r>
        <w:rPr>
          <w:rFonts w:ascii="Times New Roman" w:hAnsi="Times New Roman" w:cs="Times New Roman" w:eastAsia="Times New Roman" w:hint="default"/>
        </w:rPr>
        <w:t>2017</w:t>
      </w:r>
      <w:r>
        <w:rPr/>
        <w:t>年第二次临时股东大会审议批准，公司实施了股票期权与限制性股票激励计划，并于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8</w:t>
      </w:r>
      <w:r>
        <w:rPr/>
        <w:t>日完成了</w:t>
      </w:r>
    </w:p>
    <w:p>
      <w:pPr>
        <w:pStyle w:val="BodyText"/>
        <w:spacing w:line="225" w:lineRule="exact"/>
        <w:ind w:right="0"/>
        <w:jc w:val="left"/>
      </w:pPr>
      <w:r>
        <w:rPr/>
        <w:t>股票期权的授予登记和限制性股票的上市工作，具体情况如下：</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rFonts w:ascii="Times New Roman" w:hAnsi="Times New Roman" w:cs="Times New Roman" w:eastAsia="Times New Roman" w:hint="default"/>
        </w:rPr>
        <w:t>1</w:t>
      </w:r>
      <w:r>
        <w:rPr/>
        <w:t>、股票期权的授予情况</w:t>
      </w:r>
    </w:p>
    <w:p>
      <w:pPr>
        <w:spacing w:line="240" w:lineRule="auto" w:before="12"/>
        <w:rPr>
          <w:rFonts w:ascii="宋体" w:hAnsi="宋体" w:cs="宋体" w:eastAsia="宋体" w:hint="default"/>
          <w:sz w:val="25"/>
          <w:szCs w:val="25"/>
        </w:rPr>
      </w:pPr>
    </w:p>
    <w:p>
      <w:pPr>
        <w:pStyle w:val="BodyText"/>
        <w:spacing w:line="240" w:lineRule="auto"/>
        <w:ind w:left="514" w:right="0"/>
        <w:jc w:val="left"/>
      </w:pPr>
      <w:r>
        <w:rPr>
          <w:rFonts w:ascii="Times New Roman" w:hAnsi="Times New Roman" w:cs="Times New Roman" w:eastAsia="Times New Roman" w:hint="default"/>
        </w:rPr>
        <w:t>1</w:t>
      </w:r>
      <w:r>
        <w:rPr/>
        <w:t>）期权代码：</w:t>
      </w:r>
      <w:r>
        <w:rPr>
          <w:rFonts w:ascii="Times New Roman" w:hAnsi="Times New Roman" w:cs="Times New Roman" w:eastAsia="Times New Roman" w:hint="default"/>
        </w:rPr>
        <w:t>037758</w:t>
      </w:r>
      <w:r>
        <w:rPr/>
        <w:t>；</w:t>
      </w:r>
    </w:p>
    <w:p>
      <w:pPr>
        <w:spacing w:line="240" w:lineRule="auto" w:before="12"/>
        <w:rPr>
          <w:rFonts w:ascii="宋体" w:hAnsi="宋体" w:cs="宋体" w:eastAsia="宋体" w:hint="default"/>
          <w:sz w:val="25"/>
          <w:szCs w:val="25"/>
        </w:rPr>
      </w:pPr>
    </w:p>
    <w:p>
      <w:pPr>
        <w:pStyle w:val="BodyText"/>
        <w:spacing w:line="240" w:lineRule="auto"/>
        <w:ind w:left="514" w:right="0"/>
        <w:jc w:val="left"/>
      </w:pPr>
      <w:r>
        <w:rPr>
          <w:rFonts w:ascii="Times New Roman" w:hAnsi="Times New Roman" w:cs="Times New Roman" w:eastAsia="Times New Roman" w:hint="default"/>
        </w:rPr>
        <w:t>2</w:t>
      </w:r>
      <w:r>
        <w:rPr/>
        <w:t>）期权简称：卓翼</w:t>
      </w:r>
      <w:r>
        <w:rPr>
          <w:rFonts w:ascii="Times New Roman" w:hAnsi="Times New Roman" w:cs="Times New Roman" w:eastAsia="Times New Roman" w:hint="default"/>
        </w:rPr>
        <w:t>JLC1</w:t>
      </w:r>
      <w:r>
        <w:rPr/>
        <w:t>；</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rFonts w:ascii="Times New Roman" w:hAnsi="Times New Roman" w:cs="Times New Roman" w:eastAsia="Times New Roman" w:hint="default"/>
        </w:rPr>
        <w:t>3</w:t>
      </w:r>
      <w:r>
        <w:rPr/>
        <w:t>）授予日：</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25</w:t>
      </w:r>
      <w:r>
        <w:rPr/>
        <w:t>日；</w:t>
      </w:r>
    </w:p>
    <w:p>
      <w:pPr>
        <w:spacing w:line="240" w:lineRule="auto" w:before="12"/>
        <w:rPr>
          <w:rFonts w:ascii="宋体" w:hAnsi="宋体" w:cs="宋体" w:eastAsia="宋体" w:hint="default"/>
          <w:sz w:val="25"/>
          <w:szCs w:val="25"/>
        </w:rPr>
      </w:pPr>
    </w:p>
    <w:p>
      <w:pPr>
        <w:pStyle w:val="BodyText"/>
        <w:spacing w:line="240" w:lineRule="auto"/>
        <w:ind w:left="514" w:right="0"/>
        <w:jc w:val="left"/>
      </w:pPr>
      <w:r>
        <w:rPr>
          <w:rFonts w:ascii="Times New Roman" w:hAnsi="Times New Roman" w:cs="Times New Roman" w:eastAsia="Times New Roman" w:hint="default"/>
        </w:rPr>
        <w:t>4</w:t>
      </w:r>
      <w:r>
        <w:rPr/>
        <w:t>）授予股票期权登记完成时间：</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8</w:t>
      </w:r>
      <w:r>
        <w:rPr/>
        <w:t>日；</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rFonts w:ascii="Times New Roman" w:hAnsi="Times New Roman" w:cs="Times New Roman" w:eastAsia="Times New Roman" w:hint="default"/>
        </w:rPr>
        <w:t>5</w:t>
      </w:r>
      <w:r>
        <w:rPr/>
        <w:t>）股票来源：股票期权激励计划的股票来源为公司向激励对象定向发行公司 </w:t>
      </w:r>
      <w:r>
        <w:rPr>
          <w:rFonts w:ascii="Times New Roman" w:hAnsi="Times New Roman" w:cs="Times New Roman" w:eastAsia="Times New Roman" w:hint="default"/>
        </w:rPr>
        <w:t>A</w:t>
      </w:r>
      <w:r>
        <w:rPr>
          <w:rFonts w:ascii="Times New Roman" w:hAnsi="Times New Roman" w:cs="Times New Roman" w:eastAsia="Times New Roman" w:hint="default"/>
          <w:spacing w:val="-3"/>
        </w:rPr>
        <w:t> </w:t>
      </w:r>
      <w:r>
        <w:rPr/>
        <w:t>股普通股；</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rFonts w:ascii="Times New Roman" w:hAnsi="Times New Roman" w:cs="Times New Roman" w:eastAsia="Times New Roman" w:hint="default"/>
        </w:rPr>
        <w:t>6</w:t>
      </w:r>
      <w:r>
        <w:rPr/>
        <w:t>）行权价格：股票期权的行权价格为每份</w:t>
      </w:r>
      <w:r>
        <w:rPr>
          <w:rFonts w:ascii="Times New Roman" w:hAnsi="Times New Roman" w:cs="Times New Roman" w:eastAsia="Times New Roman" w:hint="default"/>
        </w:rPr>
        <w:t>8.85</w:t>
      </w:r>
      <w:r>
        <w:rPr/>
        <w:t>元；</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rFonts w:ascii="Times New Roman" w:hAnsi="Times New Roman" w:cs="Times New Roman" w:eastAsia="Times New Roman" w:hint="default"/>
        </w:rPr>
        <w:t>7</w:t>
      </w:r>
      <w:r>
        <w:rPr/>
        <w:t>）授予数量：股票期权激励计划的激励对象为</w:t>
      </w:r>
      <w:r>
        <w:rPr>
          <w:rFonts w:ascii="Times New Roman" w:hAnsi="Times New Roman" w:cs="Times New Roman" w:eastAsia="Times New Roman" w:hint="default"/>
        </w:rPr>
        <w:t>148</w:t>
      </w:r>
      <w:r>
        <w:rPr/>
        <w:t>人，共授予</w:t>
      </w:r>
      <w:r>
        <w:rPr>
          <w:rFonts w:ascii="Times New Roman" w:hAnsi="Times New Roman" w:cs="Times New Roman" w:eastAsia="Times New Roman" w:hint="default"/>
        </w:rPr>
        <w:t>1151.7</w:t>
      </w:r>
      <w:r>
        <w:rPr/>
        <w:t>万份股票期权；</w:t>
      </w:r>
    </w:p>
    <w:p>
      <w:pPr>
        <w:spacing w:line="240" w:lineRule="auto" w:before="9"/>
        <w:rPr>
          <w:rFonts w:ascii="宋体" w:hAnsi="宋体" w:cs="宋体" w:eastAsia="宋体" w:hint="default"/>
          <w:sz w:val="16"/>
          <w:szCs w:val="16"/>
        </w:rPr>
      </w:pPr>
    </w:p>
    <w:p>
      <w:pPr>
        <w:pStyle w:val="BodyText"/>
        <w:spacing w:line="451" w:lineRule="auto"/>
        <w:ind w:right="1122" w:firstLine="360"/>
        <w:jc w:val="left"/>
      </w:pPr>
      <w:r>
        <w:rPr>
          <w:rFonts w:ascii="Times New Roman" w:hAnsi="Times New Roman" w:cs="Times New Roman" w:eastAsia="Times New Roman" w:hint="default"/>
        </w:rPr>
        <w:t>8</w:t>
      </w:r>
      <w:r>
        <w:rPr/>
        <w:t>）行权安排：本次激励计划授予的股票期权有效期为</w:t>
      </w:r>
      <w:r>
        <w:rPr>
          <w:rFonts w:ascii="Times New Roman" w:hAnsi="Times New Roman" w:cs="Times New Roman" w:eastAsia="Times New Roman" w:hint="default"/>
        </w:rPr>
        <w:t>48</w:t>
      </w:r>
      <w:r>
        <w:rPr/>
        <w:t>个月，等待期为股票期权授予登记完成之日起</w:t>
      </w:r>
      <w:r>
        <w:rPr>
          <w:rFonts w:ascii="Times New Roman" w:hAnsi="Times New Roman" w:cs="Times New Roman" w:eastAsia="Times New Roman" w:hint="default"/>
        </w:rPr>
        <w:t>12</w:t>
      </w:r>
      <w:r>
        <w:rPr/>
        <w:t>个月，等待期 满后分</w:t>
      </w:r>
      <w:r>
        <w:rPr>
          <w:rFonts w:ascii="Times New Roman" w:hAnsi="Times New Roman" w:cs="Times New Roman" w:eastAsia="Times New Roman" w:hint="default"/>
        </w:rPr>
        <w:t>3</w:t>
      </w:r>
      <w:r>
        <w:rPr/>
        <w:t>期行权。</w:t>
      </w:r>
    </w:p>
    <w:p>
      <w:pPr>
        <w:pStyle w:val="BodyText"/>
        <w:spacing w:line="240" w:lineRule="auto" w:before="43"/>
        <w:ind w:left="514" w:right="0"/>
        <w:jc w:val="left"/>
      </w:pPr>
      <w:r>
        <w:rPr>
          <w:rFonts w:ascii="Times New Roman" w:hAnsi="Times New Roman" w:cs="Times New Roman" w:eastAsia="Times New Roman" w:hint="default"/>
        </w:rPr>
        <w:t>2</w:t>
      </w:r>
      <w:r>
        <w:rPr/>
        <w:t>、限制性股票的授予情况</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rFonts w:ascii="Times New Roman" w:hAnsi="Times New Roman" w:cs="Times New Roman" w:eastAsia="Times New Roman" w:hint="default"/>
        </w:rPr>
        <w:t>1</w:t>
      </w:r>
      <w:r>
        <w:rPr/>
        <w:t>）授予日：</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25</w:t>
      </w:r>
      <w:r>
        <w:rPr/>
        <w:t>日；</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rFonts w:ascii="Times New Roman" w:hAnsi="Times New Roman" w:cs="Times New Roman" w:eastAsia="Times New Roman" w:hint="default"/>
        </w:rPr>
        <w:t>2</w:t>
      </w:r>
      <w:r>
        <w:rPr/>
        <w:t>）上市日：</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8</w:t>
      </w:r>
      <w:r>
        <w:rPr/>
        <w:t>日；</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rFonts w:ascii="Times New Roman" w:hAnsi="Times New Roman" w:cs="Times New Roman" w:eastAsia="Times New Roman" w:hint="default"/>
        </w:rPr>
        <w:t>3</w:t>
      </w:r>
      <w:r>
        <w:rPr/>
        <w:t>）股票来源：限制性股票激励计划涉及的标的股票来源为公司向激励对象定向发行公司 </w:t>
      </w:r>
      <w:r>
        <w:rPr>
          <w:rFonts w:ascii="Times New Roman" w:hAnsi="Times New Roman" w:cs="Times New Roman" w:eastAsia="Times New Roman" w:hint="default"/>
        </w:rPr>
        <w:t>A</w:t>
      </w:r>
      <w:r>
        <w:rPr>
          <w:rFonts w:ascii="Times New Roman" w:hAnsi="Times New Roman" w:cs="Times New Roman" w:eastAsia="Times New Roman" w:hint="default"/>
          <w:spacing w:val="-2"/>
        </w:rPr>
        <w:t> </w:t>
      </w:r>
      <w:r>
        <w:rPr/>
        <w:t>股普通股；</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rFonts w:ascii="Times New Roman" w:hAnsi="Times New Roman" w:cs="Times New Roman" w:eastAsia="Times New Roman" w:hint="default"/>
        </w:rPr>
        <w:t>4</w:t>
      </w:r>
      <w:r>
        <w:rPr/>
        <w:t>）授予价格：限制性股票的授予价格为每股</w:t>
      </w:r>
      <w:r>
        <w:rPr>
          <w:rFonts w:ascii="Times New Roman" w:hAnsi="Times New Roman" w:cs="Times New Roman" w:eastAsia="Times New Roman" w:hint="default"/>
        </w:rPr>
        <w:t>4.43</w:t>
      </w:r>
      <w:r>
        <w:rPr/>
        <w:t>元；</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rFonts w:ascii="Times New Roman" w:hAnsi="Times New Roman" w:cs="Times New Roman" w:eastAsia="Times New Roman" w:hint="default"/>
        </w:rPr>
        <w:t>5</w:t>
      </w:r>
      <w:r>
        <w:rPr/>
        <w:t>）授予数量：限制性股票激励计划的激励对象为</w:t>
      </w:r>
      <w:r>
        <w:rPr>
          <w:rFonts w:ascii="Times New Roman" w:hAnsi="Times New Roman" w:cs="Times New Roman" w:eastAsia="Times New Roman" w:hint="default"/>
        </w:rPr>
        <w:t>13</w:t>
      </w:r>
      <w:r>
        <w:rPr/>
        <w:t>人，授予数量为</w:t>
      </w:r>
      <w:r>
        <w:rPr>
          <w:rFonts w:ascii="Times New Roman" w:hAnsi="Times New Roman" w:cs="Times New Roman" w:eastAsia="Times New Roman" w:hint="default"/>
        </w:rPr>
        <w:t>427</w:t>
      </w:r>
      <w:r>
        <w:rPr/>
        <w:t>万股限制性股票；</w:t>
      </w:r>
    </w:p>
    <w:p>
      <w:pPr>
        <w:spacing w:line="240" w:lineRule="auto" w:before="10"/>
        <w:rPr>
          <w:rFonts w:ascii="宋体" w:hAnsi="宋体" w:cs="宋体" w:eastAsia="宋体" w:hint="default"/>
          <w:sz w:val="16"/>
          <w:szCs w:val="16"/>
        </w:rPr>
      </w:pPr>
    </w:p>
    <w:p>
      <w:pPr>
        <w:pStyle w:val="BodyText"/>
        <w:spacing w:line="451" w:lineRule="auto"/>
        <w:ind w:right="1122" w:firstLine="360"/>
        <w:jc w:val="left"/>
      </w:pPr>
      <w:r>
        <w:rPr>
          <w:rFonts w:ascii="Times New Roman" w:hAnsi="Times New Roman" w:cs="Times New Roman" w:eastAsia="Times New Roman" w:hint="default"/>
        </w:rPr>
        <w:t>6</w:t>
      </w:r>
      <w:r>
        <w:rPr/>
        <w:t>）解除限售安排：本次激励计划授予限制性股票锁定期为限制性股票授予登记完成之日起</w:t>
      </w:r>
      <w:r>
        <w:rPr>
          <w:rFonts w:ascii="Times New Roman" w:hAnsi="Times New Roman" w:cs="Times New Roman" w:eastAsia="Times New Roman" w:hint="default"/>
        </w:rPr>
        <w:t>12</w:t>
      </w:r>
      <w:r>
        <w:rPr/>
        <w:t>个月，锁定期满后分三批 解锁。</w:t>
      </w:r>
    </w:p>
    <w:p>
      <w:pPr>
        <w:pStyle w:val="BodyText"/>
        <w:spacing w:line="240" w:lineRule="auto" w:before="115"/>
        <w:ind w:left="514" w:right="0"/>
        <w:jc w:val="left"/>
      </w:pPr>
      <w:r>
        <w:rPr/>
        <w:t>具体内容详</w:t>
      </w:r>
      <w:r>
        <w:rPr>
          <w:spacing w:val="-22"/>
        </w:rPr>
        <w:t>见</w:t>
      </w:r>
      <w:r>
        <w:rPr/>
        <w:t>《深圳市卓翼科技股份有限公司</w:t>
      </w:r>
      <w:r>
        <w:rPr>
          <w:rFonts w:ascii="Times New Roman" w:hAnsi="Times New Roman" w:cs="Times New Roman" w:eastAsia="Times New Roman" w:hint="default"/>
        </w:rPr>
        <w:t>2017</w:t>
      </w:r>
      <w:r>
        <w:rPr/>
        <w:t>年股票期权与限制性股票激励计</w:t>
      </w:r>
      <w:r>
        <w:rPr>
          <w:spacing w:val="-22"/>
        </w:rPr>
        <w:t>划</w:t>
      </w:r>
      <w:r>
        <w:rPr/>
        <w:t>（草案</w:t>
      </w:r>
      <w:r>
        <w:rPr>
          <w:spacing w:val="-90"/>
        </w:rPr>
        <w:t>）》</w:t>
      </w:r>
      <w:r>
        <w:rPr>
          <w:spacing w:val="-112"/>
        </w:rPr>
        <w:t>、</w:t>
      </w:r>
      <w:r>
        <w:rPr/>
        <w:t>《关于调整</w:t>
      </w:r>
      <w:r>
        <w:rPr>
          <w:rFonts w:ascii="Times New Roman" w:hAnsi="Times New Roman" w:cs="Times New Roman" w:eastAsia="Times New Roman" w:hint="default"/>
        </w:rPr>
        <w:t>2017 </w:t>
      </w:r>
      <w:r>
        <w:rPr>
          <w:rFonts w:ascii="Times New Roman" w:hAnsi="Times New Roman" w:cs="Times New Roman" w:eastAsia="Times New Roman" w:hint="default"/>
          <w:spacing w:val="-18"/>
        </w:rPr>
        <w:t> </w:t>
      </w:r>
      <w:r>
        <w:rPr/>
        <w:t>年股票</w:t>
      </w:r>
    </w:p>
    <w:p>
      <w:pPr>
        <w:spacing w:after="0" w:line="240" w:lineRule="auto"/>
        <w:jc w:val="left"/>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451" w:lineRule="auto" w:before="44"/>
        <w:ind w:right="1032"/>
        <w:jc w:val="left"/>
      </w:pPr>
      <w:r>
        <w:rPr/>
        <w:t>期权与限制性股票激励计划激励对象名单及授予数量的公告</w:t>
      </w:r>
      <w:r>
        <w:rPr>
          <w:spacing w:val="-90"/>
        </w:rPr>
        <w:t>》</w:t>
      </w:r>
      <w:r>
        <w:rPr>
          <w:spacing w:val="-137"/>
        </w:rPr>
        <w:t>、</w:t>
      </w:r>
      <w:r>
        <w:rPr/>
        <w:t>《关于向</w:t>
      </w:r>
      <w:r>
        <w:rPr>
          <w:spacing w:val="-16"/>
        </w:rPr>
        <w:t> </w:t>
      </w:r>
      <w:r>
        <w:rPr>
          <w:rFonts w:ascii="Times New Roman" w:hAnsi="Times New Roman" w:cs="Times New Roman" w:eastAsia="Times New Roman" w:hint="default"/>
        </w:rPr>
        <w:t>2017 </w:t>
      </w:r>
      <w:r>
        <w:rPr>
          <w:rFonts w:ascii="Times New Roman" w:hAnsi="Times New Roman" w:cs="Times New Roman" w:eastAsia="Times New Roman" w:hint="default"/>
          <w:spacing w:val="-18"/>
        </w:rPr>
        <w:t> </w:t>
      </w:r>
      <w:r>
        <w:rPr/>
        <w:t>年股票</w:t>
      </w:r>
      <w:r>
        <w:rPr>
          <w:spacing w:val="-2"/>
        </w:rPr>
        <w:t>期</w:t>
      </w:r>
      <w:r>
        <w:rPr/>
        <w:t>权与限制性股票激励计划激励对象授</w:t>
      </w:r>
      <w:r>
        <w:rPr/>
        <w:t> 予股</w:t>
      </w:r>
      <w:r>
        <w:rPr>
          <w:spacing w:val="1"/>
        </w:rPr>
        <w:t>票</w:t>
      </w:r>
      <w:r>
        <w:rPr/>
        <w:t>期权</w:t>
      </w:r>
      <w:r>
        <w:rPr>
          <w:spacing w:val="1"/>
        </w:rPr>
        <w:t>与</w:t>
      </w:r>
      <w:r>
        <w:rPr/>
        <w:t>限制</w:t>
      </w:r>
      <w:r>
        <w:rPr>
          <w:spacing w:val="1"/>
        </w:rPr>
        <w:t>性</w:t>
      </w:r>
      <w:r>
        <w:rPr/>
        <w:t>股票</w:t>
      </w:r>
      <w:r>
        <w:rPr>
          <w:spacing w:val="1"/>
        </w:rPr>
        <w:t>的</w:t>
      </w:r>
      <w:r>
        <w:rPr/>
        <w:t>公告</w:t>
      </w:r>
      <w:r>
        <w:rPr>
          <w:spacing w:val="-89"/>
        </w:rPr>
        <w:t>》</w:t>
      </w:r>
      <w:r>
        <w:rPr>
          <w:spacing w:val="-90"/>
        </w:rPr>
        <w:t>、</w:t>
      </w:r>
      <w:r>
        <w:rPr/>
        <w:t>《</w:t>
      </w:r>
      <w:r>
        <w:rPr>
          <w:spacing w:val="1"/>
        </w:rPr>
        <w:t>关</w:t>
      </w:r>
      <w:r>
        <w:rPr/>
        <w:t>于</w:t>
      </w:r>
      <w:r>
        <w:rPr>
          <w:rFonts w:ascii="Times New Roman" w:hAnsi="Times New Roman" w:cs="Times New Roman" w:eastAsia="Times New Roman" w:hint="default"/>
          <w:spacing w:val="1"/>
        </w:rPr>
        <w:t>2</w:t>
      </w:r>
      <w:r>
        <w:rPr>
          <w:rFonts w:ascii="Times New Roman" w:hAnsi="Times New Roman" w:cs="Times New Roman" w:eastAsia="Times New Roman" w:hint="default"/>
        </w:rPr>
        <w:t>017 </w:t>
      </w:r>
      <w:r>
        <w:rPr>
          <w:rFonts w:ascii="Times New Roman" w:hAnsi="Times New Roman" w:cs="Times New Roman" w:eastAsia="Times New Roman" w:hint="default"/>
          <w:spacing w:val="-17"/>
        </w:rPr>
        <w:t> </w:t>
      </w:r>
      <w:r>
        <w:rPr/>
        <w:t>年股票</w:t>
      </w:r>
      <w:r>
        <w:rPr>
          <w:spacing w:val="1"/>
        </w:rPr>
        <w:t>期</w:t>
      </w:r>
      <w:r>
        <w:rPr/>
        <w:t>权与</w:t>
      </w:r>
      <w:r>
        <w:rPr>
          <w:spacing w:val="1"/>
        </w:rPr>
        <w:t>限</w:t>
      </w:r>
      <w:r>
        <w:rPr/>
        <w:t>制性</w:t>
      </w:r>
      <w:r>
        <w:rPr>
          <w:spacing w:val="1"/>
        </w:rPr>
        <w:t>股</w:t>
      </w:r>
      <w:r>
        <w:rPr/>
        <w:t>票激</w:t>
      </w:r>
      <w:r>
        <w:rPr>
          <w:spacing w:val="1"/>
        </w:rPr>
        <w:t>励</w:t>
      </w:r>
      <w:r>
        <w:rPr/>
        <w:t>计划</w:t>
      </w:r>
      <w:r>
        <w:rPr>
          <w:spacing w:val="1"/>
        </w:rPr>
        <w:t>之</w:t>
      </w:r>
      <w:r>
        <w:rPr/>
        <w:t>限制</w:t>
      </w:r>
      <w:r>
        <w:rPr>
          <w:spacing w:val="1"/>
        </w:rPr>
        <w:t>性</w:t>
      </w:r>
      <w:r>
        <w:rPr/>
        <w:t>股票</w:t>
      </w:r>
      <w:r>
        <w:rPr>
          <w:spacing w:val="1"/>
        </w:rPr>
        <w:t>授</w:t>
      </w:r>
      <w:r>
        <w:rPr/>
        <w:t>予登</w:t>
      </w:r>
      <w:r>
        <w:rPr>
          <w:spacing w:val="1"/>
        </w:rPr>
        <w:t>记</w:t>
      </w:r>
      <w:r>
        <w:rPr/>
        <w:t>完成</w:t>
      </w:r>
      <w:r>
        <w:rPr>
          <w:spacing w:val="1"/>
        </w:rPr>
        <w:t>的</w:t>
      </w:r>
      <w:r>
        <w:rPr/>
        <w:t>公告</w:t>
      </w:r>
      <w:r>
        <w:rPr>
          <w:spacing w:val="-89"/>
        </w:rPr>
        <w:t>》、</w:t>
      </w:r>
      <w:r>
        <w:rPr>
          <w:spacing w:val="1"/>
        </w:rPr>
        <w:t>《</w:t>
      </w:r>
      <w:r>
        <w:rPr/>
        <w:t>关</w:t>
      </w:r>
      <w:r>
        <w:rPr/>
        <w:t> 于</w:t>
      </w:r>
      <w:r>
        <w:rPr>
          <w:rFonts w:ascii="Times New Roman" w:hAnsi="Times New Roman" w:cs="Times New Roman" w:eastAsia="Times New Roman" w:hint="default"/>
        </w:rPr>
        <w:t>2017</w:t>
      </w:r>
      <w:r>
        <w:rPr/>
        <w:t>年股票期权与限制性股票激励计划之股票期权授予登记完成的公告</w:t>
      </w:r>
      <w:r>
        <w:rPr>
          <w:spacing w:val="-90"/>
        </w:rPr>
        <w:t>》</w:t>
      </w:r>
      <w:r>
        <w:rPr/>
        <w:t>，分别刊登于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21</w:t>
      </w:r>
      <w:r>
        <w:rPr/>
        <w:t>日、</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26</w:t>
      </w:r>
      <w:r>
        <w:rPr/>
        <w:t>日、 </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7</w:t>
      </w:r>
      <w:r>
        <w:rPr/>
        <w:t>日、</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8</w:t>
      </w:r>
      <w:r>
        <w:rPr/>
        <w:t>日的《证券时报</w:t>
      </w:r>
      <w:r>
        <w:rPr>
          <w:spacing w:val="-90"/>
        </w:rPr>
        <w:t>》、</w:t>
      </w:r>
      <w:r>
        <w:rPr/>
        <w:t>《中国证券报》及巨潮资讯网（</w:t>
      </w:r>
      <w:r>
        <w:rPr>
          <w:rFonts w:ascii="Times New Roman" w:hAnsi="Times New Roman" w:cs="Times New Roman" w:eastAsia="Times New Roman" w:hint="default"/>
        </w:rPr>
        <w:t>htpp:</w:t>
      </w:r>
      <w:hyperlink r:id="rId12">
        <w:r>
          <w:rPr>
            <w:rFonts w:ascii="Times New Roman" w:hAnsi="Times New Roman" w:cs="Times New Roman" w:eastAsia="Times New Roman" w:hint="default"/>
            <w:w w:val="99"/>
          </w:rPr>
          <w:t>//</w:t>
        </w:r>
        <w:r>
          <w:rPr>
            <w:rFonts w:ascii="Times New Roman" w:hAnsi="Times New Roman" w:cs="Times New Roman" w:eastAsia="Times New Roman" w:hint="default"/>
            <w:spacing w:val="-1"/>
            <w:w w:val="99"/>
          </w:rPr>
          <w:t>w</w:t>
        </w:r>
      </w:hyperlink>
      <w:r>
        <w:rPr>
          <w:rFonts w:ascii="Times New Roman" w:hAnsi="Times New Roman" w:cs="Times New Roman" w:eastAsia="Times New Roman" w:hint="default"/>
          <w:w w:val="99"/>
        </w:rPr>
        <w:t>w</w:t>
      </w:r>
      <w:r>
        <w:rPr>
          <w:rFonts w:ascii="Times New Roman" w:hAnsi="Times New Roman" w:cs="Times New Roman" w:eastAsia="Times New Roman" w:hint="default"/>
          <w:spacing w:val="-13"/>
          <w:w w:val="99"/>
        </w:rPr>
        <w:t>w</w:t>
      </w:r>
      <w:hyperlink r:id="rId12">
        <w:r>
          <w:rPr>
            <w:rFonts w:ascii="Times New Roman" w:hAnsi="Times New Roman" w:cs="Times New Roman" w:eastAsia="Times New Roman" w:hint="default"/>
          </w:rPr>
          <w:t>.cninfo.c</w:t>
        </w:r>
        <w:r>
          <w:rPr>
            <w:rFonts w:ascii="Times New Roman" w:hAnsi="Times New Roman" w:cs="Times New Roman" w:eastAsia="Times New Roman" w:hint="default"/>
            <w:spacing w:val="-1"/>
          </w:rPr>
          <w:t>om</w:t>
        </w:r>
        <w:r>
          <w:rPr>
            <w:rFonts w:ascii="Times New Roman" w:hAnsi="Times New Roman" w:cs="Times New Roman" w:eastAsia="Times New Roman" w:hint="default"/>
          </w:rPr>
          <w:t>.c</w:t>
        </w:r>
        <w:r>
          <w:rPr>
            <w:rFonts w:ascii="Times New Roman" w:hAnsi="Times New Roman" w:cs="Times New Roman" w:eastAsia="Times New Roman" w:hint="default"/>
            <w:spacing w:val="1"/>
          </w:rPr>
          <w:t>n</w:t>
        </w:r>
      </w:hyperlink>
      <w:r>
        <w:rPr>
          <w:spacing w:val="-90"/>
        </w:rPr>
        <w:t>）。</w:t>
      </w:r>
      <w:r>
        <w:rPr/>
      </w:r>
    </w:p>
    <w:p>
      <w:pPr>
        <w:pStyle w:val="BodyText"/>
        <w:spacing w:line="516" w:lineRule="auto" w:before="83"/>
        <w:ind w:left="514" w:right="0"/>
        <w:jc w:val="left"/>
        <w:rPr>
          <w:rFonts w:ascii="Times New Roman" w:hAnsi="Times New Roman" w:cs="Times New Roman" w:eastAsia="Times New Roman" w:hint="default"/>
        </w:rPr>
      </w:pPr>
      <w:r>
        <w:rPr/>
        <w:t>（二）注销部分股票期权及回购注销部分限制性股票的情况 </w:t>
      </w:r>
      <w:r>
        <w:rPr>
          <w:spacing w:val="-5"/>
        </w:rPr>
        <w:t>经公司第四届董事会第二十次会议及第四届监事会第十五次会议审议，并经</w:t>
      </w:r>
      <w:r>
        <w:rPr>
          <w:rFonts w:ascii="Times New Roman" w:hAnsi="Times New Roman" w:cs="Times New Roman" w:eastAsia="Times New Roman" w:hint="default"/>
          <w:spacing w:val="-5"/>
        </w:rPr>
        <w:t>2017</w:t>
      </w:r>
      <w:r>
        <w:rPr>
          <w:spacing w:val="-5"/>
        </w:rPr>
        <w:t>年度股东大会批准，同意根据公司《</w:t>
      </w:r>
      <w:r>
        <w:rPr>
          <w:rFonts w:ascii="Times New Roman" w:hAnsi="Times New Roman" w:cs="Times New Roman" w:eastAsia="Times New Roman" w:hint="default"/>
          <w:spacing w:val="-5"/>
        </w:rPr>
        <w:t>2017</w:t>
      </w:r>
    </w:p>
    <w:p>
      <w:pPr>
        <w:pStyle w:val="BodyText"/>
        <w:spacing w:line="477" w:lineRule="auto"/>
        <w:ind w:right="1131"/>
        <w:jc w:val="both"/>
      </w:pPr>
      <w:r>
        <w:rPr>
          <w:spacing w:val="-2"/>
        </w:rPr>
        <w:t>年股票期权与限制性股票激励计划（草案）》的相关规定，注销部分股票期权及回购注销部分限制性股票，并依法办理注销</w:t>
      </w:r>
      <w:r>
        <w:rPr>
          <w:spacing w:val="-64"/>
        </w:rPr>
        <w:t> </w:t>
      </w:r>
      <w:r>
        <w:rPr>
          <w:spacing w:val="-64"/>
        </w:rPr>
      </w:r>
      <w:r>
        <w:rPr/>
        <w:t>手续，具体情况如下：</w:t>
      </w:r>
    </w:p>
    <w:p>
      <w:pPr>
        <w:pStyle w:val="BodyText"/>
        <w:spacing w:line="240" w:lineRule="auto" w:before="94"/>
        <w:ind w:left="587" w:right="0"/>
        <w:jc w:val="left"/>
      </w:pPr>
      <w:r>
        <w:rPr>
          <w:rFonts w:ascii="Times New Roman" w:hAnsi="Times New Roman" w:cs="Times New Roman" w:eastAsia="Times New Roman" w:hint="default"/>
        </w:rPr>
        <w:t>1</w:t>
      </w:r>
      <w:r>
        <w:rPr/>
        <w:t>、回购原因</w:t>
      </w:r>
    </w:p>
    <w:p>
      <w:pPr>
        <w:spacing w:line="240" w:lineRule="auto" w:before="10"/>
        <w:rPr>
          <w:rFonts w:ascii="宋体" w:hAnsi="宋体" w:cs="宋体" w:eastAsia="宋体" w:hint="default"/>
          <w:sz w:val="19"/>
          <w:szCs w:val="19"/>
        </w:rPr>
      </w:pPr>
    </w:p>
    <w:p>
      <w:pPr>
        <w:pStyle w:val="BodyText"/>
        <w:spacing w:line="489" w:lineRule="auto"/>
        <w:ind w:left="514" w:right="0"/>
        <w:jc w:val="left"/>
      </w:pPr>
      <w:r>
        <w:rPr/>
        <w:t>（</w:t>
      </w:r>
      <w:r>
        <w:rPr>
          <w:rFonts w:ascii="Times New Roman" w:hAnsi="Times New Roman" w:cs="Times New Roman" w:eastAsia="Times New Roman" w:hint="default"/>
        </w:rPr>
        <w:t>1</w:t>
      </w:r>
      <w:r>
        <w:rPr/>
        <w:t>）业绩未达标 </w:t>
      </w:r>
      <w:r>
        <w:rPr>
          <w:spacing w:val="-4"/>
        </w:rPr>
        <w:t>根据《股权激励计划（草案）》，第一期行权</w:t>
      </w:r>
      <w:r>
        <w:rPr>
          <w:rFonts w:ascii="Times New Roman" w:hAnsi="Times New Roman" w:cs="Times New Roman" w:eastAsia="Times New Roman" w:hint="default"/>
          <w:spacing w:val="-4"/>
        </w:rPr>
        <w:t>/</w:t>
      </w:r>
      <w:r>
        <w:rPr>
          <w:spacing w:val="-4"/>
        </w:rPr>
        <w:t>解锁条件为：与</w:t>
      </w:r>
      <w:r>
        <w:rPr>
          <w:rFonts w:ascii="Times New Roman" w:hAnsi="Times New Roman" w:cs="Times New Roman" w:eastAsia="Times New Roman" w:hint="default"/>
          <w:spacing w:val="-4"/>
        </w:rPr>
        <w:t>2016</w:t>
      </w:r>
      <w:r>
        <w:rPr>
          <w:spacing w:val="-4"/>
        </w:rPr>
        <w:t>年归属于母公司股东的净利润为基数相比，</w:t>
      </w:r>
      <w:r>
        <w:rPr>
          <w:rFonts w:ascii="Times New Roman" w:hAnsi="Times New Roman" w:cs="Times New Roman" w:eastAsia="Times New Roman" w:hint="default"/>
          <w:spacing w:val="-4"/>
        </w:rPr>
        <w:t>2017</w:t>
      </w:r>
      <w:r>
        <w:rPr>
          <w:spacing w:val="-4"/>
        </w:rPr>
        <w:t>年剔</w:t>
      </w:r>
    </w:p>
    <w:p>
      <w:pPr>
        <w:pStyle w:val="BodyText"/>
        <w:spacing w:line="451" w:lineRule="auto" w:before="11"/>
        <w:ind w:right="1125"/>
        <w:jc w:val="both"/>
      </w:pPr>
      <w:r>
        <w:rPr/>
        <w:t>除股权激励影响后归属于母公司股东的净利润的增长率不低于</w:t>
      </w:r>
      <w:r>
        <w:rPr>
          <w:rFonts w:ascii="Times New Roman" w:hAnsi="Times New Roman" w:cs="Times New Roman" w:eastAsia="Times New Roman" w:hint="default"/>
        </w:rPr>
        <w:t>108.33%</w:t>
      </w:r>
      <w:r>
        <w:rPr/>
        <w:t>。根据亚太（集团）会计师事务所（特殊普通合伙） </w:t>
      </w:r>
      <w:r>
        <w:rPr>
          <w:spacing w:val="-4"/>
          <w:w w:val="99"/>
        </w:rPr>
        <w:t>出具的亚会</w:t>
      </w:r>
      <w:r>
        <w:rPr>
          <w:rFonts w:ascii="Times New Roman" w:hAnsi="Times New Roman" w:cs="Times New Roman" w:eastAsia="Times New Roman" w:hint="default"/>
          <w:spacing w:val="-4"/>
          <w:w w:val="99"/>
        </w:rPr>
        <w:t>A</w:t>
      </w:r>
      <w:r>
        <w:rPr>
          <w:spacing w:val="-4"/>
          <w:w w:val="99"/>
        </w:rPr>
        <w:t>审字</w:t>
      </w:r>
      <w:r>
        <w:rPr>
          <w:rFonts w:ascii="Times New Roman" w:hAnsi="Times New Roman" w:cs="Times New Roman" w:eastAsia="Times New Roman" w:hint="default"/>
          <w:spacing w:val="-4"/>
          <w:w w:val="99"/>
        </w:rPr>
        <w:t>[2018]0115</w:t>
      </w:r>
      <w:r>
        <w:rPr>
          <w:spacing w:val="-4"/>
          <w:w w:val="99"/>
        </w:rPr>
        <w:t>号《审计报告》，</w:t>
      </w:r>
      <w:r>
        <w:rPr>
          <w:rFonts w:ascii="Times New Roman" w:hAnsi="Times New Roman" w:cs="Times New Roman" w:eastAsia="Times New Roman" w:hint="default"/>
          <w:spacing w:val="-4"/>
          <w:w w:val="99"/>
        </w:rPr>
        <w:t>2017</w:t>
      </w:r>
      <w:r>
        <w:rPr>
          <w:spacing w:val="-4"/>
          <w:w w:val="99"/>
        </w:rPr>
        <w:t>年剔除股权激励影响后归属于母公司股东的净利润为</w:t>
      </w:r>
      <w:r>
        <w:rPr>
          <w:rFonts w:ascii="Times New Roman" w:hAnsi="Times New Roman" w:cs="Times New Roman" w:eastAsia="Times New Roman" w:hint="default"/>
          <w:spacing w:val="-4"/>
          <w:w w:val="99"/>
        </w:rPr>
        <w:t>2,471.71</w:t>
      </w:r>
      <w:r>
        <w:rPr>
          <w:spacing w:val="-4"/>
          <w:w w:val="99"/>
        </w:rPr>
        <w:t>万元，较</w:t>
      </w:r>
      <w:r>
        <w:rPr>
          <w:rFonts w:ascii="Times New Roman" w:hAnsi="Times New Roman" w:cs="Times New Roman" w:eastAsia="Times New Roman" w:hint="default"/>
          <w:spacing w:val="-4"/>
          <w:w w:val="99"/>
        </w:rPr>
        <w:t>2016</w:t>
      </w:r>
      <w:r>
        <w:rPr>
          <w:rFonts w:ascii="Times New Roman" w:hAnsi="Times New Roman" w:cs="Times New Roman" w:eastAsia="Times New Roman" w:hint="default"/>
          <w:spacing w:val="-18"/>
          <w:w w:val="99"/>
        </w:rPr>
        <w:t> </w:t>
      </w:r>
      <w:r>
        <w:rPr>
          <w:rFonts w:ascii="Times New Roman" w:hAnsi="Times New Roman" w:cs="Times New Roman" w:eastAsia="Times New Roman" w:hint="default"/>
          <w:spacing w:val="-18"/>
          <w:w w:val="99"/>
        </w:rPr>
      </w:r>
      <w:r>
        <w:rPr/>
        <w:t>年度增长率为</w:t>
      </w:r>
      <w:r>
        <w:rPr>
          <w:rFonts w:ascii="Times New Roman" w:hAnsi="Times New Roman" w:cs="Times New Roman" w:eastAsia="Times New Roman" w:hint="default"/>
        </w:rPr>
        <w:t>46.95%</w:t>
      </w:r>
      <w:r>
        <w:rPr/>
        <w:t>，未达到股权激励计划规定的第一期行权</w:t>
      </w:r>
      <w:r>
        <w:rPr>
          <w:rFonts w:ascii="Times New Roman" w:hAnsi="Times New Roman" w:cs="Times New Roman" w:eastAsia="Times New Roman" w:hint="default"/>
        </w:rPr>
        <w:t>/</w:t>
      </w:r>
      <w:r>
        <w:rPr/>
        <w:t>解锁条件。根据公司股权激励计划，公司应将获授股票期权 及限制性股票总额的各</w:t>
      </w:r>
      <w:r>
        <w:rPr>
          <w:rFonts w:ascii="Times New Roman" w:hAnsi="Times New Roman" w:cs="Times New Roman" w:eastAsia="Times New Roman" w:hint="default"/>
        </w:rPr>
        <w:t>25%</w:t>
      </w:r>
      <w:r>
        <w:rPr/>
        <w:t>进行注销</w:t>
      </w:r>
      <w:r>
        <w:rPr>
          <w:rFonts w:ascii="Times New Roman" w:hAnsi="Times New Roman" w:cs="Times New Roman" w:eastAsia="Times New Roman" w:hint="default"/>
        </w:rPr>
        <w:t>/</w:t>
      </w:r>
      <w:r>
        <w:rPr/>
        <w:t>回购注销。</w:t>
      </w:r>
    </w:p>
    <w:p>
      <w:pPr>
        <w:pStyle w:val="BodyText"/>
        <w:spacing w:line="516" w:lineRule="auto" w:before="83"/>
        <w:ind w:left="514" w:right="0"/>
        <w:jc w:val="left"/>
      </w:pPr>
      <w:r>
        <w:rPr/>
        <w:t>（</w:t>
      </w:r>
      <w:r>
        <w:rPr>
          <w:rFonts w:ascii="宋体" w:hAnsi="宋体" w:cs="宋体" w:eastAsia="宋体" w:hint="default"/>
        </w:rPr>
        <w:t>2</w:t>
      </w:r>
      <w:r>
        <w:rPr/>
        <w:t>）激励对象不再符合公司激励条件 </w:t>
      </w:r>
      <w:r>
        <w:rPr>
          <w:spacing w:val="-4"/>
        </w:rPr>
        <w:t>原激励对象黄杰等</w:t>
      </w:r>
      <w:r>
        <w:rPr>
          <w:rFonts w:ascii="Times New Roman" w:hAnsi="Times New Roman" w:cs="Times New Roman" w:eastAsia="Times New Roman" w:hint="default"/>
          <w:spacing w:val="-4"/>
        </w:rPr>
        <w:t>6</w:t>
      </w:r>
      <w:r>
        <w:rPr>
          <w:spacing w:val="-4"/>
        </w:rPr>
        <w:t>人因离职等原因已不符合激励条件，公司将按照《股权激励计划（草案）》对应条款规定，对上述人</w:t>
      </w:r>
    </w:p>
    <w:p>
      <w:pPr>
        <w:pStyle w:val="BodyText"/>
        <w:spacing w:line="226" w:lineRule="exact"/>
        <w:ind w:right="0"/>
        <w:jc w:val="both"/>
      </w:pPr>
      <w:r>
        <w:rPr/>
        <w:t>员尚未行权的股票期权进行注销。</w:t>
      </w:r>
    </w:p>
    <w:p>
      <w:pPr>
        <w:spacing w:line="240" w:lineRule="auto" w:before="12"/>
        <w:rPr>
          <w:rFonts w:ascii="宋体" w:hAnsi="宋体" w:cs="宋体" w:eastAsia="宋体" w:hint="default"/>
          <w:sz w:val="20"/>
          <w:szCs w:val="20"/>
        </w:rPr>
      </w:pPr>
    </w:p>
    <w:p>
      <w:pPr>
        <w:pStyle w:val="BodyText"/>
        <w:spacing w:line="487" w:lineRule="auto"/>
        <w:ind w:left="514" w:right="1117"/>
        <w:jc w:val="left"/>
      </w:pPr>
      <w:r>
        <w:rPr>
          <w:rFonts w:ascii="Times New Roman" w:hAnsi="Times New Roman" w:cs="Times New Roman" w:eastAsia="Times New Roman" w:hint="default"/>
        </w:rPr>
        <w:t>2</w:t>
      </w:r>
      <w:r>
        <w:rPr/>
        <w:t>、注销</w:t>
      </w:r>
      <w:r>
        <w:rPr>
          <w:rFonts w:ascii="Times New Roman" w:hAnsi="Times New Roman" w:cs="Times New Roman" w:eastAsia="Times New Roman" w:hint="default"/>
        </w:rPr>
        <w:t>/</w:t>
      </w:r>
      <w:r>
        <w:rPr/>
        <w:t>回购注销数量 此次注销</w:t>
      </w:r>
      <w:r>
        <w:rPr>
          <w:rFonts w:ascii="Times New Roman" w:hAnsi="Times New Roman" w:cs="Times New Roman" w:eastAsia="Times New Roman" w:hint="default"/>
        </w:rPr>
        <w:t>/</w:t>
      </w:r>
      <w:r>
        <w:rPr/>
        <w:t>回购注销的数量：原激励对象黄杰等</w:t>
      </w:r>
      <w:r>
        <w:rPr>
          <w:rFonts w:ascii="Times New Roman" w:hAnsi="Times New Roman" w:cs="Times New Roman" w:eastAsia="Times New Roman" w:hint="default"/>
        </w:rPr>
        <w:t>6</w:t>
      </w:r>
      <w:r>
        <w:rPr/>
        <w:t>人因离职等原因已不符合激励条件，对前述人员尚未行权的</w:t>
      </w:r>
      <w:r>
        <w:rPr>
          <w:rFonts w:ascii="Times New Roman" w:hAnsi="Times New Roman" w:cs="Times New Roman" w:eastAsia="Times New Roman" w:hint="default"/>
        </w:rPr>
        <w:t>24.4</w:t>
      </w:r>
      <w:r>
        <w:rPr/>
        <w:t>万份股</w:t>
      </w:r>
    </w:p>
    <w:p>
      <w:pPr>
        <w:pStyle w:val="BodyText"/>
        <w:spacing w:line="451" w:lineRule="auto" w:before="13"/>
        <w:ind w:right="1132"/>
        <w:jc w:val="both"/>
      </w:pPr>
      <w:r>
        <w:rPr>
          <w:spacing w:val="-1"/>
        </w:rPr>
        <w:t>票期权进行注销。其余激励对象因公司</w:t>
      </w:r>
      <w:r>
        <w:rPr>
          <w:rFonts w:ascii="Times New Roman" w:hAnsi="Times New Roman" w:cs="Times New Roman" w:eastAsia="Times New Roman" w:hint="default"/>
          <w:spacing w:val="-1"/>
        </w:rPr>
        <w:t>2017</w:t>
      </w:r>
      <w:r>
        <w:rPr>
          <w:spacing w:val="-1"/>
        </w:rPr>
        <w:t>年度业绩未达到第一期行权</w:t>
      </w:r>
      <w:r>
        <w:rPr>
          <w:rFonts w:ascii="Times New Roman" w:hAnsi="Times New Roman" w:cs="Times New Roman" w:eastAsia="Times New Roman" w:hint="default"/>
          <w:spacing w:val="-1"/>
        </w:rPr>
        <w:t>/</w:t>
      </w:r>
      <w:r>
        <w:rPr>
          <w:spacing w:val="-1"/>
        </w:rPr>
        <w:t>解锁条件，对其尚未行权</w:t>
      </w:r>
      <w:r>
        <w:rPr>
          <w:rFonts w:ascii="Times New Roman" w:hAnsi="Times New Roman" w:cs="Times New Roman" w:eastAsia="Times New Roman" w:hint="default"/>
          <w:spacing w:val="-1"/>
        </w:rPr>
        <w:t>/</w:t>
      </w:r>
      <w:r>
        <w:rPr>
          <w:spacing w:val="-1"/>
        </w:rPr>
        <w:t>解锁的</w:t>
      </w:r>
      <w:r>
        <w:rPr>
          <w:rFonts w:ascii="Times New Roman" w:hAnsi="Times New Roman" w:cs="Times New Roman" w:eastAsia="Times New Roman" w:hint="default"/>
          <w:spacing w:val="-1"/>
        </w:rPr>
        <w:t>281.825</w:t>
      </w:r>
      <w:r>
        <w:rPr>
          <w:spacing w:val="-1"/>
        </w:rPr>
        <w:t>万份股票期</w:t>
      </w:r>
      <w:r>
        <w:rPr>
          <w:spacing w:val="-79"/>
        </w:rPr>
        <w:t> </w:t>
      </w:r>
      <w:r>
        <w:rPr>
          <w:spacing w:val="-79"/>
        </w:rPr>
      </w:r>
      <w:r>
        <w:rPr>
          <w:spacing w:val="-2"/>
        </w:rPr>
        <w:t>权及</w:t>
      </w:r>
      <w:r>
        <w:rPr>
          <w:rFonts w:ascii="Times New Roman" w:hAnsi="Times New Roman" w:cs="Times New Roman" w:eastAsia="Times New Roman" w:hint="default"/>
          <w:spacing w:val="-2"/>
        </w:rPr>
        <w:t>106.75</w:t>
      </w:r>
      <w:r>
        <w:rPr>
          <w:spacing w:val="-2"/>
        </w:rPr>
        <w:t>万股限制性股票进行注销</w:t>
      </w:r>
      <w:r>
        <w:rPr>
          <w:rFonts w:ascii="Times New Roman" w:hAnsi="Times New Roman" w:cs="Times New Roman" w:eastAsia="Times New Roman" w:hint="default"/>
          <w:spacing w:val="-2"/>
        </w:rPr>
        <w:t>/</w:t>
      </w:r>
      <w:r>
        <w:rPr>
          <w:spacing w:val="-2"/>
        </w:rPr>
        <w:t>回购注销。共计注销</w:t>
      </w:r>
      <w:r>
        <w:rPr>
          <w:rFonts w:ascii="Times New Roman" w:hAnsi="Times New Roman" w:cs="Times New Roman" w:eastAsia="Times New Roman" w:hint="default"/>
          <w:spacing w:val="-2"/>
        </w:rPr>
        <w:t>306.225</w:t>
      </w:r>
      <w:r>
        <w:rPr>
          <w:spacing w:val="-2"/>
        </w:rPr>
        <w:t>万份股票期权及</w:t>
      </w:r>
      <w:r>
        <w:rPr>
          <w:rFonts w:ascii="Times New Roman" w:hAnsi="Times New Roman" w:cs="Times New Roman" w:eastAsia="Times New Roman" w:hint="default"/>
          <w:spacing w:val="-2"/>
        </w:rPr>
        <w:t>106.75</w:t>
      </w:r>
      <w:r>
        <w:rPr>
          <w:spacing w:val="-2"/>
        </w:rPr>
        <w:t>万股限制性股票。其中，本次回购的</w:t>
      </w:r>
      <w:r>
        <w:rPr>
          <w:spacing w:val="-53"/>
        </w:rPr>
        <w:t> </w:t>
      </w:r>
      <w:r>
        <w:rPr>
          <w:spacing w:val="-53"/>
        </w:rPr>
      </w:r>
      <w:r>
        <w:rPr/>
        <w:t>限制性股票占公司总股本</w:t>
      </w:r>
      <w:r>
        <w:rPr>
          <w:rFonts w:ascii="Times New Roman" w:hAnsi="Times New Roman" w:cs="Times New Roman" w:eastAsia="Times New Roman" w:hint="default"/>
        </w:rPr>
        <w:t>581,039,204</w:t>
      </w:r>
      <w:r>
        <w:rPr/>
        <w:t>股的</w:t>
      </w:r>
      <w:r>
        <w:rPr>
          <w:rFonts w:ascii="Times New Roman" w:hAnsi="Times New Roman" w:cs="Times New Roman" w:eastAsia="Times New Roman" w:hint="default"/>
        </w:rPr>
        <w:t>0.1837%</w:t>
      </w:r>
      <w:r>
        <w:rPr/>
        <w:t>。</w:t>
      </w:r>
    </w:p>
    <w:p>
      <w:pPr>
        <w:pStyle w:val="BodyText"/>
        <w:spacing w:line="489" w:lineRule="auto" w:before="83"/>
        <w:ind w:left="514" w:right="2107"/>
        <w:jc w:val="left"/>
      </w:pPr>
      <w:r>
        <w:rPr>
          <w:rFonts w:ascii="Times New Roman" w:hAnsi="Times New Roman" w:cs="Times New Roman" w:eastAsia="Times New Roman" w:hint="default"/>
        </w:rPr>
        <w:t>3</w:t>
      </w:r>
      <w:r>
        <w:rPr/>
        <w:t>、回购注销价格 此次回购限制性股票的价格：本次回购价格与向激励对象授予限制性股票的授予价格一致，为</w:t>
      </w:r>
      <w:r>
        <w:rPr>
          <w:rFonts w:ascii="Times New Roman" w:hAnsi="Times New Roman" w:cs="Times New Roman" w:eastAsia="Times New Roman" w:hint="default"/>
        </w:rPr>
        <w:t>4.43</w:t>
      </w:r>
      <w:r>
        <w:rPr/>
        <w:t>元</w:t>
      </w:r>
      <w:r>
        <w:rPr>
          <w:rFonts w:ascii="Times New Roman" w:hAnsi="Times New Roman" w:cs="Times New Roman" w:eastAsia="Times New Roman" w:hint="default"/>
        </w:rPr>
        <w:t>/</w:t>
      </w:r>
      <w:r>
        <w:rPr/>
        <w:t>股。 </w:t>
      </w:r>
      <w:r>
        <w:rPr>
          <w:rFonts w:ascii="Times New Roman" w:hAnsi="Times New Roman" w:cs="Times New Roman" w:eastAsia="Times New Roman" w:hint="default"/>
        </w:rPr>
        <w:t>4</w:t>
      </w:r>
      <w:r>
        <w:rPr/>
        <w:t>、本次注销</w:t>
      </w:r>
      <w:r>
        <w:rPr>
          <w:rFonts w:ascii="Times New Roman" w:hAnsi="Times New Roman" w:cs="Times New Roman" w:eastAsia="Times New Roman" w:hint="default"/>
        </w:rPr>
        <w:t>/</w:t>
      </w:r>
      <w:r>
        <w:rPr/>
        <w:t>回购注销对公司的影响</w:t>
      </w:r>
    </w:p>
    <w:p>
      <w:pPr>
        <w:pStyle w:val="BodyText"/>
        <w:spacing w:line="240" w:lineRule="auto" w:before="51"/>
        <w:ind w:left="514" w:right="0"/>
        <w:jc w:val="left"/>
      </w:pPr>
      <w:r>
        <w:rPr/>
        <w:t>（</w:t>
      </w:r>
      <w:r>
        <w:rPr>
          <w:rFonts w:ascii="Times New Roman" w:hAnsi="Times New Roman" w:cs="Times New Roman" w:eastAsia="Times New Roman" w:hint="default"/>
        </w:rPr>
        <w:t>1</w:t>
      </w:r>
      <w:r>
        <w:rPr/>
        <w:t>）本次回购注销部分限制性股票后，公司总股本由</w:t>
      </w:r>
      <w:r>
        <w:rPr>
          <w:rFonts w:ascii="Times New Roman" w:hAnsi="Times New Roman" w:cs="Times New Roman" w:eastAsia="Times New Roman" w:hint="default"/>
        </w:rPr>
        <w:t>581,039,204</w:t>
      </w:r>
      <w:r>
        <w:rPr/>
        <w:t>股调整为</w:t>
      </w:r>
      <w:r>
        <w:rPr>
          <w:rFonts w:ascii="Times New Roman" w:hAnsi="Times New Roman" w:cs="Times New Roman" w:eastAsia="Times New Roman" w:hint="default"/>
        </w:rPr>
        <w:t>579,971,704</w:t>
      </w:r>
      <w:r>
        <w:rPr/>
        <w:t>股；</w:t>
      </w:r>
    </w:p>
    <w:p>
      <w:pPr>
        <w:spacing w:line="240" w:lineRule="auto" w:before="10"/>
        <w:rPr>
          <w:rFonts w:ascii="宋体" w:hAnsi="宋体" w:cs="宋体" w:eastAsia="宋体" w:hint="default"/>
          <w:sz w:val="19"/>
          <w:szCs w:val="19"/>
        </w:rPr>
      </w:pPr>
    </w:p>
    <w:p>
      <w:pPr>
        <w:pStyle w:val="BodyText"/>
        <w:spacing w:line="240" w:lineRule="auto"/>
        <w:ind w:left="514" w:right="0"/>
        <w:jc w:val="left"/>
      </w:pPr>
      <w:r>
        <w:rPr/>
        <w:t>（</w:t>
      </w:r>
      <w:r>
        <w:rPr>
          <w:rFonts w:ascii="Times New Roman" w:hAnsi="Times New Roman" w:cs="Times New Roman" w:eastAsia="Times New Roman" w:hint="default"/>
        </w:rPr>
        <w:t>2</w:t>
      </w:r>
      <w:r>
        <w:rPr/>
        <w:t>）本次注销</w:t>
      </w:r>
      <w:r>
        <w:rPr>
          <w:rFonts w:ascii="Times New Roman" w:hAnsi="Times New Roman" w:cs="Times New Roman" w:eastAsia="Times New Roman" w:hint="default"/>
        </w:rPr>
        <w:t>/</w:t>
      </w:r>
      <w:r>
        <w:rPr/>
        <w:t>回购注销部分股票期权及限制性股票事项不会对公司的经营业绩产生重大影响，也不会影响公司管理团</w:t>
      </w:r>
    </w:p>
    <w:p>
      <w:pPr>
        <w:spacing w:after="0" w:line="240" w:lineRule="auto"/>
        <w:jc w:val="left"/>
        <w:sectPr>
          <w:pgSz w:w="11910" w:h="16840"/>
          <w:pgMar w:header="917" w:footer="1019" w:top="1120" w:bottom="1200" w:left="980" w:right="0"/>
        </w:sectPr>
      </w:pPr>
    </w:p>
    <w:p>
      <w:pPr>
        <w:spacing w:line="240" w:lineRule="auto" w:before="10"/>
        <w:rPr>
          <w:rFonts w:ascii="宋体" w:hAnsi="宋体" w:cs="宋体" w:eastAsia="宋体" w:hint="default"/>
          <w:sz w:val="26"/>
          <w:szCs w:val="26"/>
        </w:rPr>
      </w:pPr>
    </w:p>
    <w:p>
      <w:pPr>
        <w:pStyle w:val="BodyText"/>
        <w:spacing w:line="516" w:lineRule="auto" w:before="44"/>
        <w:ind w:left="514" w:right="1117" w:hanging="360"/>
        <w:jc w:val="left"/>
      </w:pPr>
      <w:r>
        <w:rPr/>
        <w:t>队的勤勉尽责。公司管理团队将继续认真履行工作职责，提升公司综合实力，全力以赴为全体股东创造最大价值。 </w:t>
      </w:r>
      <w:r>
        <w:rPr>
          <w:rFonts w:ascii="宋体" w:hAnsi="宋体" w:cs="宋体" w:eastAsia="宋体" w:hint="default"/>
        </w:rPr>
        <w:t>5</w:t>
      </w:r>
      <w:r>
        <w:rPr/>
        <w:t>、截止</w:t>
      </w:r>
      <w:r>
        <w:rPr>
          <w:rFonts w:ascii="宋体" w:hAnsi="宋体" w:cs="宋体" w:eastAsia="宋体" w:hint="default"/>
        </w:rPr>
        <w:t>2018</w:t>
      </w:r>
      <w:r>
        <w:rPr/>
        <w:t>年</w:t>
      </w:r>
      <w:r>
        <w:rPr>
          <w:rFonts w:ascii="宋体" w:hAnsi="宋体" w:cs="宋体" w:eastAsia="宋体" w:hint="default"/>
        </w:rPr>
        <w:t>7</w:t>
      </w:r>
      <w:r>
        <w:rPr/>
        <w:t>月</w:t>
      </w:r>
      <w:r>
        <w:rPr>
          <w:rFonts w:ascii="宋体" w:hAnsi="宋体" w:cs="宋体" w:eastAsia="宋体" w:hint="default"/>
        </w:rPr>
        <w:t>3</w:t>
      </w:r>
      <w:r>
        <w:rPr/>
        <w:t>日，公司已在中登证券登记结算有限责任公司深圳分公司办理完成了回购注销手续。 </w:t>
      </w:r>
      <w:r>
        <w:rPr>
          <w:spacing w:val="-5"/>
        </w:rPr>
        <w:t>具体内容详见《关于注销部分股票期权及回购注销部分限制性股票的公告》、《关于部分股票期权注销和部分限制性股票</w:t>
      </w:r>
    </w:p>
    <w:p>
      <w:pPr>
        <w:pStyle w:val="BodyText"/>
        <w:spacing w:line="240" w:lineRule="auto" w:before="26"/>
        <w:ind w:right="0"/>
        <w:jc w:val="left"/>
      </w:pPr>
      <w:r>
        <w:rPr>
          <w:spacing w:val="16"/>
        </w:rPr>
        <w:t>回购注销完</w:t>
      </w:r>
      <w:r>
        <w:rPr>
          <w:spacing w:val="15"/>
        </w:rPr>
        <w:t>成</w:t>
      </w:r>
      <w:r>
        <w:rPr>
          <w:spacing w:val="16"/>
        </w:rPr>
        <w:t>的公</w:t>
      </w:r>
      <w:r>
        <w:rPr/>
        <w:t>告</w:t>
      </w:r>
      <w:r>
        <w:rPr>
          <w:spacing w:val="-74"/>
        </w:rPr>
        <w:t> 》</w:t>
      </w:r>
      <w:r>
        <w:rPr/>
        <w:t>，</w:t>
      </w:r>
      <w:r>
        <w:rPr>
          <w:spacing w:val="-74"/>
        </w:rPr>
        <w:t> </w:t>
      </w:r>
      <w:r>
        <w:rPr>
          <w:spacing w:val="15"/>
        </w:rPr>
        <w:t>分</w:t>
      </w:r>
      <w:r>
        <w:rPr>
          <w:spacing w:val="16"/>
        </w:rPr>
        <w:t>别刊</w:t>
      </w:r>
      <w:r>
        <w:rPr>
          <w:spacing w:val="20"/>
        </w:rPr>
        <w:t>登</w:t>
      </w:r>
      <w:r>
        <w:rPr/>
        <w:t>于</w:t>
      </w:r>
      <w:r>
        <w:rPr>
          <w:spacing w:val="-74"/>
        </w:rPr>
        <w:t> </w:t>
      </w:r>
      <w:r>
        <w:rPr>
          <w:rFonts w:ascii="宋体" w:hAnsi="宋体" w:cs="宋体" w:eastAsia="宋体" w:hint="default"/>
        </w:rPr>
        <w:t>2018</w:t>
      </w:r>
      <w:r>
        <w:rPr>
          <w:rFonts w:ascii="宋体" w:hAnsi="宋体" w:cs="宋体" w:eastAsia="宋体" w:hint="default"/>
          <w:spacing w:val="-74"/>
        </w:rPr>
        <w:t> </w:t>
      </w:r>
      <w:r>
        <w:rPr/>
        <w:t>年</w:t>
      </w:r>
      <w:r>
        <w:rPr>
          <w:spacing w:val="-74"/>
        </w:rPr>
        <w:t> </w:t>
      </w:r>
      <w:r>
        <w:rPr>
          <w:rFonts w:ascii="宋体" w:hAnsi="宋体" w:cs="宋体" w:eastAsia="宋体" w:hint="default"/>
        </w:rPr>
        <w:t>4</w:t>
      </w:r>
      <w:r>
        <w:rPr>
          <w:rFonts w:ascii="宋体" w:hAnsi="宋体" w:cs="宋体" w:eastAsia="宋体" w:hint="default"/>
          <w:spacing w:val="-73"/>
        </w:rPr>
        <w:t> </w:t>
      </w:r>
      <w:r>
        <w:rPr/>
        <w:t>月</w:t>
      </w:r>
      <w:r>
        <w:rPr>
          <w:spacing w:val="-74"/>
        </w:rPr>
        <w:t> </w:t>
      </w:r>
      <w:r>
        <w:rPr>
          <w:rFonts w:ascii="宋体" w:hAnsi="宋体" w:cs="宋体" w:eastAsia="宋体" w:hint="default"/>
        </w:rPr>
        <w:t>25</w:t>
      </w:r>
      <w:r>
        <w:rPr>
          <w:rFonts w:ascii="宋体" w:hAnsi="宋体" w:cs="宋体" w:eastAsia="宋体" w:hint="default"/>
          <w:spacing w:val="-74"/>
        </w:rPr>
        <w:t> </w:t>
      </w:r>
      <w:r>
        <w:rPr>
          <w:spacing w:val="16"/>
        </w:rPr>
        <w:t>日</w:t>
      </w:r>
      <w:r>
        <w:rPr/>
        <w:t>、</w:t>
      </w:r>
      <w:r>
        <w:rPr>
          <w:spacing w:val="-74"/>
        </w:rPr>
        <w:t> </w:t>
      </w:r>
      <w:r>
        <w:rPr>
          <w:rFonts w:ascii="宋体" w:hAnsi="宋体" w:cs="宋体" w:eastAsia="宋体" w:hint="default"/>
          <w:spacing w:val="-2"/>
        </w:rPr>
        <w:t>2</w:t>
      </w:r>
      <w:r>
        <w:rPr>
          <w:rFonts w:ascii="宋体" w:hAnsi="宋体" w:cs="宋体" w:eastAsia="宋体" w:hint="default"/>
        </w:rPr>
        <w:t>018</w:t>
      </w:r>
      <w:r>
        <w:rPr>
          <w:rFonts w:ascii="宋体" w:hAnsi="宋体" w:cs="宋体" w:eastAsia="宋体" w:hint="default"/>
          <w:spacing w:val="-74"/>
        </w:rPr>
        <w:t> </w:t>
      </w:r>
      <w:r>
        <w:rPr/>
        <w:t>年</w:t>
      </w:r>
      <w:r>
        <w:rPr>
          <w:spacing w:val="-74"/>
        </w:rPr>
        <w:t> </w:t>
      </w:r>
      <w:r>
        <w:rPr>
          <w:rFonts w:ascii="宋体" w:hAnsi="宋体" w:cs="宋体" w:eastAsia="宋体" w:hint="default"/>
        </w:rPr>
        <w:t>7</w:t>
      </w:r>
      <w:r>
        <w:rPr>
          <w:rFonts w:ascii="宋体" w:hAnsi="宋体" w:cs="宋体" w:eastAsia="宋体" w:hint="default"/>
          <w:spacing w:val="-74"/>
        </w:rPr>
        <w:t> </w:t>
      </w:r>
      <w:r>
        <w:rPr/>
        <w:t>月</w:t>
      </w:r>
      <w:r>
        <w:rPr>
          <w:spacing w:val="-74"/>
        </w:rPr>
        <w:t> </w:t>
      </w:r>
      <w:r>
        <w:rPr>
          <w:rFonts w:ascii="宋体" w:hAnsi="宋体" w:cs="宋体" w:eastAsia="宋体" w:hint="default"/>
        </w:rPr>
        <w:t>4</w:t>
      </w:r>
      <w:r>
        <w:rPr>
          <w:rFonts w:ascii="宋体" w:hAnsi="宋体" w:cs="宋体" w:eastAsia="宋体" w:hint="default"/>
          <w:spacing w:val="-74"/>
        </w:rPr>
        <w:t> </w:t>
      </w:r>
      <w:r>
        <w:rPr>
          <w:spacing w:val="15"/>
        </w:rPr>
        <w:t>日</w:t>
      </w:r>
      <w:r>
        <w:rPr>
          <w:spacing w:val="16"/>
        </w:rPr>
        <w:t>的</w:t>
      </w:r>
      <w:r>
        <w:rPr/>
        <w:t>《</w:t>
      </w:r>
      <w:r>
        <w:rPr>
          <w:spacing w:val="-74"/>
        </w:rPr>
        <w:t> </w:t>
      </w:r>
      <w:r>
        <w:rPr>
          <w:spacing w:val="16"/>
        </w:rPr>
        <w:t>证券时</w:t>
      </w:r>
      <w:r>
        <w:rPr>
          <w:spacing w:val="15"/>
        </w:rPr>
        <w:t>报</w:t>
      </w:r>
      <w:r>
        <w:rPr>
          <w:spacing w:val="-74"/>
        </w:rPr>
        <w:t>》、</w:t>
      </w:r>
      <w:r>
        <w:rPr/>
        <w:t>《</w:t>
      </w:r>
      <w:r>
        <w:rPr>
          <w:spacing w:val="-74"/>
        </w:rPr>
        <w:t> </w:t>
      </w:r>
      <w:r>
        <w:rPr>
          <w:spacing w:val="16"/>
        </w:rPr>
        <w:t>中国证</w:t>
      </w:r>
      <w:r>
        <w:rPr>
          <w:spacing w:val="15"/>
        </w:rPr>
        <w:t>券</w:t>
      </w:r>
      <w:r>
        <w:rPr>
          <w:spacing w:val="16"/>
        </w:rPr>
        <w:t>报</w:t>
      </w:r>
      <w:r>
        <w:rPr/>
        <w:t>》</w:t>
      </w:r>
      <w:r>
        <w:rPr>
          <w:spacing w:val="-74"/>
        </w:rPr>
        <w:t> </w:t>
      </w:r>
      <w:r>
        <w:rPr>
          <w:spacing w:val="16"/>
        </w:rPr>
        <w:t>及巨潮资</w:t>
      </w:r>
      <w:r>
        <w:rPr>
          <w:spacing w:val="17"/>
        </w:rPr>
        <w:t>讯</w:t>
      </w:r>
      <w:r>
        <w:rPr/>
        <w:t>网</w:t>
      </w:r>
    </w:p>
    <w:p>
      <w:pPr>
        <w:spacing w:line="240" w:lineRule="auto" w:before="11"/>
        <w:rPr>
          <w:rFonts w:ascii="宋体" w:hAnsi="宋体" w:cs="宋体" w:eastAsia="宋体" w:hint="default"/>
          <w:sz w:val="17"/>
          <w:szCs w:val="17"/>
        </w:rPr>
      </w:pPr>
    </w:p>
    <w:p>
      <w:pPr>
        <w:pStyle w:val="BodyText"/>
        <w:spacing w:line="240" w:lineRule="auto"/>
        <w:ind w:right="0"/>
        <w:jc w:val="left"/>
      </w:pPr>
      <w:r>
        <w:rPr/>
        <w:t>（</w:t>
      </w:r>
      <w:hyperlink r:id="rId12">
        <w:r>
          <w:rPr>
            <w:rFonts w:ascii="宋体" w:hAnsi="宋体" w:cs="宋体" w:eastAsia="宋体" w:hint="default"/>
          </w:rPr>
          <w:t>htpp://www.cninfo.com.cn</w:t>
        </w:r>
      </w:hyperlink>
      <w:r>
        <w:rPr>
          <w:spacing w:val="-90"/>
        </w:rPr>
        <w:t>）。</w:t>
      </w:r>
      <w:r>
        <w:rPr/>
      </w:r>
    </w:p>
    <w:p>
      <w:pPr>
        <w:spacing w:line="240" w:lineRule="auto" w:before="10"/>
        <w:rPr>
          <w:rFonts w:ascii="宋体" w:hAnsi="宋体" w:cs="宋体" w:eastAsia="宋体" w:hint="default"/>
          <w:sz w:val="20"/>
          <w:szCs w:val="20"/>
        </w:rPr>
      </w:pPr>
    </w:p>
    <w:p>
      <w:pPr>
        <w:pStyle w:val="BodyText"/>
        <w:spacing w:line="516" w:lineRule="auto"/>
        <w:ind w:left="514" w:right="0"/>
        <w:jc w:val="left"/>
      </w:pPr>
      <w:r>
        <w:rPr/>
        <w:t>（三）注销部分股票期权及回购注销部分限制性股票的情况 </w:t>
      </w:r>
      <w:r>
        <w:rPr>
          <w:spacing w:val="-2"/>
        </w:rPr>
        <w:t>经公司第四届董事会第三十三次会议及第四届监事会第二十二次会议审议，并经</w:t>
      </w:r>
      <w:r>
        <w:rPr>
          <w:rFonts w:ascii="Times New Roman" w:hAnsi="Times New Roman" w:cs="Times New Roman" w:eastAsia="Times New Roman" w:hint="default"/>
          <w:spacing w:val="-2"/>
        </w:rPr>
        <w:t>2019</w:t>
      </w:r>
      <w:r>
        <w:rPr>
          <w:spacing w:val="-2"/>
        </w:rPr>
        <w:t>年第一次临时股东大会批准，同意</w:t>
      </w:r>
    </w:p>
    <w:p>
      <w:pPr>
        <w:pStyle w:val="BodyText"/>
        <w:spacing w:line="451" w:lineRule="auto"/>
        <w:ind w:right="0"/>
        <w:jc w:val="left"/>
      </w:pPr>
      <w:r>
        <w:rPr>
          <w:spacing w:val="-2"/>
        </w:rPr>
        <w:t>根据公司《</w:t>
      </w:r>
      <w:r>
        <w:rPr>
          <w:rFonts w:ascii="Times New Roman" w:hAnsi="Times New Roman" w:cs="Times New Roman" w:eastAsia="Times New Roman" w:hint="default"/>
          <w:spacing w:val="-2"/>
        </w:rPr>
        <w:t>2017</w:t>
      </w:r>
      <w:r>
        <w:rPr>
          <w:spacing w:val="-2"/>
        </w:rPr>
        <w:t>年股票期权与限制性股票激励计划（草案）》的相关规定，注销部分股票期权及回购注销部分限制性股票，</w:t>
      </w:r>
      <w:r>
        <w:rPr>
          <w:spacing w:val="-60"/>
        </w:rPr>
        <w:t> </w:t>
      </w:r>
      <w:r>
        <w:rPr>
          <w:spacing w:val="-60"/>
        </w:rPr>
      </w:r>
      <w:r>
        <w:rPr/>
        <w:t>并依法办理注销手续，具体情况如下：</w:t>
      </w:r>
    </w:p>
    <w:p>
      <w:pPr>
        <w:pStyle w:val="BodyText"/>
        <w:spacing w:line="489" w:lineRule="auto" w:before="115"/>
        <w:ind w:left="514" w:right="7872"/>
        <w:jc w:val="left"/>
      </w:pPr>
      <w:r>
        <w:rPr>
          <w:rFonts w:ascii="Times New Roman" w:hAnsi="Times New Roman" w:cs="Times New Roman" w:eastAsia="Times New Roman" w:hint="default"/>
        </w:rPr>
        <w:t>1</w:t>
      </w:r>
      <w:r>
        <w:rPr/>
        <w:t>、回购原因 激励对象不再符合公司激励条件</w:t>
      </w:r>
    </w:p>
    <w:p>
      <w:pPr>
        <w:pStyle w:val="BodyText"/>
        <w:spacing w:line="240" w:lineRule="auto" w:before="83"/>
        <w:ind w:left="514" w:right="0"/>
        <w:jc w:val="left"/>
      </w:pPr>
      <w:r>
        <w:rPr/>
        <w:t>原激励对象梅龙根、万健、舒传生、田朝龙、李伟等</w:t>
      </w:r>
      <w:r>
        <w:rPr>
          <w:rFonts w:ascii="宋体" w:hAnsi="宋体" w:cs="宋体" w:eastAsia="宋体" w:hint="default"/>
        </w:rPr>
        <w:t>47</w:t>
      </w:r>
      <w:r>
        <w:rPr/>
        <w:t>人因离职等原因已不符合激励条件，公司将按照《股权激励计划</w:t>
      </w:r>
    </w:p>
    <w:p>
      <w:pPr>
        <w:spacing w:line="240" w:lineRule="auto" w:before="11"/>
        <w:rPr>
          <w:rFonts w:ascii="宋体" w:hAnsi="宋体" w:cs="宋体" w:eastAsia="宋体" w:hint="default"/>
          <w:sz w:val="17"/>
          <w:szCs w:val="17"/>
        </w:rPr>
      </w:pPr>
    </w:p>
    <w:p>
      <w:pPr>
        <w:pStyle w:val="BodyText"/>
        <w:spacing w:line="439" w:lineRule="auto"/>
        <w:ind w:left="514" w:right="1032" w:hanging="360"/>
        <w:jc w:val="left"/>
      </w:pPr>
      <w:r>
        <w:rPr>
          <w:spacing w:val="-2"/>
        </w:rPr>
        <w:t>（草案）》对应条款规定，对上述人员尚未行权的股票期权及已获授但尚未解锁的限制性股票进行注销。</w:t>
      </w:r>
      <w:r>
        <w:rPr>
          <w:spacing w:val="-88"/>
        </w:rPr>
        <w:t> </w:t>
      </w:r>
      <w:r>
        <w:rPr>
          <w:spacing w:val="-88"/>
        </w:rPr>
      </w:r>
      <w:r>
        <w:rPr>
          <w:rFonts w:ascii="宋体" w:hAnsi="宋体" w:cs="宋体" w:eastAsia="宋体" w:hint="default"/>
        </w:rPr>
        <w:t>2</w:t>
      </w:r>
      <w:r>
        <w:rPr/>
        <w:t>、注销</w:t>
      </w:r>
      <w:r>
        <w:rPr>
          <w:rFonts w:ascii="宋体" w:hAnsi="宋体" w:cs="宋体" w:eastAsia="宋体" w:hint="default"/>
        </w:rPr>
        <w:t>/</w:t>
      </w:r>
      <w:r>
        <w:rPr/>
        <w:t>回购注销数量 </w:t>
      </w:r>
      <w:r>
        <w:rPr>
          <w:spacing w:val="-2"/>
        </w:rPr>
        <w:t>此次注销</w:t>
      </w:r>
      <w:r>
        <w:rPr>
          <w:rFonts w:ascii="宋体" w:hAnsi="宋体" w:cs="宋体" w:eastAsia="宋体" w:hint="default"/>
          <w:spacing w:val="-2"/>
        </w:rPr>
        <w:t>/</w:t>
      </w:r>
      <w:r>
        <w:rPr>
          <w:spacing w:val="-2"/>
        </w:rPr>
        <w:t>回购注销的数量：原激励对象梅龙根、万健、舒传生、田朝龙、李伟等</w:t>
      </w:r>
      <w:r>
        <w:rPr>
          <w:rFonts w:ascii="宋体" w:hAnsi="宋体" w:cs="宋体" w:eastAsia="宋体" w:hint="default"/>
          <w:spacing w:val="-2"/>
        </w:rPr>
        <w:t>47</w:t>
      </w:r>
      <w:r>
        <w:rPr>
          <w:spacing w:val="-2"/>
        </w:rPr>
        <w:t>人因离职等原因已不符合激励条件，</w:t>
      </w:r>
    </w:p>
    <w:p>
      <w:pPr>
        <w:pStyle w:val="BodyText"/>
        <w:spacing w:line="477" w:lineRule="auto" w:before="82"/>
        <w:ind w:right="1122"/>
        <w:jc w:val="left"/>
      </w:pPr>
      <w:r>
        <w:rPr/>
        <w:t>对前述人员尚未行权的</w:t>
      </w:r>
      <w:r>
        <w:rPr>
          <w:rFonts w:ascii="宋体" w:hAnsi="宋体" w:cs="宋体" w:eastAsia="宋体" w:hint="default"/>
        </w:rPr>
        <w:t>199.5</w:t>
      </w:r>
      <w:r>
        <w:rPr/>
        <w:t>万份股票期权进行注销；对前述人员尚未解锁的</w:t>
      </w:r>
      <w:r>
        <w:rPr>
          <w:rFonts w:ascii="宋体" w:hAnsi="宋体" w:cs="宋体" w:eastAsia="宋体" w:hint="default"/>
        </w:rPr>
        <w:t>76.5</w:t>
      </w:r>
      <w:r>
        <w:rPr/>
        <w:t>万股限制性股票进行回购注销，占公司此</w:t>
      </w:r>
      <w:r>
        <w:rPr>
          <w:spacing w:val="-83"/>
        </w:rPr>
        <w:t> </w:t>
      </w:r>
      <w:r>
        <w:rPr>
          <w:spacing w:val="-83"/>
        </w:rPr>
      </w:r>
      <w:r>
        <w:rPr/>
        <w:t>次回购注销前总股本的</w:t>
      </w:r>
      <w:r>
        <w:rPr>
          <w:rFonts w:ascii="宋体" w:hAnsi="宋体" w:cs="宋体" w:eastAsia="宋体" w:hint="default"/>
        </w:rPr>
        <w:t>0.13%</w:t>
      </w:r>
      <w:r>
        <w:rPr/>
        <w:t>。</w:t>
      </w:r>
    </w:p>
    <w:p>
      <w:pPr>
        <w:pStyle w:val="BodyText"/>
        <w:spacing w:line="516" w:lineRule="auto" w:before="94"/>
        <w:ind w:left="514" w:right="0"/>
        <w:jc w:val="left"/>
      </w:pPr>
      <w:r>
        <w:rPr>
          <w:rFonts w:ascii="宋体" w:hAnsi="宋体" w:cs="宋体" w:eastAsia="宋体" w:hint="default"/>
        </w:rPr>
        <w:t>3</w:t>
      </w:r>
      <w:r>
        <w:rPr/>
        <w:t>、回购注销价格 </w:t>
      </w:r>
      <w:r>
        <w:rPr>
          <w:spacing w:val="-2"/>
        </w:rPr>
        <w:t>此次回购限制性股票的价格：由于公司实施了</w:t>
      </w:r>
      <w:r>
        <w:rPr>
          <w:rFonts w:ascii="宋体" w:hAnsi="宋体" w:cs="宋体" w:eastAsia="宋体" w:hint="default"/>
          <w:spacing w:val="-2"/>
        </w:rPr>
        <w:t>2017</w:t>
      </w:r>
      <w:r>
        <w:rPr>
          <w:spacing w:val="-2"/>
        </w:rPr>
        <w:t>年年度权益分派方案，对限制性股票回购价格进行了相应调整，本次</w:t>
      </w:r>
    </w:p>
    <w:p>
      <w:pPr>
        <w:pStyle w:val="BodyText"/>
        <w:spacing w:line="240" w:lineRule="auto" w:before="26"/>
        <w:ind w:right="0"/>
        <w:jc w:val="left"/>
      </w:pPr>
      <w:r>
        <w:rPr/>
        <w:t>回购价格为调整后的价格</w:t>
      </w:r>
      <w:r>
        <w:rPr>
          <w:rFonts w:ascii="宋体" w:hAnsi="宋体" w:cs="宋体" w:eastAsia="宋体" w:hint="default"/>
        </w:rPr>
        <w:t>4.37</w:t>
      </w:r>
      <w:r>
        <w:rPr/>
        <w:t>元</w:t>
      </w:r>
      <w:r>
        <w:rPr>
          <w:rFonts w:ascii="宋体" w:hAnsi="宋体" w:cs="宋体" w:eastAsia="宋体" w:hint="default"/>
        </w:rPr>
        <w:t>/</w:t>
      </w:r>
      <w:r>
        <w:rPr/>
        <w:t>股。</w:t>
      </w:r>
    </w:p>
    <w:p>
      <w:pPr>
        <w:spacing w:line="240" w:lineRule="auto" w:before="10"/>
        <w:rPr>
          <w:rFonts w:ascii="宋体" w:hAnsi="宋体" w:cs="宋体" w:eastAsia="宋体" w:hint="default"/>
          <w:sz w:val="20"/>
          <w:szCs w:val="20"/>
        </w:rPr>
      </w:pPr>
    </w:p>
    <w:p>
      <w:pPr>
        <w:pStyle w:val="BodyText"/>
        <w:spacing w:line="240" w:lineRule="auto"/>
        <w:ind w:left="514" w:right="0"/>
        <w:jc w:val="left"/>
      </w:pPr>
      <w:r>
        <w:rPr>
          <w:rFonts w:ascii="Times New Roman" w:hAnsi="Times New Roman" w:cs="Times New Roman" w:eastAsia="Times New Roman" w:hint="default"/>
        </w:rPr>
        <w:t>4</w:t>
      </w:r>
      <w:r>
        <w:rPr/>
        <w:t>、本次注销</w:t>
      </w:r>
      <w:r>
        <w:rPr>
          <w:rFonts w:ascii="Times New Roman" w:hAnsi="Times New Roman" w:cs="Times New Roman" w:eastAsia="Times New Roman" w:hint="default"/>
        </w:rPr>
        <w:t>/</w:t>
      </w:r>
      <w:r>
        <w:rPr/>
        <w:t>回购注销对公司的影响</w:t>
      </w:r>
    </w:p>
    <w:p>
      <w:pPr>
        <w:spacing w:line="240" w:lineRule="auto" w:before="10"/>
        <w:rPr>
          <w:rFonts w:ascii="宋体" w:hAnsi="宋体" w:cs="宋体" w:eastAsia="宋体" w:hint="default"/>
          <w:sz w:val="19"/>
          <w:szCs w:val="19"/>
        </w:rPr>
      </w:pPr>
    </w:p>
    <w:p>
      <w:pPr>
        <w:pStyle w:val="BodyText"/>
        <w:spacing w:line="240" w:lineRule="auto"/>
        <w:ind w:left="514" w:right="0"/>
        <w:jc w:val="left"/>
      </w:pPr>
      <w:r>
        <w:rPr/>
        <w:t>（</w:t>
      </w:r>
      <w:r>
        <w:rPr>
          <w:rFonts w:ascii="Times New Roman" w:hAnsi="Times New Roman" w:cs="Times New Roman" w:eastAsia="Times New Roman" w:hint="default"/>
        </w:rPr>
        <w:t>1</w:t>
      </w:r>
      <w:r>
        <w:rPr/>
        <w:t>）本次回购注销部分限制性股票后，公司总股本由</w:t>
      </w:r>
      <w:r>
        <w:rPr>
          <w:rFonts w:ascii="Times New Roman" w:hAnsi="Times New Roman" w:cs="Times New Roman" w:eastAsia="Times New Roman" w:hint="default"/>
        </w:rPr>
        <w:t>579,971,704</w:t>
      </w:r>
      <w:r>
        <w:rPr/>
        <w:t>股调整为</w:t>
      </w:r>
      <w:r>
        <w:rPr>
          <w:rFonts w:ascii="Times New Roman" w:hAnsi="Times New Roman" w:cs="Times New Roman" w:eastAsia="Times New Roman" w:hint="default"/>
        </w:rPr>
        <w:t>579,206,704</w:t>
      </w:r>
      <w:r>
        <w:rPr/>
        <w:t>股；</w:t>
      </w:r>
    </w:p>
    <w:p>
      <w:pPr>
        <w:spacing w:line="240" w:lineRule="auto" w:before="10"/>
        <w:rPr>
          <w:rFonts w:ascii="宋体" w:hAnsi="宋体" w:cs="宋体" w:eastAsia="宋体" w:hint="default"/>
          <w:sz w:val="19"/>
          <w:szCs w:val="19"/>
        </w:rPr>
      </w:pPr>
    </w:p>
    <w:p>
      <w:pPr>
        <w:pStyle w:val="BodyText"/>
        <w:spacing w:line="451" w:lineRule="auto"/>
        <w:ind w:right="1125" w:firstLine="360"/>
        <w:jc w:val="left"/>
      </w:pPr>
      <w:r>
        <w:rPr>
          <w:spacing w:val="-1"/>
        </w:rPr>
        <w:t>（</w:t>
      </w:r>
      <w:r>
        <w:rPr>
          <w:rFonts w:ascii="Times New Roman" w:hAnsi="Times New Roman" w:cs="Times New Roman" w:eastAsia="Times New Roman" w:hint="default"/>
          <w:spacing w:val="-1"/>
        </w:rPr>
        <w:t>2</w:t>
      </w:r>
      <w:r>
        <w:rPr>
          <w:spacing w:val="-1"/>
        </w:rPr>
        <w:t>）本次注销</w:t>
      </w:r>
      <w:r>
        <w:rPr>
          <w:rFonts w:ascii="Times New Roman" w:hAnsi="Times New Roman" w:cs="Times New Roman" w:eastAsia="Times New Roman" w:hint="default"/>
          <w:spacing w:val="-1"/>
        </w:rPr>
        <w:t>/</w:t>
      </w:r>
      <w:r>
        <w:rPr>
          <w:spacing w:val="-1"/>
        </w:rPr>
        <w:t>回购注销部分股票期权及限制性股票事项不会对公司的经营业绩产生重大影响，也不会影响公司管理团</w:t>
      </w:r>
      <w:r>
        <w:rPr/>
        <w:t> 队的勤勉尽责。公司管理团队将继续认真履行工作职责，提升公司综合实力，全力以赴为全体股东创造最大价值。</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2"/>
        <w:spacing w:line="240" w:lineRule="auto" w:before="128"/>
        <w:ind w:right="0"/>
        <w:jc w:val="left"/>
        <w:rPr>
          <w:b w:val="0"/>
          <w:bCs w:val="0"/>
        </w:rPr>
      </w:pPr>
      <w:bookmarkStart w:name="十六、重大关联交易" w:id="82"/>
      <w:bookmarkEnd w:id="82"/>
      <w:r>
        <w:rPr>
          <w:b w:val="0"/>
          <w:bCs w:val="0"/>
        </w:rPr>
      </w:r>
      <w:r>
        <w:rPr/>
        <w:t>十六、重大关联交易</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与日常经营相关的关联交易" w:id="83"/>
      <w:bookmarkEnd w:id="83"/>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917" w:footer="1019" w:top="1120" w:bottom="1200" w:left="980" w:right="0"/>
        </w:sectPr>
      </w:pPr>
    </w:p>
    <w:p>
      <w:pPr>
        <w:pStyle w:val="BodyText"/>
        <w:spacing w:line="240" w:lineRule="auto" w:before="15"/>
        <w:ind w:left="0" w:right="336"/>
        <w:jc w:val="right"/>
      </w:pPr>
      <w:r>
        <w:rPr/>
        <w:pict>
          <v:shape style="position:absolute;margin-left:589.234558pt;margin-top:570.43042pt;width:42.067787pt;height:18.946561pt;mso-position-horizontal-relative:page;mso-position-vertical-relative:page;z-index:1408" type="#_x0000_t75" stroked="false">
            <v:imagedata r:id="rId26" o:title=""/>
          </v:shape>
        </w:pict>
      </w:r>
      <w:r>
        <w:rPr/>
        <w:t>深圳市卓翼科技股份有限公司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p>
      <w:pPr>
        <w:spacing w:line="20" w:lineRule="exact"/>
        <w:ind w:left="38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3"/>
          <w:szCs w:val="3"/>
        </w:rPr>
      </w:pPr>
    </w:p>
    <w:tbl>
      <w:tblPr>
        <w:tblW w:w="0" w:type="auto"/>
        <w:jc w:val="left"/>
        <w:tblInd w:w="415" w:type="dxa"/>
        <w:tblLayout w:type="fixed"/>
        <w:tblCellMar>
          <w:top w:w="0" w:type="dxa"/>
          <w:left w:w="0" w:type="dxa"/>
          <w:bottom w:w="0" w:type="dxa"/>
          <w:right w:w="0" w:type="dxa"/>
        </w:tblCellMar>
        <w:tblLook w:val="01E0"/>
      </w:tblPr>
      <w:tblGrid>
        <w:gridCol w:w="1120"/>
        <w:gridCol w:w="3194"/>
        <w:gridCol w:w="786"/>
        <w:gridCol w:w="953"/>
        <w:gridCol w:w="786"/>
        <w:gridCol w:w="786"/>
        <w:gridCol w:w="893"/>
        <w:gridCol w:w="896"/>
        <w:gridCol w:w="948"/>
        <w:gridCol w:w="786"/>
        <w:gridCol w:w="786"/>
        <w:gridCol w:w="1115"/>
        <w:gridCol w:w="564"/>
        <w:gridCol w:w="563"/>
      </w:tblGrid>
      <w:tr>
        <w:trPr>
          <w:trHeight w:val="1338" w:hRule="exact"/>
        </w:trPr>
        <w:tc>
          <w:tcPr>
            <w:tcW w:w="1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4" w:right="0"/>
              <w:jc w:val="left"/>
              <w:rPr>
                <w:rFonts w:ascii="宋体" w:hAnsi="宋体" w:cs="宋体" w:eastAsia="宋体" w:hint="default"/>
                <w:sz w:val="18"/>
                <w:szCs w:val="18"/>
              </w:rPr>
            </w:pPr>
            <w:r>
              <w:rPr>
                <w:rFonts w:ascii="宋体" w:hAnsi="宋体" w:cs="宋体" w:eastAsia="宋体" w:hint="default"/>
                <w:sz w:val="18"/>
                <w:szCs w:val="18"/>
              </w:rPr>
              <w:t>关联交易方</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关联关系</w:t>
            </w: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17" w:right="116"/>
              <w:jc w:val="left"/>
              <w:rPr>
                <w:rFonts w:ascii="宋体" w:hAnsi="宋体" w:cs="宋体" w:eastAsia="宋体" w:hint="default"/>
                <w:sz w:val="18"/>
                <w:szCs w:val="18"/>
              </w:rPr>
            </w:pPr>
            <w:r>
              <w:rPr>
                <w:rFonts w:ascii="宋体" w:hAnsi="宋体" w:cs="宋体" w:eastAsia="宋体" w:hint="default"/>
                <w:sz w:val="18"/>
                <w:szCs w:val="18"/>
              </w:rPr>
              <w:t>关联交 易类型</w:t>
            </w:r>
          </w:p>
        </w:tc>
        <w:tc>
          <w:tcPr>
            <w:tcW w:w="9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91" w:right="109"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7" w:right="116"/>
              <w:jc w:val="both"/>
              <w:rPr>
                <w:rFonts w:ascii="宋体" w:hAnsi="宋体" w:cs="宋体" w:eastAsia="宋体" w:hint="default"/>
                <w:sz w:val="18"/>
                <w:szCs w:val="18"/>
              </w:rPr>
            </w:pPr>
            <w:r>
              <w:rPr>
                <w:rFonts w:ascii="宋体" w:hAnsi="宋体" w:cs="宋体" w:eastAsia="宋体" w:hint="default"/>
                <w:sz w:val="18"/>
                <w:szCs w:val="18"/>
              </w:rPr>
              <w:t>关联交 易定价 原则</w:t>
            </w: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17" w:right="117"/>
              <w:jc w:val="left"/>
              <w:rPr>
                <w:rFonts w:ascii="宋体" w:hAnsi="宋体" w:cs="宋体" w:eastAsia="宋体" w:hint="default"/>
                <w:sz w:val="18"/>
                <w:szCs w:val="18"/>
              </w:rPr>
            </w:pPr>
            <w:r>
              <w:rPr>
                <w:rFonts w:ascii="宋体" w:hAnsi="宋体" w:cs="宋体" w:eastAsia="宋体" w:hint="default"/>
                <w:sz w:val="18"/>
                <w:szCs w:val="18"/>
              </w:rPr>
              <w:t>关联交 易价格</w:t>
            </w:r>
          </w:p>
        </w:tc>
        <w:tc>
          <w:tcPr>
            <w:tcW w:w="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4"/>
                <w:szCs w:val="14"/>
              </w:rPr>
            </w:pPr>
          </w:p>
          <w:p>
            <w:pPr>
              <w:pStyle w:val="TableParagraph"/>
              <w:spacing w:line="319" w:lineRule="auto"/>
              <w:ind w:left="170" w:right="170"/>
              <w:jc w:val="left"/>
              <w:rPr>
                <w:rFonts w:ascii="宋体" w:hAnsi="宋体" w:cs="宋体" w:eastAsia="宋体" w:hint="default"/>
                <w:sz w:val="18"/>
                <w:szCs w:val="18"/>
              </w:rPr>
            </w:pPr>
            <w:r>
              <w:rPr>
                <w:rFonts w:ascii="宋体" w:hAnsi="宋体" w:cs="宋体" w:eastAsia="宋体" w:hint="default"/>
                <w:sz w:val="18"/>
                <w:szCs w:val="18"/>
              </w:rPr>
              <w:t>关联交 易金额</w:t>
            </w:r>
          </w:p>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74" w:right="170"/>
              <w:jc w:val="center"/>
              <w:rPr>
                <w:rFonts w:ascii="宋体" w:hAnsi="宋体" w:cs="宋体" w:eastAsia="宋体" w:hint="default"/>
                <w:sz w:val="18"/>
                <w:szCs w:val="18"/>
              </w:rPr>
            </w:pPr>
            <w:r>
              <w:rPr>
                <w:rFonts w:ascii="宋体" w:hAnsi="宋体" w:cs="宋体" w:eastAsia="宋体" w:hint="default"/>
                <w:sz w:val="18"/>
                <w:szCs w:val="18"/>
              </w:rPr>
              <w:t>占同类 交易金 额的比 例</w:t>
            </w:r>
          </w:p>
        </w:tc>
        <w:tc>
          <w:tcPr>
            <w:tcW w:w="9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4"/>
                <w:szCs w:val="14"/>
              </w:rPr>
            </w:pPr>
          </w:p>
          <w:p>
            <w:pPr>
              <w:pStyle w:val="TableParagraph"/>
              <w:spacing w:line="319" w:lineRule="auto"/>
              <w:ind w:left="199" w:right="107" w:hanging="90"/>
              <w:jc w:val="left"/>
              <w:rPr>
                <w:rFonts w:ascii="宋体" w:hAnsi="宋体" w:cs="宋体" w:eastAsia="宋体" w:hint="default"/>
                <w:sz w:val="18"/>
                <w:szCs w:val="18"/>
              </w:rPr>
            </w:pPr>
            <w:r>
              <w:rPr>
                <w:rFonts w:ascii="宋体" w:hAnsi="宋体" w:cs="宋体" w:eastAsia="宋体" w:hint="default"/>
                <w:sz w:val="18"/>
                <w:szCs w:val="18"/>
              </w:rPr>
              <w:t>获批的交 易额度</w:t>
            </w:r>
          </w:p>
          <w:p>
            <w:pPr>
              <w:pStyle w:val="TableParagraph"/>
              <w:spacing w:line="240" w:lineRule="auto" w:before="56"/>
              <w:ind w:left="109"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7" w:right="116"/>
              <w:jc w:val="both"/>
              <w:rPr>
                <w:rFonts w:ascii="宋体" w:hAnsi="宋体" w:cs="宋体" w:eastAsia="宋体" w:hint="default"/>
                <w:sz w:val="18"/>
                <w:szCs w:val="18"/>
              </w:rPr>
            </w:pPr>
            <w:r>
              <w:rPr>
                <w:rFonts w:ascii="宋体" w:hAnsi="宋体" w:cs="宋体" w:eastAsia="宋体" w:hint="default"/>
                <w:sz w:val="18"/>
                <w:szCs w:val="18"/>
              </w:rPr>
              <w:t>是否超 过获批 额度</w:t>
            </w: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7" w:right="116"/>
              <w:jc w:val="both"/>
              <w:rPr>
                <w:rFonts w:ascii="宋体" w:hAnsi="宋体" w:cs="宋体" w:eastAsia="宋体" w:hint="default"/>
                <w:sz w:val="18"/>
                <w:szCs w:val="18"/>
              </w:rPr>
            </w:pPr>
            <w:r>
              <w:rPr>
                <w:rFonts w:ascii="宋体" w:hAnsi="宋体" w:cs="宋体" w:eastAsia="宋体" w:hint="default"/>
                <w:sz w:val="18"/>
                <w:szCs w:val="18"/>
              </w:rPr>
              <w:t>关联交 易结算 方式</w:t>
            </w:r>
          </w:p>
        </w:tc>
        <w:tc>
          <w:tcPr>
            <w:tcW w:w="11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92" w:right="191"/>
              <w:jc w:val="center"/>
              <w:rPr>
                <w:rFonts w:ascii="宋体" w:hAnsi="宋体" w:cs="宋体" w:eastAsia="宋体" w:hint="default"/>
                <w:sz w:val="18"/>
                <w:szCs w:val="18"/>
              </w:rPr>
            </w:pPr>
            <w:r>
              <w:rPr>
                <w:rFonts w:ascii="宋体" w:hAnsi="宋体" w:cs="宋体" w:eastAsia="宋体" w:hint="default"/>
                <w:sz w:val="18"/>
                <w:szCs w:val="18"/>
              </w:rPr>
              <w:t>可获得的 同类交易 市价</w:t>
            </w:r>
          </w:p>
        </w:tc>
        <w:tc>
          <w:tcPr>
            <w:tcW w:w="5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6" w:right="186"/>
              <w:jc w:val="both"/>
              <w:rPr>
                <w:rFonts w:ascii="宋体" w:hAnsi="宋体" w:cs="宋体" w:eastAsia="宋体" w:hint="default"/>
                <w:sz w:val="18"/>
                <w:szCs w:val="18"/>
              </w:rPr>
            </w:pPr>
            <w:r>
              <w:rPr>
                <w:rFonts w:ascii="宋体" w:hAnsi="宋体" w:cs="宋体" w:eastAsia="宋体" w:hint="default"/>
                <w:sz w:val="18"/>
                <w:szCs w:val="18"/>
              </w:rPr>
              <w:t>披 露 日 期</w:t>
            </w:r>
          </w:p>
        </w:tc>
        <w:tc>
          <w:tcPr>
            <w:tcW w:w="5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4" w:right="186"/>
              <w:jc w:val="both"/>
              <w:rPr>
                <w:rFonts w:ascii="宋体" w:hAnsi="宋体" w:cs="宋体" w:eastAsia="宋体" w:hint="default"/>
                <w:sz w:val="18"/>
                <w:szCs w:val="18"/>
              </w:rPr>
            </w:pPr>
            <w:r>
              <w:rPr>
                <w:rFonts w:ascii="宋体" w:hAnsi="宋体" w:cs="宋体" w:eastAsia="宋体" w:hint="default"/>
                <w:sz w:val="18"/>
                <w:szCs w:val="18"/>
              </w:rPr>
              <w:t>披 露 索 引</w:t>
            </w:r>
          </w:p>
        </w:tc>
      </w:tr>
      <w:tr>
        <w:trPr>
          <w:trHeight w:val="1026" w:hRule="exact"/>
        </w:trPr>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4"/>
              <w:jc w:val="both"/>
              <w:rPr>
                <w:rFonts w:ascii="宋体" w:hAnsi="宋体" w:cs="宋体" w:eastAsia="宋体" w:hint="default"/>
                <w:sz w:val="18"/>
                <w:szCs w:val="18"/>
              </w:rPr>
            </w:pPr>
            <w:r>
              <w:rPr>
                <w:rFonts w:ascii="宋体" w:hAnsi="宋体" w:cs="宋体" w:eastAsia="宋体" w:hint="default"/>
                <w:sz w:val="18"/>
                <w:szCs w:val="18"/>
              </w:rPr>
              <w:t>北京朝歌数 码科技股份 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持有该公司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4.6188%</w:t>
            </w:r>
            <w:r>
              <w:rPr>
                <w:rFonts w:ascii="宋体" w:hAnsi="宋体" w:cs="宋体" w:eastAsia="宋体" w:hint="default"/>
                <w:sz w:val="18"/>
                <w:szCs w:val="18"/>
              </w:rPr>
              <w:t>股权</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31"/>
              <w:jc w:val="both"/>
              <w:rPr>
                <w:rFonts w:ascii="宋体" w:hAnsi="宋体" w:cs="宋体" w:eastAsia="宋体" w:hint="default"/>
                <w:sz w:val="18"/>
                <w:szCs w:val="18"/>
              </w:rPr>
            </w:pPr>
            <w:r>
              <w:rPr>
                <w:rFonts w:ascii="宋体" w:hAnsi="宋体" w:cs="宋体" w:eastAsia="宋体" w:hint="default"/>
                <w:sz w:val="18"/>
                <w:szCs w:val="18"/>
              </w:rPr>
              <w:t>销售商 品提供 劳务</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19"/>
              <w:jc w:val="left"/>
              <w:rPr>
                <w:rFonts w:ascii="宋体" w:hAnsi="宋体" w:cs="宋体" w:eastAsia="宋体" w:hint="default"/>
                <w:sz w:val="18"/>
                <w:szCs w:val="18"/>
              </w:rPr>
            </w:pPr>
            <w:r>
              <w:rPr>
                <w:rFonts w:ascii="宋体" w:hAnsi="宋体" w:cs="宋体" w:eastAsia="宋体" w:hint="default"/>
                <w:sz w:val="18"/>
                <w:szCs w:val="18"/>
              </w:rPr>
              <w:t>智能硬件 产品</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市场定 价</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31"/>
              <w:jc w:val="both"/>
              <w:rPr>
                <w:rFonts w:ascii="宋体" w:hAnsi="宋体" w:cs="宋体" w:eastAsia="宋体" w:hint="default"/>
                <w:sz w:val="18"/>
                <w:szCs w:val="18"/>
              </w:rPr>
            </w:pPr>
            <w:r>
              <w:rPr>
                <w:rFonts w:ascii="宋体" w:hAnsi="宋体" w:cs="宋体" w:eastAsia="宋体" w:hint="default"/>
                <w:sz w:val="18"/>
                <w:szCs w:val="18"/>
              </w:rPr>
              <w:t>依据市 场公允 价格</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0.09</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20" w:right="0"/>
              <w:jc w:val="left"/>
              <w:rPr>
                <w:rFonts w:ascii="Times New Roman" w:hAnsi="Times New Roman" w:cs="Times New Roman" w:eastAsia="Times New Roman" w:hint="default"/>
                <w:sz w:val="18"/>
                <w:szCs w:val="18"/>
              </w:rPr>
            </w:pPr>
            <w:r>
              <w:rPr>
                <w:rFonts w:ascii="Times New Roman"/>
                <w:sz w:val="18"/>
              </w:rPr>
              <w:t>0.00%</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0.09</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现金结 算</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0.09</w:t>
            </w:r>
          </w:p>
        </w:tc>
        <w:tc>
          <w:tcPr>
            <w:tcW w:w="564"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69"/>
              <w:jc w:val="both"/>
              <w:rPr>
                <w:rFonts w:ascii="宋体" w:hAnsi="宋体" w:cs="宋体" w:eastAsia="宋体" w:hint="default"/>
                <w:sz w:val="18"/>
                <w:szCs w:val="18"/>
              </w:rPr>
            </w:pPr>
            <w:r>
              <w:rPr>
                <w:rFonts w:ascii="宋体" w:hAnsi="宋体" w:cs="宋体" w:eastAsia="宋体" w:hint="default"/>
                <w:sz w:val="18"/>
                <w:szCs w:val="18"/>
              </w:rPr>
              <w:t>不 适 用</w:t>
            </w:r>
          </w:p>
        </w:tc>
      </w:tr>
      <w:tr>
        <w:trPr>
          <w:trHeight w:val="1026" w:hRule="exact"/>
        </w:trPr>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4"/>
              <w:jc w:val="both"/>
              <w:rPr>
                <w:rFonts w:ascii="宋体" w:hAnsi="宋体" w:cs="宋体" w:eastAsia="宋体" w:hint="default"/>
                <w:sz w:val="18"/>
                <w:szCs w:val="18"/>
              </w:rPr>
            </w:pPr>
            <w:r>
              <w:rPr>
                <w:rFonts w:ascii="宋体" w:hAnsi="宋体" w:cs="宋体" w:eastAsia="宋体" w:hint="default"/>
                <w:sz w:val="18"/>
                <w:szCs w:val="18"/>
              </w:rPr>
              <w:t>深圳市格兰 莫尔科技有 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持有该公司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4.80%</w:t>
            </w:r>
            <w:r>
              <w:rPr>
                <w:rFonts w:ascii="宋体" w:hAnsi="宋体" w:cs="宋体" w:eastAsia="宋体" w:hint="default"/>
                <w:sz w:val="18"/>
                <w:szCs w:val="18"/>
              </w:rPr>
              <w:t>股权</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31"/>
              <w:jc w:val="both"/>
              <w:rPr>
                <w:rFonts w:ascii="宋体" w:hAnsi="宋体" w:cs="宋体" w:eastAsia="宋体" w:hint="default"/>
                <w:sz w:val="18"/>
                <w:szCs w:val="18"/>
              </w:rPr>
            </w:pPr>
            <w:r>
              <w:rPr>
                <w:rFonts w:ascii="宋体" w:hAnsi="宋体" w:cs="宋体" w:eastAsia="宋体" w:hint="default"/>
                <w:sz w:val="18"/>
                <w:szCs w:val="18"/>
              </w:rPr>
              <w:t>销售商 品提供 劳务</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19"/>
              <w:jc w:val="left"/>
              <w:rPr>
                <w:rFonts w:ascii="宋体" w:hAnsi="宋体" w:cs="宋体" w:eastAsia="宋体" w:hint="default"/>
                <w:sz w:val="18"/>
                <w:szCs w:val="18"/>
              </w:rPr>
            </w:pPr>
            <w:r>
              <w:rPr>
                <w:rFonts w:ascii="宋体" w:hAnsi="宋体" w:cs="宋体" w:eastAsia="宋体" w:hint="default"/>
                <w:sz w:val="18"/>
                <w:szCs w:val="18"/>
              </w:rPr>
              <w:t>智能硬件 产品</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市场定 价</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31"/>
              <w:jc w:val="both"/>
              <w:rPr>
                <w:rFonts w:ascii="宋体" w:hAnsi="宋体" w:cs="宋体" w:eastAsia="宋体" w:hint="default"/>
                <w:sz w:val="18"/>
                <w:szCs w:val="18"/>
              </w:rPr>
            </w:pPr>
            <w:r>
              <w:rPr>
                <w:rFonts w:ascii="宋体" w:hAnsi="宋体" w:cs="宋体" w:eastAsia="宋体" w:hint="default"/>
                <w:sz w:val="18"/>
                <w:szCs w:val="18"/>
              </w:rPr>
              <w:t>依据市 场公允 价格</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226.37</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20" w:right="0"/>
              <w:jc w:val="left"/>
              <w:rPr>
                <w:rFonts w:ascii="Times New Roman" w:hAnsi="Times New Roman" w:cs="Times New Roman" w:eastAsia="Times New Roman" w:hint="default"/>
                <w:sz w:val="18"/>
                <w:szCs w:val="18"/>
              </w:rPr>
            </w:pPr>
            <w:r>
              <w:rPr>
                <w:rFonts w:ascii="Times New Roman"/>
                <w:sz w:val="18"/>
              </w:rPr>
              <w:t>0.07%</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226.37</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现金结 算</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226.37</w:t>
            </w:r>
          </w:p>
        </w:tc>
        <w:tc>
          <w:tcPr>
            <w:tcW w:w="564"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69"/>
              <w:jc w:val="both"/>
              <w:rPr>
                <w:rFonts w:ascii="宋体" w:hAnsi="宋体" w:cs="宋体" w:eastAsia="宋体" w:hint="default"/>
                <w:sz w:val="18"/>
                <w:szCs w:val="18"/>
              </w:rPr>
            </w:pPr>
            <w:r>
              <w:rPr>
                <w:rFonts w:ascii="宋体" w:hAnsi="宋体" w:cs="宋体" w:eastAsia="宋体" w:hint="default"/>
                <w:sz w:val="18"/>
                <w:szCs w:val="18"/>
              </w:rPr>
              <w:t>不 适 用</w:t>
            </w:r>
          </w:p>
        </w:tc>
      </w:tr>
      <w:tr>
        <w:trPr>
          <w:trHeight w:val="1026" w:hRule="exact"/>
        </w:trPr>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4"/>
              <w:jc w:val="both"/>
              <w:rPr>
                <w:rFonts w:ascii="宋体" w:hAnsi="宋体" w:cs="宋体" w:eastAsia="宋体" w:hint="default"/>
                <w:sz w:val="18"/>
                <w:szCs w:val="18"/>
              </w:rPr>
            </w:pPr>
            <w:r>
              <w:rPr>
                <w:rFonts w:ascii="宋体" w:hAnsi="宋体" w:cs="宋体" w:eastAsia="宋体" w:hint="default"/>
                <w:sz w:val="18"/>
                <w:szCs w:val="18"/>
              </w:rPr>
              <w:t>深圳市深创 谷技术服务 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01"/>
              <w:jc w:val="both"/>
              <w:rPr>
                <w:rFonts w:ascii="宋体" w:hAnsi="宋体" w:cs="宋体" w:eastAsia="宋体" w:hint="default"/>
                <w:sz w:val="18"/>
                <w:szCs w:val="18"/>
              </w:rPr>
            </w:pPr>
            <w:r>
              <w:rPr>
                <w:rFonts w:ascii="宋体" w:hAnsi="宋体" w:cs="宋体" w:eastAsia="宋体" w:hint="default"/>
                <w:sz w:val="18"/>
                <w:szCs w:val="18"/>
              </w:rPr>
              <w:t>持有该公司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37.9265%</w:t>
            </w:r>
            <w:r>
              <w:rPr>
                <w:rFonts w:ascii="宋体" w:hAnsi="宋体" w:cs="宋体" w:eastAsia="宋体" w:hint="default"/>
                <w:sz w:val="18"/>
                <w:szCs w:val="18"/>
              </w:rPr>
              <w:t>的股权，且公司 </w:t>
            </w:r>
            <w:r>
              <w:rPr>
                <w:rFonts w:ascii="宋体" w:hAnsi="宋体" w:cs="宋体" w:eastAsia="宋体" w:hint="default"/>
                <w:spacing w:val="-5"/>
                <w:sz w:val="18"/>
                <w:szCs w:val="18"/>
              </w:rPr>
              <w:t>董事魏代英女士、公司监事胡爱武女士</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分别为深创谷董事、监事</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31"/>
              <w:jc w:val="both"/>
              <w:rPr>
                <w:rFonts w:ascii="宋体" w:hAnsi="宋体" w:cs="宋体" w:eastAsia="宋体" w:hint="default"/>
                <w:sz w:val="18"/>
                <w:szCs w:val="18"/>
              </w:rPr>
            </w:pPr>
            <w:r>
              <w:rPr>
                <w:rFonts w:ascii="宋体" w:hAnsi="宋体" w:cs="宋体" w:eastAsia="宋体" w:hint="default"/>
                <w:sz w:val="18"/>
                <w:szCs w:val="18"/>
              </w:rPr>
              <w:t>销售商 品提供 劳务</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19"/>
              <w:jc w:val="left"/>
              <w:rPr>
                <w:rFonts w:ascii="宋体" w:hAnsi="宋体" w:cs="宋体" w:eastAsia="宋体" w:hint="default"/>
                <w:sz w:val="18"/>
                <w:szCs w:val="18"/>
              </w:rPr>
            </w:pPr>
            <w:r>
              <w:rPr>
                <w:rFonts w:ascii="宋体" w:hAnsi="宋体" w:cs="宋体" w:eastAsia="宋体" w:hint="default"/>
                <w:sz w:val="18"/>
                <w:szCs w:val="18"/>
              </w:rPr>
              <w:t>智能硬件 产品</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市场定 价</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31"/>
              <w:jc w:val="both"/>
              <w:rPr>
                <w:rFonts w:ascii="宋体" w:hAnsi="宋体" w:cs="宋体" w:eastAsia="宋体" w:hint="default"/>
                <w:sz w:val="18"/>
                <w:szCs w:val="18"/>
              </w:rPr>
            </w:pPr>
            <w:r>
              <w:rPr>
                <w:rFonts w:ascii="宋体" w:hAnsi="宋体" w:cs="宋体" w:eastAsia="宋体" w:hint="default"/>
                <w:sz w:val="18"/>
                <w:szCs w:val="18"/>
              </w:rPr>
              <w:t>依据市 场公允 价格</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284.56</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20" w:right="0"/>
              <w:jc w:val="left"/>
              <w:rPr>
                <w:rFonts w:ascii="Times New Roman" w:hAnsi="Times New Roman" w:cs="Times New Roman" w:eastAsia="Times New Roman" w:hint="default"/>
                <w:sz w:val="18"/>
                <w:szCs w:val="18"/>
              </w:rPr>
            </w:pPr>
            <w:r>
              <w:rPr>
                <w:rFonts w:ascii="Times New Roman"/>
                <w:sz w:val="18"/>
              </w:rPr>
              <w:t>0.09%</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284.56</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现金结 算</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284.56</w:t>
            </w:r>
          </w:p>
        </w:tc>
        <w:tc>
          <w:tcPr>
            <w:tcW w:w="564"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1" w:right="269"/>
              <w:jc w:val="both"/>
              <w:rPr>
                <w:rFonts w:ascii="宋体" w:hAnsi="宋体" w:cs="宋体" w:eastAsia="宋体" w:hint="default"/>
                <w:sz w:val="18"/>
                <w:szCs w:val="18"/>
              </w:rPr>
            </w:pPr>
            <w:r>
              <w:rPr>
                <w:rFonts w:ascii="宋体" w:hAnsi="宋体" w:cs="宋体" w:eastAsia="宋体" w:hint="default"/>
                <w:sz w:val="18"/>
                <w:szCs w:val="18"/>
              </w:rPr>
              <w:t>不 适 用</w:t>
            </w:r>
          </w:p>
        </w:tc>
      </w:tr>
      <w:tr>
        <w:trPr>
          <w:trHeight w:val="1026" w:hRule="exact"/>
        </w:trPr>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4"/>
              <w:jc w:val="both"/>
              <w:rPr>
                <w:rFonts w:ascii="宋体" w:hAnsi="宋体" w:cs="宋体" w:eastAsia="宋体" w:hint="default"/>
                <w:sz w:val="18"/>
                <w:szCs w:val="18"/>
              </w:rPr>
            </w:pPr>
            <w:r>
              <w:rPr>
                <w:rFonts w:ascii="宋体" w:hAnsi="宋体" w:cs="宋体" w:eastAsia="宋体" w:hint="default"/>
                <w:sz w:val="18"/>
                <w:szCs w:val="18"/>
              </w:rPr>
              <w:t>深圳市深创 谷技术服务 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01"/>
              <w:jc w:val="both"/>
              <w:rPr>
                <w:rFonts w:ascii="宋体" w:hAnsi="宋体" w:cs="宋体" w:eastAsia="宋体" w:hint="default"/>
                <w:sz w:val="18"/>
                <w:szCs w:val="18"/>
              </w:rPr>
            </w:pPr>
            <w:r>
              <w:rPr>
                <w:rFonts w:ascii="宋体" w:hAnsi="宋体" w:cs="宋体" w:eastAsia="宋体" w:hint="default"/>
                <w:sz w:val="18"/>
                <w:szCs w:val="18"/>
              </w:rPr>
              <w:t>持有该公司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37.9265%</w:t>
            </w:r>
            <w:r>
              <w:rPr>
                <w:rFonts w:ascii="宋体" w:hAnsi="宋体" w:cs="宋体" w:eastAsia="宋体" w:hint="default"/>
                <w:sz w:val="18"/>
                <w:szCs w:val="18"/>
              </w:rPr>
              <w:t>的股权，且公司 </w:t>
            </w:r>
            <w:r>
              <w:rPr>
                <w:rFonts w:ascii="宋体" w:hAnsi="宋体" w:cs="宋体" w:eastAsia="宋体" w:hint="default"/>
                <w:spacing w:val="-5"/>
                <w:sz w:val="18"/>
                <w:szCs w:val="18"/>
              </w:rPr>
              <w:t>董事魏代英女士、公司监事胡爱武女士</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分别为深创谷董事、监事</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接受劳 务</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9"/>
              <w:jc w:val="both"/>
              <w:rPr>
                <w:rFonts w:ascii="宋体" w:hAnsi="宋体" w:cs="宋体" w:eastAsia="宋体" w:hint="default"/>
                <w:sz w:val="18"/>
                <w:szCs w:val="18"/>
              </w:rPr>
            </w:pPr>
            <w:r>
              <w:rPr>
                <w:rFonts w:ascii="宋体" w:hAnsi="宋体" w:cs="宋体" w:eastAsia="宋体" w:hint="default"/>
                <w:sz w:val="18"/>
                <w:szCs w:val="18"/>
              </w:rPr>
              <w:t>委托研发 智能硬件 类产品</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市场定 价</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31"/>
              <w:jc w:val="both"/>
              <w:rPr>
                <w:rFonts w:ascii="宋体" w:hAnsi="宋体" w:cs="宋体" w:eastAsia="宋体" w:hint="default"/>
                <w:sz w:val="18"/>
                <w:szCs w:val="18"/>
              </w:rPr>
            </w:pPr>
            <w:r>
              <w:rPr>
                <w:rFonts w:ascii="宋体" w:hAnsi="宋体" w:cs="宋体" w:eastAsia="宋体" w:hint="default"/>
                <w:sz w:val="18"/>
                <w:szCs w:val="18"/>
              </w:rPr>
              <w:t>依据市 场公允 价格</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4.61</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20" w:right="0"/>
              <w:jc w:val="left"/>
              <w:rPr>
                <w:rFonts w:ascii="Times New Roman" w:hAnsi="Times New Roman" w:cs="Times New Roman" w:eastAsia="Times New Roman" w:hint="default"/>
                <w:sz w:val="18"/>
                <w:szCs w:val="18"/>
              </w:rPr>
            </w:pPr>
            <w:r>
              <w:rPr>
                <w:rFonts w:ascii="Times New Roman"/>
                <w:sz w:val="18"/>
              </w:rPr>
              <w:t>0.00%</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4.61</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现金结 算</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4.61</w:t>
            </w:r>
          </w:p>
        </w:tc>
        <w:tc>
          <w:tcPr>
            <w:tcW w:w="564"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69"/>
              <w:jc w:val="both"/>
              <w:rPr>
                <w:rFonts w:ascii="宋体" w:hAnsi="宋体" w:cs="宋体" w:eastAsia="宋体" w:hint="default"/>
                <w:sz w:val="18"/>
                <w:szCs w:val="18"/>
              </w:rPr>
            </w:pPr>
            <w:r>
              <w:rPr>
                <w:rFonts w:ascii="宋体" w:hAnsi="宋体" w:cs="宋体" w:eastAsia="宋体" w:hint="default"/>
                <w:sz w:val="18"/>
                <w:szCs w:val="18"/>
              </w:rPr>
              <w:t>不 适 用</w:t>
            </w:r>
          </w:p>
        </w:tc>
      </w:tr>
      <w:tr>
        <w:trPr>
          <w:trHeight w:val="1026" w:hRule="exact"/>
        </w:trPr>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4"/>
              <w:jc w:val="both"/>
              <w:rPr>
                <w:rFonts w:ascii="宋体" w:hAnsi="宋体" w:cs="宋体" w:eastAsia="宋体" w:hint="default"/>
                <w:sz w:val="18"/>
                <w:szCs w:val="18"/>
              </w:rPr>
            </w:pPr>
            <w:r>
              <w:rPr>
                <w:rFonts w:ascii="宋体" w:hAnsi="宋体" w:cs="宋体" w:eastAsia="宋体" w:hint="default"/>
                <w:sz w:val="18"/>
                <w:szCs w:val="18"/>
              </w:rPr>
              <w:t>深圳市深创 谷技术服务 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01"/>
              <w:jc w:val="both"/>
              <w:rPr>
                <w:rFonts w:ascii="宋体" w:hAnsi="宋体" w:cs="宋体" w:eastAsia="宋体" w:hint="default"/>
                <w:sz w:val="18"/>
                <w:szCs w:val="18"/>
              </w:rPr>
            </w:pPr>
            <w:r>
              <w:rPr>
                <w:rFonts w:ascii="宋体" w:hAnsi="宋体" w:cs="宋体" w:eastAsia="宋体" w:hint="default"/>
                <w:sz w:val="18"/>
                <w:szCs w:val="18"/>
              </w:rPr>
              <w:t>持有该公司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37.9265%</w:t>
            </w:r>
            <w:r>
              <w:rPr>
                <w:rFonts w:ascii="宋体" w:hAnsi="宋体" w:cs="宋体" w:eastAsia="宋体" w:hint="default"/>
                <w:sz w:val="18"/>
                <w:szCs w:val="18"/>
              </w:rPr>
              <w:t>的股权，且公司 </w:t>
            </w:r>
            <w:r>
              <w:rPr>
                <w:rFonts w:ascii="宋体" w:hAnsi="宋体" w:cs="宋体" w:eastAsia="宋体" w:hint="default"/>
                <w:spacing w:val="-5"/>
                <w:sz w:val="18"/>
                <w:szCs w:val="18"/>
              </w:rPr>
              <w:t>董事魏代英女士、公司监事胡爱武女士</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分别为深创谷董事、监事</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机器设 备</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市场定 价</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31"/>
              <w:jc w:val="both"/>
              <w:rPr>
                <w:rFonts w:ascii="宋体" w:hAnsi="宋体" w:cs="宋体" w:eastAsia="宋体" w:hint="default"/>
                <w:sz w:val="18"/>
                <w:szCs w:val="18"/>
              </w:rPr>
            </w:pPr>
            <w:r>
              <w:rPr>
                <w:rFonts w:ascii="宋体" w:hAnsi="宋体" w:cs="宋体" w:eastAsia="宋体" w:hint="default"/>
                <w:sz w:val="18"/>
                <w:szCs w:val="18"/>
              </w:rPr>
              <w:t>依据市 场公允 价格</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60.68</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20" w:right="0"/>
              <w:jc w:val="left"/>
              <w:rPr>
                <w:rFonts w:ascii="Times New Roman" w:hAnsi="Times New Roman" w:cs="Times New Roman" w:eastAsia="Times New Roman" w:hint="default"/>
                <w:sz w:val="18"/>
                <w:szCs w:val="18"/>
              </w:rPr>
            </w:pPr>
            <w:r>
              <w:rPr>
                <w:rFonts w:ascii="Times New Roman"/>
                <w:sz w:val="18"/>
              </w:rPr>
              <w:t>0.02%</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60.68</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31"/>
              <w:jc w:val="left"/>
              <w:rPr>
                <w:rFonts w:ascii="宋体" w:hAnsi="宋体" w:cs="宋体" w:eastAsia="宋体" w:hint="default"/>
                <w:sz w:val="18"/>
                <w:szCs w:val="18"/>
              </w:rPr>
            </w:pPr>
            <w:r>
              <w:rPr>
                <w:rFonts w:ascii="宋体" w:hAnsi="宋体" w:cs="宋体" w:eastAsia="宋体" w:hint="default"/>
                <w:sz w:val="18"/>
                <w:szCs w:val="18"/>
              </w:rPr>
              <w:t>现金结 算</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60.68</w:t>
            </w:r>
          </w:p>
        </w:tc>
        <w:tc>
          <w:tcPr>
            <w:tcW w:w="564"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69"/>
              <w:jc w:val="both"/>
              <w:rPr>
                <w:rFonts w:ascii="宋体" w:hAnsi="宋体" w:cs="宋体" w:eastAsia="宋体" w:hint="default"/>
                <w:sz w:val="18"/>
                <w:szCs w:val="18"/>
              </w:rPr>
            </w:pPr>
            <w:r>
              <w:rPr>
                <w:rFonts w:ascii="宋体" w:hAnsi="宋体" w:cs="宋体" w:eastAsia="宋体" w:hint="default"/>
                <w:sz w:val="18"/>
                <w:szCs w:val="18"/>
              </w:rPr>
              <w:t>不 适 用</w:t>
            </w:r>
          </w:p>
        </w:tc>
      </w:tr>
      <w:tr>
        <w:trPr>
          <w:trHeight w:val="402" w:hRule="exact"/>
        </w:trPr>
        <w:tc>
          <w:tcPr>
            <w:tcW w:w="605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576.31</w:t>
            </w:r>
          </w:p>
        </w:tc>
        <w:tc>
          <w:tcPr>
            <w:tcW w:w="8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84" w:right="0"/>
              <w:jc w:val="left"/>
              <w:rPr>
                <w:rFonts w:ascii="Times New Roman" w:hAnsi="Times New Roman" w:cs="Times New Roman" w:eastAsia="Times New Roman" w:hint="default"/>
                <w:sz w:val="18"/>
                <w:szCs w:val="18"/>
              </w:rPr>
            </w:pPr>
            <w:r>
              <w:rPr>
                <w:rFonts w:ascii="Times New Roman"/>
                <w:sz w:val="18"/>
              </w:rPr>
              <w:t>--</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576.31</w:t>
            </w: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1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5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605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8124"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4" w:hRule="exact"/>
        </w:trPr>
        <w:tc>
          <w:tcPr>
            <w:tcW w:w="605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77"/>
              <w:jc w:val="left"/>
              <w:rPr>
                <w:rFonts w:ascii="宋体" w:hAnsi="宋体" w:cs="宋体" w:eastAsia="宋体" w:hint="default"/>
                <w:sz w:val="18"/>
                <w:szCs w:val="18"/>
              </w:rPr>
            </w:pPr>
            <w:r>
              <w:rPr>
                <w:rFonts w:ascii="宋体" w:hAnsi="宋体" w:cs="宋体" w:eastAsia="宋体" w:hint="default"/>
                <w:sz w:val="18"/>
                <w:szCs w:val="18"/>
              </w:rPr>
              <w:t>按类别对本期将发生的日常关联交易进行总金额预计的，在报告期内的实 际履行情况（如有）</w:t>
            </w:r>
          </w:p>
        </w:tc>
        <w:tc>
          <w:tcPr>
            <w:tcW w:w="8124"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605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交易价格与市场参考价格差异较大的原因（如适用）</w:t>
            </w:r>
          </w:p>
        </w:tc>
        <w:tc>
          <w:tcPr>
            <w:tcW w:w="8124"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headerReference w:type="default" r:id="rId38"/>
          <w:footerReference w:type="default" r:id="rId39"/>
          <w:pgSz w:w="16840" w:h="11910" w:orient="landscape"/>
          <w:pgMar w:header="0" w:footer="1019" w:top="840" w:bottom="1200" w:left="1020" w:right="1100"/>
        </w:sectPr>
      </w:pPr>
    </w:p>
    <w:p>
      <w:pPr>
        <w:spacing w:line="240" w:lineRule="auto" w:before="7"/>
        <w:rPr>
          <w:rFonts w:ascii="宋体" w:hAnsi="宋体" w:cs="宋体" w:eastAsia="宋体" w:hint="default"/>
          <w:sz w:val="19"/>
          <w:szCs w:val="19"/>
        </w:rPr>
      </w:pPr>
      <w:r>
        <w:rPr/>
        <w:pict>
          <v:shape style="position:absolute;margin-left:535.634705pt;margin-top:806.72052pt;width:59.493346pt;height:26.794713pt;mso-position-horizontal-relative:page;mso-position-vertical-relative:page;z-index:1432" type="#_x0000_t75" stroked="false">
            <v:imagedata r:id="rId26" o:title=""/>
          </v:shape>
        </w:pict>
      </w:r>
    </w:p>
    <w:p>
      <w:pPr>
        <w:pStyle w:val="Heading3"/>
        <w:spacing w:line="240" w:lineRule="auto" w:before="35"/>
        <w:ind w:right="0"/>
        <w:jc w:val="left"/>
        <w:rPr>
          <w:b w:val="0"/>
          <w:bCs w:val="0"/>
        </w:rPr>
      </w:pPr>
      <w:bookmarkStart w:name="2、资产或股权收购、出售发生的关联交易" w:id="84"/>
      <w:bookmarkEnd w:id="84"/>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6432"/>
        <w:jc w:val="left"/>
      </w:pPr>
      <w:r>
        <w:rPr/>
        <w:t>□ 适用 √ 不适用 公司报告期未发生资产或股权收购、出售的关联交易。</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3、共同对外投资的关联交易" w:id="85"/>
      <w:bookmarkEnd w:id="85"/>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7152"/>
        <w:jc w:val="left"/>
      </w:pPr>
      <w:r>
        <w:rPr/>
        <w:t>□ 适用 √ 不适用 公司报告期未发生共同对外投资的关联交易。</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4、关联债权债务往来" w:id="86"/>
      <w:bookmarkEnd w:id="86"/>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7692"/>
        <w:jc w:val="left"/>
      </w:pPr>
      <w:r>
        <w:rPr/>
        <w:t>□ 适用 √ 不适用 公司报告期不存在关联债权债务往来。</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5、其他重大关联交易" w:id="87"/>
      <w:bookmarkEnd w:id="87"/>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8052"/>
        <w:jc w:val="left"/>
      </w:pPr>
      <w:r>
        <w:rPr/>
        <w:t>□ 适用 √ 不适用 公司报告期无其他重大关联交易。</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bookmarkStart w:name="十七、重大合同及其履行情况" w:id="88"/>
      <w:bookmarkEnd w:id="88"/>
      <w:r>
        <w:rPr>
          <w:b w:val="0"/>
          <w:bCs w:val="0"/>
        </w:rPr>
      </w:r>
      <w:r>
        <w:rPr/>
        <w:t>十七、重大合同及其履行情况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托管、承包、租赁事项情况" w:id="89"/>
      <w:bookmarkEnd w:id="89"/>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托管情况" w:id="90"/>
      <w:bookmarkEnd w:id="90"/>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8412"/>
        <w:jc w:val="left"/>
      </w:pPr>
      <w:r>
        <w:rPr/>
        <w:t>□ 适用 √ 不适用 公司报告期不存在托管情况。</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2）承包情况" w:id="91"/>
      <w:bookmarkEnd w:id="91"/>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8412"/>
        <w:jc w:val="left"/>
      </w:pPr>
      <w:r>
        <w:rPr/>
        <w:t>□ 适用 √ 不适用 公司报告期不存在承包情况。</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3）租赁情况" w:id="92"/>
      <w:bookmarkEnd w:id="92"/>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9222"/>
        <w:jc w:val="left"/>
      </w:pPr>
      <w:r>
        <w:rPr/>
        <w:t>√ 适用 □ 不适用 租赁情况说明</w:t>
      </w:r>
    </w:p>
    <w:p>
      <w:pPr>
        <w:pStyle w:val="BodyText"/>
        <w:spacing w:line="477" w:lineRule="auto" w:before="104"/>
        <w:ind w:right="1132" w:firstLine="360"/>
        <w:jc w:val="both"/>
      </w:pPr>
      <w:r>
        <w:rPr/>
        <w:t>（</w:t>
      </w:r>
      <w:r>
        <w:rPr>
          <w:rFonts w:ascii="宋体" w:hAnsi="宋体" w:cs="宋体" w:eastAsia="宋体" w:hint="default"/>
        </w:rPr>
        <w:t>1</w:t>
      </w:r>
      <w:r>
        <w:rPr/>
        <w:t>）本公司与深圳英特利投资有限公司</w:t>
      </w:r>
      <w:r>
        <w:rPr>
          <w:rFonts w:ascii="宋体" w:hAnsi="宋体" w:cs="宋体" w:eastAsia="宋体" w:hint="default"/>
        </w:rPr>
        <w:t>(</w:t>
      </w:r>
      <w:r>
        <w:rPr/>
        <w:t>以下简称“英特利投资”</w:t>
      </w:r>
      <w:r>
        <w:rPr>
          <w:rFonts w:ascii="宋体" w:hAnsi="宋体" w:cs="宋体" w:eastAsia="宋体" w:hint="default"/>
        </w:rPr>
        <w:t>)</w:t>
      </w:r>
      <w:r>
        <w:rPr/>
        <w:t>签订房屋租赁，合同约定：英特利投资将位于松岗 同富裕工业区的</w:t>
      </w:r>
      <w:r>
        <w:rPr>
          <w:rFonts w:ascii="宋体" w:hAnsi="宋体" w:cs="宋体" w:eastAsia="宋体" w:hint="default"/>
        </w:rPr>
        <w:t>1#</w:t>
      </w:r>
      <w:r>
        <w:rPr/>
        <w:t>、</w:t>
      </w:r>
      <w:r>
        <w:rPr>
          <w:rFonts w:ascii="宋体" w:hAnsi="宋体" w:cs="宋体" w:eastAsia="宋体" w:hint="default"/>
        </w:rPr>
        <w:t>2#</w:t>
      </w:r>
      <w:r>
        <w:rPr/>
        <w:t>、</w:t>
      </w:r>
      <w:r>
        <w:rPr>
          <w:rFonts w:ascii="宋体" w:hAnsi="宋体" w:cs="宋体" w:eastAsia="宋体" w:hint="default"/>
        </w:rPr>
        <w:t>3#</w:t>
      </w:r>
      <w:r>
        <w:rPr/>
        <w:t>厂房和</w:t>
      </w:r>
      <w:r>
        <w:rPr>
          <w:rFonts w:ascii="宋体" w:hAnsi="宋体" w:cs="宋体" w:eastAsia="宋体" w:hint="default"/>
        </w:rPr>
        <w:t>4#</w:t>
      </w:r>
      <w:r>
        <w:rPr/>
        <w:t>、</w:t>
      </w:r>
      <w:r>
        <w:rPr>
          <w:rFonts w:ascii="宋体" w:hAnsi="宋体" w:cs="宋体" w:eastAsia="宋体" w:hint="default"/>
        </w:rPr>
        <w:t>5#</w:t>
      </w:r>
      <w:r>
        <w:rPr/>
        <w:t>宿舍出租给公司使用，总面积</w:t>
      </w:r>
      <w:r>
        <w:rPr>
          <w:rFonts w:ascii="宋体" w:hAnsi="宋体" w:cs="宋体" w:eastAsia="宋体" w:hint="default"/>
        </w:rPr>
        <w:t>101,337.14</w:t>
      </w:r>
      <w:r>
        <w:rPr/>
        <w:t>平方米。</w:t>
      </w:r>
      <w:r>
        <w:rPr>
          <w:rFonts w:ascii="宋体" w:hAnsi="宋体" w:cs="宋体" w:eastAsia="宋体" w:hint="default"/>
        </w:rPr>
        <w:t>2010</w:t>
      </w:r>
      <w:r>
        <w:rPr/>
        <w:t>年</w:t>
      </w:r>
      <w:r>
        <w:rPr>
          <w:rFonts w:ascii="宋体" w:hAnsi="宋体" w:cs="宋体" w:eastAsia="宋体" w:hint="default"/>
        </w:rPr>
        <w:t>7</w:t>
      </w:r>
      <w:r>
        <w:rPr/>
        <w:t>月</w:t>
      </w:r>
      <w:r>
        <w:rPr>
          <w:rFonts w:ascii="宋体" w:hAnsi="宋体" w:cs="宋体" w:eastAsia="宋体" w:hint="default"/>
        </w:rPr>
        <w:t>1</w:t>
      </w:r>
      <w:r>
        <w:rPr/>
        <w:t>日至</w:t>
      </w:r>
      <w:r>
        <w:rPr>
          <w:rFonts w:ascii="宋体" w:hAnsi="宋体" w:cs="宋体" w:eastAsia="宋体" w:hint="default"/>
        </w:rPr>
        <w:t>2014</w:t>
      </w:r>
      <w:r>
        <w:rPr/>
        <w:t>年</w:t>
      </w:r>
      <w:r>
        <w:rPr>
          <w:rFonts w:ascii="宋体" w:hAnsi="宋体" w:cs="宋体" w:eastAsia="宋体" w:hint="default"/>
        </w:rPr>
        <w:t>6</w:t>
      </w:r>
      <w:r>
        <w:rPr/>
        <w:t>月</w:t>
      </w:r>
      <w:r>
        <w:rPr>
          <w:rFonts w:ascii="宋体" w:hAnsi="宋体" w:cs="宋体" w:eastAsia="宋体" w:hint="default"/>
        </w:rPr>
        <w:t>30</w:t>
      </w:r>
      <w:r>
        <w:rPr/>
        <w:t>日 </w:t>
      </w:r>
      <w:r>
        <w:rPr>
          <w:spacing w:val="-3"/>
        </w:rPr>
        <w:t>每月租金为人民币</w:t>
      </w:r>
      <w:r>
        <w:rPr>
          <w:rFonts w:ascii="宋体" w:hAnsi="宋体" w:cs="宋体" w:eastAsia="宋体" w:hint="default"/>
          <w:spacing w:val="-3"/>
        </w:rPr>
        <w:t>1,013,371.40</w:t>
      </w:r>
      <w:r>
        <w:rPr>
          <w:spacing w:val="-3"/>
        </w:rPr>
        <w:t>元、</w:t>
      </w:r>
      <w:r>
        <w:rPr>
          <w:rFonts w:ascii="宋体" w:hAnsi="宋体" w:cs="宋体" w:eastAsia="宋体" w:hint="default"/>
          <w:spacing w:val="-3"/>
        </w:rPr>
        <w:t>2014</w:t>
      </w:r>
      <w:r>
        <w:rPr>
          <w:spacing w:val="-3"/>
        </w:rPr>
        <w:t>年</w:t>
      </w:r>
      <w:r>
        <w:rPr>
          <w:rFonts w:ascii="宋体" w:hAnsi="宋体" w:cs="宋体" w:eastAsia="宋体" w:hint="default"/>
          <w:spacing w:val="-3"/>
        </w:rPr>
        <w:t>7</w:t>
      </w:r>
      <w:r>
        <w:rPr>
          <w:spacing w:val="-3"/>
        </w:rPr>
        <w:t>月</w:t>
      </w:r>
      <w:r>
        <w:rPr>
          <w:rFonts w:ascii="宋体" w:hAnsi="宋体" w:cs="宋体" w:eastAsia="宋体" w:hint="default"/>
          <w:spacing w:val="-3"/>
        </w:rPr>
        <w:t>1</w:t>
      </w:r>
      <w:r>
        <w:rPr>
          <w:spacing w:val="-3"/>
        </w:rPr>
        <w:t>日至</w:t>
      </w:r>
      <w:r>
        <w:rPr>
          <w:rFonts w:ascii="宋体" w:hAnsi="宋体" w:cs="宋体" w:eastAsia="宋体" w:hint="default"/>
          <w:spacing w:val="-3"/>
        </w:rPr>
        <w:t>2018</w:t>
      </w:r>
      <w:r>
        <w:rPr>
          <w:spacing w:val="-3"/>
        </w:rPr>
        <w:t>年</w:t>
      </w:r>
      <w:r>
        <w:rPr>
          <w:rFonts w:ascii="宋体" w:hAnsi="宋体" w:cs="宋体" w:eastAsia="宋体" w:hint="default"/>
          <w:spacing w:val="-3"/>
        </w:rPr>
        <w:t>6</w:t>
      </w:r>
      <w:r>
        <w:rPr>
          <w:spacing w:val="-3"/>
        </w:rPr>
        <w:t>月</w:t>
      </w:r>
      <w:r>
        <w:rPr>
          <w:rFonts w:ascii="宋体" w:hAnsi="宋体" w:cs="宋体" w:eastAsia="宋体" w:hint="default"/>
          <w:spacing w:val="-3"/>
        </w:rPr>
        <w:t>30</w:t>
      </w:r>
      <w:r>
        <w:rPr>
          <w:spacing w:val="-3"/>
        </w:rPr>
        <w:t>日每月租金为人民币</w:t>
      </w:r>
      <w:r>
        <w:rPr>
          <w:rFonts w:ascii="宋体" w:hAnsi="宋体" w:cs="宋体" w:eastAsia="宋体" w:hint="default"/>
          <w:spacing w:val="-3"/>
        </w:rPr>
        <w:t>1,064,039.97</w:t>
      </w:r>
      <w:r>
        <w:rPr>
          <w:spacing w:val="-3"/>
        </w:rPr>
        <w:t>元、</w:t>
      </w:r>
      <w:r>
        <w:rPr>
          <w:rFonts w:ascii="宋体" w:hAnsi="宋体" w:cs="宋体" w:eastAsia="宋体" w:hint="default"/>
          <w:spacing w:val="-3"/>
        </w:rPr>
        <w:t>2018</w:t>
      </w:r>
      <w:r>
        <w:rPr>
          <w:spacing w:val="-3"/>
        </w:rPr>
        <w:t>年</w:t>
      </w:r>
      <w:r>
        <w:rPr>
          <w:rFonts w:ascii="宋体" w:hAnsi="宋体" w:cs="宋体" w:eastAsia="宋体" w:hint="default"/>
          <w:spacing w:val="-3"/>
        </w:rPr>
        <w:t>7</w:t>
      </w:r>
      <w:r>
        <w:rPr>
          <w:spacing w:val="-3"/>
        </w:rPr>
        <w:t>月</w:t>
      </w:r>
      <w:r>
        <w:rPr>
          <w:rFonts w:ascii="宋体" w:hAnsi="宋体" w:cs="宋体" w:eastAsia="宋体" w:hint="default"/>
          <w:spacing w:val="-3"/>
        </w:rPr>
        <w:t>1</w:t>
      </w:r>
      <w:r>
        <w:rPr>
          <w:spacing w:val="-3"/>
        </w:rPr>
        <w:t>日至</w:t>
      </w:r>
      <w:r>
        <w:rPr>
          <w:rFonts w:ascii="宋体" w:hAnsi="宋体" w:cs="宋体" w:eastAsia="宋体" w:hint="default"/>
          <w:spacing w:val="-3"/>
        </w:rPr>
        <w:t>2022</w:t>
      </w:r>
      <w:r>
        <w:rPr>
          <w:rFonts w:ascii="宋体" w:hAnsi="宋体" w:cs="宋体" w:eastAsia="宋体" w:hint="default"/>
          <w:spacing w:val="-30"/>
        </w:rPr>
        <w:t> </w:t>
      </w:r>
      <w:r>
        <w:rPr/>
        <w:t>年</w:t>
      </w:r>
      <w:r>
        <w:rPr>
          <w:rFonts w:ascii="宋体" w:hAnsi="宋体" w:cs="宋体" w:eastAsia="宋体" w:hint="default"/>
        </w:rPr>
        <w:t>6</w:t>
      </w:r>
      <w:r>
        <w:rPr/>
        <w:t>月</w:t>
      </w:r>
      <w:r>
        <w:rPr>
          <w:rFonts w:ascii="宋体" w:hAnsi="宋体" w:cs="宋体" w:eastAsia="宋体" w:hint="default"/>
        </w:rPr>
        <w:t>30</w:t>
      </w:r>
      <w:r>
        <w:rPr/>
        <w:t>日每月租金为人民币</w:t>
      </w:r>
      <w:r>
        <w:rPr>
          <w:rFonts w:ascii="宋体" w:hAnsi="宋体" w:cs="宋体" w:eastAsia="宋体" w:hint="default"/>
        </w:rPr>
        <w:t>1,117,241.92</w:t>
      </w:r>
      <w:r>
        <w:rPr/>
        <w:t>元。</w:t>
      </w:r>
    </w:p>
    <w:p>
      <w:pPr>
        <w:spacing w:after="0" w:line="477" w:lineRule="auto"/>
        <w:jc w:val="both"/>
        <w:sectPr>
          <w:footerReference w:type="default" r:id="rId40"/>
          <w:pgSz w:w="11910" w:h="16840"/>
          <w:pgMar w:footer="1019" w:header="0"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22" w:firstLine="360"/>
        <w:jc w:val="left"/>
      </w:pPr>
      <w:r>
        <w:rPr/>
        <w:t>（</w:t>
      </w:r>
      <w:r>
        <w:rPr>
          <w:rFonts w:ascii="宋体" w:hAnsi="宋体" w:cs="宋体" w:eastAsia="宋体" w:hint="default"/>
        </w:rPr>
        <w:t>2</w:t>
      </w:r>
      <w:r>
        <w:rPr/>
        <w:t>）本公司与深圳市同裕洋实业有限公司</w:t>
      </w:r>
      <w:r>
        <w:rPr>
          <w:rFonts w:ascii="宋体" w:hAnsi="宋体" w:cs="宋体" w:eastAsia="宋体" w:hint="default"/>
        </w:rPr>
        <w:t>(</w:t>
      </w:r>
      <w:r>
        <w:rPr/>
        <w:t>以下简称“同裕洋实业”</w:t>
      </w:r>
      <w:r>
        <w:rPr>
          <w:rFonts w:ascii="宋体" w:hAnsi="宋体" w:cs="宋体" w:eastAsia="宋体" w:hint="default"/>
        </w:rPr>
        <w:t>)</w:t>
      </w:r>
      <w:r>
        <w:rPr/>
        <w:t>签订宿舍租赁合同，合同约定：同裕洋实业将位 于深圳市宝安区松岗街道同富裕工业园兴隆路</w:t>
      </w:r>
      <w:r>
        <w:rPr>
          <w:rFonts w:ascii="宋体" w:hAnsi="宋体" w:cs="宋体" w:eastAsia="宋体" w:hint="default"/>
        </w:rPr>
        <w:t>3</w:t>
      </w:r>
      <w:r>
        <w:rPr/>
        <w:t>号建筑面积</w:t>
      </w:r>
      <w:r>
        <w:rPr>
          <w:rFonts w:ascii="宋体" w:hAnsi="宋体" w:cs="宋体" w:eastAsia="宋体" w:hint="default"/>
        </w:rPr>
        <w:t>5,920.14</w:t>
      </w:r>
      <w:r>
        <w:rPr/>
        <w:t>平方米的宿舍出租给公司作为宿舍使用，</w:t>
      </w:r>
      <w:r>
        <w:rPr>
          <w:rFonts w:ascii="宋体" w:hAnsi="宋体" w:cs="宋体" w:eastAsia="宋体" w:hint="default"/>
        </w:rPr>
        <w:t>2013</w:t>
      </w:r>
      <w:r>
        <w:rPr/>
        <w:t>年</w:t>
      </w:r>
      <w:r>
        <w:rPr>
          <w:rFonts w:ascii="宋体" w:hAnsi="宋体" w:cs="宋体" w:eastAsia="宋体" w:hint="default"/>
        </w:rPr>
        <w:t>10</w:t>
      </w:r>
      <w:r>
        <w:rPr/>
        <w:t>月</w:t>
      </w:r>
      <w:r>
        <w:rPr>
          <w:rFonts w:ascii="宋体" w:hAnsi="宋体" w:cs="宋体" w:eastAsia="宋体" w:hint="default"/>
        </w:rPr>
        <w:t>1 </w:t>
      </w:r>
      <w:r>
        <w:rPr/>
        <w:t>日至</w:t>
      </w:r>
      <w:r>
        <w:rPr>
          <w:rFonts w:ascii="宋体" w:hAnsi="宋体" w:cs="宋体" w:eastAsia="宋体" w:hint="default"/>
        </w:rPr>
        <w:t>2015</w:t>
      </w:r>
      <w:r>
        <w:rPr/>
        <w:t>年</w:t>
      </w:r>
      <w:r>
        <w:rPr>
          <w:rFonts w:ascii="宋体" w:hAnsi="宋体" w:cs="宋体" w:eastAsia="宋体" w:hint="default"/>
        </w:rPr>
        <w:t>3</w:t>
      </w:r>
      <w:r>
        <w:rPr/>
        <w:t>月</w:t>
      </w:r>
      <w:r>
        <w:rPr>
          <w:rFonts w:ascii="宋体" w:hAnsi="宋体" w:cs="宋体" w:eastAsia="宋体" w:hint="default"/>
        </w:rPr>
        <w:t>31</w:t>
      </w:r>
      <w:r>
        <w:rPr/>
        <w:t>日每月租金为人民币</w:t>
      </w:r>
      <w:r>
        <w:rPr>
          <w:rFonts w:ascii="宋体" w:hAnsi="宋体" w:cs="宋体" w:eastAsia="宋体" w:hint="default"/>
        </w:rPr>
        <w:t>82,881.96</w:t>
      </w:r>
      <w:r>
        <w:rPr/>
        <w:t>元、</w:t>
      </w:r>
      <w:r>
        <w:rPr>
          <w:rFonts w:ascii="宋体" w:hAnsi="宋体" w:cs="宋体" w:eastAsia="宋体" w:hint="default"/>
        </w:rPr>
        <w:t>2015</w:t>
      </w:r>
      <w:r>
        <w:rPr/>
        <w:t>年</w:t>
      </w:r>
      <w:r>
        <w:rPr>
          <w:rFonts w:ascii="宋体" w:hAnsi="宋体" w:cs="宋体" w:eastAsia="宋体" w:hint="default"/>
        </w:rPr>
        <w:t>4</w:t>
      </w:r>
      <w:r>
        <w:rPr/>
        <w:t>月</w:t>
      </w:r>
      <w:r>
        <w:rPr>
          <w:rFonts w:ascii="宋体" w:hAnsi="宋体" w:cs="宋体" w:eastAsia="宋体" w:hint="default"/>
        </w:rPr>
        <w:t>1</w:t>
      </w:r>
      <w:r>
        <w:rPr/>
        <w:t>日至</w:t>
      </w:r>
      <w:r>
        <w:rPr>
          <w:rFonts w:ascii="宋体" w:hAnsi="宋体" w:cs="宋体" w:eastAsia="宋体" w:hint="default"/>
        </w:rPr>
        <w:t>2019</w:t>
      </w:r>
      <w:r>
        <w:rPr/>
        <w:t>年</w:t>
      </w:r>
      <w:r>
        <w:rPr>
          <w:rFonts w:ascii="宋体" w:hAnsi="宋体" w:cs="宋体" w:eastAsia="宋体" w:hint="default"/>
        </w:rPr>
        <w:t>3</w:t>
      </w:r>
      <w:r>
        <w:rPr/>
        <w:t>月</w:t>
      </w:r>
      <w:r>
        <w:rPr>
          <w:rFonts w:ascii="宋体" w:hAnsi="宋体" w:cs="宋体" w:eastAsia="宋体" w:hint="default"/>
        </w:rPr>
        <w:t>31</w:t>
      </w:r>
      <w:r>
        <w:rPr/>
        <w:t>日每月租金为人民币</w:t>
      </w:r>
      <w:r>
        <w:rPr>
          <w:rFonts w:ascii="宋体" w:hAnsi="宋体" w:cs="宋体" w:eastAsia="宋体" w:hint="default"/>
        </w:rPr>
        <w:t>87,026.06</w:t>
      </w:r>
      <w:r>
        <w:rPr/>
        <w:t>元、</w:t>
      </w:r>
      <w:r>
        <w:rPr>
          <w:rFonts w:ascii="宋体" w:hAnsi="宋体" w:cs="宋体" w:eastAsia="宋体" w:hint="default"/>
        </w:rPr>
        <w:t>2019 </w:t>
      </w:r>
      <w:r>
        <w:rPr/>
        <w:t>年</w:t>
      </w:r>
      <w:r>
        <w:rPr>
          <w:rFonts w:ascii="宋体" w:hAnsi="宋体" w:cs="宋体" w:eastAsia="宋体" w:hint="default"/>
        </w:rPr>
        <w:t>4</w:t>
      </w:r>
      <w:r>
        <w:rPr/>
        <w:t>月</w:t>
      </w:r>
      <w:r>
        <w:rPr>
          <w:rFonts w:ascii="宋体" w:hAnsi="宋体" w:cs="宋体" w:eastAsia="宋体" w:hint="default"/>
        </w:rPr>
        <w:t>1</w:t>
      </w:r>
      <w:r>
        <w:rPr/>
        <w:t>日至</w:t>
      </w:r>
      <w:r>
        <w:rPr>
          <w:rFonts w:ascii="宋体" w:hAnsi="宋体" w:cs="宋体" w:eastAsia="宋体" w:hint="default"/>
        </w:rPr>
        <w:t>2023</w:t>
      </w:r>
      <w:r>
        <w:rPr/>
        <w:t>年</w:t>
      </w:r>
      <w:r>
        <w:rPr>
          <w:rFonts w:ascii="宋体" w:hAnsi="宋体" w:cs="宋体" w:eastAsia="宋体" w:hint="default"/>
        </w:rPr>
        <w:t>3</w:t>
      </w:r>
      <w:r>
        <w:rPr/>
        <w:t>月</w:t>
      </w:r>
      <w:r>
        <w:rPr>
          <w:rFonts w:ascii="宋体" w:hAnsi="宋体" w:cs="宋体" w:eastAsia="宋体" w:hint="default"/>
        </w:rPr>
        <w:t>31</w:t>
      </w:r>
      <w:r>
        <w:rPr/>
        <w:t>日每月租金人民币</w:t>
      </w:r>
      <w:r>
        <w:rPr>
          <w:rFonts w:ascii="宋体" w:hAnsi="宋体" w:cs="宋体" w:eastAsia="宋体" w:hint="default"/>
        </w:rPr>
        <w:t>91,347.76</w:t>
      </w:r>
      <w:r>
        <w:rPr/>
        <w:t>元。</w:t>
      </w:r>
    </w:p>
    <w:p>
      <w:pPr>
        <w:pStyle w:val="BodyText"/>
        <w:spacing w:line="477" w:lineRule="auto" w:before="54"/>
        <w:ind w:right="1049" w:firstLine="360"/>
        <w:jc w:val="left"/>
      </w:pPr>
      <w:r>
        <w:rPr/>
        <w:t>（</w:t>
      </w:r>
      <w:r>
        <w:rPr>
          <w:rFonts w:ascii="宋体" w:hAnsi="宋体" w:cs="宋体" w:eastAsia="宋体" w:hint="default"/>
        </w:rPr>
        <w:t>3</w:t>
      </w:r>
      <w:r>
        <w:rPr/>
        <w:t>）本公司与方俊基签订房屋租赁合同，合同约定：方俊基将其从深圳市平山实业股份有限公司处承租的位于深圳市 南山区桃源街道平山民企工业区第</w:t>
      </w:r>
      <w:r>
        <w:rPr>
          <w:rFonts w:ascii="宋体" w:hAnsi="宋体" w:cs="宋体" w:eastAsia="宋体" w:hint="default"/>
        </w:rPr>
        <w:t>5</w:t>
      </w:r>
      <w:r>
        <w:rPr/>
        <w:t>栋</w:t>
      </w:r>
      <w:r>
        <w:rPr>
          <w:rFonts w:ascii="宋体" w:hAnsi="宋体" w:cs="宋体" w:eastAsia="宋体" w:hint="default"/>
        </w:rPr>
        <w:t>1-6</w:t>
      </w:r>
      <w:r>
        <w:rPr/>
        <w:t>楼厂房整体出租给本公司使用，总面积</w:t>
      </w:r>
      <w:r>
        <w:rPr>
          <w:rFonts w:ascii="宋体" w:hAnsi="宋体" w:cs="宋体" w:eastAsia="宋体" w:hint="default"/>
        </w:rPr>
        <w:t>13,908.60</w:t>
      </w:r>
      <w:r>
        <w:rPr/>
        <w:t>平方米。租赁期限为</w:t>
      </w:r>
      <w:r>
        <w:rPr>
          <w:rFonts w:ascii="宋体" w:hAnsi="宋体" w:cs="宋体" w:eastAsia="宋体" w:hint="default"/>
        </w:rPr>
        <w:t>2016</w:t>
      </w:r>
      <w:r>
        <w:rPr/>
        <w:t>年</w:t>
      </w:r>
      <w:r>
        <w:rPr>
          <w:rFonts w:ascii="宋体" w:hAnsi="宋体" w:cs="宋体" w:eastAsia="宋体" w:hint="default"/>
        </w:rPr>
        <w:t>5</w:t>
      </w:r>
      <w:r>
        <w:rPr/>
        <w:t>月</w:t>
      </w:r>
      <w:r>
        <w:rPr>
          <w:rFonts w:ascii="宋体" w:hAnsi="宋体" w:cs="宋体" w:eastAsia="宋体" w:hint="default"/>
        </w:rPr>
        <w:t>1 </w:t>
      </w:r>
      <w:r>
        <w:rPr>
          <w:spacing w:val="-2"/>
        </w:rPr>
        <w:t>日至</w:t>
      </w:r>
      <w:r>
        <w:rPr>
          <w:rFonts w:ascii="宋体" w:hAnsi="宋体" w:cs="宋体" w:eastAsia="宋体" w:hint="default"/>
          <w:spacing w:val="-2"/>
        </w:rPr>
        <w:t>2028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30</w:t>
      </w:r>
      <w:r>
        <w:rPr>
          <w:spacing w:val="-2"/>
        </w:rPr>
        <w:t>日，其中免租期为两个月。</w:t>
      </w:r>
      <w:r>
        <w:rPr>
          <w:rFonts w:ascii="宋体" w:hAnsi="宋体" w:cs="宋体" w:eastAsia="宋体" w:hint="default"/>
          <w:spacing w:val="-2"/>
        </w:rPr>
        <w:t>2016</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w:t>
      </w:r>
      <w:r>
        <w:rPr>
          <w:spacing w:val="-2"/>
        </w:rPr>
        <w:t>日至</w:t>
      </w:r>
      <w:r>
        <w:rPr>
          <w:rFonts w:ascii="宋体" w:hAnsi="宋体" w:cs="宋体" w:eastAsia="宋体" w:hint="default"/>
          <w:spacing w:val="-2"/>
        </w:rPr>
        <w:t>2018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30</w:t>
      </w:r>
      <w:r>
        <w:rPr>
          <w:spacing w:val="-2"/>
        </w:rPr>
        <w:t>日每月租金为人民币</w:t>
      </w:r>
      <w:r>
        <w:rPr>
          <w:rFonts w:ascii="宋体" w:hAnsi="宋体" w:cs="宋体" w:eastAsia="宋体" w:hint="default"/>
          <w:spacing w:val="-2"/>
        </w:rPr>
        <w:t>1,043,145.00</w:t>
      </w:r>
      <w:r>
        <w:rPr>
          <w:spacing w:val="-2"/>
        </w:rPr>
        <w:t>元、</w:t>
      </w:r>
      <w:r>
        <w:rPr>
          <w:rFonts w:ascii="宋体" w:hAnsi="宋体" w:cs="宋体" w:eastAsia="宋体" w:hint="default"/>
          <w:spacing w:val="-2"/>
        </w:rPr>
        <w:t>2018</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w:t>
      </w:r>
      <w:r>
        <w:rPr>
          <w:rFonts w:ascii="宋体" w:hAnsi="宋体" w:cs="宋体" w:eastAsia="宋体" w:hint="default"/>
          <w:spacing w:val="-28"/>
        </w:rPr>
        <w:t> </w:t>
      </w:r>
      <w:r>
        <w:rPr/>
        <w:t>日至</w:t>
      </w:r>
      <w:r>
        <w:rPr>
          <w:rFonts w:ascii="宋体" w:hAnsi="宋体" w:cs="宋体" w:eastAsia="宋体" w:hint="default"/>
        </w:rPr>
        <w:t>2020</w:t>
      </w:r>
      <w:r>
        <w:rPr/>
        <w:t>年</w:t>
      </w:r>
      <w:r>
        <w:rPr>
          <w:rFonts w:ascii="宋体" w:hAnsi="宋体" w:cs="宋体" w:eastAsia="宋体" w:hint="default"/>
        </w:rPr>
        <w:t>4</w:t>
      </w:r>
      <w:r>
        <w:rPr/>
        <w:t>月</w:t>
      </w:r>
      <w:r>
        <w:rPr>
          <w:rFonts w:ascii="宋体" w:hAnsi="宋体" w:cs="宋体" w:eastAsia="宋体" w:hint="default"/>
        </w:rPr>
        <w:t>30</w:t>
      </w:r>
      <w:r>
        <w:rPr/>
        <w:t>日每月租金为人民币</w:t>
      </w:r>
      <w:r>
        <w:rPr>
          <w:rFonts w:ascii="宋体" w:hAnsi="宋体" w:cs="宋体" w:eastAsia="宋体" w:hint="default"/>
        </w:rPr>
        <w:t>1,112,688.00</w:t>
      </w:r>
      <w:r>
        <w:rPr/>
        <w:t>元、</w:t>
      </w:r>
      <w:r>
        <w:rPr>
          <w:rFonts w:ascii="宋体" w:hAnsi="宋体" w:cs="宋体" w:eastAsia="宋体" w:hint="default"/>
        </w:rPr>
        <w:t>2020</w:t>
      </w:r>
      <w:r>
        <w:rPr/>
        <w:t>年</w:t>
      </w:r>
      <w:r>
        <w:rPr>
          <w:rFonts w:ascii="宋体" w:hAnsi="宋体" w:cs="宋体" w:eastAsia="宋体" w:hint="default"/>
        </w:rPr>
        <w:t>5</w:t>
      </w:r>
      <w:r>
        <w:rPr/>
        <w:t>月</w:t>
      </w:r>
      <w:r>
        <w:rPr>
          <w:rFonts w:ascii="宋体" w:hAnsi="宋体" w:cs="宋体" w:eastAsia="宋体" w:hint="default"/>
        </w:rPr>
        <w:t>1</w:t>
      </w:r>
      <w:r>
        <w:rPr/>
        <w:t>日至</w:t>
      </w:r>
      <w:r>
        <w:rPr>
          <w:rFonts w:ascii="宋体" w:hAnsi="宋体" w:cs="宋体" w:eastAsia="宋体" w:hint="default"/>
        </w:rPr>
        <w:t>2022</w:t>
      </w:r>
      <w:r>
        <w:rPr/>
        <w:t>年</w:t>
      </w:r>
      <w:r>
        <w:rPr>
          <w:rFonts w:ascii="宋体" w:hAnsi="宋体" w:cs="宋体" w:eastAsia="宋体" w:hint="default"/>
        </w:rPr>
        <w:t>4</w:t>
      </w:r>
      <w:r>
        <w:rPr/>
        <w:t>月</w:t>
      </w:r>
      <w:r>
        <w:rPr>
          <w:rFonts w:ascii="宋体" w:hAnsi="宋体" w:cs="宋体" w:eastAsia="宋体" w:hint="default"/>
        </w:rPr>
        <w:t>30</w:t>
      </w:r>
      <w:r>
        <w:rPr/>
        <w:t>日每月租金为人民币</w:t>
      </w:r>
      <w:r>
        <w:rPr>
          <w:rFonts w:ascii="宋体" w:hAnsi="宋体" w:cs="宋体" w:eastAsia="宋体" w:hint="default"/>
        </w:rPr>
        <w:t>1,182,231.00</w:t>
      </w:r>
      <w:r>
        <w:rPr/>
        <w:t>元、 </w:t>
      </w:r>
      <w:r>
        <w:rPr>
          <w:rFonts w:ascii="宋体" w:hAnsi="宋体" w:cs="宋体" w:eastAsia="宋体" w:hint="default"/>
        </w:rPr>
        <w:t>2022</w:t>
      </w:r>
      <w:r>
        <w:rPr/>
        <w:t>年</w:t>
      </w:r>
      <w:r>
        <w:rPr>
          <w:rFonts w:ascii="宋体" w:hAnsi="宋体" w:cs="宋体" w:eastAsia="宋体" w:hint="default"/>
        </w:rPr>
        <w:t>5</w:t>
      </w:r>
      <w:r>
        <w:rPr/>
        <w:t>月</w:t>
      </w:r>
      <w:r>
        <w:rPr>
          <w:rFonts w:ascii="宋体" w:hAnsi="宋体" w:cs="宋体" w:eastAsia="宋体" w:hint="default"/>
        </w:rPr>
        <w:t>1</w:t>
      </w:r>
      <w:r>
        <w:rPr/>
        <w:t>日至</w:t>
      </w:r>
      <w:r>
        <w:rPr>
          <w:rFonts w:ascii="宋体" w:hAnsi="宋体" w:cs="宋体" w:eastAsia="宋体" w:hint="default"/>
        </w:rPr>
        <w:t>2024</w:t>
      </w:r>
      <w:r>
        <w:rPr/>
        <w:t>年</w:t>
      </w:r>
      <w:r>
        <w:rPr>
          <w:rFonts w:ascii="宋体" w:hAnsi="宋体" w:cs="宋体" w:eastAsia="宋体" w:hint="default"/>
        </w:rPr>
        <w:t>4</w:t>
      </w:r>
      <w:r>
        <w:rPr/>
        <w:t>月</w:t>
      </w:r>
      <w:r>
        <w:rPr>
          <w:rFonts w:ascii="宋体" w:hAnsi="宋体" w:cs="宋体" w:eastAsia="宋体" w:hint="default"/>
        </w:rPr>
        <w:t>30</w:t>
      </w:r>
      <w:r>
        <w:rPr/>
        <w:t>日每月租金为人民币</w:t>
      </w:r>
      <w:r>
        <w:rPr>
          <w:rFonts w:ascii="宋体" w:hAnsi="宋体" w:cs="宋体" w:eastAsia="宋体" w:hint="default"/>
        </w:rPr>
        <w:t>1,251,774.00</w:t>
      </w:r>
      <w:r>
        <w:rPr/>
        <w:t>元、</w:t>
      </w:r>
      <w:r>
        <w:rPr>
          <w:rFonts w:ascii="宋体" w:hAnsi="宋体" w:cs="宋体" w:eastAsia="宋体" w:hint="default"/>
        </w:rPr>
        <w:t>2024</w:t>
      </w:r>
      <w:r>
        <w:rPr/>
        <w:t>年</w:t>
      </w:r>
      <w:r>
        <w:rPr>
          <w:rFonts w:ascii="宋体" w:hAnsi="宋体" w:cs="宋体" w:eastAsia="宋体" w:hint="default"/>
        </w:rPr>
        <w:t>5</w:t>
      </w:r>
      <w:r>
        <w:rPr/>
        <w:t>月</w:t>
      </w:r>
      <w:r>
        <w:rPr>
          <w:rFonts w:ascii="宋体" w:hAnsi="宋体" w:cs="宋体" w:eastAsia="宋体" w:hint="default"/>
        </w:rPr>
        <w:t>1</w:t>
      </w:r>
      <w:r>
        <w:rPr/>
        <w:t>日至</w:t>
      </w:r>
      <w:r>
        <w:rPr>
          <w:rFonts w:ascii="宋体" w:hAnsi="宋体" w:cs="宋体" w:eastAsia="宋体" w:hint="default"/>
        </w:rPr>
        <w:t>2026</w:t>
      </w:r>
      <w:r>
        <w:rPr/>
        <w:t>年</w:t>
      </w:r>
      <w:r>
        <w:rPr>
          <w:rFonts w:ascii="宋体" w:hAnsi="宋体" w:cs="宋体" w:eastAsia="宋体" w:hint="default"/>
        </w:rPr>
        <w:t>4</w:t>
      </w:r>
      <w:r>
        <w:rPr/>
        <w:t>月</w:t>
      </w:r>
      <w:r>
        <w:rPr>
          <w:rFonts w:ascii="宋体" w:hAnsi="宋体" w:cs="宋体" w:eastAsia="宋体" w:hint="default"/>
        </w:rPr>
        <w:t>30</w:t>
      </w:r>
      <w:r>
        <w:rPr/>
        <w:t>日每月租金为人民币</w:t>
      </w:r>
    </w:p>
    <w:p>
      <w:pPr>
        <w:pStyle w:val="BodyText"/>
        <w:spacing w:line="240" w:lineRule="auto" w:before="54"/>
        <w:ind w:right="0"/>
        <w:jc w:val="left"/>
      </w:pPr>
      <w:r>
        <w:rPr>
          <w:rFonts w:ascii="宋体" w:hAnsi="宋体" w:cs="宋体" w:eastAsia="宋体" w:hint="default"/>
        </w:rPr>
        <w:t>1,321,317.00</w:t>
      </w:r>
      <w:r>
        <w:rPr/>
        <w:t>元、</w:t>
      </w:r>
      <w:r>
        <w:rPr>
          <w:rFonts w:ascii="宋体" w:hAnsi="宋体" w:cs="宋体" w:eastAsia="宋体" w:hint="default"/>
        </w:rPr>
        <w:t>2026</w:t>
      </w:r>
      <w:r>
        <w:rPr/>
        <w:t>年</w:t>
      </w:r>
      <w:r>
        <w:rPr>
          <w:rFonts w:ascii="宋体" w:hAnsi="宋体" w:cs="宋体" w:eastAsia="宋体" w:hint="default"/>
        </w:rPr>
        <w:t>5</w:t>
      </w:r>
      <w:r>
        <w:rPr/>
        <w:t>月</w:t>
      </w:r>
      <w:r>
        <w:rPr>
          <w:rFonts w:ascii="宋体" w:hAnsi="宋体" w:cs="宋体" w:eastAsia="宋体" w:hint="default"/>
        </w:rPr>
        <w:t>1</w:t>
      </w:r>
      <w:r>
        <w:rPr/>
        <w:t>日至</w:t>
      </w:r>
      <w:r>
        <w:rPr>
          <w:rFonts w:ascii="宋体" w:hAnsi="宋体" w:cs="宋体" w:eastAsia="宋体" w:hint="default"/>
        </w:rPr>
        <w:t>2028</w:t>
      </w:r>
      <w:r>
        <w:rPr/>
        <w:t>年</w:t>
      </w:r>
      <w:r>
        <w:rPr>
          <w:rFonts w:ascii="宋体" w:hAnsi="宋体" w:cs="宋体" w:eastAsia="宋体" w:hint="default"/>
        </w:rPr>
        <w:t>4</w:t>
      </w:r>
      <w:r>
        <w:rPr/>
        <w:t>月</w:t>
      </w:r>
      <w:r>
        <w:rPr>
          <w:rFonts w:ascii="宋体" w:hAnsi="宋体" w:cs="宋体" w:eastAsia="宋体" w:hint="default"/>
        </w:rPr>
        <w:t>30</w:t>
      </w:r>
      <w:r>
        <w:rPr/>
        <w:t>日每月租金为人民币</w:t>
      </w:r>
      <w:r>
        <w:rPr>
          <w:rFonts w:ascii="宋体" w:hAnsi="宋体" w:cs="宋体" w:eastAsia="宋体" w:hint="default"/>
        </w:rPr>
        <w:t>1,390,860.00</w:t>
      </w:r>
      <w:r>
        <w:rPr/>
        <w:t>元。</w:t>
      </w:r>
    </w:p>
    <w:p>
      <w:pPr>
        <w:spacing w:line="240" w:lineRule="auto" w:before="10"/>
        <w:rPr>
          <w:rFonts w:ascii="宋体" w:hAnsi="宋体" w:cs="宋体" w:eastAsia="宋体" w:hint="default"/>
          <w:sz w:val="17"/>
          <w:szCs w:val="17"/>
        </w:rPr>
      </w:pPr>
    </w:p>
    <w:p>
      <w:pPr>
        <w:pStyle w:val="BodyText"/>
        <w:spacing w:line="463" w:lineRule="auto"/>
        <w:ind w:right="1129" w:firstLine="360"/>
        <w:jc w:val="both"/>
      </w:pPr>
      <w:r>
        <w:rPr>
          <w:spacing w:val="-4"/>
        </w:rPr>
        <w:t>（</w:t>
      </w:r>
      <w:r>
        <w:rPr>
          <w:rFonts w:ascii="宋体" w:hAnsi="宋体" w:cs="宋体" w:eastAsia="宋体" w:hint="default"/>
          <w:spacing w:val="-4"/>
        </w:rPr>
        <w:t>4</w:t>
      </w:r>
      <w:r>
        <w:rPr>
          <w:spacing w:val="-4"/>
        </w:rPr>
        <w:t>）本公司与深圳市嘉恒投资有限公司（以下简称“嘉恒投资”）签订宿舍租赁合同，合同约定：嘉恒投资将位于深圳</w:t>
      </w:r>
      <w:r>
        <w:rPr/>
        <w:t> 市宝安区松岗街道塘下涌同富路</w:t>
      </w:r>
      <w:r>
        <w:rPr>
          <w:rFonts w:ascii="宋体" w:hAnsi="宋体" w:cs="宋体" w:eastAsia="宋体" w:hint="default"/>
        </w:rPr>
        <w:t>10</w:t>
      </w:r>
      <w:r>
        <w:rPr/>
        <w:t>嘉恒工业园</w:t>
      </w:r>
      <w:r>
        <w:rPr>
          <w:rFonts w:ascii="宋体" w:hAnsi="宋体" w:cs="宋体" w:eastAsia="宋体" w:hint="default"/>
        </w:rPr>
        <w:t>3</w:t>
      </w:r>
      <w:r>
        <w:rPr/>
        <w:t>号建筑面积</w:t>
      </w:r>
      <w:r>
        <w:rPr>
          <w:rFonts w:ascii="宋体" w:hAnsi="宋体" w:cs="宋体" w:eastAsia="宋体" w:hint="default"/>
        </w:rPr>
        <w:t>2</w:t>
      </w:r>
      <w:r>
        <w:rPr>
          <w:rFonts w:ascii="Times New Roman" w:hAnsi="Times New Roman" w:cs="Times New Roman" w:eastAsia="Times New Roman" w:hint="default"/>
        </w:rPr>
        <w:t>,</w:t>
      </w:r>
      <w:r>
        <w:rPr>
          <w:rFonts w:ascii="宋体" w:hAnsi="宋体" w:cs="宋体" w:eastAsia="宋体" w:hint="default"/>
        </w:rPr>
        <w:t>669.65</w:t>
      </w:r>
      <w:r>
        <w:rPr/>
        <w:t>平方米的宿舍整栋出租给本公司作为宿舍使用，使用期 限</w:t>
      </w:r>
      <w:r>
        <w:rPr>
          <w:rFonts w:ascii="宋体" w:hAnsi="宋体" w:cs="宋体" w:eastAsia="宋体" w:hint="default"/>
        </w:rPr>
        <w:t>2016</w:t>
      </w:r>
      <w:r>
        <w:rPr/>
        <w:t>年</w:t>
      </w:r>
      <w:r>
        <w:rPr>
          <w:rFonts w:ascii="宋体" w:hAnsi="宋体" w:cs="宋体" w:eastAsia="宋体" w:hint="default"/>
        </w:rPr>
        <w:t>6</w:t>
      </w:r>
      <w:r>
        <w:rPr/>
        <w:t>月</w:t>
      </w:r>
      <w:r>
        <w:rPr>
          <w:rFonts w:ascii="宋体" w:hAnsi="宋体" w:cs="宋体" w:eastAsia="宋体" w:hint="default"/>
        </w:rPr>
        <w:t>20</w:t>
      </w:r>
      <w:r>
        <w:rPr/>
        <w:t>日至</w:t>
      </w:r>
      <w:r>
        <w:rPr>
          <w:rFonts w:ascii="宋体" w:hAnsi="宋体" w:cs="宋体" w:eastAsia="宋体" w:hint="default"/>
        </w:rPr>
        <w:t>2021</w:t>
      </w:r>
      <w:r>
        <w:rPr/>
        <w:t>年</w:t>
      </w:r>
      <w:r>
        <w:rPr>
          <w:rFonts w:ascii="宋体" w:hAnsi="宋体" w:cs="宋体" w:eastAsia="宋体" w:hint="default"/>
        </w:rPr>
        <w:t>6</w:t>
      </w:r>
      <w:r>
        <w:rPr/>
        <w:t>月</w:t>
      </w:r>
      <w:r>
        <w:rPr>
          <w:rFonts w:ascii="宋体" w:hAnsi="宋体" w:cs="宋体" w:eastAsia="宋体" w:hint="default"/>
        </w:rPr>
        <w:t>19</w:t>
      </w:r>
      <w:r>
        <w:rPr/>
        <w:t>日，租金每月人民币</w:t>
      </w:r>
      <w:r>
        <w:rPr>
          <w:rFonts w:ascii="宋体" w:hAnsi="宋体" w:cs="宋体" w:eastAsia="宋体" w:hint="default"/>
        </w:rPr>
        <w:t>44,049.22</w:t>
      </w:r>
      <w:r>
        <w:rPr/>
        <w:t>元。</w:t>
      </w:r>
    </w:p>
    <w:p>
      <w:pPr>
        <w:pStyle w:val="BodyText"/>
        <w:spacing w:line="477" w:lineRule="auto" w:before="65"/>
        <w:ind w:right="0" w:firstLine="360"/>
        <w:jc w:val="left"/>
      </w:pPr>
      <w:r>
        <w:rPr>
          <w:spacing w:val="-4"/>
        </w:rPr>
        <w:t>（</w:t>
      </w:r>
      <w:r>
        <w:rPr>
          <w:rFonts w:ascii="宋体" w:hAnsi="宋体" w:cs="宋体" w:eastAsia="宋体" w:hint="default"/>
          <w:spacing w:val="-4"/>
        </w:rPr>
        <w:t>5</w:t>
      </w:r>
      <w:r>
        <w:rPr>
          <w:spacing w:val="-4"/>
        </w:rPr>
        <w:t>）本公司与深圳市视维科技股份有限公司（以下简称“视维科技”）签订房屋租赁合同，合同约定：视维科技将位于</w:t>
      </w:r>
      <w:r>
        <w:rPr/>
        <w:t> 深圳市南山区南头街道大新路创新大厦</w:t>
      </w:r>
      <w:r>
        <w:rPr>
          <w:rFonts w:ascii="宋体" w:hAnsi="宋体" w:cs="宋体" w:eastAsia="宋体" w:hint="default"/>
        </w:rPr>
        <w:t>B</w:t>
      </w:r>
      <w:r>
        <w:rPr/>
        <w:t>栋十四层建筑面积</w:t>
      </w:r>
      <w:r>
        <w:rPr>
          <w:rFonts w:ascii="宋体" w:hAnsi="宋体" w:cs="宋体" w:eastAsia="宋体" w:hint="default"/>
        </w:rPr>
        <w:t>1,451.12</w:t>
      </w:r>
      <w:r>
        <w:rPr/>
        <w:t>平方米的物业出租给本公司作为办公使用，使用期限 </w:t>
      </w:r>
      <w:r>
        <w:rPr>
          <w:rFonts w:ascii="宋体" w:hAnsi="宋体" w:cs="宋体" w:eastAsia="宋体" w:hint="default"/>
          <w:spacing w:val="-2"/>
        </w:rPr>
        <w:t>2016</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15</w:t>
      </w:r>
      <w:r>
        <w:rPr>
          <w:spacing w:val="-2"/>
        </w:rPr>
        <w:t>日至</w:t>
      </w:r>
      <w:r>
        <w:rPr>
          <w:rFonts w:ascii="宋体" w:hAnsi="宋体" w:cs="宋体" w:eastAsia="宋体" w:hint="default"/>
          <w:spacing w:val="-2"/>
        </w:rPr>
        <w:t>2021</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14</w:t>
      </w:r>
      <w:r>
        <w:rPr>
          <w:spacing w:val="-2"/>
        </w:rPr>
        <w:t>日，租金每月人民币</w:t>
      </w:r>
      <w:r>
        <w:rPr>
          <w:rFonts w:ascii="宋体" w:hAnsi="宋体" w:cs="宋体" w:eastAsia="宋体" w:hint="default"/>
          <w:spacing w:val="-2"/>
        </w:rPr>
        <w:t>137,856.40</w:t>
      </w:r>
      <w:r>
        <w:rPr>
          <w:spacing w:val="-2"/>
        </w:rPr>
        <w:t>元，租金每两年按上年度月租金递增</w:t>
      </w:r>
      <w:r>
        <w:rPr>
          <w:rFonts w:ascii="宋体" w:hAnsi="宋体" w:cs="宋体" w:eastAsia="宋体" w:hint="default"/>
          <w:spacing w:val="-2"/>
        </w:rPr>
        <w:t>5%</w:t>
      </w:r>
      <w:r>
        <w:rPr>
          <w:spacing w:val="-2"/>
        </w:rPr>
        <w:t>。</w:t>
      </w:r>
      <w:r>
        <w:rPr>
          <w:rFonts w:ascii="宋体" w:hAnsi="宋体" w:cs="宋体" w:eastAsia="宋体" w:hint="default"/>
          <w:spacing w:val="-2"/>
        </w:rPr>
        <w:t>2018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w:t>
      </w:r>
      <w:r>
        <w:rPr>
          <w:spacing w:val="-2"/>
        </w:rPr>
        <w:t>日经三方</w:t>
      </w:r>
      <w:r>
        <w:rPr>
          <w:spacing w:val="-34"/>
        </w:rPr>
        <w:t> </w:t>
      </w:r>
      <w:r>
        <w:rPr>
          <w:spacing w:val="-2"/>
        </w:rPr>
        <w:t>协商同意，原合同出租方由视维科技变更为长沙市蓝度信息科技有限公司，原合同出租方权利及义务转移至长沙市蓝度信息</w:t>
      </w:r>
      <w:r>
        <w:rPr>
          <w:spacing w:val="-64"/>
        </w:rPr>
        <w:t> </w:t>
      </w:r>
      <w:r>
        <w:rPr>
          <w:spacing w:val="-64"/>
        </w:rPr>
      </w:r>
      <w:r>
        <w:rPr/>
        <w:t>科技有限公司享有及承担。</w:t>
      </w:r>
    </w:p>
    <w:p>
      <w:pPr>
        <w:pStyle w:val="BodyText"/>
        <w:spacing w:line="477" w:lineRule="auto" w:before="54"/>
        <w:ind w:right="1129" w:firstLine="360"/>
        <w:jc w:val="both"/>
      </w:pPr>
      <w:r>
        <w:rPr>
          <w:spacing w:val="-4"/>
        </w:rPr>
        <w:t>（</w:t>
      </w:r>
      <w:r>
        <w:rPr>
          <w:rFonts w:ascii="宋体" w:hAnsi="宋体" w:cs="宋体" w:eastAsia="宋体" w:hint="default"/>
          <w:spacing w:val="-4"/>
        </w:rPr>
        <w:t>6</w:t>
      </w:r>
      <w:r>
        <w:rPr>
          <w:spacing w:val="-4"/>
        </w:rPr>
        <w:t>）本公司与深圳市和燚投资发展股份有限公司（以下简称“和燚投资”）签订房屋租赁合同，合同约定：和燚投资将</w:t>
      </w:r>
      <w:r>
        <w:rPr/>
        <w:t> 位于深圳市南山区南头街道大新路创新大厦</w:t>
      </w:r>
      <w:r>
        <w:rPr>
          <w:rFonts w:ascii="宋体" w:hAnsi="宋体" w:cs="宋体" w:eastAsia="宋体" w:hint="default"/>
        </w:rPr>
        <w:t>B</w:t>
      </w:r>
      <w:r>
        <w:rPr/>
        <w:t>栋十二、十三层建筑面积</w:t>
      </w:r>
      <w:r>
        <w:rPr>
          <w:rFonts w:ascii="宋体" w:hAnsi="宋体" w:cs="宋体" w:eastAsia="宋体" w:hint="default"/>
        </w:rPr>
        <w:t>3,249.46</w:t>
      </w:r>
      <w:r>
        <w:rPr/>
        <w:t>平方米的物业出租给本公司作为办公使用， 使用期限</w:t>
      </w:r>
      <w:r>
        <w:rPr>
          <w:rFonts w:ascii="宋体" w:hAnsi="宋体" w:cs="宋体" w:eastAsia="宋体" w:hint="default"/>
        </w:rPr>
        <w:t>2016</w:t>
      </w:r>
      <w:r>
        <w:rPr/>
        <w:t>年</w:t>
      </w:r>
      <w:r>
        <w:rPr>
          <w:rFonts w:ascii="宋体" w:hAnsi="宋体" w:cs="宋体" w:eastAsia="宋体" w:hint="default"/>
        </w:rPr>
        <w:t>8</w:t>
      </w:r>
      <w:r>
        <w:rPr/>
        <w:t>月</w:t>
      </w:r>
      <w:r>
        <w:rPr>
          <w:rFonts w:ascii="宋体" w:hAnsi="宋体" w:cs="宋体" w:eastAsia="宋体" w:hint="default"/>
        </w:rPr>
        <w:t>9</w:t>
      </w:r>
      <w:r>
        <w:rPr/>
        <w:t>日至</w:t>
      </w:r>
      <w:r>
        <w:rPr>
          <w:rFonts w:ascii="宋体" w:hAnsi="宋体" w:cs="宋体" w:eastAsia="宋体" w:hint="default"/>
        </w:rPr>
        <w:t>2021</w:t>
      </w:r>
      <w:r>
        <w:rPr/>
        <w:t>年</w:t>
      </w:r>
      <w:r>
        <w:rPr>
          <w:rFonts w:ascii="宋体" w:hAnsi="宋体" w:cs="宋体" w:eastAsia="宋体" w:hint="default"/>
        </w:rPr>
        <w:t>8</w:t>
      </w:r>
      <w:r>
        <w:rPr/>
        <w:t>月</w:t>
      </w:r>
      <w:r>
        <w:rPr>
          <w:rFonts w:ascii="宋体" w:hAnsi="宋体" w:cs="宋体" w:eastAsia="宋体" w:hint="default"/>
        </w:rPr>
        <w:t>8</w:t>
      </w:r>
      <w:r>
        <w:rPr/>
        <w:t>日，租金每月人民币</w:t>
      </w:r>
      <w:r>
        <w:rPr>
          <w:rFonts w:ascii="宋体" w:hAnsi="宋体" w:cs="宋体" w:eastAsia="宋体" w:hint="default"/>
        </w:rPr>
        <w:t>292,451.40</w:t>
      </w:r>
      <w:r>
        <w:rPr/>
        <w:t>元，租金每两年按上年度月租金递增</w:t>
      </w:r>
      <w:r>
        <w:rPr>
          <w:rFonts w:ascii="宋体" w:hAnsi="宋体" w:cs="宋体" w:eastAsia="宋体" w:hint="default"/>
        </w:rPr>
        <w:t>5%</w:t>
      </w:r>
      <w:r>
        <w:rPr/>
        <w:t>。</w:t>
      </w:r>
      <w:r>
        <w:rPr>
          <w:rFonts w:ascii="宋体" w:hAnsi="宋体" w:cs="宋体" w:eastAsia="宋体" w:hint="default"/>
        </w:rPr>
        <w:t>2017</w:t>
      </w:r>
      <w:r>
        <w:rPr/>
        <w:t>年</w:t>
      </w:r>
      <w:r>
        <w:rPr>
          <w:rFonts w:ascii="宋体" w:hAnsi="宋体" w:cs="宋体" w:eastAsia="宋体" w:hint="default"/>
        </w:rPr>
        <w:t>7</w:t>
      </w:r>
      <w:r>
        <w:rPr/>
        <w:t>月</w:t>
      </w:r>
      <w:r>
        <w:rPr>
          <w:rFonts w:ascii="宋体" w:hAnsi="宋体" w:cs="宋体" w:eastAsia="宋体" w:hint="default"/>
        </w:rPr>
        <w:t>26 </w:t>
      </w:r>
      <w:r>
        <w:rPr>
          <w:spacing w:val="-2"/>
        </w:rPr>
        <w:t>日经三方协商同意，原合同出租方由和燚投资变更为深圳市众燚装饰工程有限公司，原合同出租方权利及义务转移至深圳市</w:t>
      </w:r>
      <w:r>
        <w:rPr>
          <w:spacing w:val="-64"/>
        </w:rPr>
        <w:t> </w:t>
      </w:r>
      <w:r>
        <w:rPr>
          <w:spacing w:val="-64"/>
        </w:rPr>
      </w:r>
      <w:r>
        <w:rPr/>
        <w:t>众燚装饰工程有限公司享有及承担。</w:t>
      </w:r>
    </w:p>
    <w:p>
      <w:pPr>
        <w:pStyle w:val="BodyText"/>
        <w:spacing w:line="240" w:lineRule="auto" w:before="17"/>
        <w:ind w:right="0"/>
        <w:jc w:val="left"/>
      </w:pPr>
      <w:r>
        <w:rPr/>
        <w:t>为公司带来的损益达到公司报告期利润总额</w:t>
      </w:r>
      <w:r>
        <w:rPr>
          <w:spacing w:val="-46"/>
        </w:rPr>
        <w:t> </w:t>
      </w:r>
      <w:r>
        <w:rPr>
          <w:rFonts w:ascii="Times New Roman" w:hAnsi="Times New Roman" w:cs="Times New Roman" w:eastAsia="Times New Roman" w:hint="default"/>
        </w:rPr>
        <w:t>10%</w:t>
      </w:r>
      <w:r>
        <w:rPr/>
        <w:t>以上的项目</w:t>
      </w:r>
    </w:p>
    <w:p>
      <w:pPr>
        <w:pStyle w:val="BodyText"/>
        <w:spacing w:line="240" w:lineRule="auto" w:before="103"/>
        <w:ind w:right="0"/>
        <w:jc w:val="left"/>
      </w:pPr>
      <w:r>
        <w:rPr/>
        <w:t>√ 适用 □ 不适用</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870"/>
        <w:gridCol w:w="870"/>
        <w:gridCol w:w="870"/>
        <w:gridCol w:w="870"/>
        <w:gridCol w:w="870"/>
        <w:gridCol w:w="868"/>
        <w:gridCol w:w="870"/>
        <w:gridCol w:w="869"/>
        <w:gridCol w:w="869"/>
        <w:gridCol w:w="869"/>
        <w:gridCol w:w="869"/>
      </w:tblGrid>
      <w:tr>
        <w:trPr>
          <w:trHeight w:val="1338" w:hRule="exact"/>
        </w:trPr>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49" w:right="159" w:hanging="90"/>
              <w:jc w:val="left"/>
              <w:rPr>
                <w:rFonts w:ascii="宋体" w:hAnsi="宋体" w:cs="宋体" w:eastAsia="宋体" w:hint="default"/>
                <w:sz w:val="18"/>
                <w:szCs w:val="18"/>
              </w:rPr>
            </w:pPr>
            <w:r>
              <w:rPr>
                <w:rFonts w:ascii="宋体" w:hAnsi="宋体" w:cs="宋体" w:eastAsia="宋体" w:hint="default"/>
                <w:sz w:val="18"/>
                <w:szCs w:val="18"/>
              </w:rPr>
              <w:t>出租方 名称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49" w:right="158" w:hanging="90"/>
              <w:jc w:val="left"/>
              <w:rPr>
                <w:rFonts w:ascii="宋体" w:hAnsi="宋体" w:cs="宋体" w:eastAsia="宋体" w:hint="default"/>
                <w:sz w:val="18"/>
                <w:szCs w:val="18"/>
              </w:rPr>
            </w:pPr>
            <w:r>
              <w:rPr>
                <w:rFonts w:ascii="宋体" w:hAnsi="宋体" w:cs="宋体" w:eastAsia="宋体" w:hint="default"/>
                <w:sz w:val="18"/>
                <w:szCs w:val="18"/>
              </w:rPr>
              <w:t>租赁方 名称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59" w:right="158"/>
              <w:jc w:val="left"/>
              <w:rPr>
                <w:rFonts w:ascii="宋体" w:hAnsi="宋体" w:cs="宋体" w:eastAsia="宋体" w:hint="default"/>
                <w:sz w:val="18"/>
                <w:szCs w:val="18"/>
              </w:rPr>
            </w:pPr>
            <w:r>
              <w:rPr>
                <w:rFonts w:ascii="宋体" w:hAnsi="宋体" w:cs="宋体" w:eastAsia="宋体" w:hint="default"/>
                <w:sz w:val="18"/>
                <w:szCs w:val="18"/>
              </w:rPr>
              <w:t>租赁资 产情况</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01" w:hanging="2"/>
              <w:jc w:val="center"/>
              <w:rPr>
                <w:rFonts w:ascii="宋体" w:hAnsi="宋体" w:cs="宋体" w:eastAsia="宋体" w:hint="default"/>
                <w:sz w:val="18"/>
                <w:szCs w:val="18"/>
              </w:rPr>
            </w:pPr>
            <w:r>
              <w:rPr>
                <w:rFonts w:ascii="宋体" w:hAnsi="宋体" w:cs="宋体" w:eastAsia="宋体" w:hint="default"/>
                <w:sz w:val="18"/>
                <w:szCs w:val="18"/>
              </w:rPr>
              <w:t>租赁资 产涉及 </w:t>
            </w:r>
            <w:r>
              <w:rPr>
                <w:rFonts w:ascii="宋体" w:hAnsi="宋体" w:cs="宋体" w:eastAsia="宋体" w:hint="default"/>
                <w:spacing w:val="-17"/>
                <w:sz w:val="18"/>
                <w:szCs w:val="18"/>
              </w:rPr>
              <w:t>金额（万</w:t>
            </w:r>
            <w:r>
              <w:rPr>
                <w:rFonts w:ascii="宋体" w:hAnsi="宋体" w:cs="宋体" w:eastAsia="宋体" w:hint="default"/>
                <w:sz w:val="18"/>
                <w:szCs w:val="18"/>
              </w:rPr>
              <w:t> 元）</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49" w:right="159" w:hanging="90"/>
              <w:jc w:val="left"/>
              <w:rPr>
                <w:rFonts w:ascii="宋体" w:hAnsi="宋体" w:cs="宋体" w:eastAsia="宋体" w:hint="default"/>
                <w:sz w:val="18"/>
                <w:szCs w:val="18"/>
              </w:rPr>
            </w:pPr>
            <w:r>
              <w:rPr>
                <w:rFonts w:ascii="宋体" w:hAnsi="宋体" w:cs="宋体" w:eastAsia="宋体" w:hint="default"/>
                <w:sz w:val="18"/>
                <w:szCs w:val="18"/>
              </w:rPr>
              <w:t>租赁起 始日</w:t>
            </w:r>
          </w:p>
        </w:tc>
        <w:tc>
          <w:tcPr>
            <w:tcW w:w="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48" w:right="157" w:hanging="90"/>
              <w:jc w:val="left"/>
              <w:rPr>
                <w:rFonts w:ascii="宋体" w:hAnsi="宋体" w:cs="宋体" w:eastAsia="宋体" w:hint="default"/>
                <w:sz w:val="18"/>
                <w:szCs w:val="18"/>
              </w:rPr>
            </w:pPr>
            <w:r>
              <w:rPr>
                <w:rFonts w:ascii="宋体" w:hAnsi="宋体" w:cs="宋体" w:eastAsia="宋体" w:hint="default"/>
                <w:sz w:val="18"/>
                <w:szCs w:val="18"/>
              </w:rPr>
              <w:t>租赁终 止日</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59" w:right="158"/>
              <w:jc w:val="both"/>
              <w:rPr>
                <w:rFonts w:ascii="宋体" w:hAnsi="宋体" w:cs="宋体" w:eastAsia="宋体" w:hint="default"/>
                <w:sz w:val="18"/>
                <w:szCs w:val="18"/>
              </w:rPr>
            </w:pPr>
            <w:r>
              <w:rPr>
                <w:rFonts w:ascii="宋体" w:hAnsi="宋体" w:cs="宋体" w:eastAsia="宋体" w:hint="default"/>
                <w:sz w:val="18"/>
                <w:szCs w:val="18"/>
              </w:rPr>
              <w:t>租赁收 益（万 元）</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58" w:right="158"/>
              <w:jc w:val="both"/>
              <w:rPr>
                <w:rFonts w:ascii="宋体" w:hAnsi="宋体" w:cs="宋体" w:eastAsia="宋体" w:hint="default"/>
                <w:sz w:val="18"/>
                <w:szCs w:val="18"/>
              </w:rPr>
            </w:pPr>
            <w:r>
              <w:rPr>
                <w:rFonts w:ascii="宋体" w:hAnsi="宋体" w:cs="宋体" w:eastAsia="宋体" w:hint="default"/>
                <w:sz w:val="18"/>
                <w:szCs w:val="18"/>
              </w:rPr>
              <w:t>租赁收 益确定 依据</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59" w:right="157"/>
              <w:jc w:val="both"/>
              <w:rPr>
                <w:rFonts w:ascii="宋体" w:hAnsi="宋体" w:cs="宋体" w:eastAsia="宋体" w:hint="default"/>
                <w:sz w:val="18"/>
                <w:szCs w:val="18"/>
              </w:rPr>
            </w:pPr>
            <w:r>
              <w:rPr>
                <w:rFonts w:ascii="宋体" w:hAnsi="宋体" w:cs="宋体" w:eastAsia="宋体" w:hint="default"/>
                <w:sz w:val="18"/>
                <w:szCs w:val="18"/>
              </w:rPr>
              <w:t>租赁收 益对公 司影响</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59" w:right="157"/>
              <w:jc w:val="left"/>
              <w:rPr>
                <w:rFonts w:ascii="宋体" w:hAnsi="宋体" w:cs="宋体" w:eastAsia="宋体" w:hint="default"/>
                <w:sz w:val="18"/>
                <w:szCs w:val="18"/>
              </w:rPr>
            </w:pPr>
            <w:r>
              <w:rPr>
                <w:rFonts w:ascii="宋体" w:hAnsi="宋体" w:cs="宋体" w:eastAsia="宋体" w:hint="default"/>
                <w:sz w:val="18"/>
                <w:szCs w:val="18"/>
              </w:rPr>
              <w:t>是否关 联交易</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339" w:right="157" w:hanging="180"/>
              <w:jc w:val="left"/>
              <w:rPr>
                <w:rFonts w:ascii="宋体" w:hAnsi="宋体" w:cs="宋体" w:eastAsia="宋体" w:hint="default"/>
                <w:sz w:val="18"/>
                <w:szCs w:val="18"/>
              </w:rPr>
            </w:pPr>
            <w:r>
              <w:rPr>
                <w:rFonts w:ascii="宋体" w:hAnsi="宋体" w:cs="宋体" w:eastAsia="宋体" w:hint="default"/>
                <w:sz w:val="18"/>
                <w:szCs w:val="18"/>
              </w:rPr>
              <w:t>关联关 系</w:t>
            </w:r>
          </w:p>
        </w:tc>
      </w:tr>
      <w:tr>
        <w:trPr>
          <w:trHeight w:val="1026" w:hRule="exact"/>
        </w:trPr>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15"/>
              <w:jc w:val="both"/>
              <w:rPr>
                <w:rFonts w:ascii="宋体" w:hAnsi="宋体" w:cs="宋体" w:eastAsia="宋体" w:hint="default"/>
                <w:sz w:val="18"/>
                <w:szCs w:val="18"/>
              </w:rPr>
            </w:pPr>
            <w:r>
              <w:rPr>
                <w:rFonts w:ascii="宋体" w:hAnsi="宋体" w:cs="宋体" w:eastAsia="宋体" w:hint="default"/>
                <w:sz w:val="18"/>
                <w:szCs w:val="18"/>
              </w:rPr>
              <w:t>深圳英 特利投 资有</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15"/>
              <w:jc w:val="both"/>
              <w:rPr>
                <w:rFonts w:ascii="宋体" w:hAnsi="宋体" w:cs="宋体" w:eastAsia="宋体" w:hint="default"/>
                <w:sz w:val="18"/>
                <w:szCs w:val="18"/>
              </w:rPr>
            </w:pPr>
            <w:r>
              <w:rPr>
                <w:rFonts w:ascii="宋体" w:hAnsi="宋体" w:cs="宋体" w:eastAsia="宋体" w:hint="default"/>
                <w:sz w:val="18"/>
                <w:szCs w:val="18"/>
              </w:rPr>
              <w:t>深圳市 卓翼智 造有</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103" w:right="215"/>
              <w:jc w:val="both"/>
              <w:rPr>
                <w:rFonts w:ascii="宋体" w:hAnsi="宋体" w:cs="宋体" w:eastAsia="宋体" w:hint="default"/>
                <w:sz w:val="18"/>
                <w:szCs w:val="18"/>
              </w:rPr>
            </w:pPr>
            <w:r>
              <w:rPr>
                <w:rFonts w:ascii="宋体" w:hAnsi="宋体" w:cs="宋体" w:eastAsia="宋体" w:hint="default"/>
                <w:sz w:val="18"/>
                <w:szCs w:val="18"/>
              </w:rPr>
              <w:t>松岗同 富裕工 业区的</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-1,308.7</w:t>
            </w:r>
            <w:r>
              <w:rPr>
                <w:rFonts w:ascii="Times New Roman"/>
                <w:sz w:val="18"/>
              </w:rPr>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2" w:right="0"/>
              <w:jc w:val="left"/>
              <w:rPr>
                <w:rFonts w:ascii="宋体" w:hAnsi="宋体" w:cs="宋体" w:eastAsia="宋体" w:hint="default"/>
                <w:sz w:val="18"/>
                <w:szCs w:val="18"/>
              </w:rPr>
            </w:pPr>
            <w:r>
              <w:rPr>
                <w:rFonts w:ascii="宋体" w:hAnsi="宋体" w:cs="宋体" w:eastAsia="宋体" w:hint="default"/>
                <w:sz w:val="18"/>
                <w:szCs w:val="18"/>
              </w:rPr>
              <w:t>协议</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215"/>
              <w:jc w:val="left"/>
              <w:rPr>
                <w:rFonts w:ascii="宋体" w:hAnsi="宋体" w:cs="宋体" w:eastAsia="宋体" w:hint="default"/>
                <w:sz w:val="18"/>
                <w:szCs w:val="18"/>
              </w:rPr>
            </w:pPr>
            <w:r>
              <w:rPr>
                <w:rFonts w:ascii="宋体" w:hAnsi="宋体" w:cs="宋体" w:eastAsia="宋体" w:hint="default"/>
                <w:sz w:val="18"/>
                <w:szCs w:val="18"/>
              </w:rPr>
              <w:t>增加费 用</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footerReference w:type="default" r:id="rId41"/>
          <w:pgSz w:w="11910" w:h="16840"/>
          <w:pgMar w:footer="1019" w:header="0" w:top="1120" w:bottom="1200" w:left="980" w:right="0"/>
          <w:pgNumType w:start="56"/>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870"/>
        <w:gridCol w:w="870"/>
        <w:gridCol w:w="870"/>
        <w:gridCol w:w="870"/>
        <w:gridCol w:w="870"/>
        <w:gridCol w:w="868"/>
        <w:gridCol w:w="870"/>
        <w:gridCol w:w="869"/>
        <w:gridCol w:w="869"/>
        <w:gridCol w:w="869"/>
        <w:gridCol w:w="869"/>
      </w:tblGrid>
      <w:tr>
        <w:trPr>
          <w:trHeight w:val="1298" w:hRule="exact"/>
        </w:trPr>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p>
            <w:pPr>
              <w:pStyle w:val="TableParagraph"/>
              <w:spacing w:line="300" w:lineRule="auto" w:before="63"/>
              <w:ind w:left="103" w:right="170"/>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厂房 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宿舍</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68"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2586" w:hRule="exact"/>
        </w:trPr>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方俊基</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03" w:right="215"/>
              <w:jc w:val="both"/>
              <w:rPr>
                <w:rFonts w:ascii="宋体" w:hAnsi="宋体" w:cs="宋体" w:eastAsia="宋体" w:hint="default"/>
                <w:sz w:val="18"/>
                <w:szCs w:val="18"/>
              </w:rPr>
            </w:pPr>
            <w:r>
              <w:rPr>
                <w:rFonts w:ascii="宋体" w:hAnsi="宋体" w:cs="宋体" w:eastAsia="宋体" w:hint="default"/>
                <w:sz w:val="18"/>
                <w:szCs w:val="18"/>
              </w:rPr>
              <w:t>深圳市 卓翼科 技股份 有限公 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5"/>
              <w:jc w:val="both"/>
              <w:rPr>
                <w:rFonts w:ascii="宋体" w:hAnsi="宋体" w:cs="宋体" w:eastAsia="宋体" w:hint="default"/>
                <w:sz w:val="18"/>
                <w:szCs w:val="18"/>
              </w:rPr>
            </w:pPr>
            <w:r>
              <w:rPr>
                <w:rFonts w:ascii="宋体" w:hAnsi="宋体" w:cs="宋体" w:eastAsia="宋体" w:hint="default"/>
                <w:sz w:val="18"/>
                <w:szCs w:val="18"/>
              </w:rPr>
              <w:t>深圳市 南山区 桃源街 道平山 民企工 业区第</w:t>
            </w:r>
          </w:p>
          <w:p>
            <w:pPr>
              <w:pStyle w:val="TableParagraph"/>
              <w:spacing w:line="240" w:lineRule="auto" w:before="19"/>
              <w:ind w:left="103"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  </w:t>
            </w:r>
            <w:r>
              <w:rPr>
                <w:rFonts w:ascii="宋体" w:hAnsi="宋体" w:cs="宋体" w:eastAsia="宋体" w:hint="default"/>
                <w:sz w:val="18"/>
                <w:szCs w:val="18"/>
              </w:rPr>
              <w:t>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103" w:right="0"/>
              <w:jc w:val="both"/>
              <w:rPr>
                <w:rFonts w:ascii="宋体" w:hAnsi="宋体" w:cs="宋体" w:eastAsia="宋体" w:hint="default"/>
                <w:sz w:val="18"/>
                <w:szCs w:val="18"/>
              </w:rPr>
            </w:pPr>
            <w:r>
              <w:rPr>
                <w:rFonts w:ascii="宋体" w:hAnsi="宋体" w:cs="宋体" w:eastAsia="宋体" w:hint="default"/>
                <w:sz w:val="18"/>
                <w:szCs w:val="18"/>
              </w:rPr>
              <w:t>楼厂房</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-1,307.4</w:t>
            </w:r>
            <w:r>
              <w:rPr>
                <w:rFonts w:ascii="Times New Roman"/>
                <w:sz w:val="18"/>
              </w:rPr>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协议</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6" w:lineRule="auto"/>
              <w:ind w:left="103" w:right="215"/>
              <w:jc w:val="left"/>
              <w:rPr>
                <w:rFonts w:ascii="宋体" w:hAnsi="宋体" w:cs="宋体" w:eastAsia="宋体" w:hint="default"/>
                <w:sz w:val="18"/>
                <w:szCs w:val="18"/>
              </w:rPr>
            </w:pPr>
            <w:r>
              <w:rPr>
                <w:rFonts w:ascii="宋体" w:hAnsi="宋体" w:cs="宋体" w:eastAsia="宋体" w:hint="default"/>
                <w:sz w:val="18"/>
                <w:szCs w:val="18"/>
              </w:rPr>
              <w:t>增加费 用</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重大担保" w:id="93"/>
      <w:bookmarkEnd w:id="93"/>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1）担保情况" w:id="94"/>
      <w:bookmarkEnd w:id="94"/>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09"/>
        <w:gridCol w:w="926"/>
        <w:gridCol w:w="924"/>
        <w:gridCol w:w="1296"/>
        <w:gridCol w:w="1063"/>
        <w:gridCol w:w="1034"/>
        <w:gridCol w:w="1049"/>
        <w:gridCol w:w="792"/>
        <w:gridCol w:w="780"/>
      </w:tblGrid>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32"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338"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9" w:right="185"/>
              <w:jc w:val="both"/>
              <w:rPr>
                <w:rFonts w:ascii="宋体" w:hAnsi="宋体" w:cs="宋体" w:eastAsia="宋体" w:hint="default"/>
                <w:sz w:val="18"/>
                <w:szCs w:val="18"/>
              </w:rPr>
            </w:pPr>
            <w:r>
              <w:rPr>
                <w:rFonts w:ascii="宋体" w:hAnsi="宋体" w:cs="宋体" w:eastAsia="宋体" w:hint="default"/>
                <w:sz w:val="18"/>
                <w:szCs w:val="18"/>
              </w:rPr>
              <w:t>担保额 度相关 公告披 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368" w:right="185" w:hanging="180"/>
              <w:jc w:val="left"/>
              <w:rPr>
                <w:rFonts w:ascii="宋体" w:hAnsi="宋体" w:cs="宋体" w:eastAsia="宋体" w:hint="default"/>
                <w:sz w:val="18"/>
                <w:szCs w:val="18"/>
              </w:rPr>
            </w:pPr>
            <w:r>
              <w:rPr>
                <w:rFonts w:ascii="宋体" w:hAnsi="宋体" w:cs="宋体" w:eastAsia="宋体" w:hint="default"/>
                <w:sz w:val="18"/>
                <w:szCs w:val="18"/>
              </w:rPr>
              <w:t>担保额 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346" w:right="164" w:hanging="180"/>
              <w:jc w:val="left"/>
              <w:rPr>
                <w:rFonts w:ascii="宋体" w:hAnsi="宋体" w:cs="宋体" w:eastAsia="宋体" w:hint="default"/>
                <w:sz w:val="18"/>
                <w:szCs w:val="18"/>
              </w:rPr>
            </w:pPr>
            <w:r>
              <w:rPr>
                <w:rFonts w:ascii="宋体" w:hAnsi="宋体" w:cs="宋体" w:eastAsia="宋体" w:hint="default"/>
                <w:sz w:val="18"/>
                <w:szCs w:val="18"/>
              </w:rPr>
              <w:t>实际担保 金额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22" w:right="119"/>
              <w:jc w:val="left"/>
              <w:rPr>
                <w:rFonts w:ascii="宋体" w:hAnsi="宋体" w:cs="宋体" w:eastAsia="宋体" w:hint="default"/>
                <w:sz w:val="18"/>
                <w:szCs w:val="18"/>
              </w:rPr>
            </w:pPr>
            <w:r>
              <w:rPr>
                <w:rFonts w:ascii="宋体" w:hAnsi="宋体" w:cs="宋体" w:eastAsia="宋体" w:hint="default"/>
                <w:sz w:val="18"/>
                <w:szCs w:val="18"/>
              </w:rPr>
              <w:t>是否履 行完毕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13" w:right="114"/>
              <w:jc w:val="both"/>
              <w:rPr>
                <w:rFonts w:ascii="宋体" w:hAnsi="宋体" w:cs="宋体" w:eastAsia="宋体" w:hint="default"/>
                <w:sz w:val="18"/>
                <w:szCs w:val="18"/>
              </w:rPr>
            </w:pPr>
            <w:r>
              <w:rPr>
                <w:rFonts w:ascii="宋体" w:hAnsi="宋体" w:cs="宋体" w:eastAsia="宋体" w:hint="default"/>
                <w:sz w:val="18"/>
                <w:szCs w:val="18"/>
              </w:rPr>
              <w:t>是否为 关联方 担保</w:t>
            </w:r>
          </w:p>
        </w:tc>
      </w:tr>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337"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6" w:right="188"/>
              <w:jc w:val="both"/>
              <w:rPr>
                <w:rFonts w:ascii="宋体" w:hAnsi="宋体" w:cs="宋体" w:eastAsia="宋体" w:hint="default"/>
                <w:sz w:val="18"/>
                <w:szCs w:val="18"/>
              </w:rPr>
            </w:pPr>
            <w:r>
              <w:rPr>
                <w:rFonts w:ascii="宋体" w:hAnsi="宋体" w:cs="宋体" w:eastAsia="宋体" w:hint="default"/>
                <w:sz w:val="18"/>
                <w:szCs w:val="18"/>
              </w:rPr>
              <w:t>担保额 度相关 公告披 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64" w:right="187" w:hanging="180"/>
              <w:jc w:val="left"/>
              <w:rPr>
                <w:rFonts w:ascii="宋体" w:hAnsi="宋体" w:cs="宋体" w:eastAsia="宋体" w:hint="default"/>
                <w:sz w:val="18"/>
                <w:szCs w:val="18"/>
              </w:rPr>
            </w:pPr>
            <w:r>
              <w:rPr>
                <w:rFonts w:ascii="宋体" w:hAnsi="宋体" w:cs="宋体" w:eastAsia="宋体" w:hint="default"/>
                <w:sz w:val="18"/>
                <w:szCs w:val="18"/>
              </w:rPr>
              <w:t>担保额 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46" w:right="164" w:hanging="180"/>
              <w:jc w:val="left"/>
              <w:rPr>
                <w:rFonts w:ascii="宋体" w:hAnsi="宋体" w:cs="宋体" w:eastAsia="宋体" w:hint="default"/>
                <w:sz w:val="18"/>
                <w:szCs w:val="18"/>
              </w:rPr>
            </w:pPr>
            <w:r>
              <w:rPr>
                <w:rFonts w:ascii="宋体" w:hAnsi="宋体" w:cs="宋体" w:eastAsia="宋体" w:hint="default"/>
                <w:sz w:val="18"/>
                <w:szCs w:val="18"/>
              </w:rPr>
              <w:t>实际担保 金额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18" w:right="121"/>
              <w:jc w:val="left"/>
              <w:rPr>
                <w:rFonts w:ascii="宋体" w:hAnsi="宋体" w:cs="宋体" w:eastAsia="宋体" w:hint="default"/>
                <w:sz w:val="18"/>
                <w:szCs w:val="18"/>
              </w:rPr>
            </w:pPr>
            <w:r>
              <w:rPr>
                <w:rFonts w:ascii="宋体" w:hAnsi="宋体" w:cs="宋体" w:eastAsia="宋体" w:hint="default"/>
                <w:sz w:val="18"/>
                <w:szCs w:val="18"/>
              </w:rPr>
              <w:t>是否履 行完毕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13" w:right="114"/>
              <w:jc w:val="both"/>
              <w:rPr>
                <w:rFonts w:ascii="宋体" w:hAnsi="宋体" w:cs="宋体" w:eastAsia="宋体" w:hint="default"/>
                <w:sz w:val="18"/>
                <w:szCs w:val="18"/>
              </w:rPr>
            </w:pPr>
            <w:r>
              <w:rPr>
                <w:rFonts w:ascii="宋体" w:hAnsi="宋体" w:cs="宋体" w:eastAsia="宋体" w:hint="default"/>
                <w:sz w:val="18"/>
                <w:szCs w:val="18"/>
              </w:rPr>
              <w:t>是否为 关联方 担保</w:t>
            </w:r>
          </w:p>
        </w:tc>
      </w:tr>
      <w:tr>
        <w:trPr>
          <w:trHeight w:val="1650"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03" w:right="154"/>
              <w:jc w:val="left"/>
              <w:rPr>
                <w:rFonts w:ascii="宋体" w:hAnsi="宋体" w:cs="宋体" w:eastAsia="宋体" w:hint="default"/>
                <w:sz w:val="18"/>
                <w:szCs w:val="18"/>
              </w:rPr>
            </w:pPr>
            <w:r>
              <w:rPr>
                <w:rFonts w:ascii="宋体" w:hAnsi="宋体" w:cs="宋体" w:eastAsia="宋体" w:hint="default"/>
                <w:sz w:val="18"/>
                <w:szCs w:val="18"/>
              </w:rPr>
              <w:t>深圳市卓翼智造有 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808.19</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15"/>
              <w:jc w:val="both"/>
              <w:rPr>
                <w:rFonts w:ascii="宋体" w:hAnsi="宋体" w:cs="宋体" w:eastAsia="宋体" w:hint="default"/>
                <w:sz w:val="18"/>
                <w:szCs w:val="18"/>
              </w:rPr>
            </w:pPr>
            <w:r>
              <w:rPr>
                <w:rFonts w:ascii="宋体" w:hAnsi="宋体" w:cs="宋体" w:eastAsia="宋体" w:hint="default"/>
                <w:sz w:val="18"/>
                <w:szCs w:val="18"/>
              </w:rPr>
              <w:t>贷款之日 起至债务 履行期届 满之日起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3" w:right="154"/>
              <w:jc w:val="left"/>
              <w:rPr>
                <w:rFonts w:ascii="宋体" w:hAnsi="宋体" w:cs="宋体" w:eastAsia="宋体" w:hint="default"/>
                <w:sz w:val="18"/>
                <w:szCs w:val="18"/>
              </w:rPr>
            </w:pPr>
            <w:r>
              <w:rPr>
                <w:rFonts w:ascii="宋体" w:hAnsi="宋体" w:cs="宋体" w:eastAsia="宋体" w:hint="default"/>
                <w:sz w:val="18"/>
                <w:szCs w:val="18"/>
              </w:rPr>
              <w:t>天津卓达科技发展 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7"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154"/>
              <w:jc w:val="left"/>
              <w:rPr>
                <w:rFonts w:ascii="宋体" w:hAnsi="宋体" w:cs="宋体" w:eastAsia="宋体" w:hint="default"/>
                <w:sz w:val="18"/>
                <w:szCs w:val="18"/>
              </w:rPr>
            </w:pPr>
            <w:r>
              <w:rPr>
                <w:rFonts w:ascii="宋体" w:hAnsi="宋体" w:cs="宋体" w:eastAsia="宋体" w:hint="default"/>
                <w:sz w:val="18"/>
                <w:szCs w:val="18"/>
              </w:rPr>
              <w:t>深圳市卓翼智造有 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3,720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103" w:right="215"/>
              <w:jc w:val="both"/>
              <w:rPr>
                <w:rFonts w:ascii="宋体" w:hAnsi="宋体" w:cs="宋体" w:eastAsia="宋体" w:hint="default"/>
                <w:sz w:val="18"/>
                <w:szCs w:val="18"/>
              </w:rPr>
            </w:pPr>
            <w:r>
              <w:rPr>
                <w:rFonts w:ascii="宋体" w:hAnsi="宋体" w:cs="宋体" w:eastAsia="宋体" w:hint="default"/>
                <w:sz w:val="18"/>
                <w:szCs w:val="18"/>
              </w:rPr>
              <w:t>主债权发 生期间届 满之日起</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9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709"/>
        <w:gridCol w:w="923"/>
        <w:gridCol w:w="928"/>
        <w:gridCol w:w="1296"/>
        <w:gridCol w:w="1063"/>
        <w:gridCol w:w="1034"/>
        <w:gridCol w:w="1046"/>
        <w:gridCol w:w="796"/>
        <w:gridCol w:w="780"/>
      </w:tblGrid>
      <w:tr>
        <w:trPr>
          <w:trHeight w:val="362" w:hRule="exact"/>
        </w:trPr>
        <w:tc>
          <w:tcPr>
            <w:tcW w:w="1709" w:type="dxa"/>
            <w:tcBorders>
              <w:top w:val="single" w:sz="4" w:space="0" w:color="000000"/>
              <w:left w:val="single" w:sz="4" w:space="0" w:color="000000"/>
              <w:bottom w:val="single" w:sz="4" w:space="0" w:color="000000"/>
              <w:right w:val="single" w:sz="4" w:space="0" w:color="000000"/>
            </w:tcBorders>
          </w:tcPr>
          <w:p>
            <w:pPr/>
          </w:p>
        </w:tc>
        <w:tc>
          <w:tcPr>
            <w:tcW w:w="923" w:type="dxa"/>
            <w:tcBorders>
              <w:top w:val="single" w:sz="4" w:space="0" w:color="000000"/>
              <w:left w:val="single" w:sz="4" w:space="0" w:color="000000"/>
              <w:bottom w:val="single" w:sz="4" w:space="0" w:color="000000"/>
              <w:right w:val="single" w:sz="4" w:space="0" w:color="000000"/>
            </w:tcBorders>
          </w:tcPr>
          <w:p>
            <w:pPr/>
          </w:p>
        </w:tc>
        <w:tc>
          <w:tcPr>
            <w:tcW w:w="92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两年</w:t>
            </w:r>
          </w:p>
        </w:tc>
        <w:tc>
          <w:tcPr>
            <w:tcW w:w="796"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54"/>
              <w:jc w:val="left"/>
              <w:rPr>
                <w:rFonts w:ascii="宋体" w:hAnsi="宋体" w:cs="宋体" w:eastAsia="宋体" w:hint="default"/>
                <w:sz w:val="18"/>
                <w:szCs w:val="18"/>
              </w:rPr>
            </w:pPr>
            <w:r>
              <w:rPr>
                <w:rFonts w:ascii="宋体" w:hAnsi="宋体" w:cs="宋体" w:eastAsia="宋体" w:hint="default"/>
                <w:sz w:val="18"/>
                <w:szCs w:val="18"/>
              </w:rPr>
              <w:t>深圳市卓翼智造有 限公司</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8,000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10"/>
              <w:jc w:val="both"/>
              <w:rPr>
                <w:rFonts w:ascii="宋体" w:hAnsi="宋体" w:cs="宋体" w:eastAsia="宋体" w:hint="default"/>
                <w:sz w:val="18"/>
                <w:szCs w:val="18"/>
              </w:rPr>
            </w:pPr>
            <w:r>
              <w:rPr>
                <w:rFonts w:ascii="宋体" w:hAnsi="宋体" w:cs="宋体" w:eastAsia="宋体" w:hint="default"/>
                <w:sz w:val="18"/>
                <w:szCs w:val="18"/>
              </w:rPr>
              <w:t>债务履行 期届满之 日后两年 止</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03" w:right="154"/>
              <w:jc w:val="left"/>
              <w:rPr>
                <w:rFonts w:ascii="宋体" w:hAnsi="宋体" w:cs="宋体" w:eastAsia="宋体" w:hint="default"/>
                <w:sz w:val="18"/>
                <w:szCs w:val="18"/>
              </w:rPr>
            </w:pPr>
            <w:r>
              <w:rPr>
                <w:rFonts w:ascii="宋体" w:hAnsi="宋体" w:cs="宋体" w:eastAsia="宋体" w:hint="default"/>
                <w:sz w:val="18"/>
                <w:szCs w:val="18"/>
              </w:rPr>
              <w:t>中广互联（厦门） 信息科技有限公司</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13,100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0"/>
              <w:jc w:val="both"/>
              <w:rPr>
                <w:rFonts w:ascii="宋体" w:hAnsi="宋体" w:cs="宋体" w:eastAsia="宋体" w:hint="default"/>
                <w:sz w:val="18"/>
                <w:szCs w:val="18"/>
              </w:rPr>
            </w:pPr>
            <w:r>
              <w:rPr>
                <w:rFonts w:ascii="宋体" w:hAnsi="宋体" w:cs="宋体" w:eastAsia="宋体" w:hint="default"/>
                <w:sz w:val="18"/>
                <w:szCs w:val="18"/>
              </w:rPr>
              <w:t>借款期限 届满之次 日起两年</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03" w:right="154"/>
              <w:jc w:val="left"/>
              <w:rPr>
                <w:rFonts w:ascii="宋体" w:hAnsi="宋体" w:cs="宋体" w:eastAsia="宋体" w:hint="default"/>
                <w:sz w:val="18"/>
                <w:szCs w:val="18"/>
              </w:rPr>
            </w:pPr>
            <w:r>
              <w:rPr>
                <w:rFonts w:ascii="宋体" w:hAnsi="宋体" w:cs="宋体" w:eastAsia="宋体" w:hint="default"/>
                <w:sz w:val="18"/>
                <w:szCs w:val="18"/>
              </w:rPr>
              <w:t>深圳市卓翼智造有 限公司</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31,639.6</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0"/>
              <w:jc w:val="both"/>
              <w:rPr>
                <w:rFonts w:ascii="宋体" w:hAnsi="宋体" w:cs="宋体" w:eastAsia="宋体" w:hint="default"/>
                <w:sz w:val="18"/>
                <w:szCs w:val="18"/>
              </w:rPr>
            </w:pPr>
            <w:r>
              <w:rPr>
                <w:rFonts w:ascii="宋体" w:hAnsi="宋体" w:cs="宋体" w:eastAsia="宋体" w:hint="default"/>
                <w:sz w:val="18"/>
                <w:szCs w:val="18"/>
              </w:rPr>
              <w:t>债务履行 期届满之 日起三年</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54"/>
              <w:jc w:val="left"/>
              <w:rPr>
                <w:rFonts w:ascii="宋体" w:hAnsi="宋体" w:cs="宋体" w:eastAsia="宋体" w:hint="default"/>
                <w:sz w:val="18"/>
                <w:szCs w:val="18"/>
              </w:rPr>
            </w:pPr>
            <w:r>
              <w:rPr>
                <w:rFonts w:ascii="宋体" w:hAnsi="宋体" w:cs="宋体" w:eastAsia="宋体" w:hint="default"/>
                <w:sz w:val="18"/>
                <w:szCs w:val="18"/>
              </w:rPr>
              <w:t>天津卓达科技发展 有限公司</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8,000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345.79</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0"/>
              <w:jc w:val="both"/>
              <w:rPr>
                <w:rFonts w:ascii="宋体" w:hAnsi="宋体" w:cs="宋体" w:eastAsia="宋体" w:hint="default"/>
                <w:sz w:val="18"/>
                <w:szCs w:val="18"/>
              </w:rPr>
            </w:pPr>
            <w:r>
              <w:rPr>
                <w:rFonts w:ascii="宋体" w:hAnsi="宋体" w:cs="宋体" w:eastAsia="宋体" w:hint="default"/>
                <w:sz w:val="18"/>
                <w:szCs w:val="18"/>
              </w:rPr>
              <w:t>债务履行 期届满之 日后两年 止</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50"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103" w:right="154"/>
              <w:jc w:val="left"/>
              <w:rPr>
                <w:rFonts w:ascii="宋体" w:hAnsi="宋体" w:cs="宋体" w:eastAsia="宋体" w:hint="default"/>
                <w:sz w:val="18"/>
                <w:szCs w:val="18"/>
              </w:rPr>
            </w:pPr>
            <w:r>
              <w:rPr>
                <w:rFonts w:ascii="宋体" w:hAnsi="宋体" w:cs="宋体" w:eastAsia="宋体" w:hint="default"/>
                <w:sz w:val="18"/>
                <w:szCs w:val="18"/>
              </w:rPr>
              <w:t>深圳市卓翼智造有 限公司</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0"/>
              <w:jc w:val="both"/>
              <w:rPr>
                <w:rFonts w:ascii="宋体" w:hAnsi="宋体" w:cs="宋体" w:eastAsia="宋体" w:hint="default"/>
                <w:sz w:val="18"/>
                <w:szCs w:val="18"/>
              </w:rPr>
            </w:pPr>
            <w:r>
              <w:rPr>
                <w:rFonts w:ascii="宋体" w:hAnsi="宋体" w:cs="宋体" w:eastAsia="宋体" w:hint="default"/>
                <w:sz w:val="18"/>
                <w:szCs w:val="18"/>
              </w:rPr>
              <w:t>贷款之日 起至债务 履行期届 满之日起 三年止</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54"/>
              <w:jc w:val="left"/>
              <w:rPr>
                <w:rFonts w:ascii="宋体" w:hAnsi="宋体" w:cs="宋体" w:eastAsia="宋体" w:hint="default"/>
                <w:sz w:val="18"/>
                <w:szCs w:val="18"/>
              </w:rPr>
            </w:pPr>
            <w:r>
              <w:rPr>
                <w:rFonts w:ascii="宋体" w:hAnsi="宋体" w:cs="宋体" w:eastAsia="宋体" w:hint="default"/>
                <w:sz w:val="18"/>
                <w:szCs w:val="18"/>
              </w:rPr>
              <w:t>深圳市卓翼智造有 限公司</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10,000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4,000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0"/>
              <w:jc w:val="both"/>
              <w:rPr>
                <w:rFonts w:ascii="宋体" w:hAnsi="宋体" w:cs="宋体" w:eastAsia="宋体" w:hint="default"/>
                <w:sz w:val="18"/>
                <w:szCs w:val="18"/>
              </w:rPr>
            </w:pPr>
            <w:r>
              <w:rPr>
                <w:rFonts w:ascii="宋体" w:hAnsi="宋体" w:cs="宋体" w:eastAsia="宋体" w:hint="default"/>
                <w:sz w:val="18"/>
                <w:szCs w:val="18"/>
              </w:rPr>
              <w:t>债务履行 期届满之 日后两年 止</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54"/>
              <w:jc w:val="left"/>
              <w:rPr>
                <w:rFonts w:ascii="宋体" w:hAnsi="宋体" w:cs="宋体" w:eastAsia="宋体" w:hint="default"/>
                <w:sz w:val="18"/>
                <w:szCs w:val="18"/>
              </w:rPr>
            </w:pPr>
            <w:r>
              <w:rPr>
                <w:rFonts w:ascii="宋体" w:hAnsi="宋体" w:cs="宋体" w:eastAsia="宋体" w:hint="default"/>
                <w:sz w:val="18"/>
                <w:szCs w:val="18"/>
              </w:rPr>
              <w:t>深圳市卓翼智造有 限公司</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8,000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0"/>
              <w:jc w:val="both"/>
              <w:rPr>
                <w:rFonts w:ascii="宋体" w:hAnsi="宋体" w:cs="宋体" w:eastAsia="宋体" w:hint="default"/>
                <w:sz w:val="18"/>
                <w:szCs w:val="18"/>
              </w:rPr>
            </w:pPr>
            <w:r>
              <w:rPr>
                <w:rFonts w:ascii="宋体" w:hAnsi="宋体" w:cs="宋体" w:eastAsia="宋体" w:hint="default"/>
                <w:sz w:val="18"/>
                <w:szCs w:val="18"/>
              </w:rPr>
              <w:t>债务履行 期届满之 日后两年 止</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54"/>
              <w:jc w:val="left"/>
              <w:rPr>
                <w:rFonts w:ascii="宋体" w:hAnsi="宋体" w:cs="宋体" w:eastAsia="宋体" w:hint="default"/>
                <w:sz w:val="18"/>
                <w:szCs w:val="18"/>
              </w:rPr>
            </w:pPr>
            <w:r>
              <w:rPr>
                <w:rFonts w:ascii="宋体" w:hAnsi="宋体" w:cs="宋体" w:eastAsia="宋体" w:hint="default"/>
                <w:sz w:val="18"/>
                <w:szCs w:val="18"/>
              </w:rPr>
              <w:t>天津卓达科技发展 有限公司</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8,000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4,891.38</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0"/>
              <w:jc w:val="both"/>
              <w:rPr>
                <w:rFonts w:ascii="宋体" w:hAnsi="宋体" w:cs="宋体" w:eastAsia="宋体" w:hint="default"/>
                <w:sz w:val="18"/>
                <w:szCs w:val="18"/>
              </w:rPr>
            </w:pPr>
            <w:r>
              <w:rPr>
                <w:rFonts w:ascii="宋体" w:hAnsi="宋体" w:cs="宋体" w:eastAsia="宋体" w:hint="default"/>
                <w:sz w:val="18"/>
                <w:szCs w:val="18"/>
              </w:rPr>
              <w:t>债务履行 期届满之 日后两年 止</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54"/>
              <w:jc w:val="left"/>
              <w:rPr>
                <w:rFonts w:ascii="宋体" w:hAnsi="宋体" w:cs="宋体" w:eastAsia="宋体" w:hint="default"/>
                <w:sz w:val="18"/>
                <w:szCs w:val="18"/>
              </w:rPr>
            </w:pPr>
            <w:r>
              <w:rPr>
                <w:rFonts w:ascii="宋体" w:hAnsi="宋体" w:cs="宋体" w:eastAsia="宋体" w:hint="default"/>
                <w:sz w:val="18"/>
                <w:szCs w:val="18"/>
              </w:rPr>
              <w:t>深圳市卓翼智造有 限公司</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5,000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0"/>
              <w:jc w:val="both"/>
              <w:rPr>
                <w:rFonts w:ascii="宋体" w:hAnsi="宋体" w:cs="宋体" w:eastAsia="宋体" w:hint="default"/>
                <w:sz w:val="18"/>
                <w:szCs w:val="18"/>
              </w:rPr>
            </w:pPr>
            <w:r>
              <w:rPr>
                <w:rFonts w:ascii="宋体" w:hAnsi="宋体" w:cs="宋体" w:eastAsia="宋体" w:hint="default"/>
                <w:sz w:val="18"/>
                <w:szCs w:val="18"/>
              </w:rPr>
              <w:t>主债权发 生期间届 满之日起 两年</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26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77"/>
              <w:jc w:val="left"/>
              <w:rPr>
                <w:rFonts w:ascii="宋体" w:hAnsi="宋体" w:cs="宋体" w:eastAsia="宋体" w:hint="default"/>
                <w:sz w:val="18"/>
                <w:szCs w:val="18"/>
              </w:rPr>
            </w:pPr>
            <w:r>
              <w:rPr>
                <w:rFonts w:ascii="宋体" w:hAnsi="宋体" w:cs="宋体" w:eastAsia="宋体" w:hint="default"/>
                <w:sz w:val="18"/>
                <w:szCs w:val="18"/>
              </w:rPr>
              <w:t>报告期内审批对子公司担保额 度合计（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182,000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报告期内对子公司担保 实际发生额合计（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86,302.37</w:t>
            </w:r>
          </w:p>
        </w:tc>
      </w:tr>
      <w:tr>
        <w:trPr>
          <w:trHeight w:val="719" w:hRule="exact"/>
        </w:trPr>
        <w:tc>
          <w:tcPr>
            <w:tcW w:w="26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77"/>
              <w:jc w:val="left"/>
              <w:rPr>
                <w:rFonts w:ascii="宋体" w:hAnsi="宋体" w:cs="宋体" w:eastAsia="宋体" w:hint="default"/>
                <w:sz w:val="18"/>
                <w:szCs w:val="18"/>
              </w:rPr>
            </w:pPr>
            <w:r>
              <w:rPr>
                <w:rFonts w:ascii="宋体" w:hAnsi="宋体" w:cs="宋体" w:eastAsia="宋体" w:hint="default"/>
                <w:sz w:val="18"/>
                <w:szCs w:val="18"/>
              </w:rPr>
              <w:t>报告期末已审批的对子公司担 保额度合计（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243,000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82"/>
              <w:jc w:val="left"/>
              <w:rPr>
                <w:rFonts w:ascii="宋体" w:hAnsi="宋体" w:cs="宋体" w:eastAsia="宋体" w:hint="default"/>
                <w:sz w:val="18"/>
                <w:szCs w:val="18"/>
              </w:rPr>
            </w:pPr>
            <w:r>
              <w:rPr>
                <w:rFonts w:ascii="宋体" w:hAnsi="宋体" w:cs="宋体" w:eastAsia="宋体" w:hint="default"/>
                <w:sz w:val="18"/>
                <w:szCs w:val="18"/>
              </w:rPr>
              <w:t>报告期末对子公司实际 担保余额合计（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58,504.96</w:t>
            </w:r>
          </w:p>
        </w:tc>
      </w:tr>
      <w:tr>
        <w:trPr>
          <w:trHeight w:val="397"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bl>
    <w:p>
      <w:pPr>
        <w:spacing w:after="0" w:line="240" w:lineRule="auto"/>
        <w:jc w:val="center"/>
        <w:rPr>
          <w:rFonts w:ascii="宋体" w:hAnsi="宋体" w:cs="宋体" w:eastAsia="宋体"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709"/>
        <w:gridCol w:w="920"/>
        <w:gridCol w:w="914"/>
        <w:gridCol w:w="1313"/>
        <w:gridCol w:w="1044"/>
        <w:gridCol w:w="1054"/>
        <w:gridCol w:w="1046"/>
        <w:gridCol w:w="786"/>
        <w:gridCol w:w="790"/>
      </w:tblGrid>
      <w:tr>
        <w:trPr>
          <w:trHeight w:val="1338"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309"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185"/>
              <w:jc w:val="both"/>
              <w:rPr>
                <w:rFonts w:ascii="宋体" w:hAnsi="宋体" w:cs="宋体" w:eastAsia="宋体" w:hint="default"/>
                <w:sz w:val="18"/>
                <w:szCs w:val="18"/>
              </w:rPr>
            </w:pPr>
            <w:r>
              <w:rPr>
                <w:rFonts w:ascii="宋体" w:hAnsi="宋体" w:cs="宋体" w:eastAsia="宋体" w:hint="default"/>
                <w:sz w:val="18"/>
                <w:szCs w:val="18"/>
              </w:rPr>
              <w:t>担保额 度相关 公告披 露日期</w:t>
            </w:r>
          </w:p>
        </w:tc>
        <w:tc>
          <w:tcPr>
            <w:tcW w:w="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359" w:right="182" w:hanging="180"/>
              <w:jc w:val="left"/>
              <w:rPr>
                <w:rFonts w:ascii="宋体" w:hAnsi="宋体" w:cs="宋体" w:eastAsia="宋体" w:hint="default"/>
                <w:sz w:val="18"/>
                <w:szCs w:val="18"/>
              </w:rPr>
            </w:pPr>
            <w:r>
              <w:rPr>
                <w:rFonts w:ascii="宋体" w:hAnsi="宋体" w:cs="宋体" w:eastAsia="宋体" w:hint="default"/>
                <w:sz w:val="18"/>
                <w:szCs w:val="18"/>
              </w:rPr>
              <w:t>担保额 度</w:t>
            </w:r>
          </w:p>
        </w:tc>
        <w:tc>
          <w:tcPr>
            <w:tcW w:w="1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11"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337" w:right="155" w:hanging="180"/>
              <w:jc w:val="left"/>
              <w:rPr>
                <w:rFonts w:ascii="宋体" w:hAnsi="宋体" w:cs="宋体" w:eastAsia="宋体" w:hint="default"/>
                <w:sz w:val="18"/>
                <w:szCs w:val="18"/>
              </w:rPr>
            </w:pPr>
            <w:r>
              <w:rPr>
                <w:rFonts w:ascii="宋体" w:hAnsi="宋体" w:cs="宋体" w:eastAsia="宋体" w:hint="default"/>
                <w:sz w:val="18"/>
                <w:szCs w:val="18"/>
              </w:rPr>
              <w:t>实际担保 金额</w:t>
            </w:r>
          </w:p>
        </w:tc>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61"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47"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117" w:right="116"/>
              <w:jc w:val="left"/>
              <w:rPr>
                <w:rFonts w:ascii="宋体" w:hAnsi="宋体" w:cs="宋体" w:eastAsia="宋体" w:hint="default"/>
                <w:sz w:val="18"/>
                <w:szCs w:val="18"/>
              </w:rPr>
            </w:pPr>
            <w:r>
              <w:rPr>
                <w:rFonts w:ascii="宋体" w:hAnsi="宋体" w:cs="宋体" w:eastAsia="宋体" w:hint="default"/>
                <w:sz w:val="18"/>
                <w:szCs w:val="18"/>
              </w:rPr>
              <w:t>是否履 行完毕</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18" w:right="119"/>
              <w:jc w:val="both"/>
              <w:rPr>
                <w:rFonts w:ascii="宋体" w:hAnsi="宋体" w:cs="宋体" w:eastAsia="宋体" w:hint="default"/>
                <w:sz w:val="18"/>
                <w:szCs w:val="18"/>
              </w:rPr>
            </w:pPr>
            <w:r>
              <w:rPr>
                <w:rFonts w:ascii="宋体" w:hAnsi="宋体" w:cs="宋体" w:eastAsia="宋体" w:hint="default"/>
                <w:sz w:val="18"/>
                <w:szCs w:val="18"/>
              </w:rPr>
              <w:t>是否为 关联方 担保</w:t>
            </w:r>
          </w:p>
        </w:tc>
      </w:tr>
      <w:tr>
        <w:trPr>
          <w:trHeight w:val="398"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9" w:hRule="exact"/>
        </w:trPr>
        <w:tc>
          <w:tcPr>
            <w:tcW w:w="26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182,000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6"/>
              <w:ind w:left="103" w:right="182"/>
              <w:jc w:val="left"/>
              <w:rPr>
                <w:rFonts w:ascii="宋体" w:hAnsi="宋体" w:cs="宋体" w:eastAsia="宋体" w:hint="default"/>
                <w:sz w:val="18"/>
                <w:szCs w:val="18"/>
              </w:rPr>
            </w:pPr>
            <w:r>
              <w:rPr>
                <w:rFonts w:ascii="宋体" w:hAnsi="宋体" w:cs="宋体" w:eastAsia="宋体" w:hint="default"/>
                <w:sz w:val="18"/>
                <w:szCs w:val="18"/>
              </w:rPr>
              <w:t>报告期内担保实际发生 额合计（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86,302.37</w:t>
            </w:r>
          </w:p>
        </w:tc>
      </w:tr>
      <w:tr>
        <w:trPr>
          <w:trHeight w:val="714" w:hRule="exact"/>
        </w:trPr>
        <w:tc>
          <w:tcPr>
            <w:tcW w:w="26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74"/>
              <w:jc w:val="left"/>
              <w:rPr>
                <w:rFonts w:ascii="宋体" w:hAnsi="宋体" w:cs="宋体" w:eastAsia="宋体" w:hint="default"/>
                <w:sz w:val="18"/>
                <w:szCs w:val="18"/>
              </w:rPr>
            </w:pPr>
            <w:r>
              <w:rPr>
                <w:rFonts w:ascii="宋体" w:hAnsi="宋体" w:cs="宋体" w:eastAsia="宋体" w:hint="default"/>
                <w:sz w:val="18"/>
                <w:szCs w:val="18"/>
              </w:rPr>
              <w:t>报告期末已审批的担保额度合 计（</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243,000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82"/>
              <w:jc w:val="left"/>
              <w:rPr>
                <w:rFonts w:ascii="宋体" w:hAnsi="宋体" w:cs="宋体" w:eastAsia="宋体" w:hint="default"/>
                <w:sz w:val="18"/>
                <w:szCs w:val="18"/>
              </w:rPr>
            </w:pPr>
            <w:r>
              <w:rPr>
                <w:rFonts w:ascii="宋体" w:hAnsi="宋体" w:cs="宋体" w:eastAsia="宋体" w:hint="default"/>
                <w:sz w:val="18"/>
                <w:szCs w:val="18"/>
              </w:rPr>
              <w:t>报告期末实际担保余额 合计（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58,504.96</w:t>
            </w:r>
          </w:p>
        </w:tc>
      </w:tr>
      <w:tr>
        <w:trPr>
          <w:trHeight w:val="407"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29.47%</w:t>
            </w:r>
          </w:p>
        </w:tc>
      </w:tr>
      <w:tr>
        <w:trPr>
          <w:trHeight w:val="39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7"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 务担保余额（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02"/>
              <w:jc w:val="left"/>
              <w:rPr>
                <w:rFonts w:ascii="宋体" w:hAnsi="宋体" w:cs="宋体" w:eastAsia="宋体" w:hint="default"/>
                <w:sz w:val="18"/>
                <w:szCs w:val="18"/>
              </w:rPr>
            </w:pPr>
            <w:r>
              <w:rPr>
                <w:rFonts w:ascii="宋体" w:hAnsi="宋体" w:cs="宋体" w:eastAsia="宋体" w:hint="default"/>
                <w:spacing w:val="-2"/>
                <w:sz w:val="18"/>
                <w:szCs w:val="18"/>
              </w:rPr>
              <w:t>对未到期担保，报告期内已发生担保责任或可能承担连带清</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偿责任的情况说明（如有）</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51"/>
        <w:ind w:right="0"/>
        <w:jc w:val="left"/>
      </w:pPr>
      <w:r>
        <w:rPr/>
        <w:t>采用复合方式担保的具体情况说明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违规对外担保情况" w:id="95"/>
      <w:bookmarkEnd w:id="95"/>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7692"/>
        <w:jc w:val="left"/>
      </w:pPr>
      <w:r>
        <w:rPr/>
        <w:t>□ 适用 √ 不适用 公司报告期无违规对外担保情况。</w:t>
      </w:r>
    </w:p>
    <w:p>
      <w:pPr>
        <w:spacing w:line="240" w:lineRule="auto" w:before="13"/>
        <w:rPr>
          <w:rFonts w:ascii="宋体" w:hAnsi="宋体" w:cs="宋体" w:eastAsia="宋体" w:hint="default"/>
          <w:sz w:val="19"/>
          <w:szCs w:val="19"/>
        </w:rPr>
      </w:pPr>
    </w:p>
    <w:p>
      <w:pPr>
        <w:pStyle w:val="Heading3"/>
        <w:spacing w:line="240" w:lineRule="auto"/>
        <w:ind w:right="0"/>
        <w:jc w:val="left"/>
        <w:rPr>
          <w:b w:val="0"/>
          <w:bCs w:val="0"/>
        </w:rPr>
      </w:pPr>
      <w:bookmarkStart w:name="3、委托他人进行现金资产管理情况" w:id="96"/>
      <w:bookmarkEnd w:id="96"/>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委托理财情况" w:id="97"/>
      <w:bookmarkEnd w:id="97"/>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0" w:footer="1019" w:top="1120" w:bottom="1200" w:left="980" w:right="0"/>
        </w:sectPr>
      </w:pPr>
    </w:p>
    <w:p>
      <w:pPr>
        <w:pStyle w:val="BodyText"/>
        <w:spacing w:line="360" w:lineRule="auto" w:before="44"/>
        <w:ind w:right="-20"/>
        <w:jc w:val="left"/>
      </w:pPr>
      <w:r>
        <w:rPr/>
        <w:t>√ 适用 □ 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53" w:right="0"/>
        <w:jc w:val="left"/>
      </w:pPr>
      <w:r>
        <w:rPr/>
        <w:t>单位：万元</w:t>
      </w:r>
    </w:p>
    <w:p>
      <w:pPr>
        <w:spacing w:after="0" w:line="240" w:lineRule="auto"/>
        <w:jc w:val="left"/>
        <w:sectPr>
          <w:type w:val="continuous"/>
          <w:pgSz w:w="11910" w:h="16840"/>
          <w:pgMar w:top="1100" w:bottom="1200" w:left="980" w:right="0"/>
          <w:cols w:num="2" w:equalWidth="0">
            <w:col w:w="1955" w:space="6785"/>
            <w:col w:w="219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869"/>
        <w:gridCol w:w="1962"/>
        <w:gridCol w:w="1981"/>
        <w:gridCol w:w="1908"/>
        <w:gridCol w:w="1848"/>
      </w:tblGrid>
      <w:tr>
        <w:trPr>
          <w:trHeight w:val="401" w:hRule="exact"/>
        </w:trPr>
        <w:tc>
          <w:tcPr>
            <w:tcW w:w="1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7"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8"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2" w:hRule="exact"/>
        </w:trPr>
        <w:tc>
          <w:tcPr>
            <w:tcW w:w="1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募集资金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23,500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r>
      <w:tr>
        <w:trPr>
          <w:trHeight w:val="404" w:hRule="exact"/>
        </w:trPr>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23,500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240" w:lineRule="auto" w:before="51"/>
        <w:ind w:right="0"/>
        <w:jc w:val="left"/>
      </w:pPr>
      <w:r>
        <w:rPr/>
        <w:t>单项金额重大或安全性较低、流动性较差、不保本的高风险委托理财具体情况</w:t>
      </w:r>
    </w:p>
    <w:p>
      <w:pPr>
        <w:pStyle w:val="BodyText"/>
        <w:spacing w:line="357" w:lineRule="auto" w:before="116"/>
        <w:ind w:right="5712"/>
        <w:jc w:val="left"/>
      </w:pPr>
      <w:r>
        <w:rPr/>
        <w:t>□ 适用 √ 不适用 委托理财出现预期无法收回本金或存在其他可能导致减值的情形</w:t>
      </w:r>
    </w:p>
    <w:p>
      <w:pPr>
        <w:spacing w:after="0" w:line="357" w:lineRule="auto"/>
        <w:jc w:val="left"/>
        <w:sectPr>
          <w:type w:val="continuous"/>
          <w:pgSz w:w="11910" w:h="16840"/>
          <w:pgMar w:top="1100" w:bottom="1200" w:left="980" w:right="0"/>
        </w:sectPr>
      </w:pPr>
    </w:p>
    <w:p>
      <w:pPr>
        <w:spacing w:line="240" w:lineRule="auto" w:before="10"/>
        <w:rPr>
          <w:rFonts w:ascii="宋体" w:hAnsi="宋体" w:cs="宋体" w:eastAsia="宋体" w:hint="default"/>
          <w:sz w:val="20"/>
          <w:szCs w:val="20"/>
        </w:rPr>
      </w:pPr>
    </w:p>
    <w:p>
      <w:pPr>
        <w:pStyle w:val="BodyText"/>
        <w:spacing w:line="240" w:lineRule="auto" w:before="44"/>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委托贷款情况" w:id="98"/>
      <w:bookmarkEnd w:id="98"/>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8412"/>
        <w:jc w:val="left"/>
      </w:pPr>
      <w:r>
        <w:rPr/>
        <w:t>□ 适用 √ 不适用 公司报告期不存在委托贷款。</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4、其他重大合同" w:id="99"/>
      <w:bookmarkEnd w:id="99"/>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8052"/>
        <w:jc w:val="left"/>
      </w:pPr>
      <w:r>
        <w:rPr/>
        <w:t>□ 适用 √ 不适用 公司报告期不存在其他重大合同。</w:t>
      </w:r>
    </w:p>
    <w:p>
      <w:pPr>
        <w:spacing w:line="240" w:lineRule="auto" w:before="1"/>
        <w:rPr>
          <w:rFonts w:ascii="宋体" w:hAnsi="宋体" w:cs="宋体" w:eastAsia="宋体" w:hint="default"/>
          <w:sz w:val="18"/>
          <w:szCs w:val="18"/>
        </w:rPr>
      </w:pPr>
    </w:p>
    <w:p>
      <w:pPr>
        <w:pStyle w:val="Heading2"/>
        <w:spacing w:line="240" w:lineRule="auto"/>
        <w:ind w:right="0"/>
        <w:jc w:val="left"/>
        <w:rPr>
          <w:b w:val="0"/>
          <w:bCs w:val="0"/>
        </w:rPr>
      </w:pPr>
      <w:bookmarkStart w:name="十八、社会责任情况" w:id="100"/>
      <w:bookmarkEnd w:id="100"/>
      <w:r>
        <w:rPr>
          <w:b w:val="0"/>
          <w:bCs w:val="0"/>
        </w:rPr>
      </w:r>
      <w:r>
        <w:rPr/>
        <w:t>十八、社会责任情况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履行社会责任情况" w:id="101"/>
      <w:bookmarkEnd w:id="101"/>
      <w:r>
        <w:rPr>
          <w:b w:val="0"/>
          <w:bCs w:val="0"/>
        </w:rPr>
      </w:r>
      <w:r>
        <w:rPr>
          <w:rFonts w:ascii="Times New Roman" w:hAnsi="Times New Roman" w:cs="Times New Roman" w:eastAsia="Times New Roman" w:hint="default"/>
        </w:rPr>
        <w:t>1</w:t>
      </w:r>
      <w:r>
        <w:rPr/>
        <w:t>、履行社会责任情况</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360"/>
        <w:jc w:val="left"/>
      </w:pPr>
      <w:r>
        <w:rPr>
          <w:spacing w:val="-2"/>
        </w:rPr>
        <w:t>近年来，公司在不断发展壮大的同时，深化社会责任理念，逐步提升社会责任战略意识及管理能力，持续加强社会责任</w:t>
      </w:r>
      <w:r>
        <w:rPr/>
        <w:t> 宣传力度，有效推进员工社会责任的落实，把履行企业社会责任贯穿于企业经营和管理的各个环节中。</w:t>
      </w:r>
    </w:p>
    <w:p>
      <w:pPr>
        <w:pStyle w:val="BodyText"/>
        <w:spacing w:line="477" w:lineRule="auto" w:before="54"/>
        <w:ind w:right="1129" w:firstLine="360"/>
        <w:jc w:val="both"/>
      </w:pPr>
      <w:r>
        <w:rPr>
          <w:spacing w:val="-2"/>
        </w:rPr>
        <w:t>在日常生产经营活动中，公司一直注重企业社会价值的实现，以“致力产品服务与增值”为公司使命，怀揣着“拥抱万</w:t>
      </w:r>
      <w:r>
        <w:rPr/>
        <w:t> </w:t>
      </w:r>
      <w:r>
        <w:rPr>
          <w:spacing w:val="-2"/>
        </w:rPr>
        <w:t>物互联、引领中国智造、助力全球创新”的企业愿景，秉承着“诚信、进取、合作、分享”的核心价值观来开展各项经营活</w:t>
      </w:r>
      <w:r>
        <w:rPr>
          <w:spacing w:val="-70"/>
        </w:rPr>
        <w:t> </w:t>
      </w:r>
      <w:r>
        <w:rPr>
          <w:spacing w:val="-70"/>
        </w:rPr>
      </w:r>
      <w:r>
        <w:rPr>
          <w:spacing w:val="-2"/>
        </w:rPr>
        <w:t>动。在追求经济效益、保护股东利益的同时，主动承担社会责任义务，合法经营、依法纳税、重视环保、新增就业、热心公</w:t>
      </w:r>
      <w:r>
        <w:rPr>
          <w:spacing w:val="-66"/>
        </w:rPr>
        <w:t> </w:t>
      </w:r>
      <w:r>
        <w:rPr>
          <w:spacing w:val="-66"/>
        </w:rPr>
      </w:r>
      <w:r>
        <w:rPr>
          <w:spacing w:val="-2"/>
        </w:rPr>
        <w:t>益、强化党建，有效的维护了股东、债权人、员工、供应商、客户和消费者的合法权益，以实现公司发展与社会进步的和谐</w:t>
      </w:r>
      <w:r>
        <w:rPr>
          <w:spacing w:val="-72"/>
        </w:rPr>
        <w:t> </w:t>
      </w:r>
      <w:r>
        <w:rPr>
          <w:spacing w:val="-72"/>
        </w:rPr>
      </w:r>
      <w:r>
        <w:rPr/>
        <w:t>统一。具体情况如下：</w:t>
      </w:r>
    </w:p>
    <w:p>
      <w:pPr>
        <w:pStyle w:val="BodyText"/>
        <w:spacing w:line="477" w:lineRule="auto" w:before="54"/>
        <w:ind w:left="514" w:right="8052"/>
        <w:jc w:val="left"/>
      </w:pPr>
      <w:r>
        <w:rPr/>
        <w:t>（一）股东和债权人权益保护 </w:t>
      </w:r>
      <w:r>
        <w:rPr>
          <w:rFonts w:ascii="宋体" w:hAnsi="宋体" w:cs="宋体" w:eastAsia="宋体" w:hint="default"/>
        </w:rPr>
        <w:t>1</w:t>
      </w:r>
      <w:r>
        <w:rPr/>
        <w:t>、股东权益保护</w:t>
      </w:r>
    </w:p>
    <w:p>
      <w:pPr>
        <w:pStyle w:val="BodyText"/>
        <w:spacing w:line="477" w:lineRule="auto" w:before="54"/>
        <w:ind w:right="0" w:firstLine="360"/>
        <w:jc w:val="left"/>
      </w:pPr>
      <w:r>
        <w:rPr>
          <w:spacing w:val="-4"/>
        </w:rPr>
        <w:t>股东是公司的终极所有者，股东的支持与认可是保持企业永续发展的根源，保障股东权益是公司的义务和职责。多年来，</w:t>
      </w:r>
      <w:r>
        <w:rPr/>
        <w:t> </w:t>
      </w:r>
      <w:r>
        <w:rPr>
          <w:spacing w:val="-2"/>
        </w:rPr>
        <w:t>公司以健康稳定的发展、规范有效的治理结构、高质量的信息披露、积极主动的投资者关系管理，积极践行回报社会、回报</w:t>
      </w:r>
      <w:r>
        <w:rPr>
          <w:spacing w:val="-66"/>
        </w:rPr>
        <w:t> </w:t>
      </w:r>
      <w:r>
        <w:rPr>
          <w:spacing w:val="-66"/>
        </w:rPr>
      </w:r>
      <w:r>
        <w:rPr/>
        <w:t>股东的股权文化，以确保股东合法权益得到充分的维护。</w:t>
      </w:r>
    </w:p>
    <w:p>
      <w:pPr>
        <w:pStyle w:val="BodyText"/>
        <w:spacing w:line="477" w:lineRule="auto" w:before="54"/>
        <w:ind w:left="514" w:right="0"/>
        <w:jc w:val="left"/>
      </w:pPr>
      <w:r>
        <w:rPr/>
        <w:t>（</w:t>
      </w:r>
      <w:r>
        <w:rPr>
          <w:rFonts w:ascii="宋体" w:hAnsi="宋体" w:cs="宋体" w:eastAsia="宋体" w:hint="default"/>
        </w:rPr>
        <w:t>1</w:t>
      </w:r>
      <w:r>
        <w:rPr/>
        <w:t>）权益保护机制 </w:t>
      </w:r>
      <w:r>
        <w:rPr>
          <w:spacing w:val="-12"/>
        </w:rPr>
        <w:t>公司严格按照《公司法》、《证券法》、《上市公司治理准则》、《深圳证券交易所股票上市规则》等法律法规以及公司《章</w:t>
      </w:r>
    </w:p>
    <w:p>
      <w:pPr>
        <w:pStyle w:val="BodyText"/>
        <w:spacing w:line="477" w:lineRule="auto" w:before="54"/>
        <w:ind w:right="0"/>
        <w:jc w:val="left"/>
      </w:pPr>
      <w:r>
        <w:rPr>
          <w:spacing w:val="-4"/>
        </w:rPr>
        <w:t>程》的要求，建立健全公司内部控制体系，在机制上保证了所有股东公开、公平、公正的享有各项权益，形成了以股东大会、</w:t>
      </w:r>
      <w:r>
        <w:rPr>
          <w:spacing w:val="-44"/>
        </w:rPr>
        <w:t> </w:t>
      </w:r>
      <w:r>
        <w:rPr>
          <w:spacing w:val="-44"/>
        </w:rPr>
      </w:r>
      <w:r>
        <w:rPr/>
        <w:t>董事会、监事会及管理层为主体结构的决策与经营体系，切实保障全体股东（特别是中小股东）的权益。</w:t>
      </w:r>
    </w:p>
    <w:p>
      <w:pPr>
        <w:pStyle w:val="BodyText"/>
        <w:spacing w:line="477" w:lineRule="auto" w:before="54"/>
        <w:ind w:left="514" w:right="1118"/>
        <w:jc w:val="left"/>
      </w:pPr>
      <w:r>
        <w:rPr/>
        <w:t>（</w:t>
      </w:r>
      <w:r>
        <w:rPr>
          <w:rFonts w:ascii="宋体" w:hAnsi="宋体" w:cs="宋体" w:eastAsia="宋体" w:hint="default"/>
        </w:rPr>
        <w:t>2</w:t>
      </w:r>
      <w:r>
        <w:rPr/>
        <w:t>）信息披露 </w:t>
      </w:r>
      <w:r>
        <w:rPr>
          <w:spacing w:val="-9"/>
        </w:rPr>
        <w:t>公司根据《公司法》、《证券法》、《上市公司治理准则》等法律法规的要求，认真履行信息披露义务，确保信息披露的真</w:t>
      </w:r>
    </w:p>
    <w:p>
      <w:pPr>
        <w:pStyle w:val="BodyText"/>
        <w:spacing w:line="240" w:lineRule="auto" w:before="54"/>
        <w:ind w:right="0"/>
        <w:jc w:val="left"/>
      </w:pPr>
      <w:r>
        <w:rPr/>
        <w:t>实、准确、及时、完整和公平，不存在选择性信息披露或提前透露非公开信息的情形。</w:t>
      </w:r>
      <w:r>
        <w:rPr>
          <w:rFonts w:ascii="宋体" w:hAnsi="宋体" w:cs="宋体" w:eastAsia="宋体" w:hint="default"/>
        </w:rPr>
        <w:t>2018</w:t>
      </w:r>
      <w:r>
        <w:rPr/>
        <w:t>年度，公司共发布公告</w:t>
      </w:r>
      <w:r>
        <w:rPr>
          <w:rFonts w:ascii="宋体" w:hAnsi="宋体" w:cs="宋体" w:eastAsia="宋体" w:hint="default"/>
        </w:rPr>
        <w:t>132</w:t>
      </w:r>
      <w:r>
        <w:rPr/>
        <w:t>份，</w:t>
      </w:r>
    </w:p>
    <w:p>
      <w:pPr>
        <w:spacing w:after="0" w:line="240"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31"/>
        <w:jc w:val="both"/>
      </w:pPr>
      <w:r>
        <w:rPr>
          <w:spacing w:val="-2"/>
        </w:rPr>
        <w:t>不存在在规定时间内未完成信息披露的情形。在深圳证券交易所对上市公司</w:t>
      </w:r>
      <w:r>
        <w:rPr>
          <w:rFonts w:ascii="宋体" w:hAnsi="宋体" w:cs="宋体" w:eastAsia="宋体" w:hint="default"/>
          <w:spacing w:val="-2"/>
        </w:rPr>
        <w:t>2017</w:t>
      </w:r>
      <w:r>
        <w:rPr>
          <w:spacing w:val="-2"/>
        </w:rPr>
        <w:t>年度信息披露工作考核中，公司考评结果良</w:t>
      </w:r>
      <w:r>
        <w:rPr>
          <w:spacing w:val="-60"/>
        </w:rPr>
        <w:t> </w:t>
      </w:r>
      <w:r>
        <w:rPr>
          <w:spacing w:val="-60"/>
        </w:rPr>
      </w:r>
      <w:r>
        <w:rPr/>
        <w:t>好。</w:t>
      </w:r>
    </w:p>
    <w:p>
      <w:pPr>
        <w:pStyle w:val="BodyText"/>
        <w:spacing w:line="477" w:lineRule="auto" w:before="54"/>
        <w:ind w:left="514" w:right="0"/>
        <w:jc w:val="left"/>
      </w:pPr>
      <w:r>
        <w:rPr/>
        <w:t>（</w:t>
      </w:r>
      <w:r>
        <w:rPr>
          <w:rFonts w:ascii="宋体" w:hAnsi="宋体" w:cs="宋体" w:eastAsia="宋体" w:hint="default"/>
        </w:rPr>
        <w:t>3</w:t>
      </w:r>
      <w:r>
        <w:rPr/>
        <w:t>）投资者关系管理 </w:t>
      </w:r>
      <w:r>
        <w:rPr>
          <w:spacing w:val="-2"/>
        </w:rPr>
        <w:t>公司以积极开放的态度，与股东保持良好的沟通交流，及时、全面、客观地传递公司发展情况、经营业绩、业务亮点及</w:t>
      </w:r>
    </w:p>
    <w:p>
      <w:pPr>
        <w:pStyle w:val="BodyText"/>
        <w:spacing w:line="477" w:lineRule="auto" w:before="54"/>
        <w:ind w:right="1131"/>
        <w:jc w:val="both"/>
      </w:pPr>
      <w:r>
        <w:rPr>
          <w:spacing w:val="-2"/>
        </w:rPr>
        <w:t>投资价值等。通过业绩说明会、业绩快报等方式让投资者充分了解公司的经营情况，通过投资者调研、电话、投资者关系互</w:t>
      </w:r>
      <w:r>
        <w:rPr>
          <w:spacing w:val="-66"/>
        </w:rPr>
        <w:t> </w:t>
      </w:r>
      <w:r>
        <w:rPr>
          <w:spacing w:val="-66"/>
        </w:rPr>
      </w:r>
      <w:r>
        <w:rPr>
          <w:spacing w:val="-2"/>
        </w:rPr>
        <w:t>动平台、电子邮件等方式与投资者展开交流互动，解答和说明投资者的疑问和关心的问题，增进投资者对公司的了解，有效</w:t>
      </w:r>
      <w:r>
        <w:rPr>
          <w:spacing w:val="-66"/>
        </w:rPr>
        <w:t> </w:t>
      </w:r>
      <w:r>
        <w:rPr>
          <w:spacing w:val="-66"/>
        </w:rPr>
      </w:r>
      <w:r>
        <w:rPr/>
        <w:t>保障了全体股东的合法权益。</w:t>
      </w:r>
    </w:p>
    <w:p>
      <w:pPr>
        <w:pStyle w:val="BodyText"/>
        <w:spacing w:line="477" w:lineRule="auto" w:before="54"/>
        <w:ind w:right="1129" w:firstLine="360"/>
        <w:jc w:val="both"/>
      </w:pPr>
      <w:r>
        <w:rPr>
          <w:rFonts w:ascii="宋体" w:hAnsi="宋体" w:cs="宋体" w:eastAsia="宋体" w:hint="default"/>
        </w:rPr>
        <w:t>2018</w:t>
      </w:r>
      <w:r>
        <w:rPr/>
        <w:t>年度，公司共接待机构实地调研共</w:t>
      </w:r>
      <w:r>
        <w:rPr>
          <w:rFonts w:ascii="宋体" w:hAnsi="宋体" w:cs="宋体" w:eastAsia="宋体" w:hint="default"/>
        </w:rPr>
        <w:t>7</w:t>
      </w:r>
      <w:r>
        <w:rPr/>
        <w:t>次，接待投资者电话来访</w:t>
      </w:r>
      <w:r>
        <w:rPr>
          <w:rFonts w:ascii="宋体" w:hAnsi="宋体" w:cs="宋体" w:eastAsia="宋体" w:hint="default"/>
        </w:rPr>
        <w:t>600</w:t>
      </w:r>
      <w:r>
        <w:rPr/>
        <w:t>余次，回答投资者互动平台问题</w:t>
      </w:r>
      <w:r>
        <w:rPr>
          <w:rFonts w:ascii="宋体" w:hAnsi="宋体" w:cs="宋体" w:eastAsia="宋体" w:hint="default"/>
        </w:rPr>
        <w:t>300</w:t>
      </w:r>
      <w:r>
        <w:rPr/>
        <w:t>余条，通过良 </w:t>
      </w:r>
      <w:r>
        <w:rPr>
          <w:spacing w:val="-2"/>
        </w:rPr>
        <w:t>性的互动，不仅将公司信息公平、公正、及时的向投资者进行输出有利于其投资决策，也将投资者对公司诉求和建议及时反</w:t>
      </w:r>
      <w:r>
        <w:rPr>
          <w:spacing w:val="-66"/>
        </w:rPr>
        <w:t> </w:t>
      </w:r>
      <w:r>
        <w:rPr>
          <w:spacing w:val="-66"/>
        </w:rPr>
      </w:r>
      <w:r>
        <w:rPr/>
        <w:t>馈给了公司经营层。</w:t>
      </w:r>
    </w:p>
    <w:p>
      <w:pPr>
        <w:pStyle w:val="BodyText"/>
        <w:spacing w:line="477" w:lineRule="auto" w:before="54"/>
        <w:ind w:left="514" w:right="1118"/>
        <w:jc w:val="left"/>
      </w:pPr>
      <w:r>
        <w:rPr/>
        <w:t>（</w:t>
      </w:r>
      <w:r>
        <w:rPr>
          <w:rFonts w:ascii="宋体" w:hAnsi="宋体" w:cs="宋体" w:eastAsia="宋体" w:hint="default"/>
        </w:rPr>
        <w:t>4</w:t>
      </w:r>
      <w:r>
        <w:rPr/>
        <w:t>）股东回报 </w:t>
      </w:r>
      <w:r>
        <w:rPr>
          <w:spacing w:val="-2"/>
        </w:rPr>
        <w:t>公司在快速发展的同时，兼顾股东的长远利益和近期利益，保持稳定的分红政策，并制定了《深圳市卓翼科技股份有限</w:t>
      </w:r>
    </w:p>
    <w:p>
      <w:pPr>
        <w:pStyle w:val="BodyText"/>
        <w:spacing w:line="477" w:lineRule="auto" w:before="54"/>
        <w:ind w:right="1130"/>
        <w:jc w:val="both"/>
      </w:pPr>
      <w:r>
        <w:rPr>
          <w:spacing w:val="-2"/>
        </w:rPr>
        <w:t>公司未来三年（</w:t>
      </w:r>
      <w:r>
        <w:rPr>
          <w:rFonts w:ascii="宋体" w:hAnsi="宋体" w:cs="宋体" w:eastAsia="宋体" w:hint="default"/>
          <w:spacing w:val="-2"/>
        </w:rPr>
        <w:t>2018-2020</w:t>
      </w:r>
      <w:r>
        <w:rPr>
          <w:spacing w:val="-2"/>
        </w:rPr>
        <w:t>年）股东回报规划》。</w:t>
      </w:r>
      <w:r>
        <w:rPr>
          <w:rFonts w:ascii="宋体" w:hAnsi="宋体" w:cs="宋体" w:eastAsia="宋体" w:hint="default"/>
          <w:spacing w:val="-2"/>
        </w:rPr>
        <w:t>2018</w:t>
      </w:r>
      <w:r>
        <w:rPr>
          <w:spacing w:val="-2"/>
        </w:rPr>
        <w:t>年度，公司实施</w:t>
      </w:r>
      <w:r>
        <w:rPr>
          <w:rFonts w:ascii="宋体" w:hAnsi="宋体" w:cs="宋体" w:eastAsia="宋体" w:hint="default"/>
          <w:spacing w:val="-2"/>
        </w:rPr>
        <w:t>2017</w:t>
      </w:r>
      <w:r>
        <w:rPr>
          <w:spacing w:val="-2"/>
        </w:rPr>
        <w:t>年度分红，每</w:t>
      </w:r>
      <w:r>
        <w:rPr>
          <w:rFonts w:ascii="宋体" w:hAnsi="宋体" w:cs="宋体" w:eastAsia="宋体" w:hint="default"/>
          <w:spacing w:val="-2"/>
        </w:rPr>
        <w:t>10</w:t>
      </w:r>
      <w:r>
        <w:rPr>
          <w:spacing w:val="-2"/>
        </w:rPr>
        <w:t>股派发现金</w:t>
      </w:r>
      <w:r>
        <w:rPr>
          <w:rFonts w:ascii="宋体" w:hAnsi="宋体" w:cs="宋体" w:eastAsia="宋体" w:hint="default"/>
          <w:spacing w:val="-2"/>
        </w:rPr>
        <w:t>0.6</w:t>
      </w:r>
      <w:r>
        <w:rPr>
          <w:spacing w:val="-2"/>
        </w:rPr>
        <w:t>元，共计派发现金</w:t>
      </w:r>
      <w:r>
        <w:rPr>
          <w:spacing w:val="-44"/>
        </w:rPr>
        <w:t> </w:t>
      </w:r>
      <w:r>
        <w:rPr>
          <w:spacing w:val="-44"/>
        </w:rPr>
      </w:r>
      <w:r>
        <w:rPr>
          <w:rFonts w:ascii="宋体" w:hAnsi="宋体" w:cs="宋体" w:eastAsia="宋体" w:hint="default"/>
        </w:rPr>
        <w:t>34,862,352.24</w:t>
      </w:r>
      <w:r>
        <w:rPr/>
        <w:t>元，给股东提供实实在在的回报。</w:t>
      </w:r>
    </w:p>
    <w:p>
      <w:pPr>
        <w:pStyle w:val="BodyText"/>
        <w:spacing w:line="477" w:lineRule="auto" w:before="54"/>
        <w:ind w:left="514" w:right="0"/>
        <w:jc w:val="left"/>
      </w:pPr>
      <w:r>
        <w:rPr>
          <w:rFonts w:ascii="宋体" w:hAnsi="宋体" w:cs="宋体" w:eastAsia="宋体" w:hint="default"/>
        </w:rPr>
        <w:t>2</w:t>
      </w:r>
      <w:r>
        <w:rPr/>
        <w:t>、债权人权益保护 </w:t>
      </w:r>
      <w:r>
        <w:rPr>
          <w:spacing w:val="-2"/>
        </w:rPr>
        <w:t>诚信是企业经营之本，在追求股东利益的同时兼顾债权人的利益。公司在各项重大经营决策过程中，均充分考虑了债权</w:t>
      </w:r>
    </w:p>
    <w:p>
      <w:pPr>
        <w:pStyle w:val="BodyText"/>
        <w:spacing w:line="477" w:lineRule="auto" w:before="54"/>
        <w:ind w:right="1043"/>
        <w:jc w:val="both"/>
      </w:pPr>
      <w:r>
        <w:rPr>
          <w:spacing w:val="-4"/>
        </w:rPr>
        <w:t>人的合法权益，及时向债权人反馈与其债权权益相关的重大信息，严格按照与债权人签订的合同履行债务，重合同，守信用，</w:t>
      </w:r>
      <w:r>
        <w:rPr>
          <w:spacing w:val="-46"/>
        </w:rPr>
        <w:t> </w:t>
      </w:r>
      <w:r>
        <w:rPr>
          <w:spacing w:val="-46"/>
        </w:rPr>
      </w:r>
      <w:r>
        <w:rPr/>
        <w:t>实现股东利益与债权人利益的双赢。</w:t>
      </w:r>
    </w:p>
    <w:p>
      <w:pPr>
        <w:pStyle w:val="BodyText"/>
        <w:spacing w:line="477" w:lineRule="auto" w:before="54"/>
        <w:ind w:left="514" w:right="0"/>
        <w:jc w:val="left"/>
      </w:pPr>
      <w:r>
        <w:rPr/>
        <w:t>（二）职工权益保护 </w:t>
      </w:r>
      <w:r>
        <w:rPr>
          <w:spacing w:val="-2"/>
        </w:rPr>
        <w:t>公司始终坚持以人为本，在不断扩大的产业版图中，全体员工是重要的价值共创者和价值分享者。公司始终把员工权益</w:t>
      </w:r>
    </w:p>
    <w:p>
      <w:pPr>
        <w:pStyle w:val="BodyText"/>
        <w:spacing w:line="477" w:lineRule="auto" w:before="54"/>
        <w:ind w:left="514" w:right="0" w:hanging="360"/>
        <w:jc w:val="left"/>
      </w:pPr>
      <w:r>
        <w:rPr/>
        <w:t>放在首要位置，与全体员工共享企业改革和发展成果，实现员工与企业的共同成长。 </w:t>
      </w:r>
      <w:r>
        <w:rPr>
          <w:spacing w:val="-2"/>
        </w:rPr>
        <w:t>公司实行劳动合同制，按照《劳动合同法》和有关劳动法律法规的规定，严格执行国家用工制度、劳动保护制度、社会</w:t>
      </w:r>
    </w:p>
    <w:p>
      <w:pPr>
        <w:pStyle w:val="BodyText"/>
        <w:spacing w:line="477" w:lineRule="auto" w:before="54"/>
        <w:ind w:right="1130"/>
        <w:jc w:val="both"/>
      </w:pPr>
      <w:r>
        <w:rPr>
          <w:spacing w:val="-2"/>
        </w:rPr>
        <w:t>保障制度，按照国家及当地主管部门的规定，为企业员工缴纳医疗保险金、养老保险金、失业保险金、工伤保险金、生育保</w:t>
      </w:r>
      <w:r>
        <w:rPr>
          <w:spacing w:val="-68"/>
        </w:rPr>
        <w:t> </w:t>
      </w:r>
      <w:r>
        <w:rPr>
          <w:spacing w:val="-68"/>
        </w:rPr>
      </w:r>
      <w:r>
        <w:rPr/>
        <w:t>险金和住房公积金，切实保证员工的合法权益。</w:t>
      </w:r>
    </w:p>
    <w:p>
      <w:pPr>
        <w:pStyle w:val="BodyText"/>
        <w:spacing w:line="477" w:lineRule="auto" w:before="54"/>
        <w:ind w:right="1032" w:firstLine="360"/>
        <w:jc w:val="left"/>
      </w:pPr>
      <w:r>
        <w:rPr>
          <w:spacing w:val="-2"/>
        </w:rPr>
        <w:t>公司将企业文化建设作为一项长期工作持续推进，提高员工自我认知、价值认知及做事的价值判断能力，将企业文化贯</w:t>
      </w:r>
      <w:r>
        <w:rPr/>
        <w:t> </w:t>
      </w:r>
      <w:r>
        <w:rPr>
          <w:spacing w:val="-2"/>
        </w:rPr>
        <w:t>穿于员工的行为规范、职业素质、职业能力、职业道德、职业精神等各个层面，建设良好的企业文化氛围，提升企业的凝聚</w:t>
      </w:r>
      <w:r>
        <w:rPr>
          <w:spacing w:val="-68"/>
        </w:rPr>
        <w:t> </w:t>
      </w:r>
      <w:r>
        <w:rPr>
          <w:spacing w:val="-68"/>
        </w:rPr>
      </w:r>
      <w:r>
        <w:rPr/>
        <w:t>力，实现员工与公司的共同成长。公司定期和不定期组织员工进行内、外部培训，同时为员工提供安全、舒适的工作环境， 并积极开展丰富多彩的各类活动，丰富员工的生活，增强了公司的凝聚力和向心力。</w:t>
      </w:r>
    </w:p>
    <w:p>
      <w:pPr>
        <w:pStyle w:val="BodyText"/>
        <w:spacing w:line="477" w:lineRule="auto" w:before="54"/>
        <w:ind w:right="0" w:firstLine="360"/>
        <w:jc w:val="left"/>
      </w:pPr>
      <w:r>
        <w:rPr>
          <w:spacing w:val="-2"/>
        </w:rPr>
        <w:t>公司成立了精益生产项目小组，推动公司精益生产与改善革新工作，提高业务人员、技术人员的精益管理能力，并完善</w:t>
      </w:r>
      <w:r>
        <w:rPr/>
        <w:t> 配套激励体系，充分调动与激发员工积极性，持续促进公司整体人均效率的不断提升。</w:t>
      </w:r>
    </w:p>
    <w:p>
      <w:pPr>
        <w:spacing w:after="0" w:line="477"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31" w:firstLine="360"/>
        <w:jc w:val="both"/>
      </w:pPr>
      <w:r>
        <w:rPr>
          <w:spacing w:val="-2"/>
        </w:rPr>
        <w:t>公司以战略发展规划为纲领，以“诚信、进取、合作、分享”的核心价值观为导向，培育具有卓翼特色的企业文化，塑</w:t>
      </w:r>
      <w:r>
        <w:rPr/>
        <w:t> </w:t>
      </w:r>
      <w:r>
        <w:rPr>
          <w:spacing w:val="-2"/>
        </w:rPr>
        <w:t>造员工对企业发展的共同愿景，并于</w:t>
      </w:r>
      <w:r>
        <w:rPr>
          <w:rFonts w:ascii="宋体" w:hAnsi="宋体" w:cs="宋体" w:eastAsia="宋体" w:hint="default"/>
          <w:spacing w:val="-2"/>
        </w:rPr>
        <w:t>2017</w:t>
      </w:r>
      <w:r>
        <w:rPr>
          <w:spacing w:val="-2"/>
        </w:rPr>
        <w:t>年实施了股票期权与限制性股票激励计划，让员工利益与公司经营情况捆绑，心往</w:t>
      </w:r>
      <w:r>
        <w:rPr>
          <w:spacing w:val="-62"/>
        </w:rPr>
        <w:t> </w:t>
      </w:r>
      <w:r>
        <w:rPr>
          <w:spacing w:val="-62"/>
        </w:rPr>
      </w:r>
      <w:r>
        <w:rPr/>
        <w:t>一处想，劲往一处使，共同打造卓翼美好明天。</w:t>
      </w:r>
    </w:p>
    <w:p>
      <w:pPr>
        <w:pStyle w:val="BodyText"/>
        <w:spacing w:line="477" w:lineRule="auto" w:before="54"/>
        <w:ind w:left="514" w:right="7242"/>
        <w:jc w:val="left"/>
      </w:pPr>
      <w:r>
        <w:rPr/>
        <w:t>（三）供应商和客户权益保护 </w:t>
      </w:r>
      <w:r>
        <w:rPr>
          <w:rFonts w:ascii="宋体" w:hAnsi="宋体" w:cs="宋体" w:eastAsia="宋体" w:hint="default"/>
        </w:rPr>
        <w:t>1</w:t>
      </w:r>
      <w:r>
        <w:rPr/>
        <w:t>、重视供应商管理，打造优质采购平台</w:t>
      </w:r>
    </w:p>
    <w:p>
      <w:pPr>
        <w:pStyle w:val="BodyText"/>
        <w:spacing w:line="477" w:lineRule="auto" w:before="54"/>
        <w:ind w:right="1130" w:firstLine="360"/>
        <w:jc w:val="both"/>
      </w:pPr>
      <w:r>
        <w:rPr>
          <w:spacing w:val="-2"/>
        </w:rPr>
        <w:t>公司一直坚持“共赢”原则，与供应商共同成长，积极构建和发展与供应商的战略合作伙伴关系，充分尊重并保护供应</w:t>
      </w:r>
      <w:r>
        <w:rPr/>
        <w:t> </w:t>
      </w:r>
      <w:r>
        <w:rPr>
          <w:spacing w:val="-2"/>
        </w:rPr>
        <w:t>商的合法利益，建立了公平、公正的评估体系，在公平公正、充分竞争的基础上，选择优秀供应商，保证采购成本和质量的</w:t>
      </w:r>
      <w:r>
        <w:rPr>
          <w:spacing w:val="-68"/>
        </w:rPr>
        <w:t> </w:t>
      </w:r>
      <w:r>
        <w:rPr>
          <w:spacing w:val="-68"/>
        </w:rPr>
      </w:r>
      <w:r>
        <w:rPr/>
        <w:t>控制，推动双方更深层次的合作与发展，促进共同进步。</w:t>
      </w:r>
    </w:p>
    <w:p>
      <w:pPr>
        <w:pStyle w:val="BodyText"/>
        <w:spacing w:line="477" w:lineRule="auto" w:before="54"/>
        <w:ind w:left="514" w:right="0"/>
        <w:jc w:val="left"/>
      </w:pPr>
      <w:r>
        <w:rPr>
          <w:rFonts w:ascii="宋体" w:hAnsi="宋体" w:cs="宋体" w:eastAsia="宋体" w:hint="default"/>
        </w:rPr>
        <w:t>2</w:t>
      </w:r>
      <w:r>
        <w:rPr/>
        <w:t>、以客户为中心，创造客户价值 </w:t>
      </w:r>
      <w:r>
        <w:rPr>
          <w:spacing w:val="-2"/>
        </w:rPr>
        <w:t>公司在保障客户权益方面，始终坚持“客户至上”的原则，多年来，卓翼人始终把客户的困难，当作自己的机会，把客</w:t>
      </w:r>
    </w:p>
    <w:p>
      <w:pPr>
        <w:pStyle w:val="BodyText"/>
        <w:spacing w:line="477" w:lineRule="auto" w:before="54"/>
        <w:ind w:right="1032"/>
        <w:jc w:val="left"/>
      </w:pPr>
      <w:r>
        <w:rPr>
          <w:spacing w:val="-4"/>
        </w:rPr>
        <w:t>户的需求，当作自己的使命，努力守护着客户的信任，坚持将每个产品都做出特色、做成精品，旨在为客户提供优质的产品、</w:t>
      </w:r>
      <w:r>
        <w:rPr>
          <w:spacing w:val="-44"/>
        </w:rPr>
        <w:t> </w:t>
      </w:r>
      <w:r>
        <w:rPr>
          <w:spacing w:val="-44"/>
        </w:rPr>
      </w:r>
      <w:r>
        <w:rPr>
          <w:spacing w:val="-2"/>
        </w:rPr>
        <w:t>优惠的价格和优秀的服务以保护客户的合法利益，保障其在与公司的合作中获得合理的盈利，达到与公司共同发展、互惠互</w:t>
      </w:r>
      <w:r>
        <w:rPr>
          <w:spacing w:val="-66"/>
        </w:rPr>
        <w:t> </w:t>
      </w:r>
      <w:r>
        <w:rPr>
          <w:spacing w:val="-66"/>
        </w:rPr>
      </w:r>
      <w:r>
        <w:rPr/>
        <w:t>利的目标。</w:t>
      </w:r>
    </w:p>
    <w:p>
      <w:pPr>
        <w:pStyle w:val="BodyText"/>
        <w:spacing w:line="477" w:lineRule="auto" w:before="54"/>
        <w:ind w:right="1129" w:firstLine="360"/>
        <w:jc w:val="both"/>
      </w:pPr>
      <w:r>
        <w:rPr>
          <w:rFonts w:ascii="宋体" w:hAnsi="宋体" w:cs="宋体" w:eastAsia="宋体" w:hint="default"/>
          <w:spacing w:val="-5"/>
        </w:rPr>
        <w:t>2018</w:t>
      </w:r>
      <w:r>
        <w:rPr>
          <w:spacing w:val="-5"/>
        </w:rPr>
        <w:t>年度，公司获得了小米科技、欧普照明等重要客户的“最佳交付奖”、“优秀供应商奖”等奖项，这些奖项的获得充</w:t>
      </w:r>
      <w:r>
        <w:rPr/>
        <w:t> 分肯定了公司的工作成果和服务质量。</w:t>
      </w:r>
    </w:p>
    <w:p>
      <w:pPr>
        <w:pStyle w:val="BodyText"/>
        <w:spacing w:line="477" w:lineRule="auto" w:before="54"/>
        <w:ind w:left="514" w:right="0"/>
        <w:jc w:val="left"/>
      </w:pPr>
      <w:r>
        <w:rPr/>
        <w:t>（四）环境保护和可持续发展 </w:t>
      </w:r>
      <w:r>
        <w:rPr>
          <w:spacing w:val="-2"/>
        </w:rPr>
        <w:t>在环保治理的道路上，公司始终坚守“绿水青山就是金山银山”的理念，不断提高环境保护意识，强化环保宣传、培训</w:t>
      </w:r>
      <w:r>
        <w:rPr/>
      </w:r>
    </w:p>
    <w:p>
      <w:pPr>
        <w:pStyle w:val="BodyText"/>
        <w:spacing w:line="477" w:lineRule="auto" w:before="54"/>
        <w:ind w:right="1130"/>
        <w:jc w:val="both"/>
      </w:pPr>
      <w:r>
        <w:rPr>
          <w:spacing w:val="-2"/>
        </w:rPr>
        <w:t>和学习，持续环保事业的投入和探索，大力发展绿色循环经济并严格遵守国家环境保护和节能减排相关法律法规，坚持环保</w:t>
      </w:r>
      <w:r>
        <w:rPr>
          <w:spacing w:val="-66"/>
        </w:rPr>
        <w:t> </w:t>
      </w:r>
      <w:r>
        <w:rPr>
          <w:spacing w:val="-66"/>
        </w:rPr>
      </w:r>
      <w:r>
        <w:rPr>
          <w:spacing w:val="-2"/>
        </w:rPr>
        <w:t>与节能优先的原则，持续开展绿色管理和清洁生产工作，通过技术改造和新技术、新设备及新工艺的应用，持续改善和提升</w:t>
      </w:r>
      <w:r>
        <w:rPr>
          <w:spacing w:val="-66"/>
        </w:rPr>
        <w:t> </w:t>
      </w:r>
      <w:r>
        <w:rPr>
          <w:spacing w:val="-66"/>
        </w:rPr>
      </w:r>
      <w:r>
        <w:rPr>
          <w:spacing w:val="-2"/>
        </w:rPr>
        <w:t>“三废”的产生、控制和处理水平，控制和消除生产过程中对环境的影响，倡导清洁生产、资源再利用等科学发展理念，推</w:t>
      </w:r>
      <w:r>
        <w:rPr>
          <w:spacing w:val="-67"/>
        </w:rPr>
        <w:t> </w:t>
      </w:r>
      <w:r>
        <w:rPr>
          <w:spacing w:val="-67"/>
        </w:rPr>
      </w:r>
      <w:r>
        <w:rPr/>
        <w:t>进节能减排项目实施，主动肩负起保护环境的社会责任，促进社会、经济和环境的可持续发展。</w:t>
      </w:r>
    </w:p>
    <w:p>
      <w:pPr>
        <w:pStyle w:val="BodyText"/>
        <w:spacing w:line="477" w:lineRule="auto" w:before="54"/>
        <w:ind w:right="1130" w:firstLine="360"/>
        <w:jc w:val="both"/>
      </w:pPr>
      <w:r>
        <w:rPr>
          <w:spacing w:val="-2"/>
        </w:rPr>
        <w:t>公司持续宣传、贯彻国家环境保护政策，提高员工环保意识，积极推行节能减排、降低能耗，倡导全体员工节约每一度</w:t>
      </w:r>
      <w:r>
        <w:rPr/>
        <w:t> </w:t>
      </w:r>
      <w:r>
        <w:rPr>
          <w:spacing w:val="-3"/>
        </w:rPr>
        <w:t>电、每一张纸、每一滴水。公司利用 </w:t>
      </w:r>
      <w:r>
        <w:rPr>
          <w:rFonts w:ascii="宋体" w:hAnsi="宋体" w:cs="宋体" w:eastAsia="宋体" w:hint="default"/>
        </w:rPr>
        <w:t>OA</w:t>
      </w:r>
      <w:r>
        <w:rPr>
          <w:rFonts w:ascii="宋体" w:hAnsi="宋体" w:cs="宋体" w:eastAsia="宋体" w:hint="default"/>
          <w:spacing w:val="-32"/>
        </w:rPr>
        <w:t> </w:t>
      </w:r>
      <w:r>
        <w:rPr/>
        <w:t>办公系统、工程管理信息化系统、财务管理软件等信息化工具，实现资源共享和远 程办公，提升工作效率，节约资源能耗。</w:t>
      </w:r>
    </w:p>
    <w:p>
      <w:pPr>
        <w:pStyle w:val="BodyText"/>
        <w:spacing w:line="477" w:lineRule="auto" w:before="54"/>
        <w:ind w:right="1129" w:firstLine="360"/>
        <w:jc w:val="both"/>
      </w:pPr>
      <w:r>
        <w:rPr>
          <w:spacing w:val="-2"/>
        </w:rPr>
        <w:t>公司以“用我们的工作，提高我们的生活，创造更美好的社会”为使命，推进环境经营，为创造可持续发展的资源回收</w:t>
      </w:r>
      <w:r>
        <w:rPr/>
        <w:t> 型社会而努力。</w:t>
      </w:r>
    </w:p>
    <w:p>
      <w:pPr>
        <w:pStyle w:val="BodyText"/>
        <w:spacing w:line="240" w:lineRule="auto" w:before="54"/>
        <w:ind w:left="514" w:right="0"/>
        <w:jc w:val="left"/>
      </w:pPr>
      <w:r>
        <w:rPr/>
        <w:t>（五）安全生产</w:t>
      </w:r>
    </w:p>
    <w:p>
      <w:pPr>
        <w:spacing w:line="240" w:lineRule="auto" w:before="10"/>
        <w:rPr>
          <w:rFonts w:ascii="宋体" w:hAnsi="宋体" w:cs="宋体" w:eastAsia="宋体" w:hint="default"/>
          <w:sz w:val="17"/>
          <w:szCs w:val="17"/>
        </w:rPr>
      </w:pPr>
    </w:p>
    <w:p>
      <w:pPr>
        <w:pStyle w:val="BodyText"/>
        <w:spacing w:line="477" w:lineRule="auto"/>
        <w:ind w:right="1131" w:firstLine="360"/>
        <w:jc w:val="both"/>
      </w:pPr>
      <w:r>
        <w:rPr>
          <w:rFonts w:ascii="宋体" w:hAnsi="宋体" w:cs="宋体" w:eastAsia="宋体" w:hint="default"/>
        </w:rPr>
        <w:t>2018</w:t>
      </w:r>
      <w:r>
        <w:rPr>
          <w:rFonts w:ascii="宋体" w:hAnsi="宋体" w:cs="宋体" w:eastAsia="宋体" w:hint="default"/>
          <w:spacing w:val="7"/>
        </w:rPr>
        <w:t> </w:t>
      </w:r>
      <w:r>
        <w:rPr/>
        <w:t>年，公司持续改进企业安全管理，健全与完善安全生产管理体制，组织安全生产事故应急演练，积极开展安全生 产月活动，落实安全生产责任制，确保安全生产工作顺利推进，推动集团安全管理水平上一个台阶。</w:t>
      </w:r>
    </w:p>
    <w:p>
      <w:pPr>
        <w:pStyle w:val="BodyText"/>
        <w:spacing w:line="240" w:lineRule="auto" w:before="54"/>
        <w:ind w:left="514" w:right="0"/>
        <w:jc w:val="left"/>
      </w:pPr>
      <w:r>
        <w:rPr>
          <w:rFonts w:ascii="宋体" w:hAnsi="宋体" w:cs="宋体" w:eastAsia="宋体" w:hint="default"/>
        </w:rPr>
        <w:t>1</w:t>
      </w:r>
      <w:r>
        <w:rPr/>
        <w:t>、加大企业各级人员的安全生产知识培训学习与抽查考试工作的力度，以进一步促进企业各级人员的安全知识掌握与</w:t>
      </w:r>
    </w:p>
    <w:p>
      <w:pPr>
        <w:spacing w:after="0" w:line="240"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240" w:lineRule="auto" w:before="44"/>
        <w:ind w:right="0"/>
        <w:jc w:val="left"/>
      </w:pPr>
      <w:r>
        <w:rPr/>
        <w:t>应用。</w:t>
      </w:r>
    </w:p>
    <w:p>
      <w:pPr>
        <w:spacing w:line="240" w:lineRule="auto" w:before="10"/>
        <w:rPr>
          <w:rFonts w:ascii="宋体" w:hAnsi="宋体" w:cs="宋体" w:eastAsia="宋体" w:hint="default"/>
          <w:sz w:val="17"/>
          <w:szCs w:val="17"/>
        </w:rPr>
      </w:pPr>
    </w:p>
    <w:p>
      <w:pPr>
        <w:pStyle w:val="BodyText"/>
        <w:spacing w:line="477" w:lineRule="auto"/>
        <w:ind w:right="1131" w:firstLine="360"/>
        <w:jc w:val="both"/>
      </w:pPr>
      <w:r>
        <w:rPr>
          <w:rFonts w:ascii="宋体" w:hAnsi="宋体" w:cs="宋体" w:eastAsia="宋体" w:hint="default"/>
        </w:rPr>
        <w:t>2</w:t>
      </w:r>
      <w:r>
        <w:rPr/>
        <w:t>、通过定期、不定期的安全综合或专项检查，加大突出问题或整改不落实的考核；同时，强化生产现场的安全检查考 </w:t>
      </w:r>
      <w:r>
        <w:rPr>
          <w:spacing w:val="-2"/>
        </w:rPr>
        <w:t>核，及时发现和制止员工的不安全行为和物的不安全状态；积极开展自查自纠检查活动，深入排查安全隐患并及时治理，把</w:t>
      </w:r>
      <w:r>
        <w:rPr>
          <w:spacing w:val="-66"/>
        </w:rPr>
        <w:t> </w:t>
      </w:r>
      <w:r>
        <w:rPr>
          <w:spacing w:val="-66"/>
        </w:rPr>
      </w:r>
      <w:r>
        <w:rPr/>
        <w:t>事故隐患消灭在萌芽状态。</w:t>
      </w:r>
    </w:p>
    <w:p>
      <w:pPr>
        <w:pStyle w:val="BodyText"/>
        <w:spacing w:line="477" w:lineRule="auto" w:before="54"/>
        <w:ind w:right="1131" w:firstLine="360"/>
        <w:jc w:val="both"/>
      </w:pPr>
      <w:r>
        <w:rPr>
          <w:rFonts w:ascii="宋体" w:hAnsi="宋体" w:cs="宋体" w:eastAsia="宋体" w:hint="default"/>
        </w:rPr>
        <w:t>3</w:t>
      </w:r>
      <w:r>
        <w:rPr/>
        <w:t>、按照安全生产标准化的要求，采取安全生产目标管理和安全生产责任制，层层分解安全生产控制指标，逐级签订安 全责任书，加大安全生产教育力度。</w:t>
      </w:r>
    </w:p>
    <w:p>
      <w:pPr>
        <w:pStyle w:val="BodyText"/>
        <w:spacing w:line="477" w:lineRule="auto" w:before="54"/>
        <w:ind w:right="1132" w:firstLine="360"/>
        <w:jc w:val="both"/>
      </w:pPr>
      <w:r>
        <w:rPr>
          <w:rFonts w:ascii="宋体" w:hAnsi="宋体" w:cs="宋体" w:eastAsia="宋体" w:hint="default"/>
        </w:rPr>
        <w:t>4</w:t>
      </w:r>
      <w:r>
        <w:rPr/>
        <w:t>、加强安全消防设备设施的检查维修保养，督促企业做好安全应急预案演练，形成长效机制，以进一步提高安全生产 应急管理水平和应急救援能力。</w:t>
      </w:r>
    </w:p>
    <w:p>
      <w:pPr>
        <w:pStyle w:val="BodyText"/>
        <w:spacing w:line="240" w:lineRule="auto" w:before="54"/>
        <w:ind w:left="514" w:right="0"/>
        <w:jc w:val="left"/>
      </w:pPr>
      <w:r>
        <w:rPr/>
        <w:t>（六）公共关系和社会公益事业</w:t>
      </w:r>
    </w:p>
    <w:p>
      <w:pPr>
        <w:spacing w:line="240" w:lineRule="auto" w:before="10"/>
        <w:rPr>
          <w:rFonts w:ascii="宋体" w:hAnsi="宋体" w:cs="宋体" w:eastAsia="宋体" w:hint="default"/>
          <w:sz w:val="17"/>
          <w:szCs w:val="17"/>
        </w:rPr>
      </w:pPr>
    </w:p>
    <w:p>
      <w:pPr>
        <w:pStyle w:val="BodyText"/>
        <w:spacing w:line="477" w:lineRule="auto"/>
        <w:ind w:right="1130" w:firstLine="360"/>
        <w:jc w:val="both"/>
      </w:pPr>
      <w:r>
        <w:rPr/>
        <w:t>公共关系是企业内求团结、外求发展的沟通桥梁，社会公益事业是企业回报</w:t>
      </w:r>
      <w:r>
        <w:rPr>
          <w:spacing w:val="8"/>
        </w:rPr>
        <w:t> </w:t>
      </w:r>
      <w:r>
        <w:rPr/>
        <w:t>社会应尽的责任。多年来，公司牢记企业</w:t>
      </w:r>
      <w:r>
        <w:rPr/>
        <w:t> 的社会责任和使命，一直以积极的态度</w:t>
      </w:r>
      <w:r>
        <w:rPr>
          <w:spacing w:val="7"/>
        </w:rPr>
        <w:t> </w:t>
      </w:r>
      <w:r>
        <w:rPr/>
        <w:t>力所能及地服务社会，热心公益回报社会，全力推动社区和当地经济的进步，做到</w:t>
      </w:r>
      <w:r>
        <w:rPr/>
        <w:t> 全面、和谐发展。</w:t>
      </w:r>
    </w:p>
    <w:p>
      <w:pPr>
        <w:pStyle w:val="BodyText"/>
        <w:spacing w:line="477" w:lineRule="auto" w:before="54"/>
        <w:ind w:right="1130" w:firstLine="360"/>
        <w:jc w:val="both"/>
      </w:pPr>
      <w:r>
        <w:rPr>
          <w:spacing w:val="-2"/>
        </w:rPr>
        <w:t>公司在经营管理中，坚持守法经营，及时足额缴纳税款，保证依法诚信纳税。在企业稳步发展的同时，注重与外部社会</w:t>
      </w:r>
      <w:r>
        <w:rPr/>
        <w:t> </w:t>
      </w:r>
      <w:r>
        <w:rPr>
          <w:spacing w:val="-2"/>
        </w:rPr>
        <w:t>建立融洽的沟通氛围，积极参加社会慈善等公益活动及所在辖区组织的社区活动，促进公司所在地的发展，以构筑和谐的社</w:t>
      </w:r>
      <w:r>
        <w:rPr>
          <w:spacing w:val="-66"/>
        </w:rPr>
        <w:t> </w:t>
      </w:r>
      <w:r>
        <w:rPr>
          <w:spacing w:val="-66"/>
        </w:rPr>
      </w:r>
      <w:r>
        <w:rPr>
          <w:spacing w:val="-2"/>
        </w:rPr>
        <w:t>会关系。公司积极、主动加强与政府主管部门、行业协会、监管机关的沟通与联系，对相关部门根据法律、法规要求提出的</w:t>
      </w:r>
      <w:r>
        <w:rPr>
          <w:spacing w:val="-68"/>
        </w:rPr>
        <w:t> </w:t>
      </w:r>
      <w:r>
        <w:rPr>
          <w:spacing w:val="-68"/>
        </w:rPr>
      </w:r>
      <w:r>
        <w:rPr>
          <w:spacing w:val="-2"/>
        </w:rPr>
        <w:t>监督和检查，都予以积极配合、协助，尽到自身的责任与义务。同时，公司通过开发新产品、新技术，积极招聘人才，创造</w:t>
      </w:r>
      <w:r>
        <w:rPr>
          <w:spacing w:val="-67"/>
        </w:rPr>
        <w:t> </w:t>
      </w:r>
      <w:r>
        <w:rPr>
          <w:spacing w:val="-67"/>
        </w:rPr>
      </w:r>
      <w:r>
        <w:rPr/>
        <w:t>就业条件，为缓解社会就业压力做出了一定的贡献。</w:t>
      </w:r>
    </w:p>
    <w:p>
      <w:pPr>
        <w:spacing w:line="240" w:lineRule="auto" w:before="1"/>
        <w:rPr>
          <w:rFonts w:ascii="宋体" w:hAnsi="宋体" w:cs="宋体" w:eastAsia="宋体" w:hint="default"/>
          <w:sz w:val="21"/>
          <w:szCs w:val="21"/>
        </w:rPr>
      </w:pPr>
    </w:p>
    <w:p>
      <w:pPr>
        <w:pStyle w:val="Heading5"/>
        <w:spacing w:line="240" w:lineRule="auto"/>
        <w:ind w:left="154" w:right="0"/>
        <w:jc w:val="left"/>
        <w:rPr>
          <w:b w:val="0"/>
          <w:bCs w:val="0"/>
        </w:rPr>
      </w:pPr>
      <w:bookmarkStart w:name="2、 履行精准扶贫社会责任情况" w:id="102"/>
      <w:bookmarkEnd w:id="102"/>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0"/>
        <w:rPr>
          <w:rFonts w:ascii="宋体" w:hAnsi="宋体" w:cs="宋体" w:eastAsia="宋体" w:hint="default"/>
          <w:b/>
          <w:bCs/>
          <w:sz w:val="18"/>
          <w:szCs w:val="18"/>
        </w:rPr>
      </w:pPr>
    </w:p>
    <w:p>
      <w:pPr>
        <w:pStyle w:val="BodyText"/>
        <w:spacing w:line="240" w:lineRule="auto" w:before="128"/>
        <w:ind w:right="0"/>
        <w:jc w:val="left"/>
      </w:pPr>
      <w:r>
        <w:rPr/>
        <w:t>公司报告年度暂未开展精准扶贫工作，也暂无后续精准扶贫计划。</w:t>
      </w:r>
    </w:p>
    <w:p>
      <w:pPr>
        <w:spacing w:line="240" w:lineRule="auto" w:before="10"/>
        <w:rPr>
          <w:rFonts w:ascii="宋体" w:hAnsi="宋体" w:cs="宋体" w:eastAsia="宋体" w:hint="default"/>
          <w:sz w:val="14"/>
          <w:szCs w:val="14"/>
        </w:rPr>
      </w:pPr>
    </w:p>
    <w:p>
      <w:pPr>
        <w:spacing w:line="504" w:lineRule="auto" w:before="0"/>
        <w:ind w:left="154" w:right="5712" w:firstLine="0"/>
        <w:jc w:val="left"/>
        <w:rPr>
          <w:rFonts w:ascii="宋体" w:hAnsi="宋体" w:cs="宋体" w:eastAsia="宋体" w:hint="default"/>
          <w:sz w:val="18"/>
          <w:szCs w:val="18"/>
        </w:rPr>
      </w:pPr>
      <w:bookmarkStart w:name="3、环境保护相关的情况" w:id="103"/>
      <w:bookmarkEnd w:id="103"/>
      <w:r>
        <w:rPr/>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、环境保护相关的情况</w:t>
      </w:r>
      <w:r>
        <w:rPr>
          <w:rFonts w:ascii="宋体" w:hAnsi="宋体" w:cs="宋体" w:eastAsia="宋体" w:hint="default"/>
          <w:b/>
          <w:bCs/>
          <w:w w:val="99"/>
          <w:sz w:val="18"/>
          <w:szCs w:val="18"/>
        </w:rPr>
        <w:t> </w:t>
      </w:r>
      <w:r>
        <w:rPr>
          <w:rFonts w:ascii="宋体" w:hAnsi="宋体" w:cs="宋体" w:eastAsia="宋体" w:hint="default"/>
          <w:sz w:val="18"/>
          <w:szCs w:val="18"/>
        </w:rPr>
        <w:t>上市公司及其子公司是否属于环境保护部门公布的重点排污单位 否</w:t>
      </w:r>
    </w:p>
    <w:p>
      <w:pPr>
        <w:pStyle w:val="BodyText"/>
        <w:spacing w:line="477" w:lineRule="auto" w:before="73"/>
        <w:ind w:right="1132" w:firstLine="360"/>
        <w:jc w:val="both"/>
      </w:pPr>
      <w:r>
        <w:rPr>
          <w:spacing w:val="-9"/>
        </w:rPr>
        <w:t>公司及其子公司在日常生产经营中认真执行《中华人民共和国环境保护法》、《中华人民共和国水污染防治法》、《中华人</w:t>
      </w:r>
      <w:r>
        <w:rPr/>
        <w:t> </w:t>
      </w:r>
      <w:r>
        <w:rPr>
          <w:spacing w:val="-8"/>
        </w:rPr>
        <w:t>民共和国大气污染防治法》、《中华人民共和国环境噪声污染防治法》、《中华人民共和国固体废物污染防治法》等环保方面的</w:t>
      </w:r>
      <w:r>
        <w:rPr>
          <w:spacing w:val="-86"/>
        </w:rPr>
        <w:t> </w:t>
      </w:r>
      <w:r>
        <w:rPr>
          <w:spacing w:val="-86"/>
        </w:rPr>
      </w:r>
      <w:r>
        <w:rPr/>
        <w:t>法律法规，报告期内未出现因违法违规而受到处罚的情况。</w:t>
      </w:r>
    </w:p>
    <w:p>
      <w:pPr>
        <w:spacing w:line="240" w:lineRule="auto" w:before="7"/>
        <w:rPr>
          <w:rFonts w:ascii="宋体" w:hAnsi="宋体" w:cs="宋体" w:eastAsia="宋体" w:hint="default"/>
          <w:sz w:val="17"/>
          <w:szCs w:val="17"/>
        </w:rPr>
      </w:pPr>
    </w:p>
    <w:p>
      <w:pPr>
        <w:pStyle w:val="Heading2"/>
        <w:spacing w:line="240" w:lineRule="auto"/>
        <w:ind w:right="0"/>
        <w:jc w:val="left"/>
        <w:rPr>
          <w:b w:val="0"/>
          <w:bCs w:val="0"/>
        </w:rPr>
      </w:pPr>
      <w:bookmarkStart w:name="十九、其他重大事项的说明" w:id="104"/>
      <w:bookmarkEnd w:id="104"/>
      <w:r>
        <w:rPr>
          <w:b w:val="0"/>
          <w:bCs w:val="0"/>
        </w:rPr>
      </w:r>
      <w:r>
        <w:rPr/>
        <w:t>十九、其他重大事项的说明</w:t>
      </w:r>
      <w:r>
        <w:rPr>
          <w:b w:val="0"/>
          <w:bCs w:val="0"/>
        </w:rPr>
      </w:r>
    </w:p>
    <w:p>
      <w:pPr>
        <w:spacing w:line="240" w:lineRule="auto" w:before="7"/>
        <w:rPr>
          <w:rFonts w:ascii="宋体" w:hAnsi="宋体" w:cs="宋体" w:eastAsia="宋体" w:hint="default"/>
          <w:b/>
          <w:bCs/>
          <w:sz w:val="26"/>
          <w:szCs w:val="26"/>
        </w:rPr>
      </w:pPr>
    </w:p>
    <w:p>
      <w:pPr>
        <w:spacing w:line="436" w:lineRule="auto" w:before="0"/>
        <w:ind w:left="515" w:right="7409" w:hanging="362"/>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b/>
          <w:bCs/>
          <w:sz w:val="18"/>
          <w:szCs w:val="18"/>
        </w:rPr>
        <w:t>1</w:t>
      </w:r>
      <w:r>
        <w:rPr>
          <w:rFonts w:ascii="宋体" w:hAnsi="宋体" w:cs="宋体" w:eastAsia="宋体" w:hint="default"/>
          <w:b/>
          <w:bCs/>
          <w:sz w:val="18"/>
          <w:szCs w:val="18"/>
        </w:rPr>
        <w:t>、关于部分变更募集资金用途的事项</w:t>
      </w:r>
      <w:r>
        <w:rPr>
          <w:rFonts w:ascii="宋体" w:hAnsi="宋体" w:cs="宋体" w:eastAsia="宋体" w:hint="default"/>
          <w:sz w:val="18"/>
          <w:szCs w:val="18"/>
        </w:rPr>
      </w:r>
    </w:p>
    <w:p>
      <w:pPr>
        <w:spacing w:after="0" w:line="436" w:lineRule="auto"/>
        <w:jc w:val="left"/>
        <w:rPr>
          <w:rFonts w:ascii="宋体" w:hAnsi="宋体" w:cs="宋体" w:eastAsia="宋体" w:hint="default"/>
          <w:sz w:val="18"/>
          <w:szCs w:val="18"/>
        </w:rPr>
        <w:sectPr>
          <w:pgSz w:w="11910" w:h="16840"/>
          <w:pgMar w:header="0" w:footer="1019" w:top="1120" w:bottom="1200" w:left="980" w:right="0"/>
        </w:sectPr>
      </w:pPr>
    </w:p>
    <w:p>
      <w:pPr>
        <w:spacing w:line="240" w:lineRule="auto" w:before="9"/>
        <w:rPr>
          <w:rFonts w:ascii="宋体" w:hAnsi="宋体" w:cs="宋体" w:eastAsia="宋体" w:hint="default"/>
          <w:b/>
          <w:bCs/>
          <w:sz w:val="26"/>
          <w:szCs w:val="26"/>
        </w:rPr>
      </w:pPr>
    </w:p>
    <w:p>
      <w:pPr>
        <w:pStyle w:val="BodyText"/>
        <w:spacing w:line="477" w:lineRule="auto" w:before="44"/>
        <w:ind w:right="1129" w:firstLine="360"/>
        <w:jc w:val="both"/>
      </w:pPr>
      <w:r>
        <w:rPr>
          <w:rFonts w:ascii="宋体" w:hAnsi="宋体" w:cs="宋体" w:eastAsia="宋体" w:hint="default"/>
          <w:spacing w:val="-2"/>
        </w:rPr>
        <w:t>2018</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7</w:t>
      </w:r>
      <w:r>
        <w:rPr>
          <w:spacing w:val="-2"/>
        </w:rPr>
        <w:t>日，公司召开第四届董事会第十八次会议审议通过了《关于部分变更募集资金用途的议案》，并经</w:t>
      </w:r>
      <w:r>
        <w:rPr>
          <w:rFonts w:ascii="宋体" w:hAnsi="宋体" w:cs="宋体" w:eastAsia="宋体" w:hint="default"/>
          <w:spacing w:val="-2"/>
        </w:rPr>
        <w:t>2018</w:t>
      </w:r>
      <w:r>
        <w:rPr>
          <w:spacing w:val="-2"/>
        </w:rPr>
        <w:t>年第</w:t>
      </w:r>
      <w:r>
        <w:rPr/>
        <w:t> </w:t>
      </w:r>
      <w:r>
        <w:rPr>
          <w:spacing w:val="-2"/>
        </w:rPr>
        <w:t>二次临时股东大会批准，同意公司调减原“创新支持平台”募投项目的募集资金</w:t>
      </w:r>
      <w:r>
        <w:rPr>
          <w:rFonts w:ascii="宋体" w:hAnsi="宋体" w:cs="宋体" w:eastAsia="宋体" w:hint="default"/>
          <w:spacing w:val="-2"/>
        </w:rPr>
        <w:t>8,000</w:t>
      </w:r>
      <w:r>
        <w:rPr>
          <w:spacing w:val="-2"/>
        </w:rPr>
        <w:t>万元及使用自有资金</w:t>
      </w:r>
      <w:r>
        <w:rPr>
          <w:rFonts w:ascii="宋体" w:hAnsi="宋体" w:cs="宋体" w:eastAsia="宋体" w:hint="default"/>
          <w:spacing w:val="-2"/>
        </w:rPr>
        <w:t>7,000</w:t>
      </w:r>
      <w:r>
        <w:rPr>
          <w:spacing w:val="-2"/>
        </w:rPr>
        <w:t>万元用于新</w:t>
      </w:r>
      <w:r>
        <w:rPr>
          <w:spacing w:val="-56"/>
        </w:rPr>
        <w:t> </w:t>
      </w:r>
      <w:r>
        <w:rPr>
          <w:spacing w:val="-5"/>
        </w:rPr>
        <w:t>增募投项目“机器人项目”。符合公司整体发展战略，提高了募集资金使用效率。（注</w:t>
      </w:r>
      <w:r>
        <w:rPr>
          <w:rFonts w:ascii="宋体" w:hAnsi="宋体" w:cs="宋体" w:eastAsia="宋体" w:hint="default"/>
          <w:spacing w:val="-5"/>
        </w:rPr>
        <w:t>1</w:t>
      </w:r>
      <w:r>
        <w:rPr>
          <w:spacing w:val="-5"/>
        </w:rPr>
        <w:t>）</w:t>
      </w:r>
    </w:p>
    <w:p>
      <w:pPr>
        <w:pStyle w:val="Heading5"/>
        <w:spacing w:line="240" w:lineRule="auto" w:before="54"/>
        <w:ind w:right="0"/>
        <w:jc w:val="left"/>
        <w:rPr>
          <w:b w:val="0"/>
          <w:bCs w:val="0"/>
        </w:rPr>
      </w:pPr>
      <w:r>
        <w:rPr>
          <w:rFonts w:ascii="宋体" w:hAnsi="宋体" w:cs="宋体" w:eastAsia="宋体" w:hint="default"/>
        </w:rPr>
        <w:t>2</w:t>
      </w:r>
      <w:r>
        <w:rPr/>
        <w:t>、监事辞职及选举监事</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0" w:firstLine="360"/>
        <w:jc w:val="both"/>
      </w:pPr>
      <w:r>
        <w:rPr>
          <w:rFonts w:ascii="宋体" w:hAnsi="宋体" w:cs="宋体" w:eastAsia="宋体" w:hint="default"/>
          <w:spacing w:val="-2"/>
        </w:rPr>
        <w:t>2018</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7</w:t>
      </w:r>
      <w:r>
        <w:rPr>
          <w:spacing w:val="-2"/>
        </w:rPr>
        <w:t>日，公司召开第四届监事会第十三次会议，审议通过了《关于选举第四届监事会股东代表监事的议案》，叶</w:t>
      </w:r>
      <w:r>
        <w:rPr/>
        <w:t> </w:t>
      </w:r>
      <w:r>
        <w:rPr>
          <w:spacing w:val="-2"/>
        </w:rPr>
        <w:t>广照先生因个人原因辞去监事职务，监事会同意选举卢和忠先生为公司第四届监事会监事，此事项经</w:t>
      </w:r>
      <w:r>
        <w:rPr>
          <w:rFonts w:ascii="宋体" w:hAnsi="宋体" w:cs="宋体" w:eastAsia="宋体" w:hint="default"/>
          <w:spacing w:val="-2"/>
        </w:rPr>
        <w:t>2018</w:t>
      </w:r>
      <w:r>
        <w:rPr>
          <w:spacing w:val="-2"/>
        </w:rPr>
        <w:t>年第二次临时股东</w:t>
      </w:r>
      <w:r>
        <w:rPr>
          <w:spacing w:val="-59"/>
        </w:rPr>
        <w:t> </w:t>
      </w:r>
      <w:r>
        <w:rPr/>
        <w:t>大会批准通过。</w:t>
      </w:r>
    </w:p>
    <w:p>
      <w:pPr>
        <w:pStyle w:val="BodyText"/>
        <w:spacing w:line="477" w:lineRule="auto" w:before="54"/>
        <w:ind w:right="0" w:firstLine="360"/>
        <w:jc w:val="left"/>
      </w:pPr>
      <w:r>
        <w:rPr>
          <w:rFonts w:ascii="宋体" w:hAnsi="宋体" w:cs="宋体" w:eastAsia="宋体" w:hint="default"/>
          <w:spacing w:val="-5"/>
        </w:rPr>
        <w:t>2018</w:t>
      </w:r>
      <w:r>
        <w:rPr>
          <w:spacing w:val="-5"/>
        </w:rPr>
        <w:t>年</w:t>
      </w:r>
      <w:r>
        <w:rPr>
          <w:rFonts w:ascii="宋体" w:hAnsi="宋体" w:cs="宋体" w:eastAsia="宋体" w:hint="default"/>
          <w:spacing w:val="-5"/>
        </w:rPr>
        <w:t>4</w:t>
      </w:r>
      <w:r>
        <w:rPr>
          <w:spacing w:val="-5"/>
        </w:rPr>
        <w:t>月</w:t>
      </w:r>
      <w:r>
        <w:rPr>
          <w:rFonts w:ascii="宋体" w:hAnsi="宋体" w:cs="宋体" w:eastAsia="宋体" w:hint="default"/>
          <w:spacing w:val="-5"/>
        </w:rPr>
        <w:t>23</w:t>
      </w:r>
      <w:r>
        <w:rPr>
          <w:spacing w:val="-5"/>
        </w:rPr>
        <w:t>日，公司召开第四届监事会第二十次会议，审议通过了《关于选举公司第四届监事会股东代表监事的议案》，</w:t>
      </w:r>
      <w:r>
        <w:rPr/>
        <w:t> </w:t>
      </w:r>
      <w:r>
        <w:rPr>
          <w:spacing w:val="-2"/>
        </w:rPr>
        <w:t>卢和忠先生因个人原因辞去监事职务，监事会同意选举施隆红先生为公司第四届监事会监事，此事项经</w:t>
      </w:r>
      <w:r>
        <w:rPr>
          <w:rFonts w:ascii="宋体" w:hAnsi="宋体" w:cs="宋体" w:eastAsia="宋体" w:hint="default"/>
          <w:spacing w:val="-2"/>
        </w:rPr>
        <w:t>2017</w:t>
      </w:r>
      <w:r>
        <w:rPr>
          <w:spacing w:val="-2"/>
        </w:rPr>
        <w:t>年度股东大会批</w:t>
      </w:r>
      <w:r>
        <w:rPr>
          <w:spacing w:val="-59"/>
        </w:rPr>
        <w:t> </w:t>
      </w:r>
      <w:r>
        <w:rPr>
          <w:spacing w:val="-12"/>
        </w:rPr>
        <w:t>准通过。（注</w:t>
      </w:r>
      <w:r>
        <w:rPr>
          <w:rFonts w:ascii="宋体" w:hAnsi="宋体" w:cs="宋体" w:eastAsia="宋体" w:hint="default"/>
          <w:spacing w:val="-12"/>
        </w:rPr>
        <w:t>2</w:t>
      </w:r>
      <w:r>
        <w:rPr>
          <w:spacing w:val="-12"/>
        </w:rPr>
        <w:t>）</w:t>
      </w:r>
    </w:p>
    <w:p>
      <w:pPr>
        <w:pStyle w:val="Heading5"/>
        <w:spacing w:line="240" w:lineRule="auto" w:before="54"/>
        <w:ind w:right="0"/>
        <w:jc w:val="left"/>
        <w:rPr>
          <w:b w:val="0"/>
          <w:bCs w:val="0"/>
        </w:rPr>
      </w:pPr>
      <w:r>
        <w:rPr>
          <w:rFonts w:ascii="宋体" w:hAnsi="宋体" w:cs="宋体" w:eastAsia="宋体" w:hint="default"/>
        </w:rPr>
        <w:t>3</w:t>
      </w:r>
      <w:r>
        <w:rPr/>
        <w:t>、变更会计估计</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2" w:firstLine="360"/>
        <w:jc w:val="both"/>
      </w:pPr>
      <w:r>
        <w:rPr>
          <w:rFonts w:ascii="宋体" w:hAnsi="宋体" w:cs="宋体" w:eastAsia="宋体" w:hint="default"/>
        </w:rPr>
        <w:t>2018</w:t>
      </w:r>
      <w:r>
        <w:rPr/>
        <w:t>年</w:t>
      </w:r>
      <w:r>
        <w:rPr>
          <w:rFonts w:ascii="宋体" w:hAnsi="宋体" w:cs="宋体" w:eastAsia="宋体" w:hint="default"/>
        </w:rPr>
        <w:t>3</w:t>
      </w:r>
      <w:r>
        <w:rPr/>
        <w:t>月</w:t>
      </w:r>
      <w:r>
        <w:rPr>
          <w:rFonts w:ascii="宋体" w:hAnsi="宋体" w:cs="宋体" w:eastAsia="宋体" w:hint="default"/>
        </w:rPr>
        <w:t>30</w:t>
      </w:r>
      <w:r>
        <w:rPr/>
        <w:t>日，公司召开第四届董事会第十九次会议、第四届监事会第十四次会议，审议通过了《关于变更会计估计 </w:t>
      </w:r>
      <w:r>
        <w:rPr>
          <w:spacing w:val="-18"/>
        </w:rPr>
        <w:t>的议案》。</w:t>
      </w:r>
      <w:r>
        <w:rPr>
          <w:spacing w:val="11"/>
        </w:rPr>
        <w:t> </w:t>
      </w:r>
      <w:r>
        <w:rPr>
          <w:spacing w:val="-2"/>
        </w:rPr>
        <w:t>公司近年来不断加大对应收账款的事前预防、事中控制，完善内控机制，加强事后的控制力度，加强对客户信用</w:t>
      </w:r>
      <w:r>
        <w:rPr>
          <w:spacing w:val="-87"/>
        </w:rPr>
        <w:t> </w:t>
      </w:r>
      <w:r>
        <w:rPr>
          <w:spacing w:val="-87"/>
        </w:rPr>
      </w:r>
      <w:r>
        <w:rPr/>
        <w:t>及资质审查，完善对账及合同协议，建立专门的催收小组，大大降低了公司的应收账款坏账风险。</w:t>
      </w:r>
    </w:p>
    <w:p>
      <w:pPr>
        <w:pStyle w:val="BodyText"/>
        <w:spacing w:line="477" w:lineRule="auto" w:before="54"/>
        <w:ind w:right="1130" w:firstLine="450"/>
        <w:jc w:val="both"/>
      </w:pPr>
      <w:r>
        <w:rPr/>
        <w:t>为了能提供更真实、更准确的会计信息，更公允地反映公司财务状况及经营成果，公司结合应收款项的构成、客户信 </w:t>
      </w:r>
      <w:r>
        <w:rPr>
          <w:spacing w:val="-2"/>
        </w:rPr>
        <w:t>用期的变化、近年来应收款项的回款情况、实际坏账发生情况，对公司应收款项的坏账准备计提方法进行了调整。（注</w:t>
      </w:r>
      <w:r>
        <w:rPr>
          <w:rFonts w:ascii="宋体" w:hAnsi="宋体" w:cs="宋体" w:eastAsia="宋体" w:hint="default"/>
          <w:spacing w:val="-2"/>
        </w:rPr>
        <w:t>3</w:t>
      </w:r>
      <w:r>
        <w:rPr>
          <w:spacing w:val="-2"/>
        </w:rPr>
        <w:t>）</w:t>
      </w:r>
    </w:p>
    <w:p>
      <w:pPr>
        <w:spacing w:line="477" w:lineRule="auto" w:before="54"/>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4</w:t>
      </w:r>
      <w:r>
        <w:rPr>
          <w:rFonts w:ascii="宋体" w:hAnsi="宋体" w:cs="宋体" w:eastAsia="宋体" w:hint="default"/>
          <w:b/>
          <w:bCs/>
          <w:sz w:val="18"/>
          <w:szCs w:val="18"/>
        </w:rPr>
        <w:t>、筹划发行股份购买资产事项</w:t>
      </w:r>
      <w:r>
        <w:rPr>
          <w:rFonts w:ascii="宋体" w:hAnsi="宋体" w:cs="宋体" w:eastAsia="宋体" w:hint="default"/>
          <w:b/>
          <w:bCs/>
          <w:w w:val="99"/>
          <w:sz w:val="18"/>
          <w:szCs w:val="18"/>
        </w:rPr>
        <w:t> </w:t>
      </w:r>
      <w:r>
        <w:rPr>
          <w:rFonts w:ascii="宋体" w:hAnsi="宋体" w:cs="宋体" w:eastAsia="宋体" w:hint="default"/>
          <w:spacing w:val="-2"/>
          <w:sz w:val="18"/>
          <w:szCs w:val="18"/>
        </w:rPr>
        <w:t>公司拟通过发行股份和支付现金相结合的方式购买深圳市腾鑫精密胶粘制品有限公司</w:t>
      </w:r>
      <w:r>
        <w:rPr>
          <w:rFonts w:ascii="宋体" w:hAnsi="宋体" w:cs="宋体" w:eastAsia="宋体" w:hint="default"/>
          <w:spacing w:val="-2"/>
          <w:sz w:val="18"/>
          <w:szCs w:val="18"/>
        </w:rPr>
        <w:t>100%</w:t>
      </w:r>
      <w:r>
        <w:rPr>
          <w:rFonts w:ascii="宋体" w:hAnsi="宋体" w:cs="宋体" w:eastAsia="宋体" w:hint="default"/>
          <w:spacing w:val="-2"/>
          <w:sz w:val="18"/>
          <w:szCs w:val="18"/>
        </w:rPr>
        <w:t>的股权，经向深圳证券交易所</w:t>
      </w:r>
    </w:p>
    <w:p>
      <w:pPr>
        <w:pStyle w:val="BodyText"/>
        <w:spacing w:line="477" w:lineRule="auto" w:before="54"/>
        <w:ind w:left="514" w:right="1122" w:hanging="360"/>
        <w:jc w:val="left"/>
      </w:pPr>
      <w:r>
        <w:rPr/>
        <w:t>申请，公司股票（证券简称：卓翼科技，证券代码：</w:t>
      </w:r>
      <w:r>
        <w:rPr>
          <w:rFonts w:ascii="宋体" w:hAnsi="宋体" w:cs="宋体" w:eastAsia="宋体" w:hint="default"/>
        </w:rPr>
        <w:t>002369</w:t>
      </w:r>
      <w:r>
        <w:rPr/>
        <w:t>）自</w:t>
      </w: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14</w:t>
      </w:r>
      <w:r>
        <w:rPr/>
        <w:t>日（星期一）开市起停牌。 </w:t>
      </w:r>
      <w:r>
        <w:rPr>
          <w:rFonts w:ascii="宋体" w:hAnsi="宋体" w:cs="宋体" w:eastAsia="宋体" w:hint="default"/>
        </w:rPr>
        <w:t>2018</w:t>
      </w:r>
      <w:r>
        <w:rPr/>
        <w:t>年</w:t>
      </w:r>
      <w:r>
        <w:rPr>
          <w:rFonts w:ascii="宋体" w:hAnsi="宋体" w:cs="宋体" w:eastAsia="宋体" w:hint="default"/>
        </w:rPr>
        <w:t>9</w:t>
      </w:r>
      <w:r>
        <w:rPr/>
        <w:t>月</w:t>
      </w:r>
      <w:r>
        <w:rPr>
          <w:rFonts w:ascii="宋体" w:hAnsi="宋体" w:cs="宋体" w:eastAsia="宋体" w:hint="default"/>
        </w:rPr>
        <w:t>13</w:t>
      </w:r>
      <w:r>
        <w:rPr/>
        <w:t>日，公司召开第四届董事会第二十九次会议，审议通过了《关于公司发行股份及支付现金购买资产并募集</w:t>
      </w:r>
    </w:p>
    <w:p>
      <w:pPr>
        <w:pStyle w:val="BodyText"/>
        <w:spacing w:line="477" w:lineRule="auto" w:before="54"/>
        <w:ind w:right="0"/>
        <w:jc w:val="left"/>
      </w:pPr>
      <w:r>
        <w:rPr>
          <w:spacing w:val="-2"/>
        </w:rPr>
        <w:t>配套资金暨关联交易方案的议案》等与本次交易相关的议案，同意公司本次发行股份购买资产方案、就本次交易编制的《关</w:t>
      </w:r>
      <w:r>
        <w:rPr>
          <w:spacing w:val="-66"/>
        </w:rPr>
        <w:t> </w:t>
      </w:r>
      <w:r>
        <w:rPr>
          <w:spacing w:val="-66"/>
        </w:rPr>
      </w:r>
      <w:r>
        <w:rPr/>
        <w:t>于公司发行股份及支付现金购买资产并募集配套资金暨关联交易预案》等事项。</w:t>
      </w:r>
    </w:p>
    <w:p>
      <w:pPr>
        <w:pStyle w:val="BodyText"/>
        <w:spacing w:line="477" w:lineRule="auto" w:before="54"/>
        <w:ind w:right="1132" w:firstLine="360"/>
        <w:jc w:val="both"/>
      </w:pPr>
      <w:r>
        <w:rPr>
          <w:spacing w:val="-2"/>
        </w:rPr>
        <w:t>公司自停牌之日起严格按照相关规定，对本次交易涉及的内幕信息知情人进行了登记和申报，并根据相关规定每五个交</w:t>
      </w:r>
      <w:r>
        <w:rPr/>
        <w:t> 易日发布一次停牌进展情况公告，履行信息披露义务。</w:t>
      </w:r>
    </w:p>
    <w:p>
      <w:pPr>
        <w:pStyle w:val="BodyText"/>
        <w:spacing w:line="477" w:lineRule="auto" w:before="54"/>
        <w:ind w:right="1131" w:firstLine="360"/>
        <w:jc w:val="both"/>
      </w:pPr>
      <w:r>
        <w:rPr>
          <w:spacing w:val="-2"/>
        </w:rPr>
        <w:t>经深圳证券交易所对公司本次拟发行股份及支付现金购买资产并募集配套资金暨关联交易相关文件审核通过后，公司股</w:t>
      </w:r>
      <w:r>
        <w:rPr/>
        <w:t> 票（股票简称：卓翼科技；股票代码：</w:t>
      </w:r>
      <w:r>
        <w:rPr>
          <w:rFonts w:ascii="宋体" w:hAnsi="宋体" w:cs="宋体" w:eastAsia="宋体" w:hint="default"/>
        </w:rPr>
        <w:t>002369</w:t>
      </w:r>
      <w:r>
        <w:rPr/>
        <w:t>）自</w:t>
      </w:r>
      <w:r>
        <w:rPr>
          <w:rFonts w:ascii="宋体" w:hAnsi="宋体" w:cs="宋体" w:eastAsia="宋体" w:hint="default"/>
        </w:rPr>
        <w:t>2018</w:t>
      </w:r>
      <w:r>
        <w:rPr/>
        <w:t>年</w:t>
      </w:r>
      <w:r>
        <w:rPr>
          <w:rFonts w:ascii="宋体" w:hAnsi="宋体" w:cs="宋体" w:eastAsia="宋体" w:hint="default"/>
        </w:rPr>
        <w:t>11</w:t>
      </w:r>
      <w:r>
        <w:rPr/>
        <w:t>月</w:t>
      </w:r>
      <w:r>
        <w:rPr>
          <w:rFonts w:ascii="宋体" w:hAnsi="宋体" w:cs="宋体" w:eastAsia="宋体" w:hint="default"/>
        </w:rPr>
        <w:t>12</w:t>
      </w:r>
      <w:r>
        <w:rPr/>
        <w:t>日（星期一）开市起复牌。</w:t>
      </w:r>
    </w:p>
    <w:p>
      <w:pPr>
        <w:pStyle w:val="BodyText"/>
        <w:spacing w:line="477" w:lineRule="auto" w:before="54"/>
        <w:ind w:right="1131" w:firstLine="360"/>
        <w:jc w:val="both"/>
      </w:pPr>
      <w:r>
        <w:rPr>
          <w:spacing w:val="-2"/>
        </w:rPr>
        <w:t>复牌以来，公司积极协调相关中介机构加快推进涉及本次交易的审计、评估、尽职调查等相关工作，并及时发布发行股</w:t>
      </w:r>
      <w:r>
        <w:rPr/>
        <w:t> </w:t>
      </w:r>
      <w:r>
        <w:rPr>
          <w:spacing w:val="-6"/>
        </w:rPr>
        <w:t>份购买资产事项的进展公告。（注</w:t>
      </w:r>
      <w:r>
        <w:rPr>
          <w:rFonts w:ascii="宋体" w:hAnsi="宋体" w:cs="宋体" w:eastAsia="宋体" w:hint="default"/>
          <w:spacing w:val="-6"/>
        </w:rPr>
        <w:t>4</w:t>
      </w:r>
      <w:r>
        <w:rPr>
          <w:spacing w:val="-6"/>
        </w:rPr>
        <w:t>）</w:t>
      </w:r>
    </w:p>
    <w:p>
      <w:pPr>
        <w:pStyle w:val="Heading5"/>
        <w:spacing w:line="240" w:lineRule="auto" w:before="54"/>
        <w:ind w:right="0"/>
        <w:jc w:val="left"/>
        <w:rPr>
          <w:b w:val="0"/>
          <w:bCs w:val="0"/>
        </w:rPr>
      </w:pPr>
      <w:r>
        <w:rPr>
          <w:rFonts w:ascii="宋体" w:hAnsi="宋体" w:cs="宋体" w:eastAsia="宋体" w:hint="default"/>
        </w:rPr>
        <w:t>5</w:t>
      </w:r>
      <w:r>
        <w:rPr/>
        <w:t>、募集资金暂时补流</w:t>
      </w:r>
      <w:r>
        <w:rPr>
          <w:b w:val="0"/>
          <w:bCs w:val="0"/>
        </w:rPr>
      </w:r>
    </w:p>
    <w:p>
      <w:pPr>
        <w:spacing w:line="240" w:lineRule="auto" w:before="10"/>
        <w:rPr>
          <w:rFonts w:ascii="宋体" w:hAnsi="宋体" w:cs="宋体" w:eastAsia="宋体" w:hint="default"/>
          <w:b/>
          <w:bCs/>
          <w:sz w:val="17"/>
          <w:szCs w:val="17"/>
        </w:rPr>
      </w:pPr>
    </w:p>
    <w:p>
      <w:pPr>
        <w:pStyle w:val="BodyText"/>
        <w:spacing w:line="240" w:lineRule="auto"/>
        <w:ind w:left="514" w:right="0"/>
        <w:jc w:val="left"/>
      </w:pP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25</w:t>
      </w:r>
      <w:r>
        <w:rPr/>
        <w:t>日，公司召开第四届董事会第二十二次会议，审议通过了《关于使用部分闲置募集资金暂时补充流动资金</w:t>
      </w:r>
    </w:p>
    <w:p>
      <w:pPr>
        <w:spacing w:after="0" w:line="240"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026"/>
        <w:jc w:val="left"/>
      </w:pPr>
      <w:r>
        <w:rPr/>
        <w:t>的议案</w:t>
      </w:r>
      <w:r>
        <w:rPr>
          <w:spacing w:val="-90"/>
        </w:rPr>
        <w:t>》</w:t>
      </w:r>
      <w:r>
        <w:rPr>
          <w:spacing w:val="-28"/>
        </w:rPr>
        <w:t>，</w:t>
      </w:r>
      <w:r>
        <w:rPr/>
        <w:t>同意公司使用不超过人民币</w:t>
      </w:r>
      <w:r>
        <w:rPr>
          <w:rFonts w:ascii="宋体" w:hAnsi="宋体" w:cs="宋体" w:eastAsia="宋体" w:hint="default"/>
        </w:rPr>
        <w:t>12,000</w:t>
      </w:r>
      <w:r>
        <w:rPr/>
        <w:t>万元闲置募集资金</w:t>
      </w:r>
      <w:r>
        <w:rPr>
          <w:spacing w:val="-28"/>
        </w:rPr>
        <w:t>，</w:t>
      </w:r>
      <w:r>
        <w:rPr/>
        <w:t>暂时补充流动资金</w:t>
      </w:r>
      <w:r>
        <w:rPr>
          <w:spacing w:val="-28"/>
        </w:rPr>
        <w:t>，</w:t>
      </w:r>
      <w:r>
        <w:rPr/>
        <w:t>用于公司主营业务相关的生产经营等，</w:t>
      </w:r>
      <w:r>
        <w:rPr/>
        <w:t> 使用期限自董事会审议通过之日起不超过</w:t>
      </w:r>
      <w:r>
        <w:rPr>
          <w:rFonts w:ascii="宋体" w:hAnsi="宋体" w:cs="宋体" w:eastAsia="宋体" w:hint="default"/>
        </w:rPr>
        <w:t>12</w:t>
      </w:r>
      <w:r>
        <w:rPr/>
        <w:t>个月，到期归还至募集资金专用账户</w:t>
      </w:r>
      <w:r>
        <w:rPr>
          <w:spacing w:val="-90"/>
        </w:rPr>
        <w:t>。</w:t>
      </w:r>
      <w:r>
        <w:rPr/>
        <w:t>（注</w:t>
      </w:r>
      <w:r>
        <w:rPr>
          <w:rFonts w:ascii="宋体" w:hAnsi="宋体" w:cs="宋体" w:eastAsia="宋体" w:hint="default"/>
        </w:rPr>
        <w:t>5</w:t>
      </w:r>
      <w:r>
        <w:rPr/>
        <w:t>）</w:t>
      </w:r>
    </w:p>
    <w:p>
      <w:pPr>
        <w:pStyle w:val="Heading5"/>
        <w:spacing w:line="240" w:lineRule="auto" w:before="54"/>
        <w:ind w:right="0"/>
        <w:jc w:val="left"/>
        <w:rPr>
          <w:b w:val="0"/>
          <w:bCs w:val="0"/>
        </w:rPr>
      </w:pPr>
      <w:r>
        <w:rPr>
          <w:rFonts w:ascii="宋体" w:hAnsi="宋体" w:cs="宋体" w:eastAsia="宋体" w:hint="default"/>
        </w:rPr>
        <w:t>6</w:t>
      </w:r>
      <w:r>
        <w:rPr/>
        <w:t>、变更公司总经理</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1" w:firstLine="360"/>
        <w:jc w:val="both"/>
      </w:pPr>
      <w:r>
        <w:rPr>
          <w:rFonts w:ascii="宋体" w:hAnsi="宋体" w:cs="宋体" w:eastAsia="宋体" w:hint="default"/>
          <w:spacing w:val="-4"/>
        </w:rPr>
        <w:t>2018</w:t>
      </w:r>
      <w:r>
        <w:rPr>
          <w:spacing w:val="-4"/>
        </w:rPr>
        <w:t>年</w:t>
      </w:r>
      <w:r>
        <w:rPr>
          <w:rFonts w:ascii="宋体" w:hAnsi="宋体" w:cs="宋体" w:eastAsia="宋体" w:hint="default"/>
          <w:spacing w:val="-4"/>
        </w:rPr>
        <w:t>5</w:t>
      </w:r>
      <w:r>
        <w:rPr>
          <w:spacing w:val="-4"/>
        </w:rPr>
        <w:t>月</w:t>
      </w:r>
      <w:r>
        <w:rPr>
          <w:rFonts w:ascii="宋体" w:hAnsi="宋体" w:cs="宋体" w:eastAsia="宋体" w:hint="default"/>
          <w:spacing w:val="-4"/>
        </w:rPr>
        <w:t>25</w:t>
      </w:r>
      <w:r>
        <w:rPr>
          <w:spacing w:val="-4"/>
        </w:rPr>
        <w:t>日，公司召开第四届董事会第二十二次会议，审议通过了《关于变更公司总经理的议案》，夏传武先生因个</w:t>
      </w:r>
      <w:r>
        <w:rPr/>
        <w:t> </w:t>
      </w:r>
      <w:r>
        <w:rPr>
          <w:spacing w:val="-2"/>
        </w:rPr>
        <w:t>人原因申请辞去总经理职务，为了加强公司管理，提高公司运营水平，董事会同意聘任杨依明先生为公司总经理，全面负责</w:t>
      </w:r>
      <w:r>
        <w:rPr>
          <w:spacing w:val="-66"/>
        </w:rPr>
        <w:t> </w:t>
      </w:r>
      <w:r>
        <w:rPr>
          <w:spacing w:val="-66"/>
        </w:rPr>
      </w:r>
      <w:r>
        <w:rPr>
          <w:spacing w:val="-5"/>
        </w:rPr>
        <w:t>公司的运营及管理工作，对董事会负责。（注</w:t>
      </w:r>
      <w:r>
        <w:rPr>
          <w:rFonts w:ascii="宋体" w:hAnsi="宋体" w:cs="宋体" w:eastAsia="宋体" w:hint="default"/>
          <w:spacing w:val="-5"/>
        </w:rPr>
        <w:t>6</w:t>
      </w:r>
      <w:r>
        <w:rPr>
          <w:spacing w:val="-5"/>
        </w:rPr>
        <w:t>）</w:t>
      </w:r>
    </w:p>
    <w:p>
      <w:pPr>
        <w:pStyle w:val="Heading5"/>
        <w:spacing w:line="240" w:lineRule="auto" w:before="54"/>
        <w:ind w:right="0"/>
        <w:jc w:val="left"/>
        <w:rPr>
          <w:b w:val="0"/>
          <w:bCs w:val="0"/>
        </w:rPr>
      </w:pPr>
      <w:r>
        <w:rPr>
          <w:rFonts w:ascii="宋体" w:hAnsi="宋体" w:cs="宋体" w:eastAsia="宋体" w:hint="default"/>
        </w:rPr>
        <w:t>7</w:t>
      </w:r>
      <w:r>
        <w:rPr/>
        <w:t>、转让参股公司部分股权</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2" w:firstLine="360"/>
        <w:jc w:val="both"/>
      </w:pPr>
      <w:r>
        <w:rPr>
          <w:rFonts w:ascii="宋体" w:hAnsi="宋体" w:cs="宋体" w:eastAsia="宋体" w:hint="default"/>
          <w:spacing w:val="-2"/>
        </w:rPr>
        <w:t>2018</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8</w:t>
      </w:r>
      <w:r>
        <w:rPr>
          <w:spacing w:val="-2"/>
        </w:rPr>
        <w:t>日，公司召开第四届董事会第二十三次会议，审议通过了《关于转让参股公司部分股权的议案》，为集中公</w:t>
      </w:r>
      <w:r>
        <w:rPr/>
        <w:t> </w:t>
      </w:r>
      <w:r>
        <w:rPr>
          <w:spacing w:val="-3"/>
        </w:rPr>
        <w:t>司资源深耕主营业务，公司以人民币</w:t>
      </w:r>
      <w:r>
        <w:rPr>
          <w:rFonts w:ascii="宋体" w:hAnsi="宋体" w:cs="宋体" w:eastAsia="宋体" w:hint="default"/>
          <w:spacing w:val="-3"/>
        </w:rPr>
        <w:t>8,320</w:t>
      </w:r>
      <w:r>
        <w:rPr>
          <w:spacing w:val="-3"/>
        </w:rPr>
        <w:t>万元向浙江水晶光电科技股份有限公司转让朝歌科技</w:t>
      </w:r>
      <w:r>
        <w:rPr>
          <w:rFonts w:ascii="宋体" w:hAnsi="宋体" w:cs="宋体" w:eastAsia="宋体" w:hint="default"/>
          <w:spacing w:val="-3"/>
        </w:rPr>
        <w:t>12.7%</w:t>
      </w:r>
      <w:r>
        <w:rPr>
          <w:spacing w:val="-3"/>
        </w:rPr>
        <w:t>的股权，以人民币</w:t>
      </w:r>
      <w:r>
        <w:rPr>
          <w:rFonts w:ascii="宋体" w:hAnsi="宋体" w:cs="宋体" w:eastAsia="宋体" w:hint="default"/>
          <w:spacing w:val="-3"/>
        </w:rPr>
        <w:t>1,508</w:t>
      </w:r>
      <w:r>
        <w:rPr>
          <w:rFonts w:ascii="宋体" w:hAnsi="宋体" w:cs="宋体" w:eastAsia="宋体" w:hint="default"/>
          <w:spacing w:val="-78"/>
        </w:rPr>
        <w:t> </w:t>
      </w:r>
      <w:r>
        <w:rPr/>
        <w:t>万元向蒋文先生转让朝歌科技</w:t>
      </w:r>
      <w:r>
        <w:rPr>
          <w:rFonts w:ascii="宋体" w:hAnsi="宋体" w:cs="宋体" w:eastAsia="宋体" w:hint="default"/>
        </w:rPr>
        <w:t>2.3%</w:t>
      </w:r>
      <w:r>
        <w:rPr/>
        <w:t>的股权。此事项并经公司于</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25</w:t>
      </w:r>
      <w:r>
        <w:rPr/>
        <w:t>日召开的</w:t>
      </w:r>
      <w:r>
        <w:rPr>
          <w:rFonts w:ascii="宋体" w:hAnsi="宋体" w:cs="宋体" w:eastAsia="宋体" w:hint="default"/>
        </w:rPr>
        <w:t>2018</w:t>
      </w:r>
      <w:r>
        <w:rPr/>
        <w:t>年第四次临时股东大会批准。</w:t>
      </w:r>
      <w:r>
        <w:rPr>
          <w:rFonts w:ascii="宋体" w:hAnsi="宋体" w:cs="宋体" w:eastAsia="宋体" w:hint="default"/>
        </w:rPr>
        <w:t>2018 </w:t>
      </w:r>
      <w:r>
        <w:rPr>
          <w:spacing w:val="-4"/>
        </w:rPr>
        <w:t>年</w:t>
      </w:r>
      <w:r>
        <w:rPr>
          <w:rFonts w:ascii="宋体" w:hAnsi="宋体" w:cs="宋体" w:eastAsia="宋体" w:hint="default"/>
          <w:spacing w:val="-4"/>
        </w:rPr>
        <w:t>6</w:t>
      </w:r>
      <w:r>
        <w:rPr>
          <w:spacing w:val="-4"/>
        </w:rPr>
        <w:t>月</w:t>
      </w:r>
      <w:r>
        <w:rPr>
          <w:rFonts w:ascii="宋体" w:hAnsi="宋体" w:cs="宋体" w:eastAsia="宋体" w:hint="default"/>
          <w:spacing w:val="-4"/>
        </w:rPr>
        <w:t>26</w:t>
      </w:r>
      <w:r>
        <w:rPr>
          <w:spacing w:val="-4"/>
        </w:rPr>
        <w:t>日，公司收到了相关的股权转让款。（注</w:t>
      </w:r>
      <w:r>
        <w:rPr>
          <w:rFonts w:ascii="宋体" w:hAnsi="宋体" w:cs="宋体" w:eastAsia="宋体" w:hint="default"/>
          <w:spacing w:val="-4"/>
        </w:rPr>
        <w:t>7</w:t>
      </w:r>
      <w:r>
        <w:rPr>
          <w:spacing w:val="-4"/>
        </w:rPr>
        <w:t>）</w:t>
      </w:r>
    </w:p>
    <w:p>
      <w:pPr>
        <w:pStyle w:val="Heading5"/>
        <w:spacing w:line="240" w:lineRule="auto" w:before="54"/>
        <w:ind w:right="0"/>
        <w:jc w:val="left"/>
        <w:rPr>
          <w:b w:val="0"/>
          <w:bCs w:val="0"/>
        </w:rPr>
      </w:pPr>
      <w:r>
        <w:rPr>
          <w:rFonts w:ascii="宋体" w:hAnsi="宋体" w:cs="宋体" w:eastAsia="宋体" w:hint="default"/>
        </w:rPr>
        <w:t>8</w:t>
      </w:r>
      <w:r>
        <w:rPr/>
        <w:t>、部分股票期权注销和部分限制性股票回购注销</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0" w:firstLine="360"/>
        <w:jc w:val="both"/>
      </w:pP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23</w:t>
      </w:r>
      <w:r>
        <w:rPr/>
        <w:t>日，公司召开第四届董事会第二十次会议，审议通过了《关于注销部分股票期权及回购注销部分限制性股 </w:t>
      </w:r>
      <w:r>
        <w:rPr>
          <w:spacing w:val="-4"/>
        </w:rPr>
        <w:t>票的议案》。因原激励对象部分员工不再符合公司股权激励条件及公司股权激励计划因未达到第一期行权</w:t>
      </w:r>
      <w:r>
        <w:rPr>
          <w:rFonts w:ascii="宋体" w:hAnsi="宋体" w:cs="宋体" w:eastAsia="宋体" w:hint="default"/>
          <w:spacing w:val="-4"/>
        </w:rPr>
        <w:t>/</w:t>
      </w:r>
      <w:r>
        <w:rPr>
          <w:spacing w:val="-4"/>
        </w:rPr>
        <w:t>解锁条件，公司决</w:t>
      </w:r>
      <w:r>
        <w:rPr>
          <w:spacing w:val="-41"/>
        </w:rPr>
        <w:t> </w:t>
      </w:r>
      <w:r>
        <w:rPr>
          <w:spacing w:val="-41"/>
        </w:rPr>
      </w:r>
      <w:r>
        <w:rPr/>
        <w:t>定将上述原因确认的</w:t>
      </w:r>
      <w:r>
        <w:rPr>
          <w:rFonts w:ascii="宋体" w:hAnsi="宋体" w:cs="宋体" w:eastAsia="宋体" w:hint="default"/>
        </w:rPr>
        <w:t>306.225</w:t>
      </w:r>
      <w:r>
        <w:rPr/>
        <w:t>万份股票期权及</w:t>
      </w:r>
      <w:r>
        <w:rPr>
          <w:rFonts w:ascii="宋体" w:hAnsi="宋体" w:cs="宋体" w:eastAsia="宋体" w:hint="default"/>
        </w:rPr>
        <w:t>106.75</w:t>
      </w:r>
      <w:r>
        <w:rPr/>
        <w:t>万股限制性股票进行注销</w:t>
      </w:r>
      <w:r>
        <w:rPr>
          <w:rFonts w:ascii="宋体" w:hAnsi="宋体" w:cs="宋体" w:eastAsia="宋体" w:hint="default"/>
        </w:rPr>
        <w:t>/</w:t>
      </w:r>
      <w:r>
        <w:rPr/>
        <w:t>回购注销。</w:t>
      </w:r>
    </w:p>
    <w:p>
      <w:pPr>
        <w:pStyle w:val="BodyText"/>
        <w:spacing w:line="477" w:lineRule="auto" w:before="54"/>
        <w:ind w:right="1131" w:firstLine="360"/>
        <w:jc w:val="both"/>
      </w:pPr>
      <w:r>
        <w:rPr>
          <w:spacing w:val="-2"/>
        </w:rPr>
        <w:t>本次回购注销部分限制性股票后，公司总股本由</w:t>
      </w:r>
      <w:r>
        <w:rPr>
          <w:rFonts w:ascii="宋体" w:hAnsi="宋体" w:cs="宋体" w:eastAsia="宋体" w:hint="default"/>
          <w:spacing w:val="-2"/>
        </w:rPr>
        <w:t>581,039,204</w:t>
      </w:r>
      <w:r>
        <w:rPr>
          <w:spacing w:val="-2"/>
        </w:rPr>
        <w:t>股减少为</w:t>
      </w:r>
      <w:r>
        <w:rPr>
          <w:rFonts w:ascii="宋体" w:hAnsi="宋体" w:cs="宋体" w:eastAsia="宋体" w:hint="default"/>
          <w:spacing w:val="-2"/>
        </w:rPr>
        <w:t>579,971,704</w:t>
      </w:r>
      <w:r>
        <w:rPr>
          <w:spacing w:val="-2"/>
        </w:rPr>
        <w:t>股。截止</w:t>
      </w:r>
      <w:r>
        <w:rPr>
          <w:rFonts w:ascii="宋体" w:hAnsi="宋体" w:cs="宋体" w:eastAsia="宋体" w:hint="default"/>
          <w:spacing w:val="-2"/>
        </w:rPr>
        <w:t>2018</w:t>
      </w:r>
      <w:r>
        <w:rPr>
          <w:spacing w:val="-2"/>
        </w:rPr>
        <w:t>年</w:t>
      </w:r>
      <w:r>
        <w:rPr>
          <w:rFonts w:ascii="宋体" w:hAnsi="宋体" w:cs="宋体" w:eastAsia="宋体" w:hint="default"/>
          <w:spacing w:val="-2"/>
        </w:rPr>
        <w:t>7</w:t>
      </w:r>
      <w:r>
        <w:rPr>
          <w:spacing w:val="-2"/>
        </w:rPr>
        <w:t>月</w:t>
      </w:r>
      <w:r>
        <w:rPr>
          <w:rFonts w:ascii="宋体" w:hAnsi="宋体" w:cs="宋体" w:eastAsia="宋体" w:hint="default"/>
          <w:spacing w:val="-2"/>
        </w:rPr>
        <w:t>3</w:t>
      </w:r>
      <w:r>
        <w:rPr>
          <w:spacing w:val="-2"/>
        </w:rPr>
        <w:t>日，上述股票期</w:t>
      </w:r>
      <w:r>
        <w:rPr/>
        <w:t> </w:t>
      </w:r>
      <w:r>
        <w:rPr>
          <w:spacing w:val="-3"/>
        </w:rPr>
        <w:t>权与限制性股票已在中国登记结算有限责任公司深圳分公司完成注销手续。（注</w:t>
      </w:r>
      <w:r>
        <w:rPr>
          <w:rFonts w:ascii="宋体" w:hAnsi="宋体" w:cs="宋体" w:eastAsia="宋体" w:hint="default"/>
          <w:spacing w:val="-3"/>
        </w:rPr>
        <w:t>8</w:t>
      </w:r>
      <w:r>
        <w:rPr>
          <w:spacing w:val="-3"/>
        </w:rPr>
        <w:t>）</w:t>
      </w:r>
    </w:p>
    <w:p>
      <w:pPr>
        <w:pStyle w:val="Heading5"/>
        <w:spacing w:line="240" w:lineRule="auto" w:before="54"/>
        <w:ind w:right="0"/>
        <w:jc w:val="left"/>
        <w:rPr>
          <w:b w:val="0"/>
          <w:bCs w:val="0"/>
        </w:rPr>
      </w:pPr>
      <w:r>
        <w:rPr>
          <w:rFonts w:ascii="宋体" w:hAnsi="宋体" w:cs="宋体" w:eastAsia="宋体" w:hint="default"/>
        </w:rPr>
        <w:t>9</w:t>
      </w:r>
      <w:r>
        <w:rPr/>
        <w:t>、实施</w:t>
      </w:r>
      <w:r>
        <w:rPr>
          <w:rFonts w:ascii="宋体" w:hAnsi="宋体" w:cs="宋体" w:eastAsia="宋体" w:hint="default"/>
        </w:rPr>
        <w:t>2017</w:t>
      </w:r>
      <w:r>
        <w:rPr/>
        <w:t>年年度权益分派</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0" w:firstLine="360"/>
        <w:jc w:val="both"/>
      </w:pPr>
      <w:r>
        <w:rPr>
          <w:rFonts w:ascii="宋体" w:hAnsi="宋体" w:cs="宋体" w:eastAsia="宋体" w:hint="default"/>
          <w:spacing w:val="-3"/>
        </w:rPr>
        <w:t>2018</w:t>
      </w:r>
      <w:r>
        <w:rPr>
          <w:spacing w:val="-3"/>
        </w:rPr>
        <w:t>年</w:t>
      </w:r>
      <w:r>
        <w:rPr>
          <w:rFonts w:ascii="宋体" w:hAnsi="宋体" w:cs="宋体" w:eastAsia="宋体" w:hint="default"/>
          <w:spacing w:val="-3"/>
        </w:rPr>
        <w:t>4</w:t>
      </w:r>
      <w:r>
        <w:rPr>
          <w:spacing w:val="-3"/>
        </w:rPr>
        <w:t>月</w:t>
      </w:r>
      <w:r>
        <w:rPr>
          <w:rFonts w:ascii="宋体" w:hAnsi="宋体" w:cs="宋体" w:eastAsia="宋体" w:hint="default"/>
          <w:spacing w:val="-3"/>
        </w:rPr>
        <w:t>23</w:t>
      </w:r>
      <w:r>
        <w:rPr>
          <w:spacing w:val="-3"/>
        </w:rPr>
        <w:t>日，公司召开第四届董事会第二十次会议，审议通过了《</w:t>
      </w:r>
      <w:r>
        <w:rPr>
          <w:rFonts w:ascii="宋体" w:hAnsi="宋体" w:cs="宋体" w:eastAsia="宋体" w:hint="default"/>
          <w:spacing w:val="-3"/>
        </w:rPr>
        <w:t>2017</w:t>
      </w:r>
      <w:r>
        <w:rPr>
          <w:spacing w:val="-3"/>
        </w:rPr>
        <w:t>年度利润分配预案》，并经</w:t>
      </w:r>
      <w:r>
        <w:rPr>
          <w:rFonts w:ascii="宋体" w:hAnsi="宋体" w:cs="宋体" w:eastAsia="宋体" w:hint="default"/>
          <w:spacing w:val="-3"/>
        </w:rPr>
        <w:t>2017</w:t>
      </w:r>
      <w:r>
        <w:rPr>
          <w:spacing w:val="-3"/>
        </w:rPr>
        <w:t>年度股东大会</w:t>
      </w:r>
      <w:r>
        <w:rPr/>
        <w:t> 批准通过。</w:t>
      </w:r>
    </w:p>
    <w:p>
      <w:pPr>
        <w:pStyle w:val="BodyText"/>
        <w:spacing w:line="477" w:lineRule="auto" w:before="54"/>
        <w:ind w:right="1122" w:firstLine="360"/>
        <w:jc w:val="left"/>
      </w:pPr>
      <w:r>
        <w:rPr>
          <w:spacing w:val="-2"/>
        </w:rPr>
        <w:t>自分配方案披露至实施期间，公司因完成</w:t>
      </w:r>
      <w:r>
        <w:rPr>
          <w:rFonts w:ascii="宋体" w:hAnsi="宋体" w:cs="宋体" w:eastAsia="宋体" w:hint="default"/>
          <w:spacing w:val="-2"/>
        </w:rPr>
        <w:t>2017</w:t>
      </w:r>
      <w:r>
        <w:rPr>
          <w:spacing w:val="-2"/>
        </w:rPr>
        <w:t>年度股权激励计划第一期限制性股票回购注销事宜导致总股本减少，共计</w:t>
      </w:r>
      <w:r>
        <w:rPr/>
        <w:t> 注销限制性股票</w:t>
      </w:r>
      <w:r>
        <w:rPr>
          <w:rFonts w:ascii="宋体" w:hAnsi="宋体" w:cs="宋体" w:eastAsia="宋体" w:hint="default"/>
        </w:rPr>
        <w:t>1,067,500</w:t>
      </w:r>
      <w:r>
        <w:rPr/>
        <w:t>股，公司总股本由</w:t>
      </w:r>
      <w:r>
        <w:rPr>
          <w:rFonts w:ascii="宋体" w:hAnsi="宋体" w:cs="宋体" w:eastAsia="宋体" w:hint="default"/>
        </w:rPr>
        <w:t>581,039,204</w:t>
      </w:r>
      <w:r>
        <w:rPr/>
        <w:t>股变为</w:t>
      </w:r>
      <w:r>
        <w:rPr>
          <w:rFonts w:ascii="宋体" w:hAnsi="宋体" w:cs="宋体" w:eastAsia="宋体" w:hint="default"/>
        </w:rPr>
        <w:t>579,971,704</w:t>
      </w:r>
      <w:r>
        <w:rPr/>
        <w:t>股。根据经股东大会审议通过的权益分配方案 中约定的分配总额不变的原则对分配比例进行了调整，以公司现有总股本</w:t>
      </w:r>
      <w:r>
        <w:rPr>
          <w:rFonts w:ascii="宋体" w:hAnsi="宋体" w:cs="宋体" w:eastAsia="宋体" w:hint="default"/>
        </w:rPr>
        <w:t>579,971,704</w:t>
      </w:r>
      <w:r>
        <w:rPr/>
        <w:t>股为基数，向全体股东每</w:t>
      </w:r>
      <w:r>
        <w:rPr>
          <w:rFonts w:ascii="宋体" w:hAnsi="宋体" w:cs="宋体" w:eastAsia="宋体" w:hint="default"/>
        </w:rPr>
        <w:t>10</w:t>
      </w:r>
      <w:r>
        <w:rPr/>
        <w:t>股派 </w:t>
      </w:r>
      <w:r>
        <w:rPr>
          <w:rFonts w:ascii="宋体" w:hAnsi="宋体" w:cs="宋体" w:eastAsia="宋体" w:hint="default"/>
          <w:spacing w:val="-4"/>
        </w:rPr>
        <w:t>0.601104</w:t>
      </w:r>
      <w:r>
        <w:rPr>
          <w:spacing w:val="-4"/>
        </w:rPr>
        <w:t>元人民币现金（含税）；不送红股，也不以资本公积金转增股本，剩余未分配利润结转以后年度分配。（注</w:t>
      </w:r>
      <w:r>
        <w:rPr>
          <w:rFonts w:ascii="宋体" w:hAnsi="宋体" w:cs="宋体" w:eastAsia="宋体" w:hint="default"/>
          <w:spacing w:val="-4"/>
        </w:rPr>
        <w:t>9</w:t>
      </w:r>
      <w:r>
        <w:rPr>
          <w:spacing w:val="-4"/>
        </w:rPr>
        <w:t>）</w:t>
      </w:r>
    </w:p>
    <w:p>
      <w:pPr>
        <w:pStyle w:val="Heading5"/>
        <w:spacing w:line="240" w:lineRule="auto" w:before="54"/>
        <w:ind w:right="0"/>
        <w:jc w:val="left"/>
        <w:rPr>
          <w:b w:val="0"/>
          <w:bCs w:val="0"/>
        </w:rPr>
      </w:pPr>
      <w:r>
        <w:rPr>
          <w:rFonts w:ascii="宋体" w:hAnsi="宋体" w:cs="宋体" w:eastAsia="宋体" w:hint="default"/>
        </w:rPr>
        <w:t>10</w:t>
      </w:r>
      <w:r>
        <w:rPr/>
        <w:t>、调整公司股票期权行权价格和限制性股票回购价格</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9" w:firstLine="360"/>
        <w:jc w:val="both"/>
      </w:pPr>
      <w:r>
        <w:rPr>
          <w:rFonts w:ascii="宋体" w:hAnsi="宋体" w:cs="宋体" w:eastAsia="宋体" w:hint="default"/>
        </w:rPr>
        <w:t>2018</w:t>
      </w:r>
      <w:r>
        <w:rPr/>
        <w:t>年</w:t>
      </w:r>
      <w:r>
        <w:rPr>
          <w:rFonts w:ascii="宋体" w:hAnsi="宋体" w:cs="宋体" w:eastAsia="宋体" w:hint="default"/>
        </w:rPr>
        <w:t>7</w:t>
      </w:r>
      <w:r>
        <w:rPr/>
        <w:t>月</w:t>
      </w:r>
      <w:r>
        <w:rPr>
          <w:rFonts w:ascii="宋体" w:hAnsi="宋体" w:cs="宋体" w:eastAsia="宋体" w:hint="default"/>
        </w:rPr>
        <w:t>11</w:t>
      </w:r>
      <w:r>
        <w:rPr/>
        <w:t>日，公司召开第四届董事会第二十四次会议，审议通过了《关于调整公司股票期权行权价格和限制性股票 </w:t>
      </w:r>
      <w:r>
        <w:rPr>
          <w:spacing w:val="-2"/>
        </w:rPr>
        <w:t>回购价格的议案》，因公司实施了</w:t>
      </w:r>
      <w:r>
        <w:rPr>
          <w:rFonts w:ascii="宋体" w:hAnsi="宋体" w:cs="宋体" w:eastAsia="宋体" w:hint="default"/>
          <w:spacing w:val="-2"/>
        </w:rPr>
        <w:t>2017</w:t>
      </w:r>
      <w:r>
        <w:rPr>
          <w:spacing w:val="-2"/>
        </w:rPr>
        <w:t>年度权益分派事宜，根据《深圳市卓翼科技股份有限公司</w:t>
      </w:r>
      <w:r>
        <w:rPr>
          <w:rFonts w:ascii="宋体" w:hAnsi="宋体" w:cs="宋体" w:eastAsia="宋体" w:hint="default"/>
          <w:spacing w:val="-2"/>
        </w:rPr>
        <w:t>2017</w:t>
      </w:r>
      <w:r>
        <w:rPr>
          <w:spacing w:val="-2"/>
        </w:rPr>
        <w:t>年股票期权与限制性股</w:t>
      </w:r>
      <w:r>
        <w:rPr>
          <w:spacing w:val="-64"/>
        </w:rPr>
        <w:t> </w:t>
      </w:r>
      <w:r>
        <w:rPr>
          <w:spacing w:val="-4"/>
        </w:rPr>
        <w:t>票激励计划（草案）》及其摘要相关规定，董事会决定对股票期权行权价格和限制性股票回购价格进行调整。（注</w:t>
      </w:r>
      <w:r>
        <w:rPr>
          <w:rFonts w:ascii="宋体" w:hAnsi="宋体" w:cs="宋体" w:eastAsia="宋体" w:hint="default"/>
          <w:spacing w:val="-4"/>
        </w:rPr>
        <w:t>10</w:t>
      </w:r>
      <w:r>
        <w:rPr>
          <w:spacing w:val="-4"/>
        </w:rPr>
        <w:t>）</w:t>
      </w:r>
    </w:p>
    <w:p>
      <w:pPr>
        <w:pStyle w:val="Heading5"/>
        <w:spacing w:line="240" w:lineRule="auto" w:before="54"/>
        <w:ind w:right="0"/>
        <w:jc w:val="left"/>
        <w:rPr>
          <w:b w:val="0"/>
          <w:bCs w:val="0"/>
        </w:rPr>
      </w:pPr>
      <w:r>
        <w:rPr>
          <w:rFonts w:ascii="宋体" w:hAnsi="宋体" w:cs="宋体" w:eastAsia="宋体" w:hint="default"/>
        </w:rPr>
        <w:t>11</w:t>
      </w:r>
      <w:r>
        <w:rPr/>
        <w:t>、变更公司董事长、总经理及财务负责人</w:t>
      </w:r>
      <w:r>
        <w:rPr>
          <w:b w:val="0"/>
          <w:bCs w:val="0"/>
        </w:rPr>
      </w:r>
    </w:p>
    <w:p>
      <w:pPr>
        <w:spacing w:line="240" w:lineRule="auto" w:before="10"/>
        <w:rPr>
          <w:rFonts w:ascii="宋体" w:hAnsi="宋体" w:cs="宋体" w:eastAsia="宋体" w:hint="default"/>
          <w:b/>
          <w:bCs/>
          <w:sz w:val="17"/>
          <w:szCs w:val="17"/>
        </w:rPr>
      </w:pPr>
    </w:p>
    <w:p>
      <w:pPr>
        <w:pStyle w:val="BodyText"/>
        <w:spacing w:line="240" w:lineRule="auto"/>
        <w:ind w:left="514" w:right="0"/>
        <w:jc w:val="left"/>
      </w:pP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19</w:t>
      </w:r>
      <w:r>
        <w:rPr/>
        <w:t>日，公司召开第四届董事会第二十七次会议，审议通过了《关于变更公司董事长的议案</w:t>
      </w:r>
      <w:r>
        <w:rPr>
          <w:spacing w:val="-90"/>
        </w:rPr>
        <w:t>》、</w:t>
      </w:r>
      <w:r>
        <w:rPr/>
        <w:t>《关于变更公司</w:t>
      </w:r>
    </w:p>
    <w:p>
      <w:pPr>
        <w:spacing w:after="0" w:line="240"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33"/>
        <w:jc w:val="both"/>
      </w:pPr>
      <w:r>
        <w:rPr>
          <w:spacing w:val="-2"/>
        </w:rPr>
        <w:t>总经理的议案》及《关于变更公司财务负责人的议案》。夏传武先生因个人原因辞去董事、董事长及董事会各专门委员会相</w:t>
      </w:r>
      <w:r>
        <w:rPr>
          <w:spacing w:val="-71"/>
        </w:rPr>
        <w:t> </w:t>
      </w:r>
      <w:r>
        <w:rPr>
          <w:spacing w:val="-71"/>
        </w:rPr>
      </w:r>
      <w:r>
        <w:rPr>
          <w:spacing w:val="-2"/>
        </w:rPr>
        <w:t>关职务，为保证公司董事会工作正常开展，董事会同意聘任董事昌智先生担任公司董事长一职，并承接夏传武先生之前担任</w:t>
      </w:r>
      <w:r>
        <w:rPr>
          <w:spacing w:val="-66"/>
        </w:rPr>
        <w:t> </w:t>
      </w:r>
      <w:r>
        <w:rPr>
          <w:spacing w:val="-66"/>
        </w:rPr>
      </w:r>
      <w:r>
        <w:rPr/>
        <w:t>的第四届董事会审计委员会委员、提名委员会委员、薪酬与考核委员会委员的职务。</w:t>
      </w:r>
    </w:p>
    <w:p>
      <w:pPr>
        <w:pStyle w:val="BodyText"/>
        <w:spacing w:line="477" w:lineRule="auto" w:before="54"/>
        <w:ind w:right="1133" w:firstLine="360"/>
        <w:jc w:val="both"/>
      </w:pPr>
      <w:r>
        <w:rPr>
          <w:spacing w:val="-2"/>
        </w:rPr>
        <w:t>为了更好地贯彻执行公司的发展战略，以及维护公司股东特别是中小股东的权益，经审慎研究，公司董事会决定免去杨</w:t>
      </w:r>
      <w:r>
        <w:rPr/>
        <w:t> 依明先生的总经理职务，聘任董事陈新民先生为公司总经理，全面负责公司的运营及管理工作。</w:t>
      </w:r>
    </w:p>
    <w:p>
      <w:pPr>
        <w:pStyle w:val="BodyText"/>
        <w:spacing w:line="477" w:lineRule="auto" w:before="54"/>
        <w:ind w:right="1132" w:firstLine="360"/>
        <w:jc w:val="both"/>
      </w:pPr>
      <w:r>
        <w:rPr>
          <w:spacing w:val="-2"/>
        </w:rPr>
        <w:t>公司财务负责人曾兆豪先生因担任董事职务且拟转任其他核心管理职务，故不再担任公司财务负责人一职。为提高公司</w:t>
      </w:r>
      <w:r>
        <w:rPr/>
        <w:t> 财务规范运作水平，进一步加强公司财务管理，董事会同意由昌智先生兼任公司财务负责人一职。</w:t>
      </w:r>
    </w:p>
    <w:p>
      <w:pPr>
        <w:pStyle w:val="BodyText"/>
        <w:spacing w:line="477" w:lineRule="auto" w:before="54"/>
        <w:ind w:right="1133" w:firstLine="360"/>
        <w:jc w:val="both"/>
      </w:pPr>
      <w:r>
        <w:rPr>
          <w:rFonts w:ascii="宋体" w:hAnsi="宋体" w:cs="宋体" w:eastAsia="宋体" w:hint="default"/>
          <w:spacing w:val="-2"/>
        </w:rPr>
        <w:t>2019</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2</w:t>
      </w:r>
      <w:r>
        <w:rPr>
          <w:spacing w:val="-2"/>
        </w:rPr>
        <w:t>日，公司召开第四届董事会第三十三次会议，审议通过了《关于变更公司财务负责人的议案》。昌智先生因</w:t>
      </w:r>
      <w:r>
        <w:rPr/>
        <w:t> </w:t>
      </w:r>
      <w:r>
        <w:rPr>
          <w:spacing w:val="-2"/>
        </w:rPr>
        <w:t>调整个人工作重心，进一步推动公司治理结构的完善与优化，特申请辞去其兼任的公司财务负责人职务。为提高公司财务规</w:t>
      </w:r>
      <w:r>
        <w:rPr>
          <w:spacing w:val="-66"/>
        </w:rPr>
        <w:t> </w:t>
      </w:r>
      <w:r>
        <w:rPr>
          <w:spacing w:val="-66"/>
        </w:rPr>
      </w:r>
      <w:r>
        <w:rPr>
          <w:spacing w:val="-2"/>
        </w:rPr>
        <w:t>范运作水平，进一步加强公司财务管理，董事会聘任谢从雄先生担任公司财务负责人一职。（注</w:t>
      </w:r>
      <w:r>
        <w:rPr>
          <w:rFonts w:ascii="宋体" w:hAnsi="宋体" w:cs="宋体" w:eastAsia="宋体" w:hint="default"/>
          <w:spacing w:val="-2"/>
        </w:rPr>
        <w:t>11</w:t>
      </w:r>
      <w:r>
        <w:rPr>
          <w:spacing w:val="-2"/>
        </w:rPr>
        <w:t>）</w:t>
      </w:r>
    </w:p>
    <w:p>
      <w:pPr>
        <w:pStyle w:val="Heading5"/>
        <w:spacing w:line="240" w:lineRule="auto" w:before="54"/>
        <w:ind w:right="0"/>
        <w:jc w:val="left"/>
        <w:rPr>
          <w:b w:val="0"/>
          <w:bCs w:val="0"/>
        </w:rPr>
      </w:pPr>
      <w:r>
        <w:rPr>
          <w:rFonts w:ascii="宋体" w:hAnsi="宋体" w:cs="宋体" w:eastAsia="宋体" w:hint="default"/>
        </w:rPr>
        <w:t>12</w:t>
      </w:r>
      <w:r>
        <w:rPr/>
        <w:t>、选举非独立董事</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2" w:firstLine="360"/>
        <w:jc w:val="both"/>
      </w:pPr>
      <w:r>
        <w:rPr>
          <w:rFonts w:ascii="宋体" w:hAnsi="宋体" w:cs="宋体" w:eastAsia="宋体" w:hint="default"/>
          <w:spacing w:val="-7"/>
        </w:rPr>
        <w:t>2018</w:t>
      </w:r>
      <w:r>
        <w:rPr>
          <w:spacing w:val="-7"/>
        </w:rPr>
        <w:t>年</w:t>
      </w:r>
      <w:r>
        <w:rPr>
          <w:rFonts w:ascii="宋体" w:hAnsi="宋体" w:cs="宋体" w:eastAsia="宋体" w:hint="default"/>
          <w:spacing w:val="-7"/>
        </w:rPr>
        <w:t>8</w:t>
      </w:r>
      <w:r>
        <w:rPr>
          <w:spacing w:val="-7"/>
        </w:rPr>
        <w:t>月</w:t>
      </w:r>
      <w:r>
        <w:rPr>
          <w:rFonts w:ascii="宋体" w:hAnsi="宋体" w:cs="宋体" w:eastAsia="宋体" w:hint="default"/>
          <w:spacing w:val="-7"/>
        </w:rPr>
        <w:t>27</w:t>
      </w:r>
      <w:r>
        <w:rPr>
          <w:spacing w:val="-7"/>
        </w:rPr>
        <w:t>日，公司召开第四届董事会第二十八次会议，审议通过了《关于补选公司第四届董事会非独立董事的议案》，</w:t>
      </w:r>
      <w:r>
        <w:rPr>
          <w:spacing w:val="-90"/>
        </w:rPr>
        <w:t> </w:t>
      </w:r>
      <w:r>
        <w:rPr>
          <w:spacing w:val="-2"/>
        </w:rPr>
        <w:t>夏传武先生因个人原因辞去公司董事、董事长及董事会各专门委员会相关职务，董事会同意提名廖垚先生为第四届董事会非</w:t>
      </w:r>
      <w:r>
        <w:rPr>
          <w:spacing w:val="-64"/>
        </w:rPr>
        <w:t> </w:t>
      </w:r>
      <w:r>
        <w:rPr>
          <w:spacing w:val="-64"/>
        </w:rPr>
      </w:r>
      <w:r>
        <w:rPr/>
        <w:t>独立董事候选人，此事项经</w:t>
      </w:r>
      <w:r>
        <w:rPr>
          <w:rFonts w:ascii="宋体" w:hAnsi="宋体" w:cs="宋体" w:eastAsia="宋体" w:hint="default"/>
        </w:rPr>
        <w:t>2018</w:t>
      </w:r>
      <w:r>
        <w:rPr/>
        <w:t>年第六次临时股东大会批准通过。</w:t>
      </w:r>
    </w:p>
    <w:p>
      <w:pPr>
        <w:pStyle w:val="BodyText"/>
        <w:spacing w:line="477" w:lineRule="auto" w:before="54"/>
        <w:ind w:right="0" w:firstLine="360"/>
        <w:jc w:val="left"/>
      </w:pPr>
      <w:r>
        <w:rPr>
          <w:rFonts w:ascii="宋体" w:hAnsi="宋体" w:cs="宋体" w:eastAsia="宋体" w:hint="default"/>
          <w:spacing w:val="-4"/>
        </w:rPr>
        <w:t>2019</w:t>
      </w:r>
      <w:r>
        <w:rPr>
          <w:spacing w:val="-4"/>
        </w:rPr>
        <w:t>年</w:t>
      </w:r>
      <w:r>
        <w:rPr>
          <w:rFonts w:ascii="宋体" w:hAnsi="宋体" w:cs="宋体" w:eastAsia="宋体" w:hint="default"/>
          <w:spacing w:val="-4"/>
        </w:rPr>
        <w:t>1</w:t>
      </w:r>
      <w:r>
        <w:rPr>
          <w:spacing w:val="-4"/>
        </w:rPr>
        <w:t>月</w:t>
      </w:r>
      <w:r>
        <w:rPr>
          <w:rFonts w:ascii="宋体" w:hAnsi="宋体" w:cs="宋体" w:eastAsia="宋体" w:hint="default"/>
          <w:spacing w:val="-4"/>
        </w:rPr>
        <w:t>2</w:t>
      </w:r>
      <w:r>
        <w:rPr>
          <w:spacing w:val="-4"/>
        </w:rPr>
        <w:t>日，公司召开第四届董事会第三十三次会议，审议通过了《关于选举公司第四届董事会非独立董事的议案》。</w:t>
      </w:r>
      <w:r>
        <w:rPr/>
        <w:t> </w:t>
      </w:r>
      <w:r>
        <w:rPr>
          <w:spacing w:val="-2"/>
        </w:rPr>
        <w:t>曾兆豪先生因个人原因申请辞去其担任的公司第四届董事会非独立董事职务，为保证公司董事会的正常运作，董事会同意提</w:t>
      </w:r>
      <w:r>
        <w:rPr>
          <w:spacing w:val="-64"/>
        </w:rPr>
        <w:t> </w:t>
      </w:r>
      <w:r>
        <w:rPr>
          <w:spacing w:val="-64"/>
        </w:rPr>
      </w:r>
      <w:r>
        <w:rPr>
          <w:spacing w:val="-2"/>
        </w:rPr>
        <w:t>名卢和忠先生为第四届董事会非独立董事候选人，此事项经</w:t>
      </w:r>
      <w:r>
        <w:rPr>
          <w:rFonts w:ascii="宋体" w:hAnsi="宋体" w:cs="宋体" w:eastAsia="宋体" w:hint="default"/>
          <w:spacing w:val="-2"/>
        </w:rPr>
        <w:t>2019</w:t>
      </w:r>
      <w:r>
        <w:rPr>
          <w:spacing w:val="-2"/>
        </w:rPr>
        <w:t>年第一次临时股东大会批准通过。（注</w:t>
      </w:r>
      <w:r>
        <w:rPr>
          <w:rFonts w:ascii="宋体" w:hAnsi="宋体" w:cs="宋体" w:eastAsia="宋体" w:hint="default"/>
          <w:spacing w:val="-2"/>
        </w:rPr>
        <w:t>12</w:t>
      </w:r>
      <w:r>
        <w:rPr>
          <w:spacing w:val="-2"/>
        </w:rPr>
        <w:t>）</w:t>
      </w:r>
    </w:p>
    <w:p>
      <w:pPr>
        <w:pStyle w:val="Heading5"/>
        <w:spacing w:line="240" w:lineRule="auto" w:before="54"/>
        <w:ind w:right="0"/>
        <w:jc w:val="left"/>
        <w:rPr>
          <w:b w:val="0"/>
          <w:bCs w:val="0"/>
        </w:rPr>
      </w:pPr>
      <w:r>
        <w:rPr>
          <w:rFonts w:ascii="宋体" w:hAnsi="宋体" w:cs="宋体" w:eastAsia="宋体" w:hint="default"/>
        </w:rPr>
        <w:t>13</w:t>
      </w:r>
      <w:r>
        <w:rPr/>
        <w:t>、签订战略合作框架协议</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1" w:firstLine="360"/>
        <w:jc w:val="both"/>
      </w:pPr>
      <w:r>
        <w:rPr>
          <w:rFonts w:ascii="宋体" w:hAnsi="宋体" w:cs="宋体" w:eastAsia="宋体" w:hint="default"/>
          <w:spacing w:val="-4"/>
        </w:rPr>
        <w:t>2018</w:t>
      </w:r>
      <w:r>
        <w:rPr>
          <w:spacing w:val="-4"/>
        </w:rPr>
        <w:t>年</w:t>
      </w:r>
      <w:r>
        <w:rPr>
          <w:rFonts w:ascii="宋体" w:hAnsi="宋体" w:cs="宋体" w:eastAsia="宋体" w:hint="default"/>
          <w:spacing w:val="-4"/>
        </w:rPr>
        <w:t>9</w:t>
      </w:r>
      <w:r>
        <w:rPr>
          <w:spacing w:val="-4"/>
        </w:rPr>
        <w:t>月，公司与武汉东湖新技术开发区管理委员会签署了《框架合作协议》，公司拟在武汉设立项目公司，投资建设</w:t>
      </w:r>
      <w:r>
        <w:rPr/>
        <w:t> </w:t>
      </w:r>
      <w:r>
        <w:rPr>
          <w:spacing w:val="-2"/>
        </w:rPr>
        <w:t>智能终端研发制造基地项目。项目总投资</w:t>
      </w:r>
      <w:r>
        <w:rPr>
          <w:rFonts w:ascii="宋体" w:hAnsi="宋体" w:cs="宋体" w:eastAsia="宋体" w:hint="default"/>
          <w:spacing w:val="-2"/>
        </w:rPr>
        <w:t>50</w:t>
      </w:r>
      <w:r>
        <w:rPr>
          <w:spacing w:val="-2"/>
        </w:rPr>
        <w:t>亿元，主要进行智能手机、网络通讯、智能硬件等产品制造及机器人及自动化装</w:t>
      </w:r>
      <w:r>
        <w:rPr>
          <w:spacing w:val="-64"/>
        </w:rPr>
        <w:t> </w:t>
      </w:r>
      <w:r>
        <w:rPr>
          <w:spacing w:val="-64"/>
        </w:rPr>
      </w:r>
      <w:r>
        <w:rPr>
          <w:spacing w:val="-2"/>
        </w:rPr>
        <w:t>备生产业务。通过本次协议签署，有利于合作双方整合和发挥各自资源优势，在智能终端研发制造方面展开深度合作，实现</w:t>
      </w:r>
      <w:r>
        <w:rPr>
          <w:spacing w:val="-66"/>
        </w:rPr>
        <w:t> </w:t>
      </w:r>
      <w:r>
        <w:rPr>
          <w:spacing w:val="-66"/>
        </w:rPr>
      </w:r>
      <w:r>
        <w:rPr/>
        <w:t>优势互补、互利共赢，符合公司的整体战略布局。</w:t>
      </w:r>
    </w:p>
    <w:p>
      <w:pPr>
        <w:pStyle w:val="BodyText"/>
        <w:spacing w:line="477" w:lineRule="auto" w:before="54"/>
        <w:ind w:right="1133" w:firstLine="360"/>
        <w:jc w:val="both"/>
      </w:pPr>
      <w:r>
        <w:rPr>
          <w:spacing w:val="-2"/>
        </w:rPr>
        <w:t>本次签署的协议属于框架性、意向性的约定，具体的合作内容和实施细节尚待进一步落实和明确，公司将密切关注本协</w:t>
      </w:r>
      <w:r>
        <w:rPr/>
        <w:t> </w:t>
      </w:r>
      <w:r>
        <w:rPr>
          <w:spacing w:val="-3"/>
        </w:rPr>
        <w:t>议涉及的各后续事宜，严格按照有关规定履行公司决策审批程序和信息披露义务。（注</w:t>
      </w:r>
      <w:r>
        <w:rPr>
          <w:rFonts w:ascii="宋体" w:hAnsi="宋体" w:cs="宋体" w:eastAsia="宋体" w:hint="default"/>
          <w:spacing w:val="-3"/>
        </w:rPr>
        <w:t>13</w:t>
      </w:r>
      <w:r>
        <w:rPr>
          <w:spacing w:val="-3"/>
        </w:rPr>
        <w:t>）</w:t>
      </w:r>
    </w:p>
    <w:p>
      <w:pPr>
        <w:pStyle w:val="Heading5"/>
        <w:spacing w:line="240" w:lineRule="auto" w:before="54"/>
        <w:ind w:right="0"/>
        <w:jc w:val="left"/>
        <w:rPr>
          <w:b w:val="0"/>
          <w:bCs w:val="0"/>
        </w:rPr>
      </w:pPr>
      <w:r>
        <w:rPr>
          <w:rFonts w:ascii="宋体" w:hAnsi="宋体" w:cs="宋体" w:eastAsia="宋体" w:hint="default"/>
        </w:rPr>
        <w:t>14</w:t>
      </w:r>
      <w:r>
        <w:rPr/>
        <w:t>、回购公司股份事项</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1" w:firstLine="360"/>
        <w:jc w:val="both"/>
      </w:pPr>
      <w:r>
        <w:rPr>
          <w:rFonts w:ascii="宋体" w:hAnsi="宋体" w:cs="宋体" w:eastAsia="宋体" w:hint="default"/>
          <w:spacing w:val="-4"/>
        </w:rPr>
        <w:t>2018</w:t>
      </w:r>
      <w:r>
        <w:rPr>
          <w:spacing w:val="-4"/>
        </w:rPr>
        <w:t>年</w:t>
      </w:r>
      <w:r>
        <w:rPr>
          <w:rFonts w:ascii="宋体" w:hAnsi="宋体" w:cs="宋体" w:eastAsia="宋体" w:hint="default"/>
          <w:spacing w:val="-4"/>
        </w:rPr>
        <w:t>11</w:t>
      </w:r>
      <w:r>
        <w:rPr>
          <w:spacing w:val="-4"/>
        </w:rPr>
        <w:t>月</w:t>
      </w:r>
      <w:r>
        <w:rPr>
          <w:rFonts w:ascii="宋体" w:hAnsi="宋体" w:cs="宋体" w:eastAsia="宋体" w:hint="default"/>
          <w:spacing w:val="-4"/>
        </w:rPr>
        <w:t>6</w:t>
      </w:r>
      <w:r>
        <w:rPr>
          <w:spacing w:val="-4"/>
        </w:rPr>
        <w:t>日，公司召开第四届董事会第三十二次会议，审议通过了《关于回购公司股份的预案》，同意使用自有资金</w:t>
      </w:r>
      <w:r>
        <w:rPr/>
        <w:t> </w:t>
      </w:r>
      <w:r>
        <w:rPr>
          <w:spacing w:val="-2"/>
        </w:rPr>
        <w:t>以集中竞价交易方式回购部分公司股份，用于后期实施员工激励或减少注册资本。回购总金额不低于人民币</w:t>
      </w:r>
      <w:r>
        <w:rPr>
          <w:rFonts w:ascii="宋体" w:hAnsi="宋体" w:cs="宋体" w:eastAsia="宋体" w:hint="default"/>
          <w:spacing w:val="-2"/>
        </w:rPr>
        <w:t>15,000</w:t>
      </w:r>
      <w:r>
        <w:rPr>
          <w:spacing w:val="-2"/>
        </w:rPr>
        <w:t>万元、最</w:t>
      </w:r>
      <w:r>
        <w:rPr>
          <w:spacing w:val="-59"/>
        </w:rPr>
        <w:t> </w:t>
      </w:r>
      <w:r>
        <w:rPr>
          <w:spacing w:val="-59"/>
        </w:rPr>
      </w:r>
      <w:r>
        <w:rPr>
          <w:spacing w:val="-2"/>
        </w:rPr>
        <w:t>高不超过人民币</w:t>
      </w:r>
      <w:r>
        <w:rPr>
          <w:rFonts w:ascii="宋体" w:hAnsi="宋体" w:cs="宋体" w:eastAsia="宋体" w:hint="default"/>
          <w:spacing w:val="-2"/>
        </w:rPr>
        <w:t>30,000</w:t>
      </w:r>
      <w:r>
        <w:rPr>
          <w:spacing w:val="-2"/>
        </w:rPr>
        <w:t>万元，回购价格不高于人民币</w:t>
      </w:r>
      <w:r>
        <w:rPr>
          <w:rFonts w:ascii="宋体" w:hAnsi="宋体" w:cs="宋体" w:eastAsia="宋体" w:hint="default"/>
          <w:spacing w:val="-2"/>
        </w:rPr>
        <w:t>9</w:t>
      </w:r>
      <w:r>
        <w:rPr>
          <w:spacing w:val="-2"/>
        </w:rPr>
        <w:t>元</w:t>
      </w:r>
      <w:r>
        <w:rPr>
          <w:rFonts w:ascii="宋体" w:hAnsi="宋体" w:cs="宋体" w:eastAsia="宋体" w:hint="default"/>
          <w:spacing w:val="-2"/>
        </w:rPr>
        <w:t>/</w:t>
      </w:r>
      <w:r>
        <w:rPr>
          <w:spacing w:val="-2"/>
        </w:rPr>
        <w:t>股（含</w:t>
      </w:r>
      <w:r>
        <w:rPr>
          <w:rFonts w:ascii="宋体" w:hAnsi="宋体" w:cs="宋体" w:eastAsia="宋体" w:hint="default"/>
          <w:spacing w:val="-2"/>
        </w:rPr>
        <w:t>9</w:t>
      </w:r>
      <w:r>
        <w:rPr>
          <w:spacing w:val="-2"/>
        </w:rPr>
        <w:t>元</w:t>
      </w:r>
      <w:r>
        <w:rPr>
          <w:rFonts w:ascii="宋体" w:hAnsi="宋体" w:cs="宋体" w:eastAsia="宋体" w:hint="default"/>
          <w:spacing w:val="-2"/>
        </w:rPr>
        <w:t>/</w:t>
      </w:r>
      <w:r>
        <w:rPr>
          <w:spacing w:val="-2"/>
        </w:rPr>
        <w:t>股），此事项经公司于</w:t>
      </w:r>
      <w:r>
        <w:rPr>
          <w:rFonts w:ascii="宋体" w:hAnsi="宋体" w:cs="宋体" w:eastAsia="宋体" w:hint="default"/>
          <w:spacing w:val="-2"/>
        </w:rPr>
        <w:t>2018</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23</w:t>
      </w:r>
      <w:r>
        <w:rPr>
          <w:spacing w:val="-2"/>
        </w:rPr>
        <w:t>召开的</w:t>
      </w:r>
      <w:r>
        <w:rPr>
          <w:rFonts w:ascii="宋体" w:hAnsi="宋体" w:cs="宋体" w:eastAsia="宋体" w:hint="default"/>
          <w:spacing w:val="-2"/>
        </w:rPr>
        <w:t>2018</w:t>
      </w:r>
      <w:r>
        <w:rPr>
          <w:spacing w:val="-2"/>
        </w:rPr>
        <w:t>年第七</w:t>
      </w:r>
      <w:r>
        <w:rPr>
          <w:spacing w:val="-50"/>
        </w:rPr>
        <w:t> </w:t>
      </w:r>
      <w:r>
        <w:rPr/>
        <w:t>次临时股东大会批准。回购股份期限为自股东大会审议通过回购股份方案之日起不超过</w:t>
      </w:r>
      <w:r>
        <w:rPr>
          <w:rFonts w:ascii="宋体" w:hAnsi="宋体" w:cs="宋体" w:eastAsia="宋体" w:hint="default"/>
        </w:rPr>
        <w:t>6</w:t>
      </w:r>
      <w:r>
        <w:rPr/>
        <w:t>个月。</w:t>
      </w:r>
    </w:p>
    <w:p>
      <w:pPr>
        <w:pStyle w:val="BodyText"/>
        <w:spacing w:line="240" w:lineRule="auto" w:before="54"/>
        <w:ind w:left="514" w:right="0"/>
        <w:jc w:val="left"/>
      </w:pPr>
      <w:r>
        <w:rPr/>
        <w:t>目前公司已就本次回购相关事项，履行了相应的程序，并在中国证券登记结算有限责任公司深圳分公司开立了股票回购</w:t>
      </w:r>
    </w:p>
    <w:p>
      <w:pPr>
        <w:spacing w:after="0" w:line="240"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31"/>
        <w:jc w:val="both"/>
      </w:pPr>
      <w:r>
        <w:rPr>
          <w:spacing w:val="-2"/>
        </w:rPr>
        <w:t>专用证券账户。</w:t>
      </w:r>
      <w:r>
        <w:rPr>
          <w:rFonts w:ascii="宋体" w:hAnsi="宋体" w:cs="宋体" w:eastAsia="宋体" w:hint="default"/>
          <w:spacing w:val="-2"/>
        </w:rPr>
        <w:t>2019</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22</w:t>
      </w:r>
      <w:r>
        <w:rPr>
          <w:spacing w:val="-2"/>
        </w:rPr>
        <w:t>日，公司首次通过股票回购专用证券账户以集中竞价交易方式回购公司股份</w:t>
      </w:r>
      <w:r>
        <w:rPr>
          <w:rFonts w:ascii="宋体" w:hAnsi="宋体" w:cs="宋体" w:eastAsia="宋体" w:hint="default"/>
          <w:spacing w:val="-2"/>
        </w:rPr>
        <w:t>1,602,669</w:t>
      </w:r>
      <w:r>
        <w:rPr>
          <w:spacing w:val="-2"/>
        </w:rPr>
        <w:t>股，占公</w:t>
      </w:r>
      <w:r>
        <w:rPr>
          <w:spacing w:val="-50"/>
        </w:rPr>
        <w:t> </w:t>
      </w:r>
      <w:r>
        <w:rPr>
          <w:spacing w:val="-50"/>
        </w:rPr>
      </w:r>
      <w:r>
        <w:rPr>
          <w:spacing w:val="-2"/>
        </w:rPr>
        <w:t>司总股本的</w:t>
      </w:r>
      <w:r>
        <w:rPr>
          <w:rFonts w:ascii="宋体" w:hAnsi="宋体" w:cs="宋体" w:eastAsia="宋体" w:hint="default"/>
          <w:spacing w:val="-2"/>
        </w:rPr>
        <w:t>0.28%</w:t>
      </w:r>
      <w:r>
        <w:rPr>
          <w:spacing w:val="-2"/>
        </w:rPr>
        <w:t>，最高成交价为</w:t>
      </w:r>
      <w:r>
        <w:rPr>
          <w:rFonts w:ascii="宋体" w:hAnsi="宋体" w:cs="宋体" w:eastAsia="宋体" w:hint="default"/>
          <w:spacing w:val="-2"/>
        </w:rPr>
        <w:t>7.79</w:t>
      </w:r>
      <w:r>
        <w:rPr>
          <w:spacing w:val="-2"/>
        </w:rPr>
        <w:t>元</w:t>
      </w:r>
      <w:r>
        <w:rPr>
          <w:rFonts w:ascii="宋体" w:hAnsi="宋体" w:cs="宋体" w:eastAsia="宋体" w:hint="default"/>
          <w:spacing w:val="-2"/>
        </w:rPr>
        <w:t>/</w:t>
      </w:r>
      <w:r>
        <w:rPr>
          <w:spacing w:val="-2"/>
        </w:rPr>
        <w:t>股，最低成交价为</w:t>
      </w:r>
      <w:r>
        <w:rPr>
          <w:rFonts w:ascii="宋体" w:hAnsi="宋体" w:cs="宋体" w:eastAsia="宋体" w:hint="default"/>
          <w:spacing w:val="-2"/>
        </w:rPr>
        <w:t>7.54</w:t>
      </w:r>
      <w:r>
        <w:rPr>
          <w:spacing w:val="-2"/>
        </w:rPr>
        <w:t>元</w:t>
      </w:r>
      <w:r>
        <w:rPr>
          <w:rFonts w:ascii="宋体" w:hAnsi="宋体" w:cs="宋体" w:eastAsia="宋体" w:hint="default"/>
          <w:spacing w:val="-2"/>
        </w:rPr>
        <w:t>/</w:t>
      </w:r>
      <w:r>
        <w:rPr>
          <w:spacing w:val="-2"/>
        </w:rPr>
        <w:t>股，成交总金额为</w:t>
      </w:r>
      <w:r>
        <w:rPr>
          <w:rFonts w:ascii="宋体" w:hAnsi="宋体" w:cs="宋体" w:eastAsia="宋体" w:hint="default"/>
          <w:spacing w:val="-2"/>
        </w:rPr>
        <w:t>12,256,105.09</w:t>
      </w:r>
      <w:r>
        <w:rPr>
          <w:spacing w:val="-2"/>
        </w:rPr>
        <w:t>元（不含交易费用）。</w:t>
      </w:r>
      <w:r>
        <w:rPr>
          <w:spacing w:val="-44"/>
        </w:rPr>
        <w:t> </w:t>
      </w:r>
      <w:r>
        <w:rPr>
          <w:spacing w:val="-44"/>
        </w:rPr>
      </w:r>
      <w:r>
        <w:rPr>
          <w:spacing w:val="-2"/>
        </w:rPr>
        <w:t>公司后续将根据市场情况及资金安排情况继续实施回购计划。回购期间，公司将根据相关法律、法规和规范性文件及时发布</w:t>
      </w:r>
      <w:r>
        <w:rPr>
          <w:spacing w:val="-66"/>
        </w:rPr>
        <w:t> </w:t>
      </w:r>
      <w:r>
        <w:rPr>
          <w:spacing w:val="-66"/>
        </w:rPr>
      </w:r>
      <w:r>
        <w:rPr>
          <w:spacing w:val="-7"/>
        </w:rPr>
        <w:t>公布回购进展情况。（注</w:t>
      </w:r>
      <w:r>
        <w:rPr>
          <w:rFonts w:ascii="宋体" w:hAnsi="宋体" w:cs="宋体" w:eastAsia="宋体" w:hint="default"/>
          <w:spacing w:val="-7"/>
        </w:rPr>
        <w:t>14</w:t>
      </w:r>
      <w:r>
        <w:rPr>
          <w:spacing w:val="-7"/>
        </w:rPr>
        <w:t>）</w:t>
      </w:r>
    </w:p>
    <w:p>
      <w:pPr>
        <w:pStyle w:val="BodyText"/>
        <w:tabs>
          <w:tab w:pos="2873" w:val="left" w:leader="none"/>
          <w:tab w:pos="5228" w:val="left" w:leader="none"/>
        </w:tabs>
        <w:spacing w:line="240" w:lineRule="auto" w:before="1"/>
        <w:ind w:left="0" w:right="2041"/>
        <w:jc w:val="center"/>
      </w:pPr>
      <w:r>
        <w:rPr/>
        <w:pict>
          <v:group style="position:absolute;margin-left:56.34pt;margin-top:-2.098281pt;width:421.5pt;height:597.950pt;mso-position-horizontal-relative:page;mso-position-vertical-relative:paragraph;z-index:-1039504" coordorigin="1127,-42" coordsize="8430,11959">
            <v:group style="position:absolute;left:1141;top:-14;width:2254;height:2" coordorigin="1141,-14" coordsize="2254,2">
              <v:shape style="position:absolute;left:1141;top:-14;width:2254;height:2" coordorigin="1141,-14" coordsize="2254,0" path="m1141,-14l3395,-14e" filled="false" stroked="true" strokeweight=".48pt" strokecolor="#bdbdbd">
                <v:path arrowok="t"/>
              </v:shape>
            </v:group>
            <v:group style="position:absolute;left:1142;top:-10;width:2;height:312" coordorigin="1142,-10" coordsize="2,312">
              <v:shape style="position:absolute;left:1142;top:-10;width:2;height:312" coordorigin="1142,-10" coordsize="0,312" path="m1142,-10l1142,302e" filled="false" stroked="true" strokeweight=".12pt" strokecolor="#bdbdbd">
                <v:path arrowok="t"/>
              </v:shape>
            </v:group>
            <v:group style="position:absolute;left:3394;top:-10;width:2;height:312" coordorigin="3394,-10" coordsize="2,312">
              <v:shape style="position:absolute;left:3394;top:-10;width:2;height:312" coordorigin="3394,-10" coordsize="0,312" path="m3394,-10l3394,302e" filled="false" stroked="true" strokeweight=".12pt" strokecolor="#bdbdbd">
                <v:path arrowok="t"/>
              </v:shape>
            </v:group>
            <v:group style="position:absolute;left:1141;top:307;width:2254;height:2" coordorigin="1141,307" coordsize="2254,2">
              <v:shape style="position:absolute;left:1141;top:307;width:2254;height:2" coordorigin="1141,307" coordsize="2254,0" path="m1141,307l3395,307e" filled="false" stroked="true" strokeweight=".48pt" strokecolor="#bdbdbd">
                <v:path arrowok="t"/>
              </v:shape>
            </v:group>
            <v:group style="position:absolute;left:1144;top:-10;width:2250;height:312" coordorigin="1144,-10" coordsize="2250,312">
              <v:shape style="position:absolute;left:1144;top:-10;width:2250;height:312" coordorigin="1144,-10" coordsize="2250,312" path="m1144,302l3393,302,3393,-10,1144,-10,1144,302xe" filled="true" fillcolor="#bdbdbd" stroked="false">
                <v:path arrowok="t"/>
                <v:fill type="solid"/>
              </v:shape>
            </v:group>
            <v:group style="position:absolute;left:3410;top:-14;width:3105;height:2" coordorigin="3410,-14" coordsize="3105,2">
              <v:shape style="position:absolute;left:3410;top:-14;width:3105;height:2" coordorigin="3410,-14" coordsize="3105,0" path="m3410,-14l6514,-14e" filled="false" stroked="true" strokeweight=".48pt" strokecolor="#bdbdbd">
                <v:path arrowok="t"/>
              </v:shape>
            </v:group>
            <v:group style="position:absolute;left:3411;top:-10;width:2;height:312" coordorigin="3411,-10" coordsize="2,312">
              <v:shape style="position:absolute;left:3411;top:-10;width:2;height:312" coordorigin="3411,-10" coordsize="0,312" path="m3411,-10l3411,302e" filled="false" stroked="true" strokeweight=".12pt" strokecolor="#bdbdbd">
                <v:path arrowok="t"/>
              </v:shape>
            </v:group>
            <v:group style="position:absolute;left:6513;top:-10;width:2;height:312" coordorigin="6513,-10" coordsize="2,312">
              <v:shape style="position:absolute;left:6513;top:-10;width:2;height:312" coordorigin="6513,-10" coordsize="0,312" path="m6513,-10l6513,302e" filled="false" stroked="true" strokeweight=".12pt" strokecolor="#bdbdbd">
                <v:path arrowok="t"/>
              </v:shape>
            </v:group>
            <v:group style="position:absolute;left:3410;top:307;width:3105;height:2" coordorigin="3410,307" coordsize="3105,2">
              <v:shape style="position:absolute;left:3410;top:307;width:3105;height:2" coordorigin="3410,307" coordsize="3105,0" path="m3410,307l6514,307e" filled="false" stroked="true" strokeweight=".48pt" strokecolor="#bdbdbd">
                <v:path arrowok="t"/>
              </v:shape>
            </v:group>
            <v:group style="position:absolute;left:3412;top:-10;width:3100;height:312" coordorigin="3412,-10" coordsize="3100,312">
              <v:shape style="position:absolute;left:3412;top:-10;width:3100;height:312" coordorigin="3412,-10" coordsize="3100,312" path="m3412,302l6512,302,6512,-10,3412,-10,3412,302xe" filled="true" fillcolor="#bdbdbd" stroked="false">
                <v:path arrowok="t"/>
                <v:fill type="solid"/>
              </v:shape>
            </v:group>
            <v:group style="position:absolute;left:6529;top:-14;width:3014;height:2" coordorigin="6529,-14" coordsize="3014,2">
              <v:shape style="position:absolute;left:6529;top:-14;width:3014;height:2" coordorigin="6529,-14" coordsize="3014,0" path="m6529,-14l9542,-14e" filled="false" stroked="true" strokeweight=".48pt" strokecolor="#bdbdbd">
                <v:path arrowok="t"/>
              </v:shape>
            </v:group>
            <v:group style="position:absolute;left:6531;top:-10;width:2;height:312" coordorigin="6531,-10" coordsize="2,312">
              <v:shape style="position:absolute;left:6531;top:-10;width:2;height:312" coordorigin="6531,-10" coordsize="0,312" path="m6531,-10l6531,302e" filled="false" stroked="true" strokeweight=".17999pt" strokecolor="#bdbdbd">
                <v:path arrowok="t"/>
              </v:shape>
            </v:group>
            <v:group style="position:absolute;left:9541;top:-10;width:2;height:312" coordorigin="9541,-10" coordsize="2,312">
              <v:shape style="position:absolute;left:9541;top:-10;width:2;height:312" coordorigin="9541,-10" coordsize="0,312" path="m9541,-10l9541,302e" filled="false" stroked="true" strokeweight=".17999pt" strokecolor="#bdbdbd">
                <v:path arrowok="t"/>
              </v:shape>
            </v:group>
            <v:group style="position:absolute;left:6529;top:307;width:3014;height:2" coordorigin="6529,307" coordsize="3014,2">
              <v:shape style="position:absolute;left:6529;top:307;width:3014;height:2" coordorigin="6529,307" coordsize="3014,0" path="m6529,307l9542,307e" filled="false" stroked="true" strokeweight=".48pt" strokecolor="#bdbdbd">
                <v:path arrowok="t"/>
              </v:shape>
            </v:group>
            <v:group style="position:absolute;left:6532;top:-10;width:3007;height:312" coordorigin="6532,-10" coordsize="3007,312">
              <v:shape style="position:absolute;left:6532;top:-10;width:3007;height:312" coordorigin="6532,-10" coordsize="3007,312" path="m6532,302l9539,302,9539,-10,6532,-10,6532,302xe" filled="true" fillcolor="#bdbdbd" stroked="false">
                <v:path arrowok="t"/>
                <v:fill type="solid"/>
              </v:shape>
            </v:group>
            <v:group style="position:absolute;left:1141;top:-28;width:2254;height:2" coordorigin="1141,-28" coordsize="2254,2">
              <v:shape style="position:absolute;left:1141;top:-28;width:2254;height:2" coordorigin="1141,-28" coordsize="2254,0" path="m1141,-28l3395,-28e" filled="false" stroked="true" strokeweight=".72pt" strokecolor="#000000">
                <v:path arrowok="t"/>
              </v:shape>
            </v:group>
            <v:group style="position:absolute;left:1141;top:-15;width:2254;height:2" coordorigin="1141,-15" coordsize="2254,2">
              <v:shape style="position:absolute;left:1141;top:-15;width:2254;height:2" coordorigin="1141,-15" coordsize="2254,0" path="m1141,-15l3395,-15e" filled="false" stroked="true" strokeweight=".53999pt" strokecolor="#bdbdbd">
                <v:path arrowok="t"/>
              </v:shape>
            </v:group>
            <v:group style="position:absolute;left:3410;top:-28;width:3105;height:2" coordorigin="3410,-28" coordsize="3105,2">
              <v:shape style="position:absolute;left:3410;top:-28;width:3105;height:2" coordorigin="3410,-28" coordsize="3105,0" path="m3410,-28l6514,-28e" filled="false" stroked="true" strokeweight=".72pt" strokecolor="#000000">
                <v:path arrowok="t"/>
              </v:shape>
            </v:group>
            <v:group style="position:absolute;left:3410;top:-15;width:3105;height:2" coordorigin="3410,-15" coordsize="3105,2">
              <v:shape style="position:absolute;left:3410;top:-15;width:3105;height:2" coordorigin="3410,-15" coordsize="3105,0" path="m3410,-15l6514,-15e" filled="false" stroked="true" strokeweight=".53999pt" strokecolor="#bdbdbd">
                <v:path arrowok="t"/>
              </v:shape>
            </v:group>
            <v:group style="position:absolute;left:6529;top:-28;width:3014;height:2" coordorigin="6529,-28" coordsize="3014,2">
              <v:shape style="position:absolute;left:6529;top:-28;width:3014;height:2" coordorigin="6529,-28" coordsize="3014,0" path="m6529,-28l9542,-28e" filled="false" stroked="true" strokeweight=".72pt" strokecolor="#000000">
                <v:path arrowok="t"/>
              </v:shape>
            </v:group>
            <v:group style="position:absolute;left:6529;top:-15;width:3014;height:2" coordorigin="6529,-15" coordsize="3014,2">
              <v:shape style="position:absolute;left:6529;top:-15;width:3014;height:2" coordorigin="6529,-15" coordsize="3014,0" path="m6529,-15l9542,-15e" filled="false" stroked="true" strokeweight=".53999pt" strokecolor="#bdbdbd">
                <v:path arrowok="t"/>
              </v:shape>
            </v:group>
            <v:group style="position:absolute;left:1134;top:306;width:2269;height:2" coordorigin="1134,306" coordsize="2269,2">
              <v:shape style="position:absolute;left:1134;top:306;width:2269;height:2" coordorigin="1134,306" coordsize="2269,0" path="m1134,306l3402,306e" filled="false" stroked="true" strokeweight=".48pt" strokecolor="#bdbdbd">
                <v:path arrowok="t"/>
              </v:shape>
            </v:group>
            <v:group style="position:absolute;left:3402;top:306;width:3120;height:2" coordorigin="3402,306" coordsize="3120,2">
              <v:shape style="position:absolute;left:3402;top:306;width:3120;height:2" coordorigin="3402,306" coordsize="3120,0" path="m3402,306l6522,306e" filled="false" stroked="true" strokeweight=".48pt" strokecolor="#bdbdbd">
                <v:path arrowok="t"/>
              </v:shape>
            </v:group>
            <v:group style="position:absolute;left:6523;top:306;width:3026;height:2" coordorigin="6523,306" coordsize="3026,2">
              <v:shape style="position:absolute;left:6523;top:306;width:3026;height:2" coordorigin="6523,306" coordsize="3026,0" path="m6523,306l9548,306e" filled="false" stroked="true" strokeweight=".48pt" strokecolor="#bdbdbd">
                <v:path arrowok="t"/>
              </v:shape>
            </v:group>
            <v:group style="position:absolute;left:1141;top:319;width:2254;height:2" coordorigin="1141,319" coordsize="2254,2">
              <v:shape style="position:absolute;left:1141;top:319;width:2254;height:2" coordorigin="1141,319" coordsize="2254,0" path="m1141,319l3395,319e" filled="false" stroked="true" strokeweight=".72pt" strokecolor="#000000">
                <v:path arrowok="t"/>
              </v:shape>
            </v:group>
            <v:group style="position:absolute;left:3410;top:319;width:3105;height:2" coordorigin="3410,319" coordsize="3105,2">
              <v:shape style="position:absolute;left:3410;top:319;width:3105;height:2" coordorigin="3410,319" coordsize="3105,0" path="m3410,319l6514,319e" filled="false" stroked="true" strokeweight=".72pt" strokecolor="#000000">
                <v:path arrowok="t"/>
              </v:shape>
            </v:group>
            <v:group style="position:absolute;left:6529;top:319;width:3014;height:2" coordorigin="6529,319" coordsize="3014,2">
              <v:shape style="position:absolute;left:6529;top:319;width:3014;height:2" coordorigin="6529,319" coordsize="3014,0" path="m6529,319l9542,319e" filled="false" stroked="true" strokeweight=".72pt" strokecolor="#000000">
                <v:path arrowok="t"/>
              </v:shape>
            </v:group>
            <v:group style="position:absolute;left:1141;top:978;width:2254;height:2" coordorigin="1141,978" coordsize="2254,2">
              <v:shape style="position:absolute;left:1141;top:978;width:2254;height:2" coordorigin="1141,978" coordsize="2254,0" path="m1141,978l3395,978e" filled="false" stroked="true" strokeweight=".72pt" strokecolor="#000000">
                <v:path arrowok="t"/>
              </v:shape>
            </v:group>
            <v:group style="position:absolute;left:3410;top:978;width:3105;height:2" coordorigin="3410,978" coordsize="3105,2">
              <v:shape style="position:absolute;left:3410;top:978;width:3105;height:2" coordorigin="3410,978" coordsize="3105,0" path="m3410,978l6514,978e" filled="false" stroked="true" strokeweight=".72pt" strokecolor="#000000">
                <v:path arrowok="t"/>
              </v:shape>
            </v:group>
            <v:group style="position:absolute;left:6529;top:978;width:3014;height:2" coordorigin="6529,978" coordsize="3014,2">
              <v:shape style="position:absolute;left:6529;top:978;width:3014;height:2" coordorigin="6529,978" coordsize="3014,0" path="m6529,978l9542,978e" filled="false" stroked="true" strokeweight=".72pt" strokecolor="#000000">
                <v:path arrowok="t"/>
              </v:shape>
            </v:group>
            <v:group style="position:absolute;left:1141;top:1949;width:2254;height:2" coordorigin="1141,1949" coordsize="2254,2">
              <v:shape style="position:absolute;left:1141;top:1949;width:2254;height:2" coordorigin="1141,1949" coordsize="2254,0" path="m1141,1949l3395,1949e" filled="false" stroked="true" strokeweight=".72pt" strokecolor="#000000">
                <v:path arrowok="t"/>
              </v:shape>
            </v:group>
            <v:group style="position:absolute;left:3410;top:1949;width:3105;height:2" coordorigin="3410,1949" coordsize="3105,2">
              <v:shape style="position:absolute;left:3410;top:1949;width:3105;height:2" coordorigin="3410,1949" coordsize="3105,0" path="m3410,1949l6514,1949e" filled="false" stroked="true" strokeweight=".72pt" strokecolor="#000000">
                <v:path arrowok="t"/>
              </v:shape>
            </v:group>
            <v:group style="position:absolute;left:6529;top:1949;width:3014;height:2" coordorigin="6529,1949" coordsize="3014,2">
              <v:shape style="position:absolute;left:6529;top:1949;width:3014;height:2" coordorigin="6529,1949" coordsize="3014,0" path="m6529,1949l9542,1949e" filled="false" stroked="true" strokeweight=".72pt" strokecolor="#000000">
                <v:path arrowok="t"/>
              </v:shape>
            </v:group>
            <v:group style="position:absolute;left:1141;top:2609;width:2254;height:2" coordorigin="1141,2609" coordsize="2254,2">
              <v:shape style="position:absolute;left:1141;top:2609;width:2254;height:2" coordorigin="1141,2609" coordsize="2254,0" path="m1141,2609l3395,2609e" filled="false" stroked="true" strokeweight=".72pt" strokecolor="#000000">
                <v:path arrowok="t"/>
              </v:shape>
            </v:group>
            <v:group style="position:absolute;left:3410;top:2609;width:3105;height:2" coordorigin="3410,2609" coordsize="3105,2">
              <v:shape style="position:absolute;left:3410;top:2609;width:3105;height:2" coordorigin="3410,2609" coordsize="3105,0" path="m3410,2609l6514,2609e" filled="false" stroked="true" strokeweight=".72pt" strokecolor="#000000">
                <v:path arrowok="t"/>
              </v:shape>
            </v:group>
            <v:group style="position:absolute;left:6529;top:2609;width:3014;height:2" coordorigin="6529,2609" coordsize="3014,2">
              <v:shape style="position:absolute;left:6529;top:2609;width:3014;height:2" coordorigin="6529,2609" coordsize="3014,0" path="m6529,2609l9542,2609e" filled="false" stroked="true" strokeweight=".72pt" strokecolor="#000000">
                <v:path arrowok="t"/>
              </v:shape>
            </v:group>
            <v:group style="position:absolute;left:1141;top:7324;width:2254;height:2" coordorigin="1141,7324" coordsize="2254,2">
              <v:shape style="position:absolute;left:1141;top:7324;width:2254;height:2" coordorigin="1141,7324" coordsize="2254,0" path="m1141,7324l3395,7324e" filled="false" stroked="true" strokeweight=".71997pt" strokecolor="#000000">
                <v:path arrowok="t"/>
              </v:shape>
            </v:group>
            <v:group style="position:absolute;left:3410;top:7324;width:3105;height:2" coordorigin="3410,7324" coordsize="3105,2">
              <v:shape style="position:absolute;left:3410;top:7324;width:3105;height:2" coordorigin="3410,7324" coordsize="3105,0" path="m3410,7324l6514,7324e" filled="false" stroked="true" strokeweight=".71997pt" strokecolor="#000000">
                <v:path arrowok="t"/>
              </v:shape>
            </v:group>
            <v:group style="position:absolute;left:6529;top:7324;width:3014;height:2" coordorigin="6529,7324" coordsize="3014,2">
              <v:shape style="position:absolute;left:6529;top:7324;width:3014;height:2" coordorigin="6529,7324" coordsize="3014,0" path="m6529,7324l9542,7324e" filled="false" stroked="true" strokeweight=".71997pt" strokecolor="#000000">
                <v:path arrowok="t"/>
              </v:shape>
            </v:group>
            <v:group style="position:absolute;left:1141;top:7983;width:2254;height:2" coordorigin="1141,7983" coordsize="2254,2">
              <v:shape style="position:absolute;left:1141;top:7983;width:2254;height:2" coordorigin="1141,7983" coordsize="2254,0" path="m1141,7983l3395,7983e" filled="false" stroked="true" strokeweight=".71997pt" strokecolor="#000000">
                <v:path arrowok="t"/>
              </v:shape>
            </v:group>
            <v:group style="position:absolute;left:3410;top:7983;width:3105;height:2" coordorigin="3410,7983" coordsize="3105,2">
              <v:shape style="position:absolute;left:3410;top:7983;width:3105;height:2" coordorigin="3410,7983" coordsize="3105,0" path="m3410,7983l6514,7983e" filled="false" stroked="true" strokeweight=".71997pt" strokecolor="#000000">
                <v:path arrowok="t"/>
              </v:shape>
            </v:group>
            <v:group style="position:absolute;left:6529;top:7983;width:3014;height:2" coordorigin="6529,7983" coordsize="3014,2">
              <v:shape style="position:absolute;left:6529;top:7983;width:3014;height:2" coordorigin="6529,7983" coordsize="3014,0" path="m6529,7983l9542,7983e" filled="false" stroked="true" strokeweight=".71997pt" strokecolor="#000000">
                <v:path arrowok="t"/>
              </v:shape>
            </v:group>
            <v:group style="position:absolute;left:1141;top:8642;width:2254;height:2" coordorigin="1141,8642" coordsize="2254,2">
              <v:shape style="position:absolute;left:1141;top:8642;width:2254;height:2" coordorigin="1141,8642" coordsize="2254,0" path="m1141,8642l3395,8642e" filled="false" stroked="true" strokeweight=".71997pt" strokecolor="#000000">
                <v:path arrowok="t"/>
              </v:shape>
            </v:group>
            <v:group style="position:absolute;left:3410;top:8642;width:3105;height:2" coordorigin="3410,8642" coordsize="3105,2">
              <v:shape style="position:absolute;left:3410;top:8642;width:3105;height:2" coordorigin="3410,8642" coordsize="3105,0" path="m3410,8642l6514,8642e" filled="false" stroked="true" strokeweight=".71997pt" strokecolor="#000000">
                <v:path arrowok="t"/>
              </v:shape>
            </v:group>
            <v:group style="position:absolute;left:6529;top:8642;width:3014;height:2" coordorigin="6529,8642" coordsize="3014,2">
              <v:shape style="position:absolute;left:6529;top:8642;width:3014;height:2" coordorigin="6529,8642" coordsize="3014,0" path="m6529,8642l9542,8642e" filled="false" stroked="true" strokeweight=".71997pt" strokecolor="#000000">
                <v:path arrowok="t"/>
              </v:shape>
            </v:group>
            <v:group style="position:absolute;left:1141;top:9612;width:2254;height:2" coordorigin="1141,9612" coordsize="2254,2">
              <v:shape style="position:absolute;left:1141;top:9612;width:2254;height:2" coordorigin="1141,9612" coordsize="2254,0" path="m1141,9612l3395,9612e" filled="false" stroked="true" strokeweight=".71997pt" strokecolor="#000000">
                <v:path arrowok="t"/>
              </v:shape>
            </v:group>
            <v:group style="position:absolute;left:3410;top:9612;width:3105;height:2" coordorigin="3410,9612" coordsize="3105,2">
              <v:shape style="position:absolute;left:3410;top:9612;width:3105;height:2" coordorigin="3410,9612" coordsize="3105,0" path="m3410,9612l6514,9612e" filled="false" stroked="true" strokeweight=".71997pt" strokecolor="#000000">
                <v:path arrowok="t"/>
              </v:shape>
            </v:group>
            <v:group style="position:absolute;left:6529;top:9612;width:3014;height:2" coordorigin="6529,9612" coordsize="3014,2">
              <v:shape style="position:absolute;left:6529;top:9612;width:3014;height:2" coordorigin="6529,9612" coordsize="3014,0" path="m6529,9612l9542,9612e" filled="false" stroked="true" strokeweight=".71997pt" strokecolor="#000000">
                <v:path arrowok="t"/>
              </v:shape>
            </v:group>
            <v:group style="position:absolute;left:1141;top:10583;width:2254;height:2" coordorigin="1141,10583" coordsize="2254,2">
              <v:shape style="position:absolute;left:1141;top:10583;width:2254;height:2" coordorigin="1141,10583" coordsize="2254,0" path="m1141,10583l3395,10583e" filled="false" stroked="true" strokeweight=".72003pt" strokecolor="#000000">
                <v:path arrowok="t"/>
              </v:shape>
            </v:group>
            <v:group style="position:absolute;left:3410;top:10583;width:3105;height:2" coordorigin="3410,10583" coordsize="3105,2">
              <v:shape style="position:absolute;left:3410;top:10583;width:3105;height:2" coordorigin="3410,10583" coordsize="3105,0" path="m3410,10583l6514,10583e" filled="false" stroked="true" strokeweight=".72003pt" strokecolor="#000000">
                <v:path arrowok="t"/>
              </v:shape>
            </v:group>
            <v:group style="position:absolute;left:6529;top:10583;width:3014;height:2" coordorigin="6529,10583" coordsize="3014,2">
              <v:shape style="position:absolute;left:6529;top:10583;width:3014;height:2" coordorigin="6529,10583" coordsize="3014,0" path="m6529,10583l9542,10583e" filled="false" stroked="true" strokeweight=".72003pt" strokecolor="#000000">
                <v:path arrowok="t"/>
              </v:shape>
            </v:group>
            <v:group style="position:absolute;left:1141;top:11244;width:2254;height:2" coordorigin="1141,11244" coordsize="2254,2">
              <v:shape style="position:absolute;left:1141;top:11244;width:2254;height:2" coordorigin="1141,11244" coordsize="2254,0" path="m1141,11244l3395,11244e" filled="false" stroked="true" strokeweight=".71997pt" strokecolor="#000000">
                <v:path arrowok="t"/>
              </v:shape>
            </v:group>
            <v:group style="position:absolute;left:3410;top:11244;width:3105;height:2" coordorigin="3410,11244" coordsize="3105,2">
              <v:shape style="position:absolute;left:3410;top:11244;width:3105;height:2" coordorigin="3410,11244" coordsize="3105,0" path="m3410,11244l6514,11244e" filled="false" stroked="true" strokeweight=".71997pt" strokecolor="#000000">
                <v:path arrowok="t"/>
              </v:shape>
            </v:group>
            <v:group style="position:absolute;left:6529;top:11244;width:3014;height:2" coordorigin="6529,11244" coordsize="3014,2">
              <v:shape style="position:absolute;left:6529;top:11244;width:3014;height:2" coordorigin="6529,11244" coordsize="3014,0" path="m6529,11244l9542,11244e" filled="false" stroked="true" strokeweight=".71997pt" strokecolor="#000000">
                <v:path arrowok="t"/>
              </v:shape>
            </v:group>
            <v:group style="position:absolute;left:1134;top:-35;width:2;height:11945" coordorigin="1134,-35" coordsize="2,11945">
              <v:shape style="position:absolute;left:1134;top:-35;width:2;height:11945" coordorigin="1134,-35" coordsize="0,11945" path="m1134,-35l1134,11910e" filled="false" stroked="true" strokeweight=".72pt" strokecolor="#000000">
                <v:path arrowok="t"/>
              </v:shape>
            </v:group>
            <v:group style="position:absolute;left:1141;top:11902;width:2254;height:2" coordorigin="1141,11902" coordsize="2254,2">
              <v:shape style="position:absolute;left:1141;top:11902;width:2254;height:2" coordorigin="1141,11902" coordsize="2254,0" path="m1141,11902l3395,11902e" filled="false" stroked="true" strokeweight=".71997pt" strokecolor="#000000">
                <v:path arrowok="t"/>
              </v:shape>
            </v:group>
            <v:group style="position:absolute;left:3402;top:-35;width:2;height:11945" coordorigin="3402,-35" coordsize="2,11945">
              <v:shape style="position:absolute;left:3402;top:-35;width:2;height:11945" coordorigin="3402,-35" coordsize="0,11945" path="m3402,-35l3402,11910e" filled="false" stroked="true" strokeweight=".72pt" strokecolor="#000000">
                <v:path arrowok="t"/>
              </v:shape>
            </v:group>
            <v:group style="position:absolute;left:3410;top:11902;width:3105;height:2" coordorigin="3410,11902" coordsize="3105,2">
              <v:shape style="position:absolute;left:3410;top:11902;width:3105;height:2" coordorigin="3410,11902" coordsize="3105,0" path="m3410,11902l6514,11902e" filled="false" stroked="true" strokeweight=".71997pt" strokecolor="#000000">
                <v:path arrowok="t"/>
              </v:shape>
            </v:group>
            <v:group style="position:absolute;left:6522;top:-35;width:2;height:11945" coordorigin="6522,-35" coordsize="2,11945">
              <v:shape style="position:absolute;left:6522;top:-35;width:2;height:11945" coordorigin="6522,-35" coordsize="0,11945" path="m6522,-35l6522,11910e" filled="false" stroked="true" strokeweight=".72pt" strokecolor="#000000">
                <v:path arrowok="t"/>
              </v:shape>
            </v:group>
            <v:group style="position:absolute;left:6529;top:11902;width:3014;height:2" coordorigin="6529,11902" coordsize="3014,2">
              <v:shape style="position:absolute;left:6529;top:11902;width:3014;height:2" coordorigin="6529,11902" coordsize="3014,0" path="m6529,11902l9542,11902e" filled="false" stroked="true" strokeweight=".71997pt" strokecolor="#000000">
                <v:path arrowok="t"/>
              </v:shape>
            </v:group>
            <v:group style="position:absolute;left:9550;top:-35;width:2;height:11945" coordorigin="9550,-35" coordsize="2,11945">
              <v:shape style="position:absolute;left:9550;top:-35;width:2;height:11945" coordorigin="9550,-35" coordsize="0,11945" path="m9550,-35l9550,11910e" filled="false" stroked="true" strokeweight=".72pt" strokecolor="#000000">
                <v:path arrowok="t"/>
              </v:shape>
            </v:group>
            <w10:wrap type="none"/>
          </v:group>
        </w:pict>
      </w:r>
      <w:r>
        <w:rPr/>
        <w:t>重要事项概述</w:t>
        <w:tab/>
        <w:t>披露日期</w:t>
        <w:tab/>
        <w:t>临时报告披露网站查询索引</w:t>
      </w:r>
    </w:p>
    <w:p>
      <w:pPr>
        <w:pStyle w:val="BodyText"/>
        <w:tabs>
          <w:tab w:pos="5388" w:val="left" w:leader="none"/>
        </w:tabs>
        <w:spacing w:line="240" w:lineRule="auto" w:before="111"/>
        <w:ind w:left="0" w:right="2111"/>
        <w:jc w:val="center"/>
      </w:pPr>
      <w:r>
        <w:rPr/>
        <w:t>（注</w:t>
      </w:r>
      <w:r>
        <w:rPr>
          <w:rFonts w:ascii="宋体" w:hAnsi="宋体" w:cs="宋体" w:eastAsia="宋体" w:hint="default"/>
        </w:rPr>
        <w:t>1</w:t>
      </w:r>
      <w:r>
        <w:rPr>
          <w:spacing w:val="-3"/>
        </w:rPr>
        <w:t>）</w:t>
      </w:r>
      <w:r>
        <w:rPr/>
        <w:t>关于部分变更募集资</w:t>
      </w:r>
      <w:r>
        <w:rPr>
          <w:spacing w:val="-70"/>
        </w:rPr>
        <w:t> </w:t>
      </w:r>
      <w:r>
        <w:rPr>
          <w:rFonts w:ascii="宋体" w:hAnsi="宋体" w:cs="宋体" w:eastAsia="宋体" w:hint="default"/>
        </w:rPr>
        <w:t>2018</w:t>
      </w:r>
      <w:r>
        <w:rPr/>
        <w:t>年</w:t>
      </w:r>
      <w:r>
        <w:rPr>
          <w:rFonts w:ascii="宋体" w:hAnsi="宋体" w:cs="宋体" w:eastAsia="宋体" w:hint="default"/>
        </w:rPr>
        <w:t>3</w:t>
      </w:r>
      <w:r>
        <w:rPr/>
        <w:t>月</w:t>
      </w:r>
      <w:r>
        <w:rPr>
          <w:rFonts w:ascii="宋体" w:hAnsi="宋体" w:cs="宋体" w:eastAsia="宋体" w:hint="default"/>
        </w:rPr>
        <w:t>8</w:t>
      </w:r>
      <w:r>
        <w:rPr/>
        <w:t>日</w:t>
        <w:tab/>
        <w:t>披露媒体</w:t>
      </w:r>
      <w:r>
        <w:rPr>
          <w:spacing w:val="-117"/>
        </w:rPr>
        <w:t>：</w:t>
      </w:r>
      <w:r>
        <w:rPr/>
        <w:t>《证券时报</w:t>
      </w:r>
      <w:r>
        <w:rPr>
          <w:spacing w:val="-90"/>
        </w:rPr>
        <w:t>》</w:t>
      </w:r>
      <w:r>
        <w:rPr>
          <w:spacing w:val="-117"/>
        </w:rPr>
        <w:t>、</w:t>
      </w:r>
      <w:r>
        <w:rPr/>
        <w:t>《中国证券报》</w:t>
      </w:r>
    </w:p>
    <w:p>
      <w:pPr>
        <w:pStyle w:val="BodyText"/>
        <w:tabs>
          <w:tab w:pos="5552" w:val="left" w:leader="none"/>
        </w:tabs>
        <w:spacing w:line="240" w:lineRule="auto" w:before="76"/>
        <w:ind w:left="163" w:right="0"/>
        <w:jc w:val="left"/>
        <w:rPr>
          <w:rFonts w:ascii="宋体" w:hAnsi="宋体" w:cs="宋体" w:eastAsia="宋体" w:hint="default"/>
        </w:rPr>
      </w:pPr>
      <w:r>
        <w:rPr/>
        <w:t>金用途的事项</w:t>
        <w:tab/>
        <w:t>及巨潮资讯网；公告编号：</w:t>
      </w:r>
      <w:r>
        <w:rPr>
          <w:rFonts w:ascii="宋体" w:hAnsi="宋体" w:cs="宋体" w:eastAsia="宋体" w:hint="default"/>
        </w:rPr>
        <w:t>2018-024</w:t>
      </w:r>
    </w:p>
    <w:p>
      <w:pPr>
        <w:pStyle w:val="BodyText"/>
        <w:tabs>
          <w:tab w:pos="5552" w:val="left" w:leader="none"/>
        </w:tabs>
        <w:spacing w:line="240" w:lineRule="auto" w:before="111"/>
        <w:ind w:left="163" w:right="0"/>
        <w:jc w:val="left"/>
      </w:pPr>
      <w:r>
        <w:rPr/>
        <w:t>（注</w:t>
      </w:r>
      <w:r>
        <w:rPr>
          <w:rFonts w:ascii="宋体" w:hAnsi="宋体" w:cs="宋体" w:eastAsia="宋体" w:hint="default"/>
        </w:rPr>
        <w:t>2</w:t>
      </w:r>
      <w:r>
        <w:rPr>
          <w:spacing w:val="-3"/>
        </w:rPr>
        <w:t>）</w:t>
      </w:r>
      <w:r>
        <w:rPr/>
        <w:t>监事辞职及选举监事</w:t>
      </w:r>
      <w:r>
        <w:rPr>
          <w:spacing w:val="-70"/>
        </w:rPr>
        <w:t> </w:t>
      </w:r>
      <w:r>
        <w:rPr>
          <w:rFonts w:ascii="宋体" w:hAnsi="宋体" w:cs="宋体" w:eastAsia="宋体" w:hint="default"/>
        </w:rPr>
        <w:t>2018</w:t>
      </w:r>
      <w:r>
        <w:rPr/>
        <w:t>年</w:t>
      </w:r>
      <w:r>
        <w:rPr>
          <w:rFonts w:ascii="宋体" w:hAnsi="宋体" w:cs="宋体" w:eastAsia="宋体" w:hint="default"/>
        </w:rPr>
        <w:t>3</w:t>
      </w:r>
      <w:r>
        <w:rPr/>
        <w:t>月</w:t>
      </w:r>
      <w:r>
        <w:rPr>
          <w:rFonts w:ascii="宋体" w:hAnsi="宋体" w:cs="宋体" w:eastAsia="宋体" w:hint="default"/>
        </w:rPr>
        <w:t>8</w:t>
      </w:r>
      <w:r>
        <w:rPr/>
        <w:t>日、</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25</w:t>
      </w:r>
      <w:r>
        <w:rPr/>
        <w:t>日</w:t>
        <w:tab/>
        <w:t>披露媒体</w:t>
      </w:r>
      <w:r>
        <w:rPr>
          <w:spacing w:val="-117"/>
        </w:rPr>
        <w:t>：</w:t>
      </w:r>
      <w:r>
        <w:rPr/>
        <w:t>《证券时报</w:t>
      </w:r>
      <w:r>
        <w:rPr>
          <w:spacing w:val="-90"/>
        </w:rPr>
        <w:t>》</w:t>
      </w:r>
      <w:r>
        <w:rPr>
          <w:spacing w:val="-117"/>
        </w:rPr>
        <w:t>、</w:t>
      </w:r>
      <w:r>
        <w:rPr/>
        <w:t>《中国证券报》</w:t>
      </w:r>
    </w:p>
    <w:p>
      <w:pPr>
        <w:pStyle w:val="BodyText"/>
        <w:spacing w:line="316" w:lineRule="auto" w:before="76"/>
        <w:ind w:left="5552" w:right="2311"/>
        <w:jc w:val="left"/>
        <w:rPr>
          <w:rFonts w:ascii="宋体" w:hAnsi="宋体" w:cs="宋体" w:eastAsia="宋体" w:hint="default"/>
        </w:rPr>
      </w:pPr>
      <w:r>
        <w:rPr/>
        <w:t>及巨潮资讯网；公告编号：</w:t>
      </w:r>
      <w:r>
        <w:rPr>
          <w:rFonts w:ascii="宋体" w:hAnsi="宋体" w:cs="宋体" w:eastAsia="宋体" w:hint="default"/>
        </w:rPr>
        <w:t>2018-025</w:t>
      </w:r>
      <w:r>
        <w:rPr/>
        <w:t>、 </w:t>
      </w:r>
      <w:r>
        <w:rPr>
          <w:rFonts w:ascii="宋体" w:hAnsi="宋体" w:cs="宋体" w:eastAsia="宋体" w:hint="default"/>
        </w:rPr>
        <w:t>2018-047</w:t>
      </w:r>
    </w:p>
    <w:p>
      <w:pPr>
        <w:pStyle w:val="BodyText"/>
        <w:tabs>
          <w:tab w:pos="2431" w:val="left" w:leader="none"/>
          <w:tab w:pos="5552" w:val="left" w:leader="none"/>
        </w:tabs>
        <w:spacing w:line="316" w:lineRule="auto" w:before="53"/>
        <w:ind w:left="5552" w:right="2274" w:hanging="5389"/>
        <w:jc w:val="left"/>
        <w:rPr>
          <w:rFonts w:ascii="宋体" w:hAnsi="宋体" w:cs="宋体" w:eastAsia="宋体" w:hint="default"/>
        </w:rPr>
      </w:pPr>
      <w:r>
        <w:rPr/>
        <w:t>（注</w:t>
      </w:r>
      <w:r>
        <w:rPr>
          <w:rFonts w:ascii="宋体" w:hAnsi="宋体" w:cs="宋体" w:eastAsia="宋体" w:hint="default"/>
        </w:rPr>
        <w:t>3</w:t>
      </w:r>
      <w:r>
        <w:rPr/>
        <w:t>）变更会计估计</w:t>
        <w:tab/>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3</w:t>
      </w:r>
      <w:r>
        <w:rPr/>
        <w:t>日</w:t>
        <w:tab/>
      </w:r>
      <w:r>
        <w:rPr>
          <w:spacing w:val="-18"/>
        </w:rPr>
        <w:t>披露媒体：《证券时报》、《中国证券报》</w:t>
      </w:r>
      <w:r>
        <w:rPr>
          <w:spacing w:val="-72"/>
        </w:rPr>
        <w:t> </w:t>
      </w:r>
      <w:r>
        <w:rPr>
          <w:spacing w:val="-72"/>
        </w:rPr>
      </w:r>
      <w:r>
        <w:rPr/>
        <w:t>及巨潮资讯网；公告编号：</w:t>
      </w:r>
      <w:r>
        <w:rPr>
          <w:rFonts w:ascii="宋体" w:hAnsi="宋体" w:cs="宋体" w:eastAsia="宋体" w:hint="default"/>
        </w:rPr>
        <w:t>2018-033</w:t>
      </w:r>
    </w:p>
    <w:p>
      <w:pPr>
        <w:pStyle w:val="BodyText"/>
        <w:spacing w:line="240" w:lineRule="auto" w:before="53"/>
        <w:ind w:left="163" w:right="0"/>
        <w:jc w:val="left"/>
      </w:pPr>
      <w:r>
        <w:rPr/>
        <w:t>（注</w:t>
      </w:r>
      <w:r>
        <w:rPr>
          <w:rFonts w:ascii="宋体" w:hAnsi="宋体" w:cs="宋体" w:eastAsia="宋体" w:hint="default"/>
        </w:rPr>
        <w:t>4</w:t>
      </w:r>
      <w:r>
        <w:rPr>
          <w:spacing w:val="-3"/>
        </w:rPr>
        <w:t>）</w:t>
      </w:r>
      <w:r>
        <w:rPr/>
        <w:t>筹划发行股份购买资</w:t>
      </w:r>
      <w:r>
        <w:rPr>
          <w:spacing w:val="-70"/>
        </w:rPr>
        <w:t> </w:t>
      </w:r>
      <w:r>
        <w:rPr>
          <w:rFonts w:ascii="宋体" w:hAnsi="宋体" w:cs="宋体" w:eastAsia="宋体" w:hint="default"/>
        </w:rPr>
        <w:t>201</w:t>
      </w:r>
      <w:r>
        <w:rPr>
          <w:rFonts w:ascii="宋体" w:hAnsi="宋体" w:cs="宋体" w:eastAsia="宋体" w:hint="default"/>
          <w:spacing w:val="2"/>
        </w:rPr>
        <w:t>8</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1"/>
        </w:rPr>
        <w:t>1</w:t>
      </w:r>
      <w:r>
        <w:rPr>
          <w:rFonts w:ascii="宋体" w:hAnsi="宋体" w:cs="宋体" w:eastAsia="宋体" w:hint="default"/>
          <w:spacing w:val="2"/>
        </w:rPr>
        <w:t>4</w:t>
      </w:r>
      <w:r>
        <w:rPr>
          <w:spacing w:val="3"/>
        </w:rPr>
        <w:t>日</w:t>
      </w:r>
      <w:r>
        <w:rPr>
          <w:spacing w:val="2"/>
        </w:rPr>
        <w:t>、</w:t>
      </w:r>
      <w:r>
        <w:rPr>
          <w:rFonts w:ascii="宋体" w:hAnsi="宋体" w:cs="宋体" w:eastAsia="宋体" w:hint="default"/>
        </w:rPr>
        <w:t>201</w:t>
      </w:r>
      <w:r>
        <w:rPr>
          <w:rFonts w:ascii="宋体" w:hAnsi="宋体" w:cs="宋体" w:eastAsia="宋体" w:hint="default"/>
          <w:spacing w:val="2"/>
        </w:rPr>
        <w:t>8</w:t>
      </w:r>
      <w:r>
        <w:rPr>
          <w:spacing w:val="2"/>
        </w:rPr>
        <w:t>年</w:t>
      </w:r>
      <w:r>
        <w:rPr>
          <w:rFonts w:ascii="宋体" w:hAnsi="宋体" w:cs="宋体" w:eastAsia="宋体" w:hint="default"/>
          <w:spacing w:val="3"/>
        </w:rPr>
        <w:t>5</w:t>
      </w:r>
      <w:r>
        <w:rPr>
          <w:spacing w:val="2"/>
        </w:rPr>
        <w:t>月</w:t>
      </w:r>
      <w:r>
        <w:rPr>
          <w:rFonts w:ascii="宋体" w:hAnsi="宋体" w:cs="宋体" w:eastAsia="宋体" w:hint="default"/>
        </w:rPr>
        <w:t>2</w:t>
      </w:r>
      <w:r>
        <w:rPr>
          <w:rFonts w:ascii="宋体" w:hAnsi="宋体" w:cs="宋体" w:eastAsia="宋体" w:hint="default"/>
          <w:spacing w:val="3"/>
        </w:rPr>
        <w:t>1</w:t>
      </w:r>
      <w:r>
        <w:rPr>
          <w:spacing w:val="2"/>
        </w:rPr>
        <w:t>日、</w:t>
      </w:r>
      <w:r>
        <w:rPr>
          <w:rFonts w:ascii="宋体" w:hAnsi="宋体" w:cs="宋体" w:eastAsia="宋体" w:hint="default"/>
        </w:rPr>
        <w:t>2018</w:t>
      </w:r>
      <w:r>
        <w:rPr>
          <w:rFonts w:ascii="宋体" w:hAnsi="宋体" w:cs="宋体" w:eastAsia="宋体" w:hint="default"/>
          <w:spacing w:val="-69"/>
        </w:rPr>
        <w:t> </w:t>
      </w:r>
      <w:r>
        <w:rPr/>
        <w:t>披露媒体</w:t>
      </w:r>
      <w:r>
        <w:rPr>
          <w:spacing w:val="-117"/>
        </w:rPr>
        <w:t>：</w:t>
      </w:r>
      <w:r>
        <w:rPr/>
        <w:t>《证券时报</w:t>
      </w:r>
      <w:r>
        <w:rPr>
          <w:spacing w:val="-90"/>
        </w:rPr>
        <w:t>》</w:t>
      </w:r>
      <w:r>
        <w:rPr>
          <w:spacing w:val="-117"/>
        </w:rPr>
        <w:t>、</w:t>
      </w:r>
      <w:r>
        <w:rPr/>
        <w:t>《中国证券报》</w:t>
      </w:r>
    </w:p>
    <w:p>
      <w:pPr>
        <w:spacing w:after="0" w:line="240" w:lineRule="auto"/>
        <w:jc w:val="left"/>
        <w:sectPr>
          <w:pgSz w:w="11910" w:h="16840"/>
          <w:pgMar w:header="0" w:footer="1019" w:top="1120" w:bottom="1200" w:left="980" w:right="0"/>
        </w:sectPr>
      </w:pPr>
    </w:p>
    <w:p>
      <w:pPr>
        <w:pStyle w:val="BodyText"/>
        <w:spacing w:line="240" w:lineRule="auto" w:before="76"/>
        <w:ind w:left="163" w:right="-20"/>
        <w:jc w:val="left"/>
      </w:pPr>
      <w:r>
        <w:rPr/>
        <w:t>产事项</w:t>
      </w:r>
    </w:p>
    <w:p>
      <w:pPr>
        <w:pStyle w:val="BodyText"/>
        <w:spacing w:line="316" w:lineRule="auto" w:before="76"/>
        <w:ind w:left="163" w:right="2311"/>
        <w:jc w:val="left"/>
      </w:pPr>
      <w:r>
        <w:rPr/>
        <w:br w:type="column"/>
      </w:r>
      <w:r>
        <w:rPr/>
        <w:t>年</w:t>
      </w:r>
      <w:r>
        <w:rPr>
          <w:rFonts w:ascii="宋体" w:hAnsi="宋体" w:cs="宋体" w:eastAsia="宋体" w:hint="default"/>
        </w:rPr>
        <w:t>5</w:t>
      </w:r>
      <w:r>
        <w:rPr/>
        <w:t>月</w:t>
      </w:r>
      <w:r>
        <w:rPr>
          <w:rFonts w:ascii="宋体" w:hAnsi="宋体" w:cs="宋体" w:eastAsia="宋体" w:hint="default"/>
        </w:rPr>
        <w:t>28</w:t>
      </w:r>
      <w:r>
        <w:rPr/>
        <w:t>日、</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4</w:t>
      </w:r>
      <w:r>
        <w:rPr/>
        <w:t>日、</w:t>
      </w:r>
      <w:r>
        <w:rPr>
          <w:rFonts w:ascii="宋体" w:hAnsi="宋体" w:cs="宋体" w:eastAsia="宋体" w:hint="default"/>
        </w:rPr>
        <w:t>2018</w:t>
      </w:r>
      <w:r>
        <w:rPr/>
        <w:t>年</w:t>
      </w:r>
      <w:r>
        <w:rPr>
          <w:rFonts w:ascii="宋体" w:hAnsi="宋体" w:cs="宋体" w:eastAsia="宋体" w:hint="default"/>
        </w:rPr>
        <w:t>6</w:t>
      </w:r>
      <w:r>
        <w:rPr/>
        <w:t>月</w:t>
      </w:r>
      <w:r>
        <w:rPr>
          <w:spacing w:val="-51"/>
        </w:rPr>
        <w:t> </w:t>
      </w:r>
      <w:r>
        <w:rPr/>
        <w:t>及巨潮资讯网；公告编号：</w:t>
      </w:r>
      <w:r>
        <w:rPr>
          <w:rFonts w:ascii="宋体" w:hAnsi="宋体" w:cs="宋体" w:eastAsia="宋体" w:hint="default"/>
        </w:rPr>
        <w:t>2018-051</w:t>
      </w:r>
      <w:r>
        <w:rPr/>
        <w:t>、</w:t>
      </w:r>
      <w:r>
        <w:rPr>
          <w:spacing w:val="-77"/>
        </w:rPr>
        <w:t> </w:t>
      </w:r>
      <w:r>
        <w:rPr>
          <w:rFonts w:ascii="宋体" w:hAnsi="宋体" w:cs="宋体" w:eastAsia="宋体" w:hint="default"/>
          <w:spacing w:val="-4"/>
        </w:rPr>
        <w:t>11</w:t>
      </w:r>
      <w:r>
        <w:rPr>
          <w:spacing w:val="-4"/>
        </w:rPr>
        <w:t>日、</w:t>
      </w:r>
      <w:r>
        <w:rPr>
          <w:rFonts w:ascii="宋体" w:hAnsi="宋体" w:cs="宋体" w:eastAsia="宋体" w:hint="default"/>
          <w:spacing w:val="-4"/>
        </w:rPr>
        <w:t>2018</w:t>
      </w:r>
      <w:r>
        <w:rPr>
          <w:spacing w:val="-4"/>
        </w:rPr>
        <w:t>年</w:t>
      </w:r>
      <w:r>
        <w:rPr>
          <w:rFonts w:ascii="宋体" w:hAnsi="宋体" w:cs="宋体" w:eastAsia="宋体" w:hint="default"/>
          <w:spacing w:val="-4"/>
        </w:rPr>
        <w:t>6</w:t>
      </w:r>
      <w:r>
        <w:rPr>
          <w:spacing w:val="-4"/>
        </w:rPr>
        <w:t>月</w:t>
      </w:r>
      <w:r>
        <w:rPr>
          <w:rFonts w:ascii="宋体" w:hAnsi="宋体" w:cs="宋体" w:eastAsia="宋体" w:hint="default"/>
          <w:spacing w:val="-4"/>
        </w:rPr>
        <w:t>14</w:t>
      </w:r>
      <w:r>
        <w:rPr>
          <w:spacing w:val="-4"/>
        </w:rPr>
        <w:t>日、</w:t>
      </w:r>
      <w:r>
        <w:rPr>
          <w:rFonts w:ascii="宋体" w:hAnsi="宋体" w:cs="宋体" w:eastAsia="宋体" w:hint="default"/>
          <w:spacing w:val="-4"/>
        </w:rPr>
        <w:t>2018</w:t>
      </w:r>
      <w:r>
        <w:rPr>
          <w:spacing w:val="-4"/>
        </w:rPr>
        <w:t>年</w:t>
      </w:r>
      <w:r>
        <w:rPr>
          <w:rFonts w:ascii="宋体" w:hAnsi="宋体" w:cs="宋体" w:eastAsia="宋体" w:hint="default"/>
          <w:spacing w:val="-4"/>
        </w:rPr>
        <w:t>6</w:t>
      </w:r>
      <w:r>
        <w:rPr>
          <w:spacing w:val="-4"/>
        </w:rPr>
        <w:t>月</w:t>
      </w:r>
      <w:r>
        <w:rPr>
          <w:rFonts w:ascii="宋体" w:hAnsi="宋体" w:cs="宋体" w:eastAsia="宋体" w:hint="default"/>
          <w:spacing w:val="-4"/>
        </w:rPr>
        <w:t>22</w:t>
      </w:r>
      <w:r>
        <w:rPr>
          <w:spacing w:val="-4"/>
        </w:rPr>
        <w:t>日、</w:t>
      </w:r>
      <w:r>
        <w:rPr>
          <w:rFonts w:ascii="宋体" w:hAnsi="宋体" w:cs="宋体" w:eastAsia="宋体" w:hint="default"/>
          <w:spacing w:val="-4"/>
        </w:rPr>
        <w:t>2018-053</w:t>
      </w:r>
      <w:r>
        <w:rPr>
          <w:rFonts w:ascii="宋体" w:hAnsi="宋体" w:cs="宋体" w:eastAsia="宋体" w:hint="default"/>
          <w:spacing w:val="-27"/>
        </w:rPr>
        <w:t> </w:t>
      </w:r>
      <w:r>
        <w:rPr/>
        <w:t>、</w:t>
      </w:r>
      <w:r>
        <w:rPr>
          <w:spacing w:val="-27"/>
        </w:rPr>
        <w:t> </w:t>
      </w:r>
      <w:r>
        <w:rPr>
          <w:rFonts w:ascii="宋体" w:hAnsi="宋体" w:cs="宋体" w:eastAsia="宋体" w:hint="default"/>
        </w:rPr>
        <w:t>2018-054</w:t>
      </w:r>
      <w:r>
        <w:rPr>
          <w:rFonts w:ascii="宋体" w:hAnsi="宋体" w:cs="宋体" w:eastAsia="宋体" w:hint="default"/>
          <w:spacing w:val="-27"/>
        </w:rPr>
        <w:t> </w:t>
      </w:r>
      <w:r>
        <w:rPr/>
        <w:t>、</w:t>
      </w:r>
      <w:r>
        <w:rPr>
          <w:spacing w:val="-27"/>
        </w:rPr>
        <w:t> </w:t>
      </w:r>
      <w:r>
        <w:rPr>
          <w:rFonts w:ascii="宋体" w:hAnsi="宋体" w:cs="宋体" w:eastAsia="宋体" w:hint="default"/>
        </w:rPr>
        <w:t>2018-059</w:t>
      </w:r>
      <w:r>
        <w:rPr>
          <w:rFonts w:ascii="宋体" w:hAnsi="宋体" w:cs="宋体" w:eastAsia="宋体" w:hint="default"/>
          <w:spacing w:val="-27"/>
        </w:rPr>
        <w:t> </w:t>
      </w:r>
      <w:r>
        <w:rPr/>
        <w:t>、</w:t>
      </w:r>
    </w:p>
    <w:p>
      <w:pPr>
        <w:pStyle w:val="BodyText"/>
        <w:spacing w:line="240" w:lineRule="auto" w:before="19"/>
        <w:ind w:left="163" w:right="2311"/>
        <w:jc w:val="left"/>
      </w:pP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29</w:t>
      </w:r>
      <w:r>
        <w:rPr/>
        <w:t>日、</w:t>
      </w:r>
      <w:r>
        <w:rPr>
          <w:rFonts w:ascii="宋体" w:hAnsi="宋体" w:cs="宋体" w:eastAsia="宋体" w:hint="default"/>
        </w:rPr>
        <w:t>2018</w:t>
      </w:r>
      <w:r>
        <w:rPr/>
        <w:t>年</w:t>
      </w:r>
      <w:r>
        <w:rPr>
          <w:rFonts w:ascii="宋体" w:hAnsi="宋体" w:cs="宋体" w:eastAsia="宋体" w:hint="default"/>
        </w:rPr>
        <w:t>7</w:t>
      </w:r>
      <w:r>
        <w:rPr/>
        <w:t>月</w:t>
      </w:r>
      <w:r>
        <w:rPr>
          <w:rFonts w:ascii="宋体" w:hAnsi="宋体" w:cs="宋体" w:eastAsia="宋体" w:hint="default"/>
        </w:rPr>
        <w:t>6</w:t>
      </w:r>
      <w:r>
        <w:rPr/>
        <w:t>日、</w:t>
      </w:r>
      <w:r>
        <w:rPr>
          <w:spacing w:val="10"/>
        </w:rPr>
        <w:t> </w:t>
      </w:r>
      <w:r>
        <w:rPr>
          <w:rFonts w:ascii="宋体" w:hAnsi="宋体" w:cs="宋体" w:eastAsia="宋体" w:hint="default"/>
        </w:rPr>
        <w:t>2018</w:t>
      </w:r>
      <w:r>
        <w:rPr>
          <w:rFonts w:ascii="宋体" w:hAnsi="宋体" w:cs="宋体" w:eastAsia="宋体" w:hint="default"/>
          <w:spacing w:val="-68"/>
        </w:rPr>
        <w:t> </w:t>
      </w:r>
      <w:r>
        <w:rPr>
          <w:rFonts w:ascii="宋体" w:hAnsi="宋体" w:cs="宋体" w:eastAsia="宋体" w:hint="default"/>
        </w:rPr>
        <w:t>2018-066</w:t>
      </w:r>
      <w:r>
        <w:rPr>
          <w:rFonts w:ascii="宋体" w:hAnsi="宋体" w:cs="宋体" w:eastAsia="宋体" w:hint="default"/>
          <w:spacing w:val="-25"/>
        </w:rPr>
        <w:t> </w:t>
      </w:r>
      <w:r>
        <w:rPr/>
        <w:t>、</w:t>
      </w:r>
      <w:r>
        <w:rPr>
          <w:spacing w:val="-25"/>
        </w:rPr>
        <w:t> </w:t>
      </w:r>
      <w:r>
        <w:rPr>
          <w:rFonts w:ascii="宋体" w:hAnsi="宋体" w:cs="宋体" w:eastAsia="宋体" w:hint="default"/>
        </w:rPr>
        <w:t>2018-067</w:t>
      </w:r>
      <w:r>
        <w:rPr>
          <w:rFonts w:ascii="宋体" w:hAnsi="宋体" w:cs="宋体" w:eastAsia="宋体" w:hint="default"/>
          <w:spacing w:val="-25"/>
        </w:rPr>
        <w:t> </w:t>
      </w:r>
      <w:r>
        <w:rPr/>
        <w:t>、</w:t>
      </w:r>
      <w:r>
        <w:rPr>
          <w:spacing w:val="-25"/>
        </w:rPr>
        <w:t> </w:t>
      </w:r>
      <w:r>
        <w:rPr>
          <w:rFonts w:ascii="宋体" w:hAnsi="宋体" w:cs="宋体" w:eastAsia="宋体" w:hint="default"/>
        </w:rPr>
        <w:t>2018-070</w:t>
      </w:r>
      <w:r>
        <w:rPr>
          <w:rFonts w:ascii="宋体" w:hAnsi="宋体" w:cs="宋体" w:eastAsia="宋体" w:hint="default"/>
          <w:spacing w:val="-25"/>
        </w:rPr>
        <w:t> </w:t>
      </w:r>
      <w:r>
        <w:rPr/>
        <w:t>、</w:t>
      </w:r>
    </w:p>
    <w:p>
      <w:pPr>
        <w:pStyle w:val="BodyText"/>
        <w:spacing w:line="240" w:lineRule="auto" w:before="76"/>
        <w:ind w:left="163" w:right="2311"/>
        <w:jc w:val="left"/>
      </w:pPr>
      <w:r>
        <w:rPr>
          <w:spacing w:val="5"/>
        </w:rPr>
        <w:t>年</w:t>
      </w:r>
      <w:r>
        <w:rPr>
          <w:rFonts w:ascii="宋体" w:hAnsi="宋体" w:cs="宋体" w:eastAsia="宋体" w:hint="default"/>
          <w:spacing w:val="5"/>
        </w:rPr>
        <w:t>7</w:t>
      </w:r>
      <w:r>
        <w:rPr>
          <w:spacing w:val="5"/>
        </w:rPr>
        <w:t>月</w:t>
      </w:r>
      <w:r>
        <w:rPr>
          <w:rFonts w:ascii="宋体" w:hAnsi="宋体" w:cs="宋体" w:eastAsia="宋体" w:hint="default"/>
          <w:spacing w:val="5"/>
        </w:rPr>
        <w:t>13</w:t>
      </w:r>
      <w:r>
        <w:rPr>
          <w:spacing w:val="5"/>
        </w:rPr>
        <w:t>日、</w:t>
      </w:r>
      <w:r>
        <w:rPr>
          <w:rFonts w:ascii="宋体" w:hAnsi="宋体" w:cs="宋体" w:eastAsia="宋体" w:hint="default"/>
          <w:spacing w:val="5"/>
        </w:rPr>
        <w:t>2018</w:t>
      </w:r>
      <w:r>
        <w:rPr>
          <w:spacing w:val="5"/>
        </w:rPr>
        <w:t>年</w:t>
      </w:r>
      <w:r>
        <w:rPr>
          <w:rFonts w:ascii="宋体" w:hAnsi="宋体" w:cs="宋体" w:eastAsia="宋体" w:hint="default"/>
          <w:spacing w:val="5"/>
        </w:rPr>
        <w:t>7</w:t>
      </w:r>
      <w:r>
        <w:rPr>
          <w:spacing w:val="5"/>
        </w:rPr>
        <w:t>月</w:t>
      </w:r>
      <w:r>
        <w:rPr>
          <w:rFonts w:ascii="宋体" w:hAnsi="宋体" w:cs="宋体" w:eastAsia="宋体" w:hint="default"/>
          <w:spacing w:val="5"/>
        </w:rPr>
        <w:t>20</w:t>
      </w:r>
      <w:r>
        <w:rPr>
          <w:spacing w:val="5"/>
        </w:rPr>
        <w:t>日、</w:t>
      </w:r>
      <w:r>
        <w:rPr>
          <w:rFonts w:ascii="宋体" w:hAnsi="宋体" w:cs="宋体" w:eastAsia="宋体" w:hint="default"/>
          <w:spacing w:val="5"/>
        </w:rPr>
        <w:t>2018</w:t>
      </w:r>
      <w:r>
        <w:rPr>
          <w:spacing w:val="5"/>
        </w:rPr>
        <w:t>年</w:t>
      </w:r>
      <w:r>
        <w:rPr>
          <w:rFonts w:ascii="宋体" w:hAnsi="宋体" w:cs="宋体" w:eastAsia="宋体" w:hint="default"/>
          <w:spacing w:val="5"/>
        </w:rPr>
        <w:t>7</w:t>
      </w:r>
      <w:r>
        <w:rPr>
          <w:rFonts w:ascii="宋体" w:hAnsi="宋体" w:cs="宋体" w:eastAsia="宋体" w:hint="default"/>
          <w:spacing w:val="-69"/>
        </w:rPr>
        <w:t> </w:t>
      </w:r>
      <w:r>
        <w:rPr>
          <w:rFonts w:ascii="宋体" w:hAnsi="宋体" w:cs="宋体" w:eastAsia="宋体" w:hint="default"/>
        </w:rPr>
        <w:t>2018-073</w:t>
      </w:r>
      <w:r>
        <w:rPr>
          <w:rFonts w:ascii="宋体" w:hAnsi="宋体" w:cs="宋体" w:eastAsia="宋体" w:hint="default"/>
          <w:spacing w:val="-29"/>
        </w:rPr>
        <w:t> </w:t>
      </w:r>
      <w:r>
        <w:rPr/>
        <w:t>、</w:t>
      </w:r>
      <w:r>
        <w:rPr>
          <w:spacing w:val="-29"/>
        </w:rPr>
        <w:t> </w:t>
      </w:r>
      <w:r>
        <w:rPr>
          <w:rFonts w:ascii="宋体" w:hAnsi="宋体" w:cs="宋体" w:eastAsia="宋体" w:hint="default"/>
        </w:rPr>
        <w:t>2018-076</w:t>
      </w:r>
      <w:r>
        <w:rPr>
          <w:rFonts w:ascii="宋体" w:hAnsi="宋体" w:cs="宋体" w:eastAsia="宋体" w:hint="default"/>
          <w:spacing w:val="-29"/>
        </w:rPr>
        <w:t> </w:t>
      </w:r>
      <w:r>
        <w:rPr/>
        <w:t>、</w:t>
      </w:r>
      <w:r>
        <w:rPr>
          <w:spacing w:val="-29"/>
        </w:rPr>
        <w:t> </w:t>
      </w:r>
      <w:r>
        <w:rPr>
          <w:rFonts w:ascii="宋体" w:hAnsi="宋体" w:cs="宋体" w:eastAsia="宋体" w:hint="default"/>
        </w:rPr>
        <w:t>2018-079</w:t>
      </w:r>
      <w:r>
        <w:rPr>
          <w:rFonts w:ascii="宋体" w:hAnsi="宋体" w:cs="宋体" w:eastAsia="宋体" w:hint="default"/>
          <w:spacing w:val="-29"/>
        </w:rPr>
        <w:t> </w:t>
      </w:r>
      <w:r>
        <w:rPr/>
        <w:t>、</w:t>
      </w:r>
    </w:p>
    <w:p>
      <w:pPr>
        <w:pStyle w:val="BodyText"/>
        <w:spacing w:line="240" w:lineRule="auto" w:before="76"/>
        <w:ind w:left="163" w:right="2311"/>
        <w:jc w:val="left"/>
      </w:pPr>
      <w:r>
        <w:rPr>
          <w:spacing w:val="5"/>
        </w:rPr>
        <w:t>月</w:t>
      </w:r>
      <w:r>
        <w:rPr>
          <w:rFonts w:ascii="宋体" w:hAnsi="宋体" w:cs="宋体" w:eastAsia="宋体" w:hint="default"/>
          <w:spacing w:val="5"/>
        </w:rPr>
        <w:t>27</w:t>
      </w:r>
      <w:r>
        <w:rPr>
          <w:spacing w:val="5"/>
        </w:rPr>
        <w:t>日、</w:t>
      </w:r>
      <w:r>
        <w:rPr>
          <w:rFonts w:ascii="宋体" w:hAnsi="宋体" w:cs="宋体" w:eastAsia="宋体" w:hint="default"/>
          <w:spacing w:val="5"/>
        </w:rPr>
        <w:t>2018</w:t>
      </w:r>
      <w:r>
        <w:rPr>
          <w:spacing w:val="5"/>
        </w:rPr>
        <w:t>年</w:t>
      </w:r>
      <w:r>
        <w:rPr>
          <w:rFonts w:ascii="宋体" w:hAnsi="宋体" w:cs="宋体" w:eastAsia="宋体" w:hint="default"/>
          <w:spacing w:val="5"/>
        </w:rPr>
        <w:t>7</w:t>
      </w:r>
      <w:r>
        <w:rPr>
          <w:spacing w:val="5"/>
        </w:rPr>
        <w:t>月</w:t>
      </w:r>
      <w:r>
        <w:rPr>
          <w:rFonts w:ascii="宋体" w:hAnsi="宋体" w:cs="宋体" w:eastAsia="宋体" w:hint="default"/>
          <w:spacing w:val="5"/>
        </w:rPr>
        <w:t>28</w:t>
      </w:r>
      <w:r>
        <w:rPr>
          <w:spacing w:val="5"/>
        </w:rPr>
        <w:t>日、</w:t>
      </w:r>
      <w:r>
        <w:rPr>
          <w:rFonts w:ascii="宋体" w:hAnsi="宋体" w:cs="宋体" w:eastAsia="宋体" w:hint="default"/>
          <w:spacing w:val="5"/>
        </w:rPr>
        <w:t>2018</w:t>
      </w:r>
      <w:r>
        <w:rPr>
          <w:spacing w:val="5"/>
        </w:rPr>
        <w:t>年</w:t>
      </w:r>
      <w:r>
        <w:rPr>
          <w:rFonts w:ascii="宋体" w:hAnsi="宋体" w:cs="宋体" w:eastAsia="宋体" w:hint="default"/>
          <w:spacing w:val="5"/>
        </w:rPr>
        <w:t>8</w:t>
      </w:r>
      <w:r>
        <w:rPr>
          <w:spacing w:val="5"/>
        </w:rPr>
        <w:t>月</w:t>
      </w:r>
      <w:r>
        <w:rPr>
          <w:rFonts w:ascii="宋体" w:hAnsi="宋体" w:cs="宋体" w:eastAsia="宋体" w:hint="default"/>
          <w:spacing w:val="5"/>
        </w:rPr>
        <w:t>3</w:t>
      </w:r>
      <w:r>
        <w:rPr>
          <w:rFonts w:ascii="宋体" w:hAnsi="宋体" w:cs="宋体" w:eastAsia="宋体" w:hint="default"/>
          <w:spacing w:val="-69"/>
        </w:rPr>
        <w:t> </w:t>
      </w:r>
      <w:r>
        <w:rPr>
          <w:rFonts w:ascii="宋体" w:hAnsi="宋体" w:cs="宋体" w:eastAsia="宋体" w:hint="default"/>
        </w:rPr>
        <w:t>2018-081</w:t>
      </w:r>
      <w:r>
        <w:rPr>
          <w:rFonts w:ascii="宋体" w:hAnsi="宋体" w:cs="宋体" w:eastAsia="宋体" w:hint="default"/>
          <w:spacing w:val="-29"/>
        </w:rPr>
        <w:t> </w:t>
      </w:r>
      <w:r>
        <w:rPr/>
        <w:t>、</w:t>
      </w:r>
      <w:r>
        <w:rPr>
          <w:spacing w:val="-29"/>
        </w:rPr>
        <w:t> </w:t>
      </w:r>
      <w:r>
        <w:rPr>
          <w:rFonts w:ascii="宋体" w:hAnsi="宋体" w:cs="宋体" w:eastAsia="宋体" w:hint="default"/>
        </w:rPr>
        <w:t>2018-082</w:t>
      </w:r>
      <w:r>
        <w:rPr>
          <w:rFonts w:ascii="宋体" w:hAnsi="宋体" w:cs="宋体" w:eastAsia="宋体" w:hint="default"/>
          <w:spacing w:val="-29"/>
        </w:rPr>
        <w:t> </w:t>
      </w:r>
      <w:r>
        <w:rPr/>
        <w:t>、</w:t>
      </w:r>
      <w:r>
        <w:rPr>
          <w:spacing w:val="-29"/>
        </w:rPr>
        <w:t> </w:t>
      </w:r>
      <w:r>
        <w:rPr>
          <w:rFonts w:ascii="宋体" w:hAnsi="宋体" w:cs="宋体" w:eastAsia="宋体" w:hint="default"/>
        </w:rPr>
        <w:t>2018-084</w:t>
      </w:r>
      <w:r>
        <w:rPr>
          <w:rFonts w:ascii="宋体" w:hAnsi="宋体" w:cs="宋体" w:eastAsia="宋体" w:hint="default"/>
          <w:spacing w:val="-29"/>
        </w:rPr>
        <w:t> </w:t>
      </w:r>
      <w:r>
        <w:rPr/>
        <w:t>、</w:t>
      </w:r>
    </w:p>
    <w:p>
      <w:pPr>
        <w:pStyle w:val="BodyText"/>
        <w:spacing w:line="240" w:lineRule="auto" w:before="76"/>
        <w:ind w:left="163" w:right="2311"/>
        <w:jc w:val="left"/>
      </w:pPr>
      <w:r>
        <w:rPr/>
        <w:t>日、</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10</w:t>
      </w:r>
      <w:r>
        <w:rPr/>
        <w:t>日、</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14</w:t>
      </w:r>
      <w:r>
        <w:rPr/>
        <w:t>日、</w:t>
      </w:r>
      <w:r>
        <w:rPr>
          <w:spacing w:val="-67"/>
        </w:rPr>
        <w:t> </w:t>
      </w:r>
      <w:r>
        <w:rPr>
          <w:rFonts w:ascii="宋体" w:hAnsi="宋体" w:cs="宋体" w:eastAsia="宋体" w:hint="default"/>
        </w:rPr>
        <w:t>2018-086</w:t>
      </w:r>
      <w:r>
        <w:rPr>
          <w:rFonts w:ascii="宋体" w:hAnsi="宋体" w:cs="宋体" w:eastAsia="宋体" w:hint="default"/>
          <w:spacing w:val="-24"/>
        </w:rPr>
        <w:t> </w:t>
      </w:r>
      <w:r>
        <w:rPr/>
        <w:t>、</w:t>
      </w:r>
      <w:r>
        <w:rPr>
          <w:spacing w:val="-24"/>
        </w:rPr>
        <w:t> </w:t>
      </w:r>
      <w:r>
        <w:rPr>
          <w:rFonts w:ascii="宋体" w:hAnsi="宋体" w:cs="宋体" w:eastAsia="宋体" w:hint="default"/>
        </w:rPr>
        <w:t>2018-087</w:t>
      </w:r>
      <w:r>
        <w:rPr>
          <w:rFonts w:ascii="宋体" w:hAnsi="宋体" w:cs="宋体" w:eastAsia="宋体" w:hint="default"/>
          <w:spacing w:val="-24"/>
        </w:rPr>
        <w:t> </w:t>
      </w:r>
      <w:r>
        <w:rPr/>
        <w:t>、</w:t>
      </w:r>
      <w:r>
        <w:rPr>
          <w:spacing w:val="-24"/>
        </w:rPr>
        <w:t> </w:t>
      </w:r>
      <w:r>
        <w:rPr>
          <w:rFonts w:ascii="宋体" w:hAnsi="宋体" w:cs="宋体" w:eastAsia="宋体" w:hint="default"/>
        </w:rPr>
        <w:t>2018-089</w:t>
      </w:r>
      <w:r>
        <w:rPr>
          <w:rFonts w:ascii="宋体" w:hAnsi="宋体" w:cs="宋体" w:eastAsia="宋体" w:hint="default"/>
          <w:spacing w:val="-24"/>
        </w:rPr>
        <w:t> </w:t>
      </w:r>
      <w:r>
        <w:rPr/>
        <w:t>、</w:t>
      </w:r>
    </w:p>
    <w:p>
      <w:pPr>
        <w:pStyle w:val="BodyText"/>
        <w:spacing w:line="240" w:lineRule="auto" w:before="76"/>
        <w:ind w:left="163" w:right="2311"/>
        <w:jc w:val="left"/>
      </w:pP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21</w:t>
      </w:r>
      <w:r>
        <w:rPr/>
        <w:t>日、</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28</w:t>
      </w:r>
      <w:r>
        <w:rPr/>
        <w:t>日、</w:t>
      </w:r>
      <w:r>
        <w:rPr>
          <w:rFonts w:ascii="宋体" w:hAnsi="宋体" w:cs="宋体" w:eastAsia="宋体" w:hint="default"/>
        </w:rPr>
        <w:t>2018</w:t>
      </w:r>
      <w:r>
        <w:rPr>
          <w:rFonts w:ascii="宋体" w:hAnsi="宋体" w:cs="宋体" w:eastAsia="宋体" w:hint="default"/>
          <w:spacing w:val="-67"/>
        </w:rPr>
        <w:t> </w:t>
      </w:r>
      <w:r>
        <w:rPr>
          <w:rFonts w:ascii="宋体" w:hAnsi="宋体" w:cs="宋体" w:eastAsia="宋体" w:hint="default"/>
        </w:rPr>
        <w:t>2018-096</w:t>
      </w:r>
      <w:r>
        <w:rPr>
          <w:rFonts w:ascii="宋体" w:hAnsi="宋体" w:cs="宋体" w:eastAsia="宋体" w:hint="default"/>
          <w:spacing w:val="-24"/>
        </w:rPr>
        <w:t> </w:t>
      </w:r>
      <w:r>
        <w:rPr/>
        <w:t>、</w:t>
      </w:r>
      <w:r>
        <w:rPr>
          <w:spacing w:val="-24"/>
        </w:rPr>
        <w:t> </w:t>
      </w:r>
      <w:r>
        <w:rPr>
          <w:rFonts w:ascii="宋体" w:hAnsi="宋体" w:cs="宋体" w:eastAsia="宋体" w:hint="default"/>
        </w:rPr>
        <w:t>2018-097</w:t>
      </w:r>
      <w:r>
        <w:rPr>
          <w:rFonts w:ascii="宋体" w:hAnsi="宋体" w:cs="宋体" w:eastAsia="宋体" w:hint="default"/>
          <w:spacing w:val="-24"/>
        </w:rPr>
        <w:t> </w:t>
      </w:r>
      <w:r>
        <w:rPr/>
        <w:t>、</w:t>
      </w:r>
      <w:r>
        <w:rPr>
          <w:spacing w:val="-24"/>
        </w:rPr>
        <w:t> </w:t>
      </w:r>
      <w:r>
        <w:rPr>
          <w:rFonts w:ascii="宋体" w:hAnsi="宋体" w:cs="宋体" w:eastAsia="宋体" w:hint="default"/>
        </w:rPr>
        <w:t>2018-101</w:t>
      </w:r>
      <w:r>
        <w:rPr>
          <w:rFonts w:ascii="宋体" w:hAnsi="宋体" w:cs="宋体" w:eastAsia="宋体" w:hint="default"/>
          <w:spacing w:val="-24"/>
        </w:rPr>
        <w:t> </w:t>
      </w:r>
      <w:r>
        <w:rPr/>
        <w:t>、</w:t>
      </w:r>
    </w:p>
    <w:p>
      <w:pPr>
        <w:pStyle w:val="BodyText"/>
        <w:spacing w:line="240" w:lineRule="auto" w:before="77"/>
        <w:ind w:left="163" w:right="2311"/>
        <w:jc w:val="left"/>
      </w:pPr>
      <w:r>
        <w:rPr/>
        <w:t>年</w:t>
      </w:r>
      <w:r>
        <w:rPr>
          <w:rFonts w:ascii="宋体" w:hAnsi="宋体" w:cs="宋体" w:eastAsia="宋体" w:hint="default"/>
        </w:rPr>
        <w:t>9</w:t>
      </w:r>
      <w:r>
        <w:rPr/>
        <w:t>月</w:t>
      </w:r>
      <w:r>
        <w:rPr>
          <w:rFonts w:ascii="宋体" w:hAnsi="宋体" w:cs="宋体" w:eastAsia="宋体" w:hint="default"/>
        </w:rPr>
        <w:t>4</w:t>
      </w:r>
      <w:r>
        <w:rPr/>
        <w:t>日、</w:t>
      </w:r>
      <w:r>
        <w:rPr>
          <w:rFonts w:ascii="宋体" w:hAnsi="宋体" w:cs="宋体" w:eastAsia="宋体" w:hint="default"/>
        </w:rPr>
        <w:t>2018</w:t>
      </w:r>
      <w:r>
        <w:rPr/>
        <w:t>年</w:t>
      </w:r>
      <w:r>
        <w:rPr>
          <w:rFonts w:ascii="宋体" w:hAnsi="宋体" w:cs="宋体" w:eastAsia="宋体" w:hint="default"/>
        </w:rPr>
        <w:t>9</w:t>
      </w:r>
      <w:r>
        <w:rPr/>
        <w:t>月</w:t>
      </w:r>
      <w:r>
        <w:rPr>
          <w:rFonts w:ascii="宋体" w:hAnsi="宋体" w:cs="宋体" w:eastAsia="宋体" w:hint="default"/>
        </w:rPr>
        <w:t>11</w:t>
      </w:r>
      <w:r>
        <w:rPr/>
        <w:t>日、</w:t>
      </w:r>
      <w:r>
        <w:rPr>
          <w:rFonts w:ascii="宋体" w:hAnsi="宋体" w:cs="宋体" w:eastAsia="宋体" w:hint="default"/>
        </w:rPr>
        <w:t>2018</w:t>
      </w:r>
      <w:r>
        <w:rPr/>
        <w:t>年</w:t>
      </w:r>
      <w:r>
        <w:rPr>
          <w:rFonts w:ascii="宋体" w:hAnsi="宋体" w:cs="宋体" w:eastAsia="宋体" w:hint="default"/>
        </w:rPr>
        <w:t>9</w:t>
      </w:r>
      <w:r>
        <w:rPr/>
        <w:t>月</w:t>
      </w:r>
      <w:r>
        <w:rPr>
          <w:spacing w:val="-67"/>
        </w:rPr>
        <w:t> </w:t>
      </w:r>
      <w:r>
        <w:rPr>
          <w:rFonts w:ascii="宋体" w:hAnsi="宋体" w:cs="宋体" w:eastAsia="宋体" w:hint="default"/>
        </w:rPr>
        <w:t>2018-103</w:t>
      </w:r>
      <w:r>
        <w:rPr>
          <w:rFonts w:ascii="宋体" w:hAnsi="宋体" w:cs="宋体" w:eastAsia="宋体" w:hint="default"/>
          <w:spacing w:val="-24"/>
        </w:rPr>
        <w:t> </w:t>
      </w:r>
      <w:r>
        <w:rPr/>
        <w:t>、</w:t>
      </w:r>
      <w:r>
        <w:rPr>
          <w:spacing w:val="-24"/>
        </w:rPr>
        <w:t> </w:t>
      </w:r>
      <w:r>
        <w:rPr>
          <w:rFonts w:ascii="宋体" w:hAnsi="宋体" w:cs="宋体" w:eastAsia="宋体" w:hint="default"/>
        </w:rPr>
        <w:t>2018-105</w:t>
      </w:r>
      <w:r>
        <w:rPr>
          <w:rFonts w:ascii="宋体" w:hAnsi="宋体" w:cs="宋体" w:eastAsia="宋体" w:hint="default"/>
          <w:spacing w:val="-24"/>
        </w:rPr>
        <w:t> </w:t>
      </w:r>
      <w:r>
        <w:rPr/>
        <w:t>、</w:t>
      </w:r>
      <w:r>
        <w:rPr>
          <w:spacing w:val="-24"/>
        </w:rPr>
        <w:t> </w:t>
      </w:r>
      <w:r>
        <w:rPr>
          <w:rFonts w:ascii="宋体" w:hAnsi="宋体" w:cs="宋体" w:eastAsia="宋体" w:hint="default"/>
        </w:rPr>
        <w:t>2018-108</w:t>
      </w:r>
      <w:r>
        <w:rPr>
          <w:rFonts w:ascii="宋体" w:hAnsi="宋体" w:cs="宋体" w:eastAsia="宋体" w:hint="default"/>
          <w:spacing w:val="-24"/>
        </w:rPr>
        <w:t> </w:t>
      </w:r>
      <w:r>
        <w:rPr/>
        <w:t>、</w:t>
      </w:r>
    </w:p>
    <w:p>
      <w:pPr>
        <w:pStyle w:val="BodyText"/>
        <w:spacing w:line="240" w:lineRule="auto" w:before="76"/>
        <w:ind w:left="163" w:right="2311"/>
        <w:jc w:val="left"/>
      </w:pPr>
      <w:r>
        <w:rPr>
          <w:rFonts w:ascii="宋体" w:hAnsi="宋体" w:cs="宋体" w:eastAsia="宋体" w:hint="default"/>
          <w:spacing w:val="-4"/>
        </w:rPr>
        <w:t>14</w:t>
      </w:r>
      <w:r>
        <w:rPr>
          <w:spacing w:val="-4"/>
        </w:rPr>
        <w:t>日、</w:t>
      </w:r>
      <w:r>
        <w:rPr>
          <w:rFonts w:ascii="宋体" w:hAnsi="宋体" w:cs="宋体" w:eastAsia="宋体" w:hint="default"/>
          <w:spacing w:val="-4"/>
        </w:rPr>
        <w:t>2018</w:t>
      </w:r>
      <w:r>
        <w:rPr>
          <w:spacing w:val="-4"/>
        </w:rPr>
        <w:t>年</w:t>
      </w:r>
      <w:r>
        <w:rPr>
          <w:rFonts w:ascii="宋体" w:hAnsi="宋体" w:cs="宋体" w:eastAsia="宋体" w:hint="default"/>
          <w:spacing w:val="-4"/>
        </w:rPr>
        <w:t>9</w:t>
      </w:r>
      <w:r>
        <w:rPr>
          <w:spacing w:val="-4"/>
        </w:rPr>
        <w:t>月</w:t>
      </w:r>
      <w:r>
        <w:rPr>
          <w:rFonts w:ascii="宋体" w:hAnsi="宋体" w:cs="宋体" w:eastAsia="宋体" w:hint="default"/>
          <w:spacing w:val="-4"/>
        </w:rPr>
        <w:t>21</w:t>
      </w:r>
      <w:r>
        <w:rPr>
          <w:spacing w:val="-4"/>
        </w:rPr>
        <w:t>日、</w:t>
      </w:r>
      <w:r>
        <w:rPr>
          <w:rFonts w:ascii="宋体" w:hAnsi="宋体" w:cs="宋体" w:eastAsia="宋体" w:hint="default"/>
          <w:spacing w:val="-4"/>
        </w:rPr>
        <w:t>2018</w:t>
      </w:r>
      <w:r>
        <w:rPr>
          <w:spacing w:val="-4"/>
        </w:rPr>
        <w:t>年</w:t>
      </w:r>
      <w:r>
        <w:rPr>
          <w:rFonts w:ascii="宋体" w:hAnsi="宋体" w:cs="宋体" w:eastAsia="宋体" w:hint="default"/>
          <w:spacing w:val="-4"/>
        </w:rPr>
        <w:t>9</w:t>
      </w:r>
      <w:r>
        <w:rPr>
          <w:spacing w:val="-4"/>
        </w:rPr>
        <w:t>月</w:t>
      </w:r>
      <w:r>
        <w:rPr>
          <w:rFonts w:ascii="宋体" w:hAnsi="宋体" w:cs="宋体" w:eastAsia="宋体" w:hint="default"/>
          <w:spacing w:val="-4"/>
        </w:rPr>
        <w:t>29</w:t>
      </w:r>
      <w:r>
        <w:rPr>
          <w:spacing w:val="-4"/>
        </w:rPr>
        <w:t>日、</w:t>
      </w:r>
      <w:r>
        <w:rPr>
          <w:rFonts w:ascii="宋体" w:hAnsi="宋体" w:cs="宋体" w:eastAsia="宋体" w:hint="default"/>
          <w:spacing w:val="-4"/>
        </w:rPr>
        <w:t>2018-111</w:t>
      </w:r>
      <w:r>
        <w:rPr>
          <w:rFonts w:ascii="宋体" w:hAnsi="宋体" w:cs="宋体" w:eastAsia="宋体" w:hint="default"/>
          <w:spacing w:val="-27"/>
        </w:rPr>
        <w:t> </w:t>
      </w:r>
      <w:r>
        <w:rPr/>
        <w:t>、</w:t>
      </w:r>
      <w:r>
        <w:rPr>
          <w:spacing w:val="-27"/>
        </w:rPr>
        <w:t> </w:t>
      </w:r>
      <w:r>
        <w:rPr>
          <w:rFonts w:ascii="宋体" w:hAnsi="宋体" w:cs="宋体" w:eastAsia="宋体" w:hint="default"/>
        </w:rPr>
        <w:t>2018-112</w:t>
      </w:r>
      <w:r>
        <w:rPr>
          <w:rFonts w:ascii="宋体" w:hAnsi="宋体" w:cs="宋体" w:eastAsia="宋体" w:hint="default"/>
          <w:spacing w:val="-27"/>
        </w:rPr>
        <w:t> </w:t>
      </w:r>
      <w:r>
        <w:rPr/>
        <w:t>、</w:t>
      </w:r>
      <w:r>
        <w:rPr>
          <w:spacing w:val="-27"/>
        </w:rPr>
        <w:t> </w:t>
      </w:r>
      <w:r>
        <w:rPr>
          <w:rFonts w:ascii="宋体" w:hAnsi="宋体" w:cs="宋体" w:eastAsia="宋体" w:hint="default"/>
        </w:rPr>
        <w:t>2018-114</w:t>
      </w:r>
      <w:r>
        <w:rPr>
          <w:rFonts w:ascii="宋体" w:hAnsi="宋体" w:cs="宋体" w:eastAsia="宋体" w:hint="default"/>
          <w:spacing w:val="-27"/>
        </w:rPr>
        <w:t> </w:t>
      </w:r>
      <w:r>
        <w:rPr/>
        <w:t>、</w:t>
      </w:r>
    </w:p>
    <w:p>
      <w:pPr>
        <w:pStyle w:val="BodyText"/>
        <w:spacing w:line="240" w:lineRule="auto" w:before="76"/>
        <w:ind w:left="163" w:right="2311"/>
        <w:jc w:val="left"/>
      </w:pP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9</w:t>
      </w:r>
      <w:r>
        <w:rPr/>
        <w:t>日、</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16</w:t>
      </w:r>
      <w:r>
        <w:rPr/>
        <w:t>日、</w:t>
      </w:r>
      <w:r>
        <w:rPr>
          <w:rFonts w:ascii="宋体" w:hAnsi="宋体" w:cs="宋体" w:eastAsia="宋体" w:hint="default"/>
        </w:rPr>
        <w:t>2018</w:t>
      </w:r>
      <w:r>
        <w:rPr>
          <w:rFonts w:ascii="宋体" w:hAnsi="宋体" w:cs="宋体" w:eastAsia="宋体" w:hint="default"/>
          <w:spacing w:val="-74"/>
        </w:rPr>
        <w:t> </w:t>
      </w:r>
      <w:r>
        <w:rPr>
          <w:rFonts w:ascii="宋体" w:hAnsi="宋体" w:cs="宋体" w:eastAsia="宋体" w:hint="default"/>
        </w:rPr>
        <w:t>2018-115</w:t>
      </w:r>
      <w:r>
        <w:rPr>
          <w:rFonts w:ascii="宋体" w:hAnsi="宋体" w:cs="宋体" w:eastAsia="宋体" w:hint="default"/>
          <w:spacing w:val="-39"/>
        </w:rPr>
        <w:t> </w:t>
      </w:r>
      <w:r>
        <w:rPr/>
        <w:t>、</w:t>
      </w:r>
      <w:r>
        <w:rPr>
          <w:spacing w:val="-39"/>
        </w:rPr>
        <w:t> </w:t>
      </w:r>
      <w:r>
        <w:rPr>
          <w:rFonts w:ascii="宋体" w:hAnsi="宋体" w:cs="宋体" w:eastAsia="宋体" w:hint="default"/>
        </w:rPr>
        <w:t>2018-118</w:t>
      </w:r>
      <w:r>
        <w:rPr>
          <w:rFonts w:ascii="宋体" w:hAnsi="宋体" w:cs="宋体" w:eastAsia="宋体" w:hint="default"/>
          <w:spacing w:val="-39"/>
        </w:rPr>
        <w:t> </w:t>
      </w:r>
      <w:r>
        <w:rPr/>
        <w:t>、</w:t>
      </w:r>
      <w:r>
        <w:rPr>
          <w:spacing w:val="-39"/>
        </w:rPr>
        <w:t> </w:t>
      </w:r>
      <w:r>
        <w:rPr>
          <w:rFonts w:ascii="宋体" w:hAnsi="宋体" w:cs="宋体" w:eastAsia="宋体" w:hint="default"/>
        </w:rPr>
        <w:t>2018-119</w:t>
      </w:r>
      <w:r>
        <w:rPr>
          <w:rFonts w:ascii="宋体" w:hAnsi="宋体" w:cs="宋体" w:eastAsia="宋体" w:hint="default"/>
          <w:spacing w:val="-39"/>
        </w:rPr>
        <w:t> </w:t>
      </w:r>
      <w:r>
        <w:rPr/>
        <w:t>、</w:t>
      </w:r>
    </w:p>
    <w:p>
      <w:pPr>
        <w:pStyle w:val="BodyText"/>
        <w:spacing w:line="240" w:lineRule="auto" w:before="76"/>
        <w:ind w:left="163" w:right="2311"/>
        <w:jc w:val="left"/>
      </w:pPr>
      <w:r>
        <w:rPr/>
        <w:t>年</w:t>
      </w:r>
      <w:r>
        <w:rPr>
          <w:rFonts w:ascii="宋体" w:hAnsi="宋体" w:cs="宋体" w:eastAsia="宋体" w:hint="default"/>
        </w:rPr>
        <w:t>10</w:t>
      </w:r>
      <w:r>
        <w:rPr/>
        <w:t>月</w:t>
      </w:r>
      <w:r>
        <w:rPr>
          <w:rFonts w:ascii="宋体" w:hAnsi="宋体" w:cs="宋体" w:eastAsia="宋体" w:hint="default"/>
        </w:rPr>
        <w:t>23</w:t>
      </w:r>
      <w:r>
        <w:rPr/>
        <w:t>日、</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30</w:t>
      </w:r>
      <w:r>
        <w:rPr/>
        <w:t>日、</w:t>
      </w:r>
      <w:r>
        <w:rPr>
          <w:rFonts w:ascii="宋体" w:hAnsi="宋体" w:cs="宋体" w:eastAsia="宋体" w:hint="default"/>
        </w:rPr>
        <w:t>2018</w:t>
      </w:r>
      <w:r>
        <w:rPr/>
        <w:t>年</w:t>
      </w:r>
      <w:r>
        <w:rPr>
          <w:spacing w:val="-67"/>
        </w:rPr>
        <w:t> </w:t>
      </w:r>
      <w:r>
        <w:rPr>
          <w:rFonts w:ascii="宋体" w:hAnsi="宋体" w:cs="宋体" w:eastAsia="宋体" w:hint="default"/>
        </w:rPr>
        <w:t>2018-124</w:t>
      </w:r>
      <w:r>
        <w:rPr>
          <w:rFonts w:ascii="宋体" w:hAnsi="宋体" w:cs="宋体" w:eastAsia="宋体" w:hint="default"/>
          <w:spacing w:val="-24"/>
        </w:rPr>
        <w:t> </w:t>
      </w:r>
      <w:r>
        <w:rPr/>
        <w:t>、</w:t>
      </w:r>
      <w:r>
        <w:rPr>
          <w:spacing w:val="-24"/>
        </w:rPr>
        <w:t> </w:t>
      </w:r>
      <w:r>
        <w:rPr>
          <w:rFonts w:ascii="宋体" w:hAnsi="宋体" w:cs="宋体" w:eastAsia="宋体" w:hint="default"/>
        </w:rPr>
        <w:t>2018-125</w:t>
      </w:r>
      <w:r>
        <w:rPr>
          <w:rFonts w:ascii="宋体" w:hAnsi="宋体" w:cs="宋体" w:eastAsia="宋体" w:hint="default"/>
          <w:spacing w:val="-24"/>
        </w:rPr>
        <w:t> </w:t>
      </w:r>
      <w:r>
        <w:rPr/>
        <w:t>、</w:t>
      </w:r>
      <w:r>
        <w:rPr>
          <w:spacing w:val="-24"/>
        </w:rPr>
        <w:t> </w:t>
      </w:r>
      <w:r>
        <w:rPr>
          <w:rFonts w:ascii="宋体" w:hAnsi="宋体" w:cs="宋体" w:eastAsia="宋体" w:hint="default"/>
        </w:rPr>
        <w:t>2018-126</w:t>
      </w:r>
      <w:r>
        <w:rPr>
          <w:rFonts w:ascii="宋体" w:hAnsi="宋体" w:cs="宋体" w:eastAsia="宋体" w:hint="default"/>
          <w:spacing w:val="-24"/>
        </w:rPr>
        <w:t> </w:t>
      </w:r>
      <w:r>
        <w:rPr/>
        <w:t>、</w:t>
      </w:r>
    </w:p>
    <w:p>
      <w:pPr>
        <w:pStyle w:val="BodyText"/>
        <w:spacing w:line="316" w:lineRule="auto" w:before="76"/>
        <w:ind w:left="163" w:right="2364"/>
        <w:jc w:val="left"/>
        <w:rPr>
          <w:rFonts w:ascii="宋体" w:hAnsi="宋体" w:cs="宋体" w:eastAsia="宋体" w:hint="default"/>
        </w:rPr>
      </w:pPr>
      <w:r>
        <w:rPr>
          <w:rFonts w:ascii="宋体" w:hAnsi="宋体" w:cs="宋体" w:eastAsia="宋体" w:hint="default"/>
          <w:spacing w:val="4"/>
        </w:rPr>
        <w:t>11</w:t>
      </w:r>
      <w:r>
        <w:rPr>
          <w:spacing w:val="4"/>
        </w:rPr>
        <w:t>月</w:t>
      </w:r>
      <w:r>
        <w:rPr>
          <w:rFonts w:ascii="宋体" w:hAnsi="宋体" w:cs="宋体" w:eastAsia="宋体" w:hint="default"/>
          <w:spacing w:val="4"/>
        </w:rPr>
        <w:t>3</w:t>
      </w:r>
      <w:r>
        <w:rPr>
          <w:spacing w:val="4"/>
        </w:rPr>
        <w:t>日、</w:t>
      </w:r>
      <w:r>
        <w:rPr>
          <w:rFonts w:ascii="宋体" w:hAnsi="宋体" w:cs="宋体" w:eastAsia="宋体" w:hint="default"/>
          <w:spacing w:val="4"/>
        </w:rPr>
        <w:t>2018</w:t>
      </w:r>
      <w:r>
        <w:rPr>
          <w:spacing w:val="4"/>
        </w:rPr>
        <w:t>年</w:t>
      </w:r>
      <w:r>
        <w:rPr>
          <w:rFonts w:ascii="宋体" w:hAnsi="宋体" w:cs="宋体" w:eastAsia="宋体" w:hint="default"/>
          <w:spacing w:val="4"/>
        </w:rPr>
        <w:t>11</w:t>
      </w:r>
      <w:r>
        <w:rPr>
          <w:spacing w:val="4"/>
        </w:rPr>
        <w:t>月</w:t>
      </w:r>
      <w:r>
        <w:rPr>
          <w:rFonts w:ascii="宋体" w:hAnsi="宋体" w:cs="宋体" w:eastAsia="宋体" w:hint="default"/>
          <w:spacing w:val="4"/>
        </w:rPr>
        <w:t>10</w:t>
      </w:r>
      <w:r>
        <w:rPr>
          <w:spacing w:val="4"/>
        </w:rPr>
        <w:t>日、</w:t>
      </w:r>
      <w:r>
        <w:rPr>
          <w:rFonts w:ascii="宋体" w:hAnsi="宋体" w:cs="宋体" w:eastAsia="宋体" w:hint="default"/>
          <w:spacing w:val="4"/>
        </w:rPr>
        <w:t>2018</w:t>
      </w:r>
      <w:r>
        <w:rPr>
          <w:spacing w:val="4"/>
        </w:rPr>
        <w:t>年</w:t>
      </w:r>
      <w:r>
        <w:rPr>
          <w:rFonts w:ascii="宋体" w:hAnsi="宋体" w:cs="宋体" w:eastAsia="宋体" w:hint="default"/>
          <w:spacing w:val="4"/>
        </w:rPr>
        <w:t>12</w:t>
      </w:r>
      <w:r>
        <w:rPr>
          <w:rFonts w:ascii="宋体" w:hAnsi="宋体" w:cs="宋体" w:eastAsia="宋体" w:hint="default"/>
          <w:spacing w:val="-69"/>
        </w:rPr>
        <w:t> </w:t>
      </w:r>
      <w:r>
        <w:rPr>
          <w:rFonts w:ascii="宋体" w:hAnsi="宋体" w:cs="宋体" w:eastAsia="宋体" w:hint="default"/>
        </w:rPr>
        <w:t>2018-131</w:t>
      </w:r>
      <w:r>
        <w:rPr>
          <w:rFonts w:ascii="宋体" w:hAnsi="宋体" w:cs="宋体" w:eastAsia="宋体" w:hint="default"/>
          <w:spacing w:val="-26"/>
        </w:rPr>
        <w:t> </w:t>
      </w:r>
      <w:r>
        <w:rPr/>
        <w:t>、</w:t>
      </w:r>
      <w:r>
        <w:rPr>
          <w:spacing w:val="-26"/>
        </w:rPr>
        <w:t> </w:t>
      </w:r>
      <w:r>
        <w:rPr>
          <w:rFonts w:ascii="宋体" w:hAnsi="宋体" w:cs="宋体" w:eastAsia="宋体" w:hint="default"/>
        </w:rPr>
        <w:t>2019-011</w:t>
      </w:r>
      <w:r>
        <w:rPr>
          <w:rFonts w:ascii="宋体" w:hAnsi="宋体" w:cs="宋体" w:eastAsia="宋体" w:hint="default"/>
          <w:spacing w:val="-26"/>
        </w:rPr>
        <w:t> </w:t>
      </w:r>
      <w:r>
        <w:rPr/>
        <w:t>、</w:t>
      </w:r>
      <w:r>
        <w:rPr>
          <w:spacing w:val="-26"/>
        </w:rPr>
        <w:t> </w:t>
      </w:r>
      <w:r>
        <w:rPr>
          <w:rFonts w:ascii="宋体" w:hAnsi="宋体" w:cs="宋体" w:eastAsia="宋体" w:hint="default"/>
        </w:rPr>
        <w:t>2019-016</w:t>
      </w:r>
      <w:r>
        <w:rPr>
          <w:rFonts w:ascii="宋体" w:hAnsi="宋体" w:cs="宋体" w:eastAsia="宋体" w:hint="default"/>
          <w:spacing w:val="-26"/>
        </w:rPr>
        <w:t> </w:t>
      </w:r>
      <w:r>
        <w:rPr/>
        <w:t>、 月</w:t>
      </w:r>
      <w:r>
        <w:rPr>
          <w:rFonts w:ascii="宋体" w:hAnsi="宋体" w:cs="宋体" w:eastAsia="宋体" w:hint="default"/>
        </w:rPr>
        <w:t>12</w:t>
      </w:r>
      <w:r>
        <w:rPr/>
        <w:t>日、</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10</w:t>
      </w:r>
      <w:r>
        <w:rPr/>
        <w:t>日、</w:t>
      </w:r>
      <w:r>
        <w:rPr>
          <w:rFonts w:ascii="宋体" w:hAnsi="宋体" w:cs="宋体" w:eastAsia="宋体" w:hint="default"/>
        </w:rPr>
        <w:t>2019</w:t>
      </w:r>
      <w:r>
        <w:rPr/>
        <w:t>年</w:t>
      </w:r>
      <w:r>
        <w:rPr>
          <w:rFonts w:ascii="宋体" w:hAnsi="宋体" w:cs="宋体" w:eastAsia="宋体" w:hint="default"/>
        </w:rPr>
        <w:t>2</w:t>
      </w:r>
      <w:r>
        <w:rPr/>
        <w:t>月</w:t>
      </w:r>
      <w:r>
        <w:rPr>
          <w:rFonts w:ascii="宋体" w:hAnsi="宋体" w:cs="宋体" w:eastAsia="宋体" w:hint="default"/>
        </w:rPr>
        <w:t>12</w:t>
      </w:r>
      <w:r>
        <w:rPr>
          <w:rFonts w:ascii="宋体" w:hAnsi="宋体" w:cs="宋体" w:eastAsia="宋体" w:hint="default"/>
          <w:spacing w:val="-38"/>
        </w:rPr>
        <w:t> </w:t>
      </w:r>
      <w:r>
        <w:rPr>
          <w:rFonts w:ascii="宋体" w:hAnsi="宋体" w:cs="宋体" w:eastAsia="宋体" w:hint="default"/>
        </w:rPr>
        <w:t>2019-027</w:t>
      </w:r>
      <w:r>
        <w:rPr/>
        <w:t>、</w:t>
      </w:r>
      <w:r>
        <w:rPr>
          <w:rFonts w:ascii="宋体" w:hAnsi="宋体" w:cs="宋体" w:eastAsia="宋体" w:hint="default"/>
        </w:rPr>
        <w:t>2019-040</w:t>
      </w:r>
    </w:p>
    <w:p>
      <w:pPr>
        <w:pStyle w:val="BodyText"/>
        <w:spacing w:line="240" w:lineRule="auto" w:before="19"/>
        <w:ind w:left="163" w:right="2311"/>
        <w:jc w:val="left"/>
      </w:pPr>
      <w:r>
        <w:rPr/>
        <w:t>日、</w:t>
      </w:r>
      <w:r>
        <w:rPr>
          <w:rFonts w:ascii="宋体" w:hAnsi="宋体" w:cs="宋体" w:eastAsia="宋体" w:hint="default"/>
        </w:rPr>
        <w:t>2019</w:t>
      </w:r>
      <w:r>
        <w:rPr/>
        <w:t>年</w:t>
      </w:r>
      <w:r>
        <w:rPr>
          <w:rFonts w:ascii="宋体" w:hAnsi="宋体" w:cs="宋体" w:eastAsia="宋体" w:hint="default"/>
        </w:rPr>
        <w:t>3</w:t>
      </w:r>
      <w:r>
        <w:rPr/>
        <w:t>月</w:t>
      </w:r>
      <w:r>
        <w:rPr>
          <w:rFonts w:ascii="宋体" w:hAnsi="宋体" w:cs="宋体" w:eastAsia="宋体" w:hint="default"/>
        </w:rPr>
        <w:t>9</w:t>
      </w:r>
      <w:r>
        <w:rPr/>
        <w:t>日、</w:t>
      </w:r>
      <w:r>
        <w:rPr>
          <w:rFonts w:ascii="宋体" w:hAnsi="宋体" w:cs="宋体" w:eastAsia="宋体" w:hint="default"/>
        </w:rPr>
        <w:t>2019</w:t>
      </w:r>
      <w:r>
        <w:rPr/>
        <w:t>年</w:t>
      </w:r>
      <w:r>
        <w:rPr>
          <w:rFonts w:ascii="宋体" w:hAnsi="宋体" w:cs="宋体" w:eastAsia="宋体" w:hint="default"/>
        </w:rPr>
        <w:t>4</w:t>
      </w:r>
      <w:r>
        <w:rPr/>
        <w:t>月</w:t>
      </w:r>
      <w:r>
        <w:rPr>
          <w:rFonts w:ascii="宋体" w:hAnsi="宋体" w:cs="宋体" w:eastAsia="宋体" w:hint="default"/>
        </w:rPr>
        <w:t>10</w:t>
      </w:r>
      <w:r>
        <w:rPr/>
        <w:t>日</w:t>
      </w:r>
    </w:p>
    <w:p>
      <w:pPr>
        <w:spacing w:after="0" w:line="240" w:lineRule="auto"/>
        <w:jc w:val="left"/>
        <w:sectPr>
          <w:type w:val="continuous"/>
          <w:pgSz w:w="11910" w:h="16840"/>
          <w:pgMar w:top="1100" w:bottom="1200" w:left="980" w:right="0"/>
          <w:cols w:num="2" w:equalWidth="0">
            <w:col w:w="704" w:space="1564"/>
            <w:col w:w="8662"/>
          </w:cols>
        </w:sectPr>
      </w:pPr>
    </w:p>
    <w:p>
      <w:pPr>
        <w:pStyle w:val="BodyText"/>
        <w:tabs>
          <w:tab w:pos="5552" w:val="left" w:leader="none"/>
        </w:tabs>
        <w:spacing w:line="316" w:lineRule="auto" w:before="112"/>
        <w:ind w:left="5552" w:right="2274" w:hanging="5389"/>
        <w:jc w:val="left"/>
        <w:rPr>
          <w:rFonts w:ascii="宋体" w:hAnsi="宋体" w:cs="宋体" w:eastAsia="宋体" w:hint="default"/>
        </w:rPr>
      </w:pPr>
      <w:r>
        <w:rPr/>
        <w:t>（注</w:t>
      </w:r>
      <w:r>
        <w:rPr>
          <w:rFonts w:ascii="宋体" w:hAnsi="宋体" w:cs="宋体" w:eastAsia="宋体" w:hint="default"/>
        </w:rPr>
        <w:t>5</w:t>
      </w:r>
      <w:r>
        <w:rPr/>
        <w:t>）募集资金暂时补流 </w:t>
      </w:r>
      <w:r>
        <w:rPr>
          <w:spacing w:val="18"/>
        </w:rPr>
        <w:t> </w:t>
      </w: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28</w:t>
      </w:r>
      <w:r>
        <w:rPr/>
        <w:t>日</w:t>
        <w:tab/>
      </w:r>
      <w:r>
        <w:rPr>
          <w:spacing w:val="-18"/>
        </w:rPr>
        <w:t>披露媒体：《证券时报》、《中国证券报》</w:t>
      </w:r>
      <w:r>
        <w:rPr>
          <w:spacing w:val="-72"/>
        </w:rPr>
        <w:t> </w:t>
      </w:r>
      <w:r>
        <w:rPr>
          <w:spacing w:val="-72"/>
        </w:rPr>
      </w:r>
      <w:r>
        <w:rPr/>
        <w:t>及巨潮资讯网；公告编号：</w:t>
      </w:r>
      <w:r>
        <w:rPr>
          <w:rFonts w:ascii="宋体" w:hAnsi="宋体" w:cs="宋体" w:eastAsia="宋体" w:hint="default"/>
        </w:rPr>
        <w:t>2018-057</w:t>
      </w:r>
    </w:p>
    <w:p>
      <w:pPr>
        <w:pStyle w:val="BodyText"/>
        <w:tabs>
          <w:tab w:pos="2431" w:val="left" w:leader="none"/>
          <w:tab w:pos="5552" w:val="left" w:leader="none"/>
        </w:tabs>
        <w:spacing w:line="316" w:lineRule="auto" w:before="53"/>
        <w:ind w:left="5552" w:right="2274" w:hanging="5389"/>
        <w:jc w:val="left"/>
        <w:rPr>
          <w:rFonts w:ascii="宋体" w:hAnsi="宋体" w:cs="宋体" w:eastAsia="宋体" w:hint="default"/>
        </w:rPr>
      </w:pPr>
      <w:r>
        <w:rPr/>
        <w:t>（注</w:t>
      </w:r>
      <w:r>
        <w:rPr>
          <w:rFonts w:ascii="宋体" w:hAnsi="宋体" w:cs="宋体" w:eastAsia="宋体" w:hint="default"/>
        </w:rPr>
        <w:t>6</w:t>
      </w:r>
      <w:r>
        <w:rPr/>
        <w:t>）变更公司总经理</w:t>
        <w:tab/>
      </w: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28</w:t>
      </w:r>
      <w:r>
        <w:rPr/>
        <w:t>日</w:t>
        <w:tab/>
      </w:r>
      <w:r>
        <w:rPr>
          <w:spacing w:val="-18"/>
        </w:rPr>
        <w:t>披露媒体：《证券时报》、《中国证券报》</w:t>
      </w:r>
      <w:r>
        <w:rPr>
          <w:spacing w:val="-72"/>
        </w:rPr>
        <w:t> </w:t>
      </w:r>
      <w:r>
        <w:rPr>
          <w:spacing w:val="-72"/>
        </w:rPr>
      </w:r>
      <w:r>
        <w:rPr/>
        <w:t>及巨潮资讯网；公告编号：</w:t>
      </w:r>
      <w:r>
        <w:rPr>
          <w:rFonts w:ascii="宋体" w:hAnsi="宋体" w:cs="宋体" w:eastAsia="宋体" w:hint="default"/>
        </w:rPr>
        <w:t>2018-058</w:t>
      </w:r>
    </w:p>
    <w:p>
      <w:pPr>
        <w:pStyle w:val="BodyText"/>
        <w:spacing w:line="240" w:lineRule="auto" w:before="53"/>
        <w:ind w:left="163" w:right="0"/>
        <w:jc w:val="left"/>
      </w:pPr>
      <w:r>
        <w:rPr/>
        <w:t>（注</w:t>
      </w:r>
      <w:r>
        <w:rPr>
          <w:rFonts w:ascii="宋体" w:hAnsi="宋体" w:cs="宋体" w:eastAsia="宋体" w:hint="default"/>
        </w:rPr>
        <w:t>7</w:t>
      </w:r>
      <w:r>
        <w:rPr>
          <w:spacing w:val="-3"/>
        </w:rPr>
        <w:t>）</w:t>
      </w:r>
      <w:r>
        <w:rPr/>
        <w:t>转让参股公司部分股</w:t>
      </w:r>
      <w:r>
        <w:rPr>
          <w:spacing w:val="-70"/>
        </w:rPr>
        <w:t> </w:t>
      </w:r>
      <w:r>
        <w:rPr>
          <w:rFonts w:ascii="宋体" w:hAnsi="宋体" w:cs="宋体" w:eastAsia="宋体" w:hint="default"/>
        </w:rPr>
        <w:t>201</w:t>
      </w:r>
      <w:r>
        <w:rPr>
          <w:rFonts w:ascii="宋体" w:hAnsi="宋体" w:cs="宋体" w:eastAsia="宋体" w:hint="default"/>
          <w:spacing w:val="9"/>
        </w:rPr>
        <w:t>8</w:t>
      </w:r>
      <w:r>
        <w:rPr>
          <w:spacing w:val="9"/>
        </w:rPr>
        <w:t>年</w:t>
      </w:r>
      <w:r>
        <w:rPr>
          <w:rFonts w:ascii="宋体" w:hAnsi="宋体" w:cs="宋体" w:eastAsia="宋体" w:hint="default"/>
          <w:spacing w:val="9"/>
        </w:rPr>
        <w:t>6</w:t>
      </w:r>
      <w:r>
        <w:rPr>
          <w:spacing w:val="8"/>
        </w:rPr>
        <w:t>月</w:t>
      </w:r>
      <w:r>
        <w:rPr>
          <w:rFonts w:ascii="宋体" w:hAnsi="宋体" w:cs="宋体" w:eastAsia="宋体" w:hint="default"/>
          <w:spacing w:val="9"/>
        </w:rPr>
        <w:t>9</w:t>
      </w:r>
      <w:r>
        <w:rPr>
          <w:spacing w:val="8"/>
        </w:rPr>
        <w:t>日</w:t>
      </w:r>
      <w:r>
        <w:rPr>
          <w:spacing w:val="9"/>
        </w:rPr>
        <w:t>、</w:t>
      </w:r>
      <w:r>
        <w:rPr>
          <w:rFonts w:ascii="宋体" w:hAnsi="宋体" w:cs="宋体" w:eastAsia="宋体" w:hint="default"/>
        </w:rPr>
        <w:t>201</w:t>
      </w:r>
      <w:r>
        <w:rPr>
          <w:rFonts w:ascii="宋体" w:hAnsi="宋体" w:cs="宋体" w:eastAsia="宋体" w:hint="default"/>
          <w:spacing w:val="10"/>
        </w:rPr>
        <w:t>8</w:t>
      </w:r>
      <w:r>
        <w:rPr>
          <w:spacing w:val="9"/>
        </w:rPr>
        <w:t>年</w:t>
      </w:r>
      <w:r>
        <w:rPr>
          <w:rFonts w:ascii="宋体" w:hAnsi="宋体" w:cs="宋体" w:eastAsia="宋体" w:hint="default"/>
          <w:spacing w:val="8"/>
        </w:rPr>
        <w:t>6</w:t>
      </w:r>
      <w:r>
        <w:rPr>
          <w:spacing w:val="9"/>
        </w:rPr>
        <w:t>月</w:t>
      </w:r>
      <w:r>
        <w:rPr>
          <w:rFonts w:ascii="宋体" w:hAnsi="宋体" w:cs="宋体" w:eastAsia="宋体" w:hint="default"/>
        </w:rPr>
        <w:t>2</w:t>
      </w:r>
      <w:r>
        <w:rPr>
          <w:rFonts w:ascii="宋体" w:hAnsi="宋体" w:cs="宋体" w:eastAsia="宋体" w:hint="default"/>
          <w:spacing w:val="8"/>
        </w:rPr>
        <w:t>6</w:t>
      </w:r>
      <w:r>
        <w:rPr>
          <w:spacing w:val="9"/>
        </w:rPr>
        <w:t>日、</w:t>
      </w:r>
      <w:r>
        <w:rPr>
          <w:rFonts w:ascii="宋体" w:hAnsi="宋体" w:cs="宋体" w:eastAsia="宋体" w:hint="default"/>
        </w:rPr>
        <w:t>2018</w:t>
      </w:r>
      <w:r>
        <w:rPr>
          <w:rFonts w:ascii="宋体" w:hAnsi="宋体" w:cs="宋体" w:eastAsia="宋体" w:hint="default"/>
          <w:spacing w:val="-70"/>
        </w:rPr>
        <w:t> </w:t>
      </w:r>
      <w:r>
        <w:rPr/>
        <w:t>披露媒体</w:t>
      </w:r>
      <w:r>
        <w:rPr>
          <w:spacing w:val="-117"/>
        </w:rPr>
        <w:t>：</w:t>
      </w:r>
      <w:r>
        <w:rPr/>
        <w:t>《证券时报</w:t>
      </w:r>
      <w:r>
        <w:rPr>
          <w:spacing w:val="-90"/>
        </w:rPr>
        <w:t>》</w:t>
      </w:r>
      <w:r>
        <w:rPr>
          <w:spacing w:val="-117"/>
        </w:rPr>
        <w:t>、</w:t>
      </w:r>
      <w:r>
        <w:rPr/>
        <w:t>《中国证券报》</w:t>
      </w:r>
    </w:p>
    <w:p>
      <w:pPr>
        <w:spacing w:after="0" w:line="240" w:lineRule="auto"/>
        <w:jc w:val="left"/>
        <w:sectPr>
          <w:type w:val="continuous"/>
          <w:pgSz w:w="11910" w:h="16840"/>
          <w:pgMar w:top="1100" w:bottom="1200" w:left="980" w:right="0"/>
        </w:sectPr>
      </w:pPr>
    </w:p>
    <w:p>
      <w:pPr>
        <w:pStyle w:val="BodyText"/>
        <w:tabs>
          <w:tab w:pos="2431" w:val="left" w:leader="none"/>
        </w:tabs>
        <w:spacing w:line="240" w:lineRule="auto" w:before="76"/>
        <w:ind w:left="163" w:right="-19"/>
        <w:jc w:val="left"/>
      </w:pPr>
      <w:r>
        <w:rPr/>
        <w:t>权</w:t>
        <w:tab/>
        <w:t>年</w:t>
      </w:r>
      <w:r>
        <w:rPr>
          <w:rFonts w:ascii="宋体" w:hAnsi="宋体" w:cs="宋体" w:eastAsia="宋体" w:hint="default"/>
        </w:rPr>
        <w:t>6</w:t>
      </w:r>
      <w:r>
        <w:rPr/>
        <w:t>月</w:t>
      </w:r>
      <w:r>
        <w:rPr>
          <w:rFonts w:ascii="宋体" w:hAnsi="宋体" w:cs="宋体" w:eastAsia="宋体" w:hint="default"/>
        </w:rPr>
        <w:t>27</w:t>
      </w:r>
      <w:r>
        <w:rPr/>
        <w:t>日</w:t>
      </w:r>
    </w:p>
    <w:p>
      <w:pPr>
        <w:pStyle w:val="BodyText"/>
        <w:spacing w:line="316" w:lineRule="auto" w:before="76"/>
        <w:ind w:left="163" w:right="2311"/>
        <w:jc w:val="left"/>
        <w:rPr>
          <w:rFonts w:ascii="宋体" w:hAnsi="宋体" w:cs="宋体" w:eastAsia="宋体" w:hint="default"/>
        </w:rPr>
      </w:pPr>
      <w:r>
        <w:rPr/>
        <w:br w:type="column"/>
      </w:r>
      <w:r>
        <w:rPr/>
        <w:t>及巨潮资讯网；公告编号：</w:t>
      </w:r>
      <w:r>
        <w:rPr>
          <w:rFonts w:ascii="宋体" w:hAnsi="宋体" w:cs="宋体" w:eastAsia="宋体" w:hint="default"/>
        </w:rPr>
        <w:t>2018-062</w:t>
      </w:r>
      <w:r>
        <w:rPr/>
        <w:t>、 </w:t>
      </w:r>
      <w:r>
        <w:rPr>
          <w:rFonts w:ascii="宋体" w:hAnsi="宋体" w:cs="宋体" w:eastAsia="宋体" w:hint="default"/>
        </w:rPr>
        <w:t>2018-071</w:t>
      </w:r>
      <w:r>
        <w:rPr/>
        <w:t>、</w:t>
      </w:r>
      <w:r>
        <w:rPr>
          <w:rFonts w:ascii="宋体" w:hAnsi="宋体" w:cs="宋体" w:eastAsia="宋体" w:hint="default"/>
        </w:rPr>
        <w:t>2018-072</w:t>
      </w:r>
    </w:p>
    <w:p>
      <w:pPr>
        <w:spacing w:after="0" w:line="316" w:lineRule="auto"/>
        <w:jc w:val="left"/>
        <w:rPr>
          <w:rFonts w:ascii="宋体" w:hAnsi="宋体" w:cs="宋体" w:eastAsia="宋体" w:hint="default"/>
        </w:rPr>
        <w:sectPr>
          <w:type w:val="continuous"/>
          <w:pgSz w:w="11910" w:h="16840"/>
          <w:pgMar w:top="1100" w:bottom="1200" w:left="980" w:right="0"/>
          <w:cols w:num="2" w:equalWidth="0">
            <w:col w:w="3243" w:space="2146"/>
            <w:col w:w="5541"/>
          </w:cols>
        </w:sectPr>
      </w:pPr>
    </w:p>
    <w:p>
      <w:pPr>
        <w:pStyle w:val="BodyText"/>
        <w:tabs>
          <w:tab w:pos="5552" w:val="left" w:leader="none"/>
        </w:tabs>
        <w:spacing w:line="240" w:lineRule="auto" w:before="53"/>
        <w:ind w:left="163" w:right="0"/>
        <w:jc w:val="left"/>
      </w:pPr>
      <w:r>
        <w:rPr/>
        <w:t>（注</w:t>
      </w:r>
      <w:r>
        <w:rPr>
          <w:rFonts w:ascii="宋体" w:hAnsi="宋体" w:cs="宋体" w:eastAsia="宋体" w:hint="default"/>
        </w:rPr>
        <w:t>8</w:t>
      </w:r>
      <w:r>
        <w:rPr>
          <w:spacing w:val="-3"/>
        </w:rPr>
        <w:t>）</w:t>
      </w:r>
      <w:r>
        <w:rPr/>
        <w:t>部分股票期权注销和</w:t>
      </w:r>
      <w:r>
        <w:rPr>
          <w:spacing w:val="-70"/>
        </w:rPr>
        <w:t> </w:t>
      </w:r>
      <w:r>
        <w:rPr>
          <w:rFonts w:ascii="宋体" w:hAnsi="宋体" w:cs="宋体" w:eastAsia="宋体" w:hint="default"/>
        </w:rPr>
        <w:t>2018</w:t>
      </w:r>
      <w:r>
        <w:rPr/>
        <w:t>年</w:t>
      </w:r>
      <w:r>
        <w:rPr>
          <w:rFonts w:ascii="宋体" w:hAnsi="宋体" w:cs="宋体" w:eastAsia="宋体" w:hint="default"/>
        </w:rPr>
        <w:t>04</w:t>
      </w:r>
      <w:r>
        <w:rPr/>
        <w:t>月</w:t>
      </w:r>
      <w:r>
        <w:rPr>
          <w:rFonts w:ascii="宋体" w:hAnsi="宋体" w:cs="宋体" w:eastAsia="宋体" w:hint="default"/>
        </w:rPr>
        <w:t>25</w:t>
      </w:r>
      <w:r>
        <w:rPr/>
        <w:t>日、</w:t>
      </w:r>
      <w:r>
        <w:rPr>
          <w:rFonts w:ascii="宋体" w:hAnsi="宋体" w:cs="宋体" w:eastAsia="宋体" w:hint="default"/>
        </w:rPr>
        <w:t>2018</w:t>
      </w:r>
      <w:r>
        <w:rPr/>
        <w:t>年</w:t>
      </w:r>
      <w:r>
        <w:rPr>
          <w:rFonts w:ascii="宋体" w:hAnsi="宋体" w:cs="宋体" w:eastAsia="宋体" w:hint="default"/>
        </w:rPr>
        <w:t>07</w:t>
      </w:r>
      <w:r>
        <w:rPr/>
        <w:t>月</w:t>
      </w:r>
      <w:r>
        <w:rPr>
          <w:rFonts w:ascii="宋体" w:hAnsi="宋体" w:cs="宋体" w:eastAsia="宋体" w:hint="default"/>
        </w:rPr>
        <w:t>04</w:t>
      </w:r>
      <w:r>
        <w:rPr/>
        <w:t>日</w:t>
        <w:tab/>
        <w:t>披露媒体</w:t>
      </w:r>
      <w:r>
        <w:rPr>
          <w:spacing w:val="-117"/>
        </w:rPr>
        <w:t>：</w:t>
      </w:r>
      <w:r>
        <w:rPr/>
        <w:t>《证券时报</w:t>
      </w:r>
      <w:r>
        <w:rPr>
          <w:spacing w:val="-90"/>
        </w:rPr>
        <w:t>》</w:t>
      </w:r>
      <w:r>
        <w:rPr>
          <w:spacing w:val="-117"/>
        </w:rPr>
        <w:t>、</w:t>
      </w:r>
      <w:r>
        <w:rPr/>
        <w:t>《中国证券报》</w:t>
      </w:r>
    </w:p>
    <w:p>
      <w:pPr>
        <w:spacing w:after="0" w:line="240" w:lineRule="auto"/>
        <w:jc w:val="left"/>
        <w:sectPr>
          <w:type w:val="continuous"/>
          <w:pgSz w:w="11910" w:h="16840"/>
          <w:pgMar w:top="1100" w:bottom="1200" w:left="980" w:right="0"/>
        </w:sectPr>
      </w:pPr>
    </w:p>
    <w:p>
      <w:pPr>
        <w:pStyle w:val="BodyText"/>
        <w:spacing w:line="240" w:lineRule="auto" w:before="76"/>
        <w:ind w:left="163" w:right="-20"/>
        <w:jc w:val="left"/>
      </w:pPr>
      <w:r>
        <w:rPr/>
        <w:t>部分限制性股票回购注销</w:t>
      </w:r>
    </w:p>
    <w:p>
      <w:pPr>
        <w:pStyle w:val="BodyText"/>
        <w:spacing w:line="316" w:lineRule="auto" w:before="76"/>
        <w:ind w:left="163" w:right="2311"/>
        <w:jc w:val="left"/>
        <w:rPr>
          <w:rFonts w:ascii="宋体" w:hAnsi="宋体" w:cs="宋体" w:eastAsia="宋体" w:hint="default"/>
        </w:rPr>
      </w:pPr>
      <w:r>
        <w:rPr/>
        <w:br w:type="column"/>
      </w:r>
      <w:r>
        <w:rPr/>
        <w:t>及巨潮资讯网；公告编号：</w:t>
      </w:r>
      <w:r>
        <w:rPr>
          <w:rFonts w:ascii="宋体" w:hAnsi="宋体" w:cs="宋体" w:eastAsia="宋体" w:hint="default"/>
        </w:rPr>
        <w:t>2018-043</w:t>
      </w:r>
      <w:r>
        <w:rPr/>
        <w:t>、 </w:t>
      </w:r>
      <w:r>
        <w:rPr>
          <w:rFonts w:ascii="宋体" w:hAnsi="宋体" w:cs="宋体" w:eastAsia="宋体" w:hint="default"/>
        </w:rPr>
        <w:t>2018-074</w:t>
      </w:r>
    </w:p>
    <w:p>
      <w:pPr>
        <w:spacing w:after="0" w:line="316" w:lineRule="auto"/>
        <w:jc w:val="left"/>
        <w:rPr>
          <w:rFonts w:ascii="宋体" w:hAnsi="宋体" w:cs="宋体" w:eastAsia="宋体" w:hint="default"/>
        </w:rPr>
        <w:sectPr>
          <w:type w:val="continuous"/>
          <w:pgSz w:w="11910" w:h="16840"/>
          <w:pgMar w:top="1100" w:bottom="1200" w:left="980" w:right="0"/>
          <w:cols w:num="2" w:equalWidth="0">
            <w:col w:w="2144" w:space="3245"/>
            <w:col w:w="5541"/>
          </w:cols>
        </w:sectPr>
      </w:pPr>
    </w:p>
    <w:p>
      <w:pPr>
        <w:pStyle w:val="BodyText"/>
        <w:tabs>
          <w:tab w:pos="5552" w:val="left" w:leader="none"/>
        </w:tabs>
        <w:spacing w:line="240" w:lineRule="auto" w:before="54"/>
        <w:ind w:left="163" w:right="0"/>
        <w:jc w:val="left"/>
      </w:pPr>
      <w:r>
        <w:rPr/>
        <w:t>（注</w:t>
      </w:r>
      <w:r>
        <w:rPr>
          <w:rFonts w:ascii="宋体" w:hAnsi="宋体" w:cs="宋体" w:eastAsia="宋体" w:hint="default"/>
        </w:rPr>
        <w:t>9</w:t>
      </w:r>
      <w:r>
        <w:rPr>
          <w:spacing w:val="-3"/>
        </w:rPr>
        <w:t>）</w:t>
      </w:r>
      <w:r>
        <w:rPr/>
        <w:t>实施</w:t>
      </w:r>
      <w:r>
        <w:rPr>
          <w:rFonts w:ascii="宋体" w:hAnsi="宋体" w:cs="宋体" w:eastAsia="宋体" w:hint="default"/>
        </w:rPr>
        <w:t>2017</w:t>
      </w:r>
      <w:r>
        <w:rPr/>
        <w:t>年年度权益</w:t>
      </w:r>
      <w:r>
        <w:rPr>
          <w:spacing w:val="-70"/>
        </w:rPr>
        <w:t> </w:t>
      </w:r>
      <w:r>
        <w:rPr>
          <w:rFonts w:ascii="宋体" w:hAnsi="宋体" w:cs="宋体" w:eastAsia="宋体" w:hint="default"/>
        </w:rPr>
        <w:t>2018</w:t>
      </w:r>
      <w:r>
        <w:rPr/>
        <w:t>年</w:t>
      </w:r>
      <w:r>
        <w:rPr>
          <w:rFonts w:ascii="宋体" w:hAnsi="宋体" w:cs="宋体" w:eastAsia="宋体" w:hint="default"/>
        </w:rPr>
        <w:t>07</w:t>
      </w:r>
      <w:r>
        <w:rPr/>
        <w:t>月</w:t>
      </w:r>
      <w:r>
        <w:rPr>
          <w:rFonts w:ascii="宋体" w:hAnsi="宋体" w:cs="宋体" w:eastAsia="宋体" w:hint="default"/>
        </w:rPr>
        <w:t>05</w:t>
      </w:r>
      <w:r>
        <w:rPr/>
        <w:t>日</w:t>
        <w:tab/>
        <w:t>披露媒体</w:t>
      </w:r>
      <w:r>
        <w:rPr>
          <w:spacing w:val="-117"/>
        </w:rPr>
        <w:t>：</w:t>
      </w:r>
      <w:r>
        <w:rPr/>
        <w:t>《证券时报</w:t>
      </w:r>
      <w:r>
        <w:rPr>
          <w:spacing w:val="-90"/>
        </w:rPr>
        <w:t>》</w:t>
      </w:r>
      <w:r>
        <w:rPr>
          <w:spacing w:val="-117"/>
        </w:rPr>
        <w:t>、</w:t>
      </w:r>
      <w:r>
        <w:rPr/>
        <w:t>《中国证券报》</w:t>
      </w:r>
    </w:p>
    <w:p>
      <w:pPr>
        <w:pStyle w:val="BodyText"/>
        <w:tabs>
          <w:tab w:pos="5552" w:val="left" w:leader="none"/>
        </w:tabs>
        <w:spacing w:line="240" w:lineRule="auto" w:before="76"/>
        <w:ind w:left="163" w:right="0"/>
        <w:jc w:val="left"/>
        <w:rPr>
          <w:rFonts w:ascii="宋体" w:hAnsi="宋体" w:cs="宋体" w:eastAsia="宋体" w:hint="default"/>
        </w:rPr>
      </w:pPr>
      <w:r>
        <w:rPr/>
        <w:t>分派</w:t>
        <w:tab/>
        <w:t>及巨潮资讯网；公告编号：</w:t>
      </w:r>
      <w:r>
        <w:rPr>
          <w:rFonts w:ascii="宋体" w:hAnsi="宋体" w:cs="宋体" w:eastAsia="宋体" w:hint="default"/>
        </w:rPr>
        <w:t>2018-075</w:t>
      </w:r>
    </w:p>
    <w:p>
      <w:pPr>
        <w:pStyle w:val="BodyText"/>
        <w:tabs>
          <w:tab w:pos="5552" w:val="left" w:leader="none"/>
        </w:tabs>
        <w:spacing w:line="240" w:lineRule="auto" w:before="111"/>
        <w:ind w:left="163" w:right="0"/>
        <w:jc w:val="left"/>
      </w:pPr>
      <w:r>
        <w:rPr>
          <w:spacing w:val="8"/>
        </w:rPr>
        <w:t>（注</w:t>
      </w:r>
      <w:r>
        <w:rPr>
          <w:rFonts w:ascii="宋体" w:hAnsi="宋体" w:cs="宋体" w:eastAsia="宋体" w:hint="default"/>
        </w:rPr>
        <w:t>1</w:t>
      </w:r>
      <w:r>
        <w:rPr>
          <w:rFonts w:ascii="宋体" w:hAnsi="宋体" w:cs="宋体" w:eastAsia="宋体" w:hint="default"/>
          <w:spacing w:val="8"/>
        </w:rPr>
        <w:t>0</w:t>
      </w:r>
      <w:r>
        <w:rPr>
          <w:spacing w:val="7"/>
        </w:rPr>
        <w:t>）</w:t>
      </w:r>
      <w:r>
        <w:rPr>
          <w:spacing w:val="8"/>
        </w:rPr>
        <w:t>调</w:t>
      </w:r>
      <w:r>
        <w:rPr>
          <w:spacing w:val="7"/>
        </w:rPr>
        <w:t>整</w:t>
      </w:r>
      <w:r>
        <w:rPr>
          <w:spacing w:val="8"/>
        </w:rPr>
        <w:t>公司股</w:t>
      </w:r>
      <w:r>
        <w:rPr>
          <w:spacing w:val="7"/>
        </w:rPr>
        <w:t>票</w:t>
      </w:r>
      <w:r>
        <w:rPr>
          <w:spacing w:val="8"/>
        </w:rPr>
        <w:t>期</w:t>
      </w:r>
      <w:r>
        <w:rPr/>
        <w:t>权</w:t>
      </w:r>
      <w:r>
        <w:rPr>
          <w:spacing w:val="-70"/>
        </w:rPr>
        <w:t> </w:t>
      </w:r>
      <w:r>
        <w:rPr>
          <w:rFonts w:ascii="宋体" w:hAnsi="宋体" w:cs="宋体" w:eastAsia="宋体" w:hint="default"/>
        </w:rPr>
        <w:t>2018</w:t>
      </w:r>
      <w:r>
        <w:rPr/>
        <w:t>年</w:t>
      </w:r>
      <w:r>
        <w:rPr>
          <w:rFonts w:ascii="宋体" w:hAnsi="宋体" w:cs="宋体" w:eastAsia="宋体" w:hint="default"/>
        </w:rPr>
        <w:t>07</w:t>
      </w:r>
      <w:r>
        <w:rPr/>
        <w:t>月</w:t>
      </w:r>
      <w:r>
        <w:rPr>
          <w:rFonts w:ascii="宋体" w:hAnsi="宋体" w:cs="宋体" w:eastAsia="宋体" w:hint="default"/>
        </w:rPr>
        <w:t>13</w:t>
      </w:r>
      <w:r>
        <w:rPr/>
        <w:t>日</w:t>
        <w:tab/>
        <w:t>披露媒体</w:t>
      </w:r>
      <w:r>
        <w:rPr>
          <w:spacing w:val="-117"/>
        </w:rPr>
        <w:t>：</w:t>
      </w:r>
      <w:r>
        <w:rPr/>
        <w:t>《证券时报</w:t>
      </w:r>
      <w:r>
        <w:rPr>
          <w:spacing w:val="-90"/>
        </w:rPr>
        <w:t>》</w:t>
      </w:r>
      <w:r>
        <w:rPr>
          <w:spacing w:val="-117"/>
        </w:rPr>
        <w:t>、</w:t>
      </w:r>
      <w:r>
        <w:rPr/>
        <w:t>《中国证券报》</w:t>
      </w:r>
    </w:p>
    <w:p>
      <w:pPr>
        <w:pStyle w:val="BodyText"/>
        <w:tabs>
          <w:tab w:pos="5552" w:val="left" w:leader="none"/>
        </w:tabs>
        <w:spacing w:line="240" w:lineRule="auto" w:before="76"/>
        <w:ind w:left="163" w:right="0"/>
        <w:jc w:val="left"/>
        <w:rPr>
          <w:rFonts w:ascii="宋体" w:hAnsi="宋体" w:cs="宋体" w:eastAsia="宋体" w:hint="default"/>
        </w:rPr>
      </w:pPr>
      <w:r>
        <w:rPr>
          <w:spacing w:val="7"/>
        </w:rPr>
        <w:t>行权价格和限制性股票回购</w:t>
        <w:tab/>
      </w:r>
      <w:r>
        <w:rPr/>
        <w:t>及巨潮资讯网；公告编号：</w:t>
      </w:r>
      <w:r>
        <w:rPr>
          <w:rFonts w:ascii="宋体" w:hAnsi="宋体" w:cs="宋体" w:eastAsia="宋体" w:hint="default"/>
        </w:rPr>
        <w:t>2018-080</w:t>
      </w:r>
    </w:p>
    <w:p>
      <w:pPr>
        <w:spacing w:after="0" w:line="240" w:lineRule="auto"/>
        <w:jc w:val="left"/>
        <w:rPr>
          <w:rFonts w:ascii="宋体" w:hAnsi="宋体" w:cs="宋体" w:eastAsia="宋体" w:hint="default"/>
        </w:rPr>
        <w:sectPr>
          <w:type w:val="continuous"/>
          <w:pgSz w:w="11910" w:h="16840"/>
          <w:pgMar w:top="1100" w:bottom="120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p>
      <w:pPr>
        <w:pStyle w:val="BodyText"/>
        <w:spacing w:line="240" w:lineRule="auto" w:before="44"/>
        <w:ind w:left="0" w:right="2274"/>
        <w:jc w:val="right"/>
      </w:pPr>
      <w:r>
        <w:rPr/>
        <w:pict>
          <v:shape style="position:absolute;margin-left:56.34pt;margin-top:-16.928251pt;width:421.9pt;height:227.9pt;mso-position-horizontal-relative:page;mso-position-vertical-relative:paragraph;z-index:14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68"/>
                    <w:gridCol w:w="3119"/>
                    <w:gridCol w:w="3028"/>
                  </w:tblGrid>
                  <w:tr>
                    <w:trPr>
                      <w:trHeight w:val="347" w:hRule="exact"/>
                    </w:trPr>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价格</w:t>
                        </w:r>
                      </w:p>
                    </w:tc>
                    <w:tc>
                      <w:tcPr>
                        <w:tcW w:w="3119" w:type="dxa"/>
                        <w:tcBorders>
                          <w:top w:val="single" w:sz="6" w:space="0" w:color="000000"/>
                          <w:left w:val="single" w:sz="6" w:space="0" w:color="000000"/>
                          <w:bottom w:val="single" w:sz="6" w:space="0" w:color="000000"/>
                          <w:right w:val="single" w:sz="6" w:space="0" w:color="000000"/>
                        </w:tcBorders>
                      </w:tcPr>
                      <w:p>
                        <w:pPr/>
                      </w:p>
                    </w:tc>
                    <w:tc>
                      <w:tcPr>
                        <w:tcW w:w="3028" w:type="dxa"/>
                        <w:tcBorders>
                          <w:top w:val="single" w:sz="6" w:space="0" w:color="000000"/>
                          <w:left w:val="single" w:sz="6" w:space="0" w:color="000000"/>
                          <w:bottom w:val="single" w:sz="6" w:space="0" w:color="000000"/>
                          <w:right w:val="single" w:sz="6" w:space="0" w:color="000000"/>
                        </w:tcBorders>
                      </w:tcPr>
                      <w:p>
                        <w:pPr/>
                      </w:p>
                    </w:tc>
                  </w:tr>
                  <w:tr>
                    <w:trPr>
                      <w:trHeight w:val="971" w:hRule="exact"/>
                    </w:trPr>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
                          <w:jc w:val="left"/>
                          <w:rPr>
                            <w:rFonts w:ascii="宋体" w:hAnsi="宋体" w:cs="宋体" w:eastAsia="宋体" w:hint="default"/>
                            <w:sz w:val="18"/>
                            <w:szCs w:val="18"/>
                          </w:rPr>
                        </w:pPr>
                        <w:r>
                          <w:rPr>
                            <w:rFonts w:ascii="宋体" w:hAnsi="宋体" w:cs="宋体" w:eastAsia="宋体" w:hint="default"/>
                            <w:spacing w:val="6"/>
                            <w:sz w:val="18"/>
                            <w:szCs w:val="18"/>
                          </w:rPr>
                          <w:t>（注</w:t>
                        </w:r>
                        <w:r>
                          <w:rPr>
                            <w:rFonts w:ascii="宋体" w:hAnsi="宋体" w:cs="宋体" w:eastAsia="宋体" w:hint="default"/>
                            <w:spacing w:val="6"/>
                            <w:sz w:val="18"/>
                            <w:szCs w:val="18"/>
                          </w:rPr>
                          <w:t>11</w:t>
                        </w:r>
                        <w:r>
                          <w:rPr>
                            <w:rFonts w:ascii="宋体" w:hAnsi="宋体" w:cs="宋体" w:eastAsia="宋体" w:hint="default"/>
                            <w:spacing w:val="6"/>
                            <w:sz w:val="18"/>
                            <w:szCs w:val="18"/>
                          </w:rPr>
                          <w:t>）变更公司董事长、</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总经理及财务负责人</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1</w:t>
                        </w:r>
                        <w:r>
                          <w:rPr>
                            <w:rFonts w:ascii="宋体" w:hAnsi="宋体" w:cs="宋体" w:eastAsia="宋体" w:hint="default"/>
                            <w:sz w:val="18"/>
                            <w:szCs w:val="18"/>
                          </w:rPr>
                          <w:t>月</w:t>
                        </w:r>
                        <w:r>
                          <w:rPr>
                            <w:rFonts w:ascii="宋体" w:hAnsi="宋体" w:cs="宋体" w:eastAsia="宋体" w:hint="default"/>
                            <w:sz w:val="18"/>
                            <w:szCs w:val="18"/>
                          </w:rPr>
                          <w:t>4</w:t>
                        </w:r>
                        <w:r>
                          <w:rPr>
                            <w:rFonts w:ascii="宋体" w:hAnsi="宋体" w:cs="宋体" w:eastAsia="宋体" w:hint="default"/>
                            <w:sz w:val="18"/>
                            <w:szCs w:val="18"/>
                          </w:rPr>
                          <w:t>日</w:t>
                        </w:r>
                      </w:p>
                    </w:tc>
                    <w:tc>
                      <w:tcPr>
                        <w:tcW w:w="302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51"/>
                          <w:jc w:val="left"/>
                          <w:rPr>
                            <w:rFonts w:ascii="宋体" w:hAnsi="宋体" w:cs="宋体" w:eastAsia="宋体" w:hint="default"/>
                            <w:sz w:val="18"/>
                            <w:szCs w:val="18"/>
                          </w:rPr>
                        </w:pPr>
                        <w:r>
                          <w:rPr>
                            <w:rFonts w:ascii="宋体" w:hAnsi="宋体" w:cs="宋体" w:eastAsia="宋体" w:hint="default"/>
                            <w:spacing w:val="-18"/>
                            <w:sz w:val="18"/>
                            <w:szCs w:val="18"/>
                          </w:rPr>
                          <w:t>披露媒体：《证券时报》、《中国证券报</w:t>
                        </w:r>
                        <w:r>
                          <w:rPr>
                            <w:rFonts w:ascii="宋体" w:hAnsi="宋体" w:cs="宋体" w:eastAsia="宋体" w:hint="default"/>
                            <w:sz w:val="18"/>
                            <w:szCs w:val="18"/>
                          </w:rPr>
                          <w:t> 及巨潮资讯网；公告编号：</w:t>
                        </w:r>
                        <w:r>
                          <w:rPr>
                            <w:rFonts w:ascii="宋体" w:hAnsi="宋体" w:cs="宋体" w:eastAsia="宋体" w:hint="default"/>
                            <w:sz w:val="18"/>
                            <w:szCs w:val="18"/>
                          </w:rPr>
                          <w:t>2018-095</w:t>
                        </w:r>
                        <w:r>
                          <w:rPr>
                            <w:rFonts w:ascii="宋体" w:hAnsi="宋体" w:cs="宋体" w:eastAsia="宋体" w:hint="default"/>
                            <w:sz w:val="18"/>
                            <w:szCs w:val="18"/>
                          </w:rPr>
                          <w:t>、 </w:t>
                        </w:r>
                        <w:r>
                          <w:rPr>
                            <w:rFonts w:ascii="宋体" w:hAnsi="宋体" w:cs="宋体" w:eastAsia="宋体" w:hint="default"/>
                            <w:sz w:val="18"/>
                            <w:szCs w:val="18"/>
                          </w:rPr>
                          <w:t>2019-005</w:t>
                        </w:r>
                      </w:p>
                    </w:tc>
                  </w:tr>
                  <w:tr>
                    <w:trPr>
                      <w:trHeight w:val="971" w:hRule="exact"/>
                    </w:trPr>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z w:val="18"/>
                            <w:szCs w:val="18"/>
                          </w:rPr>
                          <w:t>12</w:t>
                        </w:r>
                        <w:r>
                          <w:rPr>
                            <w:rFonts w:ascii="宋体" w:hAnsi="宋体" w:cs="宋体" w:eastAsia="宋体" w:hint="default"/>
                            <w:sz w:val="18"/>
                            <w:szCs w:val="18"/>
                          </w:rPr>
                          <w:t>）补选非独立董事</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28</w:t>
                        </w:r>
                        <w:r>
                          <w:rPr>
                            <w:rFonts w:ascii="宋体" w:hAnsi="宋体" w:cs="宋体" w:eastAsia="宋体" w:hint="default"/>
                            <w:sz w:val="18"/>
                            <w:szCs w:val="18"/>
                          </w:rPr>
                          <w:t>日、</w:t>
                        </w: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12</w:t>
                        </w:r>
                        <w:r>
                          <w:rPr>
                            <w:rFonts w:ascii="宋体" w:hAnsi="宋体" w:cs="宋体" w:eastAsia="宋体" w:hint="default"/>
                            <w:sz w:val="18"/>
                            <w:szCs w:val="18"/>
                          </w:rPr>
                          <w:t>日、</w:t>
                        </w:r>
                        <w:r>
                          <w:rPr>
                            <w:rFonts w:ascii="宋体" w:hAnsi="宋体" w:cs="宋体" w:eastAsia="宋体" w:hint="default"/>
                            <w:sz w:val="18"/>
                            <w:szCs w:val="18"/>
                          </w:rPr>
                          <w:t>2019</w:t>
                        </w:r>
                        <w:r>
                          <w:rPr>
                            <w:rFonts w:ascii="宋体" w:hAnsi="宋体" w:cs="宋体" w:eastAsia="宋体" w:hint="default"/>
                            <w:spacing w:val="-59"/>
                            <w:sz w:val="18"/>
                            <w:szCs w:val="18"/>
                          </w:rPr>
                          <w:t> </w:t>
                        </w:r>
                        <w:r>
                          <w:rPr>
                            <w:rFonts w:ascii="宋体" w:hAnsi="宋体" w:cs="宋体" w:eastAsia="宋体" w:hint="default"/>
                            <w:sz w:val="18"/>
                            <w:szCs w:val="18"/>
                          </w:rPr>
                          <w:t>年</w:t>
                        </w:r>
                        <w:r>
                          <w:rPr>
                            <w:rFonts w:ascii="宋体" w:hAnsi="宋体" w:cs="宋体" w:eastAsia="宋体" w:hint="default"/>
                            <w:sz w:val="18"/>
                            <w:szCs w:val="18"/>
                          </w:rPr>
                          <w:t>1</w:t>
                        </w:r>
                        <w:r>
                          <w:rPr>
                            <w:rFonts w:ascii="宋体" w:hAnsi="宋体" w:cs="宋体" w:eastAsia="宋体" w:hint="default"/>
                            <w:sz w:val="18"/>
                            <w:szCs w:val="18"/>
                          </w:rPr>
                          <w:t>月</w:t>
                        </w:r>
                        <w:r>
                          <w:rPr>
                            <w:rFonts w:ascii="宋体" w:hAnsi="宋体" w:cs="宋体" w:eastAsia="宋体" w:hint="default"/>
                            <w:sz w:val="18"/>
                            <w:szCs w:val="18"/>
                          </w:rPr>
                          <w:t>4</w:t>
                        </w:r>
                        <w:r>
                          <w:rPr>
                            <w:rFonts w:ascii="宋体" w:hAnsi="宋体" w:cs="宋体" w:eastAsia="宋体" w:hint="default"/>
                            <w:sz w:val="18"/>
                            <w:szCs w:val="18"/>
                          </w:rPr>
                          <w:t>日、</w:t>
                        </w: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1</w:t>
                        </w:r>
                        <w:r>
                          <w:rPr>
                            <w:rFonts w:ascii="宋体" w:hAnsi="宋体" w:cs="宋体" w:eastAsia="宋体" w:hint="default"/>
                            <w:sz w:val="18"/>
                            <w:szCs w:val="18"/>
                          </w:rPr>
                          <w:t>月</w:t>
                        </w:r>
                        <w:r>
                          <w:rPr>
                            <w:rFonts w:ascii="宋体" w:hAnsi="宋体" w:cs="宋体" w:eastAsia="宋体" w:hint="default"/>
                            <w:sz w:val="18"/>
                            <w:szCs w:val="18"/>
                          </w:rPr>
                          <w:t>22</w:t>
                        </w:r>
                        <w:r>
                          <w:rPr>
                            <w:rFonts w:ascii="宋体" w:hAnsi="宋体" w:cs="宋体" w:eastAsia="宋体" w:hint="default"/>
                            <w:sz w:val="18"/>
                            <w:szCs w:val="18"/>
                          </w:rPr>
                          <w:t>日</w:t>
                        </w:r>
                      </w:p>
                    </w:tc>
                    <w:tc>
                      <w:tcPr>
                        <w:tcW w:w="302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51"/>
                          <w:jc w:val="left"/>
                          <w:rPr>
                            <w:rFonts w:ascii="宋体" w:hAnsi="宋体" w:cs="宋体" w:eastAsia="宋体" w:hint="default"/>
                            <w:sz w:val="18"/>
                            <w:szCs w:val="18"/>
                          </w:rPr>
                        </w:pPr>
                        <w:r>
                          <w:rPr>
                            <w:rFonts w:ascii="宋体" w:hAnsi="宋体" w:cs="宋体" w:eastAsia="宋体" w:hint="default"/>
                            <w:spacing w:val="-18"/>
                            <w:sz w:val="18"/>
                            <w:szCs w:val="18"/>
                          </w:rPr>
                          <w:t>披露媒体：《证券时报》、《中国证券报</w:t>
                        </w:r>
                        <w:r>
                          <w:rPr>
                            <w:rFonts w:ascii="宋体" w:hAnsi="宋体" w:cs="宋体" w:eastAsia="宋体" w:hint="default"/>
                            <w:sz w:val="18"/>
                            <w:szCs w:val="18"/>
                          </w:rPr>
                          <w:t> 及巨潮资讯网；公告编号：</w:t>
                        </w:r>
                        <w:r>
                          <w:rPr>
                            <w:rFonts w:ascii="宋体" w:hAnsi="宋体" w:cs="宋体" w:eastAsia="宋体" w:hint="default"/>
                            <w:sz w:val="18"/>
                            <w:szCs w:val="18"/>
                          </w:rPr>
                          <w:t>2018-099</w:t>
                        </w:r>
                        <w:r>
                          <w:rPr>
                            <w:rFonts w:ascii="宋体" w:hAnsi="宋体" w:cs="宋体" w:eastAsia="宋体" w:hint="default"/>
                            <w:sz w:val="18"/>
                            <w:szCs w:val="18"/>
                          </w:rPr>
                          <w:t>、 </w:t>
                        </w:r>
                        <w:r>
                          <w:rPr>
                            <w:rFonts w:ascii="宋体" w:hAnsi="宋体" w:cs="宋体" w:eastAsia="宋体" w:hint="default"/>
                            <w:sz w:val="18"/>
                            <w:szCs w:val="18"/>
                          </w:rPr>
                          <w:t>2018-104</w:t>
                        </w:r>
                        <w:r>
                          <w:rPr>
                            <w:rFonts w:ascii="宋体" w:hAnsi="宋体" w:cs="宋体" w:eastAsia="宋体" w:hint="default"/>
                            <w:sz w:val="18"/>
                            <w:szCs w:val="18"/>
                          </w:rPr>
                          <w:t>、</w:t>
                        </w:r>
                        <w:r>
                          <w:rPr>
                            <w:rFonts w:ascii="宋体" w:hAnsi="宋体" w:cs="宋体" w:eastAsia="宋体" w:hint="default"/>
                            <w:sz w:val="18"/>
                            <w:szCs w:val="18"/>
                          </w:rPr>
                          <w:t>2019</w:t>
                        </w:r>
                        <w:r>
                          <w:rPr>
                            <w:rFonts w:ascii="Times New Roman" w:hAnsi="Times New Roman" w:cs="Times New Roman" w:eastAsia="Times New Roman" w:hint="default"/>
                            <w:sz w:val="18"/>
                            <w:szCs w:val="18"/>
                          </w:rPr>
                          <w:t>-</w:t>
                        </w:r>
                        <w:r>
                          <w:rPr>
                            <w:rFonts w:ascii="宋体" w:hAnsi="宋体" w:cs="宋体" w:eastAsia="宋体" w:hint="default"/>
                            <w:sz w:val="18"/>
                            <w:szCs w:val="18"/>
                          </w:rPr>
                          <w:t>006</w:t>
                        </w:r>
                        <w:r>
                          <w:rPr>
                            <w:rFonts w:ascii="宋体" w:hAnsi="宋体" w:cs="宋体" w:eastAsia="宋体" w:hint="default"/>
                            <w:sz w:val="18"/>
                            <w:szCs w:val="18"/>
                          </w:rPr>
                          <w:t>、</w:t>
                        </w:r>
                        <w:r>
                          <w:rPr>
                            <w:rFonts w:ascii="宋体" w:hAnsi="宋体" w:cs="宋体" w:eastAsia="宋体" w:hint="default"/>
                            <w:sz w:val="18"/>
                            <w:szCs w:val="18"/>
                          </w:rPr>
                          <w:t>2019</w:t>
                        </w:r>
                        <w:r>
                          <w:rPr>
                            <w:rFonts w:ascii="Times New Roman" w:hAnsi="Times New Roman" w:cs="Times New Roman" w:eastAsia="Times New Roman" w:hint="default"/>
                            <w:sz w:val="18"/>
                            <w:szCs w:val="18"/>
                          </w:rPr>
                          <w:t>-</w:t>
                        </w:r>
                        <w:r>
                          <w:rPr>
                            <w:rFonts w:ascii="宋体" w:hAnsi="宋体" w:cs="宋体" w:eastAsia="宋体" w:hint="default"/>
                            <w:sz w:val="18"/>
                            <w:szCs w:val="18"/>
                          </w:rPr>
                          <w:t>012</w:t>
                        </w:r>
                      </w:p>
                    </w:tc>
                  </w:tr>
                  <w:tr>
                    <w:trPr>
                      <w:trHeight w:val="660" w:hRule="exact"/>
                    </w:trPr>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
                          <w:jc w:val="left"/>
                          <w:rPr>
                            <w:rFonts w:ascii="宋体" w:hAnsi="宋体" w:cs="宋体" w:eastAsia="宋体" w:hint="default"/>
                            <w:sz w:val="18"/>
                            <w:szCs w:val="18"/>
                          </w:rPr>
                        </w:pPr>
                        <w:r>
                          <w:rPr>
                            <w:rFonts w:ascii="宋体" w:hAnsi="宋体" w:cs="宋体" w:eastAsia="宋体" w:hint="default"/>
                            <w:spacing w:val="6"/>
                            <w:sz w:val="18"/>
                            <w:szCs w:val="18"/>
                          </w:rPr>
                          <w:t>（注</w:t>
                        </w:r>
                        <w:r>
                          <w:rPr>
                            <w:rFonts w:ascii="宋体" w:hAnsi="宋体" w:cs="宋体" w:eastAsia="宋体" w:hint="default"/>
                            <w:spacing w:val="6"/>
                            <w:sz w:val="18"/>
                            <w:szCs w:val="18"/>
                          </w:rPr>
                          <w:t>13</w:t>
                        </w:r>
                        <w:r>
                          <w:rPr>
                            <w:rFonts w:ascii="宋体" w:hAnsi="宋体" w:cs="宋体" w:eastAsia="宋体" w:hint="default"/>
                            <w:spacing w:val="6"/>
                            <w:sz w:val="18"/>
                            <w:szCs w:val="18"/>
                          </w:rPr>
                          <w:t>）签订战略合作框架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协议</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9</w:t>
                        </w:r>
                        <w:r>
                          <w:rPr>
                            <w:rFonts w:ascii="宋体" w:hAnsi="宋体" w:cs="宋体" w:eastAsia="宋体" w:hint="default"/>
                            <w:sz w:val="18"/>
                            <w:szCs w:val="18"/>
                          </w:rPr>
                          <w:t>月</w:t>
                        </w:r>
                        <w:r>
                          <w:rPr>
                            <w:rFonts w:ascii="宋体" w:hAnsi="宋体" w:cs="宋体" w:eastAsia="宋体" w:hint="default"/>
                            <w:sz w:val="18"/>
                            <w:szCs w:val="18"/>
                          </w:rPr>
                          <w:t>5</w:t>
                        </w:r>
                        <w:r>
                          <w:rPr>
                            <w:rFonts w:ascii="宋体" w:hAnsi="宋体" w:cs="宋体" w:eastAsia="宋体" w:hint="default"/>
                            <w:sz w:val="18"/>
                            <w:szCs w:val="18"/>
                          </w:rPr>
                          <w:t>日</w:t>
                        </w:r>
                      </w:p>
                    </w:tc>
                    <w:tc>
                      <w:tcPr>
                        <w:tcW w:w="302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90"/>
                          <w:jc w:val="left"/>
                          <w:rPr>
                            <w:rFonts w:ascii="宋体" w:hAnsi="宋体" w:cs="宋体" w:eastAsia="宋体" w:hint="default"/>
                            <w:sz w:val="18"/>
                            <w:szCs w:val="18"/>
                          </w:rPr>
                        </w:pPr>
                        <w:r>
                          <w:rPr>
                            <w:rFonts w:ascii="宋体" w:hAnsi="宋体" w:cs="宋体" w:eastAsia="宋体" w:hint="default"/>
                            <w:spacing w:val="-18"/>
                            <w:sz w:val="18"/>
                            <w:szCs w:val="18"/>
                          </w:rPr>
                          <w:t>披露媒体：《证券时报》、《中国证券报</w:t>
                        </w:r>
                        <w:r>
                          <w:rPr>
                            <w:rFonts w:ascii="宋体" w:hAnsi="宋体" w:cs="宋体" w:eastAsia="宋体" w:hint="default"/>
                            <w:sz w:val="18"/>
                            <w:szCs w:val="18"/>
                          </w:rPr>
                          <w:t> 及巨潮资讯网；公告编号：</w:t>
                        </w:r>
                        <w:r>
                          <w:rPr>
                            <w:rFonts w:ascii="宋体" w:hAnsi="宋体" w:cs="宋体" w:eastAsia="宋体" w:hint="default"/>
                            <w:sz w:val="18"/>
                            <w:szCs w:val="18"/>
                          </w:rPr>
                          <w:t>2018-102</w:t>
                        </w:r>
                      </w:p>
                    </w:tc>
                  </w:tr>
                  <w:tr>
                    <w:trPr>
                      <w:trHeight w:val="1595" w:hRule="exact"/>
                    </w:trPr>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z w:val="18"/>
                            <w:szCs w:val="18"/>
                          </w:rPr>
                          <w:t>14</w:t>
                        </w:r>
                        <w:r>
                          <w:rPr>
                            <w:rFonts w:ascii="宋体" w:hAnsi="宋体" w:cs="宋体" w:eastAsia="宋体" w:hint="default"/>
                            <w:sz w:val="18"/>
                            <w:szCs w:val="18"/>
                          </w:rPr>
                          <w:t>）回购公司股份事项</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both"/>
                          <w:rPr>
                            <w:rFonts w:ascii="宋体" w:hAnsi="宋体" w:cs="宋体" w:eastAsia="宋体" w:hint="default"/>
                            <w:sz w:val="18"/>
                            <w:szCs w:val="18"/>
                          </w:rPr>
                        </w:pPr>
                        <w:r>
                          <w:rPr>
                            <w:rFonts w:ascii="宋体" w:hAnsi="宋体" w:cs="宋体" w:eastAsia="宋体" w:hint="default"/>
                            <w:spacing w:val="-2"/>
                            <w:sz w:val="18"/>
                            <w:szCs w:val="18"/>
                          </w:rPr>
                          <w:t>2018</w:t>
                        </w:r>
                        <w:r>
                          <w:rPr>
                            <w:rFonts w:ascii="宋体" w:hAnsi="宋体" w:cs="宋体" w:eastAsia="宋体" w:hint="default"/>
                            <w:spacing w:val="-2"/>
                            <w:sz w:val="18"/>
                            <w:szCs w:val="18"/>
                          </w:rPr>
                          <w:t>年</w:t>
                        </w:r>
                        <w:r>
                          <w:rPr>
                            <w:rFonts w:ascii="宋体" w:hAnsi="宋体" w:cs="宋体" w:eastAsia="宋体" w:hint="default"/>
                            <w:spacing w:val="-2"/>
                            <w:sz w:val="18"/>
                            <w:szCs w:val="18"/>
                          </w:rPr>
                          <w:t>11</w:t>
                        </w:r>
                        <w:r>
                          <w:rPr>
                            <w:rFonts w:ascii="宋体" w:hAnsi="宋体" w:cs="宋体" w:eastAsia="宋体" w:hint="default"/>
                            <w:spacing w:val="-2"/>
                            <w:sz w:val="18"/>
                            <w:szCs w:val="18"/>
                          </w:rPr>
                          <w:t>月</w:t>
                        </w:r>
                        <w:r>
                          <w:rPr>
                            <w:rFonts w:ascii="宋体" w:hAnsi="宋体" w:cs="宋体" w:eastAsia="宋体" w:hint="default"/>
                            <w:spacing w:val="-2"/>
                            <w:sz w:val="18"/>
                            <w:szCs w:val="18"/>
                          </w:rPr>
                          <w:t>7</w:t>
                        </w:r>
                        <w:r>
                          <w:rPr>
                            <w:rFonts w:ascii="宋体" w:hAnsi="宋体" w:cs="宋体" w:eastAsia="宋体" w:hint="default"/>
                            <w:spacing w:val="-2"/>
                            <w:sz w:val="18"/>
                            <w:szCs w:val="18"/>
                          </w:rPr>
                          <w:t>日、</w:t>
                        </w:r>
                        <w:r>
                          <w:rPr>
                            <w:rFonts w:ascii="宋体" w:hAnsi="宋体" w:cs="宋体" w:eastAsia="宋体" w:hint="default"/>
                            <w:spacing w:val="-2"/>
                            <w:sz w:val="18"/>
                            <w:szCs w:val="18"/>
                          </w:rPr>
                          <w:t>2018</w:t>
                        </w:r>
                        <w:r>
                          <w:rPr>
                            <w:rFonts w:ascii="宋体" w:hAnsi="宋体" w:cs="宋体" w:eastAsia="宋体" w:hint="default"/>
                            <w:spacing w:val="-2"/>
                            <w:sz w:val="18"/>
                            <w:szCs w:val="18"/>
                          </w:rPr>
                          <w:t>年</w:t>
                        </w:r>
                        <w:r>
                          <w:rPr>
                            <w:rFonts w:ascii="宋体" w:hAnsi="宋体" w:cs="宋体" w:eastAsia="宋体" w:hint="default"/>
                            <w:spacing w:val="-2"/>
                            <w:sz w:val="18"/>
                            <w:szCs w:val="18"/>
                          </w:rPr>
                          <w:t>11</w:t>
                        </w:r>
                        <w:r>
                          <w:rPr>
                            <w:rFonts w:ascii="宋体" w:hAnsi="宋体" w:cs="宋体" w:eastAsia="宋体" w:hint="default"/>
                            <w:spacing w:val="-2"/>
                            <w:sz w:val="18"/>
                            <w:szCs w:val="18"/>
                          </w:rPr>
                          <w:t>月</w:t>
                        </w:r>
                        <w:r>
                          <w:rPr>
                            <w:rFonts w:ascii="宋体" w:hAnsi="宋体" w:cs="宋体" w:eastAsia="宋体" w:hint="default"/>
                            <w:spacing w:val="-2"/>
                            <w:sz w:val="18"/>
                            <w:szCs w:val="18"/>
                          </w:rPr>
                          <w:t>20</w:t>
                        </w:r>
                        <w:r>
                          <w:rPr>
                            <w:rFonts w:ascii="宋体" w:hAnsi="宋体" w:cs="宋体" w:eastAsia="宋体" w:hint="default"/>
                            <w:spacing w:val="-2"/>
                            <w:sz w:val="18"/>
                            <w:szCs w:val="18"/>
                          </w:rPr>
                          <w:t>日、</w:t>
                        </w:r>
                        <w:r>
                          <w:rPr>
                            <w:rFonts w:ascii="宋体" w:hAnsi="宋体" w:cs="宋体" w:eastAsia="宋体" w:hint="default"/>
                            <w:spacing w:val="-2"/>
                            <w:sz w:val="18"/>
                            <w:szCs w:val="18"/>
                          </w:rPr>
                          <w:t>2018</w:t>
                        </w:r>
                      </w:p>
                      <w:p>
                        <w:pPr>
                          <w:pStyle w:val="TableParagraph"/>
                          <w:spacing w:line="316" w:lineRule="auto" w:before="76"/>
                          <w:ind w:left="2" w:right="-18"/>
                          <w:jc w:val="both"/>
                          <w:rPr>
                            <w:rFonts w:ascii="宋体" w:hAnsi="宋体" w:cs="宋体" w:eastAsia="宋体" w:hint="default"/>
                            <w:sz w:val="18"/>
                            <w:szCs w:val="18"/>
                          </w:rPr>
                        </w:pPr>
                        <w:r>
                          <w:rPr>
                            <w:rFonts w:ascii="宋体" w:hAnsi="宋体" w:cs="宋体" w:eastAsia="宋体" w:hint="default"/>
                            <w:spacing w:val="-2"/>
                            <w:sz w:val="18"/>
                            <w:szCs w:val="18"/>
                          </w:rPr>
                          <w:t>年</w:t>
                        </w:r>
                        <w:r>
                          <w:rPr>
                            <w:rFonts w:ascii="宋体" w:hAnsi="宋体" w:cs="宋体" w:eastAsia="宋体" w:hint="default"/>
                            <w:spacing w:val="-2"/>
                            <w:sz w:val="18"/>
                            <w:szCs w:val="18"/>
                          </w:rPr>
                          <w:t>11</w:t>
                        </w:r>
                        <w:r>
                          <w:rPr>
                            <w:rFonts w:ascii="宋体" w:hAnsi="宋体" w:cs="宋体" w:eastAsia="宋体" w:hint="default"/>
                            <w:spacing w:val="-2"/>
                            <w:sz w:val="18"/>
                            <w:szCs w:val="18"/>
                          </w:rPr>
                          <w:t>月</w:t>
                        </w:r>
                        <w:r>
                          <w:rPr>
                            <w:rFonts w:ascii="宋体" w:hAnsi="宋体" w:cs="宋体" w:eastAsia="宋体" w:hint="default"/>
                            <w:spacing w:val="-2"/>
                            <w:sz w:val="18"/>
                            <w:szCs w:val="18"/>
                          </w:rPr>
                          <w:t>24</w:t>
                        </w:r>
                        <w:r>
                          <w:rPr>
                            <w:rFonts w:ascii="宋体" w:hAnsi="宋体" w:cs="宋体" w:eastAsia="宋体" w:hint="default"/>
                            <w:spacing w:val="-2"/>
                            <w:sz w:val="18"/>
                            <w:szCs w:val="18"/>
                          </w:rPr>
                          <w:t>日、</w:t>
                        </w:r>
                        <w:r>
                          <w:rPr>
                            <w:rFonts w:ascii="宋体" w:hAnsi="宋体" w:cs="宋体" w:eastAsia="宋体" w:hint="default"/>
                            <w:spacing w:val="-2"/>
                            <w:sz w:val="18"/>
                            <w:szCs w:val="18"/>
                          </w:rPr>
                          <w:t>2018</w:t>
                        </w:r>
                        <w:r>
                          <w:rPr>
                            <w:rFonts w:ascii="宋体" w:hAnsi="宋体" w:cs="宋体" w:eastAsia="宋体" w:hint="default"/>
                            <w:spacing w:val="-2"/>
                            <w:sz w:val="18"/>
                            <w:szCs w:val="18"/>
                          </w:rPr>
                          <w:t>年</w:t>
                        </w:r>
                        <w:r>
                          <w:rPr>
                            <w:rFonts w:ascii="宋体" w:hAnsi="宋体" w:cs="宋体" w:eastAsia="宋体" w:hint="default"/>
                            <w:spacing w:val="-2"/>
                            <w:sz w:val="18"/>
                            <w:szCs w:val="18"/>
                          </w:rPr>
                          <w:t>12</w:t>
                        </w:r>
                        <w:r>
                          <w:rPr>
                            <w:rFonts w:ascii="宋体" w:hAnsi="宋体" w:cs="宋体" w:eastAsia="宋体" w:hint="default"/>
                            <w:spacing w:val="-2"/>
                            <w:sz w:val="18"/>
                            <w:szCs w:val="18"/>
                          </w:rPr>
                          <w:t>月</w:t>
                        </w:r>
                        <w:r>
                          <w:rPr>
                            <w:rFonts w:ascii="宋体" w:hAnsi="宋体" w:cs="宋体" w:eastAsia="宋体" w:hint="default"/>
                            <w:spacing w:val="-2"/>
                            <w:sz w:val="18"/>
                            <w:szCs w:val="18"/>
                          </w:rPr>
                          <w:t>13</w:t>
                        </w:r>
                        <w:r>
                          <w:rPr>
                            <w:rFonts w:ascii="宋体" w:hAnsi="宋体" w:cs="宋体" w:eastAsia="宋体" w:hint="default"/>
                            <w:spacing w:val="-2"/>
                            <w:sz w:val="18"/>
                            <w:szCs w:val="18"/>
                          </w:rPr>
                          <w:t>日、</w:t>
                        </w:r>
                        <w:r>
                          <w:rPr>
                            <w:rFonts w:ascii="宋体" w:hAnsi="宋体" w:cs="宋体" w:eastAsia="宋体" w:hint="default"/>
                            <w:spacing w:val="-2"/>
                            <w:sz w:val="18"/>
                            <w:szCs w:val="18"/>
                          </w:rPr>
                          <w:t>2019</w:t>
                        </w:r>
                        <w:r>
                          <w:rPr>
                            <w:rFonts w:ascii="宋体" w:hAnsi="宋体" w:cs="宋体" w:eastAsia="宋体" w:hint="default"/>
                            <w:spacing w:val="-2"/>
                            <w:sz w:val="18"/>
                            <w:szCs w:val="18"/>
                          </w:rPr>
                          <w:t>年</w:t>
                        </w:r>
                        <w:r>
                          <w:rPr>
                            <w:rFonts w:ascii="宋体" w:hAnsi="宋体" w:cs="宋体" w:eastAsia="宋体" w:hint="default"/>
                            <w:spacing w:val="-2"/>
                            <w:sz w:val="18"/>
                            <w:szCs w:val="18"/>
                          </w:rPr>
                          <w:t>1</w:t>
                        </w:r>
                        <w:r>
                          <w:rPr>
                            <w:rFonts w:ascii="宋体" w:hAnsi="宋体" w:cs="宋体" w:eastAsia="宋体" w:hint="default"/>
                            <w:sz w:val="18"/>
                            <w:szCs w:val="18"/>
                          </w:rPr>
                          <w:t> </w:t>
                        </w:r>
                        <w:r>
                          <w:rPr>
                            <w:rFonts w:ascii="宋体" w:hAnsi="宋体" w:cs="宋体" w:eastAsia="宋体" w:hint="default"/>
                            <w:spacing w:val="-5"/>
                            <w:sz w:val="18"/>
                            <w:szCs w:val="18"/>
                          </w:rPr>
                          <w:t>月</w:t>
                        </w:r>
                        <w:r>
                          <w:rPr>
                            <w:rFonts w:ascii="宋体" w:hAnsi="宋体" w:cs="宋体" w:eastAsia="宋体" w:hint="default"/>
                            <w:spacing w:val="-5"/>
                            <w:sz w:val="18"/>
                            <w:szCs w:val="18"/>
                          </w:rPr>
                          <w:t>4</w:t>
                        </w:r>
                        <w:r>
                          <w:rPr>
                            <w:rFonts w:ascii="宋体" w:hAnsi="宋体" w:cs="宋体" w:eastAsia="宋体" w:hint="default"/>
                            <w:spacing w:val="-5"/>
                            <w:sz w:val="18"/>
                            <w:szCs w:val="18"/>
                          </w:rPr>
                          <w:t>日、</w:t>
                        </w:r>
                        <w:r>
                          <w:rPr>
                            <w:rFonts w:ascii="宋体" w:hAnsi="宋体" w:cs="宋体" w:eastAsia="宋体" w:hint="default"/>
                            <w:spacing w:val="-5"/>
                            <w:sz w:val="18"/>
                            <w:szCs w:val="18"/>
                          </w:rPr>
                          <w:t>2019</w:t>
                        </w:r>
                        <w:r>
                          <w:rPr>
                            <w:rFonts w:ascii="宋体" w:hAnsi="宋体" w:cs="宋体" w:eastAsia="宋体" w:hint="default"/>
                            <w:spacing w:val="-5"/>
                            <w:sz w:val="18"/>
                            <w:szCs w:val="18"/>
                          </w:rPr>
                          <w:t>年</w:t>
                        </w:r>
                        <w:r>
                          <w:rPr>
                            <w:rFonts w:ascii="宋体" w:hAnsi="宋体" w:cs="宋体" w:eastAsia="宋体" w:hint="default"/>
                            <w:spacing w:val="-5"/>
                            <w:sz w:val="18"/>
                            <w:szCs w:val="18"/>
                          </w:rPr>
                          <w:t>1</w:t>
                        </w:r>
                        <w:r>
                          <w:rPr>
                            <w:rFonts w:ascii="宋体" w:hAnsi="宋体" w:cs="宋体" w:eastAsia="宋体" w:hint="default"/>
                            <w:spacing w:val="-5"/>
                            <w:sz w:val="18"/>
                            <w:szCs w:val="18"/>
                          </w:rPr>
                          <w:t>月</w:t>
                        </w:r>
                        <w:r>
                          <w:rPr>
                            <w:rFonts w:ascii="宋体" w:hAnsi="宋体" w:cs="宋体" w:eastAsia="宋体" w:hint="default"/>
                            <w:spacing w:val="-5"/>
                            <w:sz w:val="18"/>
                            <w:szCs w:val="18"/>
                          </w:rPr>
                          <w:t>23</w:t>
                        </w:r>
                        <w:r>
                          <w:rPr>
                            <w:rFonts w:ascii="宋体" w:hAnsi="宋体" w:cs="宋体" w:eastAsia="宋体" w:hint="default"/>
                            <w:spacing w:val="-5"/>
                            <w:sz w:val="18"/>
                            <w:szCs w:val="18"/>
                          </w:rPr>
                          <w:t>日、</w:t>
                        </w:r>
                        <w:r>
                          <w:rPr>
                            <w:rFonts w:ascii="宋体" w:hAnsi="宋体" w:cs="宋体" w:eastAsia="宋体" w:hint="default"/>
                            <w:spacing w:val="-5"/>
                            <w:sz w:val="18"/>
                            <w:szCs w:val="18"/>
                          </w:rPr>
                          <w:t>2019</w:t>
                        </w:r>
                        <w:r>
                          <w:rPr>
                            <w:rFonts w:ascii="宋体" w:hAnsi="宋体" w:cs="宋体" w:eastAsia="宋体" w:hint="default"/>
                            <w:spacing w:val="-5"/>
                            <w:sz w:val="18"/>
                            <w:szCs w:val="18"/>
                          </w:rPr>
                          <w:t>年</w:t>
                        </w:r>
                        <w:r>
                          <w:rPr>
                            <w:rFonts w:ascii="宋体" w:hAnsi="宋体" w:cs="宋体" w:eastAsia="宋体" w:hint="default"/>
                            <w:spacing w:val="-5"/>
                            <w:sz w:val="18"/>
                            <w:szCs w:val="18"/>
                          </w:rPr>
                          <w:t>2</w:t>
                        </w:r>
                        <w:r>
                          <w:rPr>
                            <w:rFonts w:ascii="宋体" w:hAnsi="宋体" w:cs="宋体" w:eastAsia="宋体" w:hint="default"/>
                            <w:spacing w:val="-5"/>
                            <w:sz w:val="18"/>
                            <w:szCs w:val="18"/>
                          </w:rPr>
                          <w:t>月</w:t>
                        </w:r>
                        <w:r>
                          <w:rPr>
                            <w:rFonts w:ascii="宋体" w:hAnsi="宋体" w:cs="宋体" w:eastAsia="宋体" w:hint="default"/>
                            <w:spacing w:val="-5"/>
                            <w:sz w:val="18"/>
                            <w:szCs w:val="18"/>
                          </w:rPr>
                          <w:t>1</w:t>
                        </w:r>
                        <w:r>
                          <w:rPr>
                            <w:rFonts w:ascii="宋体" w:hAnsi="宋体" w:cs="宋体" w:eastAsia="宋体" w:hint="default"/>
                            <w:spacing w:val="-5"/>
                            <w:sz w:val="18"/>
                            <w:szCs w:val="18"/>
                          </w:rPr>
                          <w:t>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2</w:t>
                        </w:r>
                        <w:r>
                          <w:rPr>
                            <w:rFonts w:ascii="宋体" w:hAnsi="宋体" w:cs="宋体" w:eastAsia="宋体" w:hint="default"/>
                            <w:sz w:val="18"/>
                            <w:szCs w:val="18"/>
                          </w:rPr>
                          <w:t>日、</w:t>
                        </w: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4</w:t>
                        </w:r>
                        <w:r>
                          <w:rPr>
                            <w:rFonts w:ascii="宋体" w:hAnsi="宋体" w:cs="宋体" w:eastAsia="宋体" w:hint="default"/>
                            <w:sz w:val="18"/>
                            <w:szCs w:val="18"/>
                          </w:rPr>
                          <w:t>月</w:t>
                        </w:r>
                        <w:r>
                          <w:rPr>
                            <w:rFonts w:ascii="宋体" w:hAnsi="宋体" w:cs="宋体" w:eastAsia="宋体" w:hint="default"/>
                            <w:sz w:val="18"/>
                            <w:szCs w:val="18"/>
                          </w:rPr>
                          <w:t>2</w:t>
                        </w:r>
                        <w:r>
                          <w:rPr>
                            <w:rFonts w:ascii="宋体" w:hAnsi="宋体" w:cs="宋体" w:eastAsia="宋体" w:hint="default"/>
                            <w:sz w:val="18"/>
                            <w:szCs w:val="18"/>
                          </w:rPr>
                          <w:t>日</w:t>
                        </w:r>
                      </w:p>
                    </w:tc>
                    <w:tc>
                      <w:tcPr>
                        <w:tcW w:w="302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 w:right="-44"/>
                          <w:jc w:val="left"/>
                          <w:rPr>
                            <w:rFonts w:ascii="宋体" w:hAnsi="宋体" w:cs="宋体" w:eastAsia="宋体" w:hint="default"/>
                            <w:sz w:val="18"/>
                            <w:szCs w:val="18"/>
                          </w:rPr>
                        </w:pPr>
                        <w:r>
                          <w:rPr>
                            <w:rFonts w:ascii="宋体" w:hAnsi="宋体" w:cs="宋体" w:eastAsia="宋体" w:hint="default"/>
                            <w:spacing w:val="-18"/>
                            <w:sz w:val="18"/>
                            <w:szCs w:val="18"/>
                          </w:rPr>
                          <w:t>披露媒体：《证券时报》、《中国证券报</w:t>
                        </w:r>
                        <w:r>
                          <w:rPr>
                            <w:rFonts w:ascii="宋体" w:hAnsi="宋体" w:cs="宋体" w:eastAsia="宋体" w:hint="default"/>
                            <w:sz w:val="18"/>
                            <w:szCs w:val="18"/>
                          </w:rPr>
                          <w:t> 及巨潮资讯网；公告编号：</w:t>
                        </w:r>
                        <w:r>
                          <w:rPr>
                            <w:rFonts w:ascii="宋体" w:hAnsi="宋体" w:cs="宋体" w:eastAsia="宋体" w:hint="default"/>
                            <w:sz w:val="18"/>
                            <w:szCs w:val="18"/>
                          </w:rPr>
                          <w:t>2018-122</w:t>
                        </w:r>
                        <w:r>
                          <w:rPr>
                            <w:rFonts w:ascii="宋体" w:hAnsi="宋体" w:cs="宋体" w:eastAsia="宋体" w:hint="default"/>
                            <w:sz w:val="18"/>
                            <w:szCs w:val="18"/>
                          </w:rPr>
                          <w:t>、 </w:t>
                        </w:r>
                        <w:r>
                          <w:rPr>
                            <w:rFonts w:ascii="宋体" w:hAnsi="宋体" w:cs="宋体" w:eastAsia="宋体" w:hint="default"/>
                            <w:sz w:val="18"/>
                            <w:szCs w:val="18"/>
                          </w:rPr>
                          <w:t>2018-128</w:t>
                        </w:r>
                        <w:r>
                          <w:rPr>
                            <w:rFonts w:ascii="宋体" w:hAnsi="宋体" w:cs="宋体" w:eastAsia="宋体" w:hint="default"/>
                            <w:spacing w:val="-29"/>
                            <w:sz w:val="18"/>
                            <w:szCs w:val="18"/>
                          </w:rPr>
                          <w:t> </w:t>
                        </w:r>
                        <w:r>
                          <w:rPr>
                            <w:rFonts w:ascii="宋体" w:hAnsi="宋体" w:cs="宋体" w:eastAsia="宋体" w:hint="default"/>
                            <w:sz w:val="18"/>
                            <w:szCs w:val="18"/>
                          </w:rPr>
                          <w:t>、</w:t>
                        </w:r>
                        <w:r>
                          <w:rPr>
                            <w:rFonts w:ascii="宋体" w:hAnsi="宋体" w:cs="宋体" w:eastAsia="宋体" w:hint="default"/>
                            <w:spacing w:val="-29"/>
                            <w:sz w:val="18"/>
                            <w:szCs w:val="18"/>
                          </w:rPr>
                          <w:t> </w:t>
                        </w:r>
                        <w:r>
                          <w:rPr>
                            <w:rFonts w:ascii="宋体" w:hAnsi="宋体" w:cs="宋体" w:eastAsia="宋体" w:hint="default"/>
                            <w:sz w:val="18"/>
                            <w:szCs w:val="18"/>
                          </w:rPr>
                          <w:t>2018-129</w:t>
                        </w:r>
                        <w:r>
                          <w:rPr>
                            <w:rFonts w:ascii="宋体" w:hAnsi="宋体" w:cs="宋体" w:eastAsia="宋体" w:hint="default"/>
                            <w:spacing w:val="-29"/>
                            <w:sz w:val="18"/>
                            <w:szCs w:val="18"/>
                          </w:rPr>
                          <w:t> </w:t>
                        </w:r>
                        <w:r>
                          <w:rPr>
                            <w:rFonts w:ascii="宋体" w:hAnsi="宋体" w:cs="宋体" w:eastAsia="宋体" w:hint="default"/>
                            <w:sz w:val="18"/>
                            <w:szCs w:val="18"/>
                          </w:rPr>
                          <w:t>、</w:t>
                        </w:r>
                        <w:r>
                          <w:rPr>
                            <w:rFonts w:ascii="宋体" w:hAnsi="宋体" w:cs="宋体" w:eastAsia="宋体" w:hint="default"/>
                            <w:spacing w:val="-29"/>
                            <w:sz w:val="18"/>
                            <w:szCs w:val="18"/>
                          </w:rPr>
                          <w:t> </w:t>
                        </w:r>
                        <w:r>
                          <w:rPr>
                            <w:rFonts w:ascii="宋体" w:hAnsi="宋体" w:cs="宋体" w:eastAsia="宋体" w:hint="default"/>
                            <w:sz w:val="18"/>
                            <w:szCs w:val="18"/>
                          </w:rPr>
                          <w:t>2018-130</w:t>
                        </w:r>
                        <w:r>
                          <w:rPr>
                            <w:rFonts w:ascii="宋体" w:hAnsi="宋体" w:cs="宋体" w:eastAsia="宋体" w:hint="default"/>
                            <w:spacing w:val="-29"/>
                            <w:sz w:val="18"/>
                            <w:szCs w:val="18"/>
                          </w:rPr>
                          <w:t> </w:t>
                        </w:r>
                        <w:r>
                          <w:rPr>
                            <w:rFonts w:ascii="宋体" w:hAnsi="宋体" w:cs="宋体" w:eastAsia="宋体" w:hint="default"/>
                            <w:sz w:val="18"/>
                            <w:szCs w:val="18"/>
                          </w:rPr>
                          <w:t>、</w:t>
                        </w:r>
                      </w:p>
                      <w:p>
                        <w:pPr>
                          <w:pStyle w:val="TableParagraph"/>
                          <w:spacing w:line="240" w:lineRule="auto" w:before="19"/>
                          <w:ind w:left="3" w:right="0"/>
                          <w:jc w:val="left"/>
                          <w:rPr>
                            <w:rFonts w:ascii="宋体" w:hAnsi="宋体" w:cs="宋体" w:eastAsia="宋体" w:hint="default"/>
                            <w:sz w:val="18"/>
                            <w:szCs w:val="18"/>
                          </w:rPr>
                        </w:pPr>
                        <w:r>
                          <w:rPr>
                            <w:rFonts w:ascii="宋体" w:hAnsi="宋体" w:cs="宋体" w:eastAsia="宋体" w:hint="default"/>
                            <w:sz w:val="18"/>
                            <w:szCs w:val="18"/>
                          </w:rPr>
                          <w:t>2018-132</w:t>
                        </w:r>
                        <w:r>
                          <w:rPr>
                            <w:rFonts w:ascii="宋体" w:hAnsi="宋体" w:cs="宋体" w:eastAsia="宋体" w:hint="default"/>
                            <w:spacing w:val="-29"/>
                            <w:sz w:val="18"/>
                            <w:szCs w:val="18"/>
                          </w:rPr>
                          <w:t> </w:t>
                        </w:r>
                        <w:r>
                          <w:rPr>
                            <w:rFonts w:ascii="宋体" w:hAnsi="宋体" w:cs="宋体" w:eastAsia="宋体" w:hint="default"/>
                            <w:sz w:val="18"/>
                            <w:szCs w:val="18"/>
                          </w:rPr>
                          <w:t>、</w:t>
                        </w:r>
                        <w:r>
                          <w:rPr>
                            <w:rFonts w:ascii="宋体" w:hAnsi="宋体" w:cs="宋体" w:eastAsia="宋体" w:hint="default"/>
                            <w:spacing w:val="-29"/>
                            <w:sz w:val="18"/>
                            <w:szCs w:val="18"/>
                          </w:rPr>
                          <w:t> </w:t>
                        </w:r>
                        <w:r>
                          <w:rPr>
                            <w:rFonts w:ascii="宋体" w:hAnsi="宋体" w:cs="宋体" w:eastAsia="宋体" w:hint="default"/>
                            <w:sz w:val="18"/>
                            <w:szCs w:val="18"/>
                          </w:rPr>
                          <w:t>2019-009</w:t>
                        </w:r>
                        <w:r>
                          <w:rPr>
                            <w:rFonts w:ascii="宋体" w:hAnsi="宋体" w:cs="宋体" w:eastAsia="宋体" w:hint="default"/>
                            <w:spacing w:val="-29"/>
                            <w:sz w:val="18"/>
                            <w:szCs w:val="18"/>
                          </w:rPr>
                          <w:t> </w:t>
                        </w:r>
                        <w:r>
                          <w:rPr>
                            <w:rFonts w:ascii="宋体" w:hAnsi="宋体" w:cs="宋体" w:eastAsia="宋体" w:hint="default"/>
                            <w:sz w:val="18"/>
                            <w:szCs w:val="18"/>
                          </w:rPr>
                          <w:t>、</w:t>
                        </w:r>
                        <w:r>
                          <w:rPr>
                            <w:rFonts w:ascii="宋体" w:hAnsi="宋体" w:cs="宋体" w:eastAsia="宋体" w:hint="default"/>
                            <w:spacing w:val="-29"/>
                            <w:sz w:val="18"/>
                            <w:szCs w:val="18"/>
                          </w:rPr>
                          <w:t> </w:t>
                        </w:r>
                        <w:r>
                          <w:rPr>
                            <w:rFonts w:ascii="宋体" w:hAnsi="宋体" w:cs="宋体" w:eastAsia="宋体" w:hint="default"/>
                            <w:sz w:val="18"/>
                            <w:szCs w:val="18"/>
                          </w:rPr>
                          <w:t>2019-014</w:t>
                        </w:r>
                        <w:r>
                          <w:rPr>
                            <w:rFonts w:ascii="宋体" w:hAnsi="宋体" w:cs="宋体" w:eastAsia="宋体" w:hint="default"/>
                            <w:spacing w:val="-29"/>
                            <w:sz w:val="18"/>
                            <w:szCs w:val="18"/>
                          </w:rPr>
                          <w:t> </w:t>
                        </w:r>
                        <w:r>
                          <w:rPr>
                            <w:rFonts w:ascii="宋体" w:hAnsi="宋体" w:cs="宋体" w:eastAsia="宋体" w:hint="default"/>
                            <w:sz w:val="18"/>
                            <w:szCs w:val="18"/>
                          </w:rPr>
                          <w:t>、</w:t>
                        </w:r>
                      </w:p>
                      <w:p>
                        <w:pPr>
                          <w:pStyle w:val="TableParagraph"/>
                          <w:spacing w:line="240" w:lineRule="auto" w:before="76"/>
                          <w:ind w:left="3" w:right="0"/>
                          <w:jc w:val="left"/>
                          <w:rPr>
                            <w:rFonts w:ascii="宋体" w:hAnsi="宋体" w:cs="宋体" w:eastAsia="宋体" w:hint="default"/>
                            <w:sz w:val="18"/>
                            <w:szCs w:val="18"/>
                          </w:rPr>
                        </w:pPr>
                        <w:r>
                          <w:rPr>
                            <w:rFonts w:ascii="宋体" w:hAnsi="宋体" w:cs="宋体" w:eastAsia="宋体" w:hint="default"/>
                            <w:sz w:val="18"/>
                            <w:szCs w:val="18"/>
                          </w:rPr>
                          <w:t>2019-015</w:t>
                        </w:r>
                        <w:r>
                          <w:rPr>
                            <w:rFonts w:ascii="宋体" w:hAnsi="宋体" w:cs="宋体" w:eastAsia="宋体" w:hint="default"/>
                            <w:sz w:val="18"/>
                            <w:szCs w:val="18"/>
                          </w:rPr>
                          <w:t>、</w:t>
                        </w:r>
                        <w:r>
                          <w:rPr>
                            <w:rFonts w:ascii="宋体" w:hAnsi="宋体" w:cs="宋体" w:eastAsia="宋体" w:hint="default"/>
                            <w:sz w:val="18"/>
                            <w:szCs w:val="18"/>
                          </w:rPr>
                          <w:t>2019-024</w:t>
                        </w:r>
                        <w:r>
                          <w:rPr>
                            <w:rFonts w:ascii="宋体" w:hAnsi="宋体" w:cs="宋体" w:eastAsia="宋体" w:hint="default"/>
                            <w:sz w:val="18"/>
                            <w:szCs w:val="18"/>
                          </w:rPr>
                          <w:t>、</w:t>
                        </w:r>
                        <w:r>
                          <w:rPr>
                            <w:rFonts w:ascii="宋体" w:hAnsi="宋体" w:cs="宋体" w:eastAsia="宋体" w:hint="default"/>
                            <w:sz w:val="18"/>
                            <w:szCs w:val="18"/>
                          </w:rPr>
                          <w:t>2019-039</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40" w:lineRule="auto"/>
        <w:ind w:left="0" w:right="2274"/>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pStyle w:val="BodyText"/>
        <w:spacing w:line="240" w:lineRule="auto"/>
        <w:ind w:left="0" w:right="2274"/>
        <w:jc w:val="right"/>
      </w:pPr>
      <w:r>
        <w:rPr/>
        <w:t>》</w:t>
      </w:r>
    </w:p>
    <w:p>
      <w:pPr>
        <w:spacing w:line="240" w:lineRule="auto" w:before="12"/>
        <w:rPr>
          <w:rFonts w:ascii="宋体" w:hAnsi="宋体" w:cs="宋体" w:eastAsia="宋体" w:hint="default"/>
          <w:sz w:val="28"/>
          <w:szCs w:val="28"/>
        </w:rPr>
      </w:pPr>
    </w:p>
    <w:p>
      <w:pPr>
        <w:pStyle w:val="BodyText"/>
        <w:spacing w:line="240" w:lineRule="auto" w:before="44"/>
        <w:ind w:left="0" w:right="2274"/>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p>
      <w:pPr>
        <w:pStyle w:val="Heading2"/>
        <w:spacing w:line="240" w:lineRule="auto" w:before="26"/>
        <w:ind w:right="0"/>
        <w:jc w:val="left"/>
        <w:rPr>
          <w:b w:val="0"/>
          <w:bCs w:val="0"/>
        </w:rPr>
      </w:pPr>
      <w:bookmarkStart w:name="二十、公司子公司重大事项" w:id="105"/>
      <w:bookmarkEnd w:id="105"/>
      <w:r>
        <w:rPr>
          <w:b w:val="0"/>
          <w:bCs w:val="0"/>
        </w:rPr>
      </w:r>
      <w:r>
        <w:rPr/>
        <w:t>二十、公司子公司重大事项</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1"/>
        <w:rPr>
          <w:rFonts w:ascii="宋体" w:hAnsi="宋体" w:cs="宋体" w:eastAsia="宋体" w:hint="default"/>
          <w:sz w:val="14"/>
          <w:szCs w:val="14"/>
        </w:rPr>
      </w:pPr>
    </w:p>
    <w:p>
      <w:pPr>
        <w:spacing w:line="477" w:lineRule="auto" w:before="0"/>
        <w:ind w:left="574" w:right="2412" w:firstLine="62"/>
        <w:jc w:val="left"/>
        <w:rPr>
          <w:rFonts w:ascii="宋体" w:hAnsi="宋体" w:cs="宋体" w:eastAsia="宋体" w:hint="default"/>
          <w:sz w:val="18"/>
          <w:szCs w:val="18"/>
        </w:rPr>
      </w:pPr>
      <w:r>
        <w:rPr>
          <w:rFonts w:ascii="宋体" w:hAnsi="宋体" w:cs="宋体" w:eastAsia="宋体" w:hint="default"/>
          <w:b/>
          <w:bCs/>
          <w:sz w:val="18"/>
          <w:szCs w:val="18"/>
        </w:rPr>
        <w:t>1</w:t>
      </w:r>
      <w:r>
        <w:rPr>
          <w:rFonts w:ascii="宋体" w:hAnsi="宋体" w:cs="宋体" w:eastAsia="宋体" w:hint="default"/>
          <w:b/>
          <w:bCs/>
          <w:sz w:val="18"/>
          <w:szCs w:val="18"/>
        </w:rPr>
        <w:t>、注销分公司</w:t>
      </w:r>
      <w:r>
        <w:rPr>
          <w:rFonts w:ascii="宋体" w:hAnsi="宋体" w:cs="宋体" w:eastAsia="宋体" w:hint="default"/>
          <w:b/>
          <w:bCs/>
          <w:w w:val="99"/>
          <w:sz w:val="18"/>
          <w:szCs w:val="18"/>
        </w:rPr>
        <w:t> </w:t>
      </w:r>
      <w:r>
        <w:rPr>
          <w:rFonts w:ascii="宋体" w:hAnsi="宋体" w:cs="宋体" w:eastAsia="宋体" w:hint="default"/>
          <w:sz w:val="18"/>
          <w:szCs w:val="18"/>
        </w:rPr>
        <w:t>深圳市卓翼科技股份有限公司宝安分公司因无实际业务开展，于</w:t>
      </w: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1</w:t>
      </w:r>
      <w:r>
        <w:rPr>
          <w:rFonts w:ascii="宋体" w:hAnsi="宋体" w:cs="宋体" w:eastAsia="宋体" w:hint="default"/>
          <w:sz w:val="18"/>
          <w:szCs w:val="18"/>
        </w:rPr>
        <w:t>月</w:t>
      </w:r>
      <w:r>
        <w:rPr>
          <w:rFonts w:ascii="宋体" w:hAnsi="宋体" w:cs="宋体" w:eastAsia="宋体" w:hint="default"/>
          <w:sz w:val="18"/>
          <w:szCs w:val="18"/>
        </w:rPr>
        <w:t>8</w:t>
      </w:r>
      <w:r>
        <w:rPr>
          <w:rFonts w:ascii="宋体" w:hAnsi="宋体" w:cs="宋体" w:eastAsia="宋体" w:hint="default"/>
          <w:sz w:val="18"/>
          <w:szCs w:val="18"/>
        </w:rPr>
        <w:t>日完成了注销登记手续。 </w:t>
      </w:r>
      <w:r>
        <w:rPr>
          <w:rFonts w:ascii="宋体" w:hAnsi="宋体" w:cs="宋体" w:eastAsia="宋体" w:hint="default"/>
          <w:b/>
          <w:bCs/>
          <w:sz w:val="18"/>
          <w:szCs w:val="18"/>
        </w:rPr>
        <w:t>2</w:t>
      </w:r>
      <w:r>
        <w:rPr>
          <w:rFonts w:ascii="宋体" w:hAnsi="宋体" w:cs="宋体" w:eastAsia="宋体" w:hint="default"/>
          <w:b/>
          <w:bCs/>
          <w:sz w:val="18"/>
          <w:szCs w:val="18"/>
        </w:rPr>
        <w:t>、注销股权投资基金公司</w:t>
      </w:r>
      <w:r>
        <w:rPr>
          <w:rFonts w:ascii="宋体" w:hAnsi="宋体" w:cs="宋体" w:eastAsia="宋体" w:hint="default"/>
          <w:sz w:val="18"/>
          <w:szCs w:val="18"/>
        </w:rPr>
      </w:r>
    </w:p>
    <w:p>
      <w:pPr>
        <w:pStyle w:val="BodyText"/>
        <w:spacing w:line="477" w:lineRule="auto" w:before="54"/>
        <w:ind w:right="1132" w:firstLine="480"/>
        <w:jc w:val="both"/>
      </w:pPr>
      <w:r>
        <w:rPr>
          <w:rFonts w:ascii="宋体" w:hAnsi="宋体" w:cs="宋体" w:eastAsia="宋体" w:hint="default"/>
          <w:spacing w:val="-1"/>
        </w:rPr>
        <w:t>2018</w:t>
      </w:r>
      <w:r>
        <w:rPr>
          <w:spacing w:val="-1"/>
        </w:rPr>
        <w:t>年</w:t>
      </w:r>
      <w:r>
        <w:rPr>
          <w:rFonts w:ascii="宋体" w:hAnsi="宋体" w:cs="宋体" w:eastAsia="宋体" w:hint="default"/>
          <w:spacing w:val="-1"/>
        </w:rPr>
        <w:t>2</w:t>
      </w:r>
      <w:r>
        <w:rPr>
          <w:spacing w:val="-1"/>
        </w:rPr>
        <w:t>月</w:t>
      </w:r>
      <w:r>
        <w:rPr>
          <w:rFonts w:ascii="宋体" w:hAnsi="宋体" w:cs="宋体" w:eastAsia="宋体" w:hint="default"/>
          <w:spacing w:val="-1"/>
        </w:rPr>
        <w:t>5</w:t>
      </w:r>
      <w:r>
        <w:rPr>
          <w:spacing w:val="-1"/>
        </w:rPr>
        <w:t>日，公司召开第四届董事会第十七次会议、第四届监事会第十二次会议，审议通过了《关于注销股权投资</w:t>
      </w:r>
      <w:r>
        <w:rPr/>
        <w:t> </w:t>
      </w:r>
      <w:r>
        <w:rPr>
          <w:spacing w:val="-6"/>
        </w:rPr>
        <w:t>基金公司的议案》，为了简化流程、提高投资效率、更易于项目孵化和业务开展，公司调整股权架构，由</w:t>
      </w:r>
      <w:r>
        <w:rPr>
          <w:rFonts w:ascii="宋体" w:hAnsi="宋体" w:cs="宋体" w:eastAsia="宋体" w:hint="default"/>
          <w:spacing w:val="-6"/>
        </w:rPr>
        <w:t>Itasca</w:t>
      </w:r>
      <w:r>
        <w:rPr>
          <w:rFonts w:ascii="宋体" w:hAnsi="宋体" w:cs="宋体" w:eastAsia="宋体" w:hint="default"/>
          <w:spacing w:val="-23"/>
        </w:rPr>
        <w:t> </w:t>
      </w:r>
      <w:r>
        <w:rPr>
          <w:rFonts w:ascii="宋体" w:hAnsi="宋体" w:cs="宋体" w:eastAsia="宋体" w:hint="default"/>
        </w:rPr>
        <w:t>Holding</w:t>
      </w:r>
      <w:r>
        <w:rPr>
          <w:rFonts w:ascii="宋体" w:hAnsi="宋体" w:cs="宋体" w:eastAsia="宋体" w:hint="default"/>
          <w:spacing w:val="-23"/>
        </w:rPr>
        <w:t> </w:t>
      </w:r>
      <w:r>
        <w:rPr>
          <w:rFonts w:ascii="宋体" w:hAnsi="宋体" w:cs="宋体" w:eastAsia="宋体" w:hint="default"/>
          <w:spacing w:val="-1"/>
        </w:rPr>
        <w:t>Ltd.</w:t>
      </w:r>
      <w:r>
        <w:rPr>
          <w:rFonts w:ascii="宋体" w:hAnsi="宋体" w:cs="宋体" w:eastAsia="宋体" w:hint="default"/>
          <w:spacing w:val="-85"/>
        </w:rPr>
        <w:t> </w:t>
      </w:r>
      <w:r>
        <w:rPr>
          <w:rFonts w:ascii="宋体" w:hAnsi="宋体" w:cs="宋体" w:eastAsia="宋体" w:hint="default"/>
          <w:spacing w:val="-85"/>
        </w:rPr>
      </w:r>
      <w:r>
        <w:rPr/>
        <w:t>承接了</w:t>
      </w:r>
      <w:r>
        <w:rPr>
          <w:rFonts w:ascii="宋体" w:hAnsi="宋体" w:cs="宋体" w:eastAsia="宋体" w:hint="default"/>
        </w:rPr>
        <w:t>Haxis Fund I,L.P.</w:t>
      </w:r>
      <w:r>
        <w:rPr/>
        <w:t>的海外全部投资功能，故董事会同意注销海外股权投资基金公司</w:t>
      </w:r>
      <w:r>
        <w:rPr>
          <w:rFonts w:ascii="宋体" w:hAnsi="宋体" w:cs="宋体" w:eastAsia="宋体" w:hint="default"/>
        </w:rPr>
        <w:t>Haxis Fund</w:t>
      </w:r>
      <w:r>
        <w:rPr>
          <w:rFonts w:ascii="宋体" w:hAnsi="宋体" w:cs="宋体" w:eastAsia="宋体" w:hint="default"/>
          <w:spacing w:val="9"/>
        </w:rPr>
        <w:t> </w:t>
      </w:r>
      <w:r>
        <w:rPr>
          <w:rFonts w:ascii="宋体" w:hAnsi="宋体" w:cs="宋体" w:eastAsia="宋体" w:hint="default"/>
          <w:spacing w:val="-9"/>
        </w:rPr>
        <w:t>I,L.P.</w:t>
      </w:r>
      <w:r>
        <w:rPr>
          <w:spacing w:val="-9"/>
        </w:rPr>
        <w:t>。（注</w:t>
      </w:r>
      <w:r>
        <w:rPr>
          <w:rFonts w:ascii="宋体" w:hAnsi="宋体" w:cs="宋体" w:eastAsia="宋体" w:hint="default"/>
          <w:spacing w:val="-9"/>
        </w:rPr>
        <w:t>1</w:t>
      </w:r>
      <w:r>
        <w:rPr>
          <w:spacing w:val="-9"/>
        </w:rPr>
        <w:t>）</w:t>
      </w:r>
    </w:p>
    <w:p>
      <w:pPr>
        <w:pStyle w:val="Heading5"/>
        <w:spacing w:line="240" w:lineRule="auto" w:before="54"/>
        <w:ind w:left="636" w:right="0"/>
        <w:jc w:val="left"/>
        <w:rPr>
          <w:b w:val="0"/>
          <w:bCs w:val="0"/>
        </w:rPr>
      </w:pPr>
      <w:r>
        <w:rPr>
          <w:rFonts w:ascii="宋体" w:hAnsi="宋体" w:cs="宋体" w:eastAsia="宋体" w:hint="default"/>
        </w:rPr>
        <w:t>3</w:t>
      </w:r>
      <w:r>
        <w:rPr/>
        <w:t>、投资设立孙公司</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right="1131" w:firstLine="480"/>
        <w:jc w:val="left"/>
      </w:pPr>
      <w:r>
        <w:rPr>
          <w:rFonts w:ascii="宋体" w:hAnsi="宋体" w:cs="宋体" w:eastAsia="宋体" w:hint="default"/>
        </w:rPr>
        <w:t>2019</w:t>
      </w:r>
      <w:r>
        <w:rPr/>
        <w:t>年</w:t>
      </w:r>
      <w:r>
        <w:rPr>
          <w:rFonts w:ascii="宋体" w:hAnsi="宋体" w:cs="宋体" w:eastAsia="宋体" w:hint="default"/>
        </w:rPr>
        <w:t>1</w:t>
      </w:r>
      <w:r>
        <w:rPr/>
        <w:t>月，公司之全资子公司中广物联为满足发展需要，推进落实公司的战略规划，出资</w:t>
      </w:r>
      <w:r>
        <w:rPr>
          <w:rFonts w:ascii="宋体" w:hAnsi="宋体" w:cs="宋体" w:eastAsia="宋体" w:hint="default"/>
        </w:rPr>
        <w:t>1000</w:t>
      </w:r>
      <w:r>
        <w:rPr/>
        <w:t>万元人民币在陕西省 西安市投资设立全资子公司</w:t>
      </w:r>
      <w:r>
        <w:rPr>
          <w:rFonts w:ascii="宋体" w:hAnsi="宋体" w:cs="宋体" w:eastAsia="宋体" w:hint="default"/>
        </w:rPr>
        <w:t>-</w:t>
      </w:r>
      <w:r>
        <w:rPr/>
        <w:t>西安卓华联盛科技有限公司。该公司的设立将有利于公司为华为提供配套研发支持，提高公司 </w:t>
      </w:r>
      <w:r>
        <w:rPr>
          <w:spacing w:val="-2"/>
        </w:rPr>
        <w:t>产品研发效率和创新能力，满足多样化的市场需求，并依托公司的产品研发、应用技术及产能多地域布局等优势，来更好地</w:t>
      </w:r>
      <w:r>
        <w:rPr>
          <w:spacing w:val="-66"/>
        </w:rPr>
        <w:t> </w:t>
      </w:r>
      <w:r>
        <w:rPr>
          <w:spacing w:val="-66"/>
        </w:rPr>
      </w:r>
      <w:r>
        <w:rPr>
          <w:spacing w:val="-4"/>
        </w:rPr>
        <w:t>实施业务发展战略、加快落实公司的战略部署。（注</w:t>
      </w:r>
      <w:r>
        <w:rPr>
          <w:rFonts w:ascii="宋体" w:hAnsi="宋体" w:cs="宋体" w:eastAsia="宋体" w:hint="default"/>
          <w:spacing w:val="-4"/>
        </w:rPr>
        <w:t>2</w:t>
      </w:r>
      <w:r>
        <w:rPr>
          <w:spacing w:val="-4"/>
        </w:rPr>
        <w:t>）</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pStyle w:val="BodyText"/>
        <w:spacing w:line="240" w:lineRule="auto" w:before="44"/>
        <w:ind w:left="0" w:right="2274"/>
        <w:jc w:val="right"/>
      </w:pPr>
      <w:r>
        <w:rPr/>
        <w:pict>
          <v:shape style="position:absolute;margin-left:56.34pt;margin-top:-16.928234pt;width:421.9pt;height:99.65pt;mso-position-horizontal-relative:page;mso-position-vertical-relative:paragraph;z-index:1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68"/>
                    <w:gridCol w:w="3119"/>
                    <w:gridCol w:w="3028"/>
                  </w:tblGrid>
                  <w:tr>
                    <w:trPr>
                      <w:trHeight w:val="341" w:hRule="exact"/>
                    </w:trPr>
                    <w:tc>
                      <w:tcPr>
                        <w:tcW w:w="2268" w:type="dxa"/>
                        <w:tcBorders>
                          <w:top w:val="single" w:sz="6" w:space="0" w:color="000000"/>
                          <w:left w:val="single" w:sz="6" w:space="0" w:color="000000"/>
                          <w:bottom w:val="single" w:sz="6" w:space="0" w:color="000000"/>
                          <w:right w:val="single" w:sz="6" w:space="0" w:color="000000"/>
                        </w:tcBorders>
                        <w:shd w:val="clear" w:color="auto" w:fill="BDBDBD"/>
                      </w:tcPr>
                      <w:p>
                        <w:pPr>
                          <w:pStyle w:val="TableParagraph"/>
                          <w:spacing w:line="240" w:lineRule="auto" w:before="20"/>
                          <w:ind w:left="585" w:right="0"/>
                          <w:jc w:val="left"/>
                          <w:rPr>
                            <w:rFonts w:ascii="宋体" w:hAnsi="宋体" w:cs="宋体" w:eastAsia="宋体" w:hint="default"/>
                            <w:sz w:val="18"/>
                            <w:szCs w:val="18"/>
                          </w:rPr>
                        </w:pPr>
                        <w:r>
                          <w:rPr>
                            <w:rFonts w:ascii="宋体" w:hAnsi="宋体" w:cs="宋体" w:eastAsia="宋体" w:hint="default"/>
                            <w:sz w:val="18"/>
                            <w:szCs w:val="18"/>
                          </w:rPr>
                          <w:t>重要事项概述</w:t>
                        </w:r>
                      </w:p>
                    </w:tc>
                    <w:tc>
                      <w:tcPr>
                        <w:tcW w:w="3119" w:type="dxa"/>
                        <w:tcBorders>
                          <w:top w:val="single" w:sz="6" w:space="0" w:color="000000"/>
                          <w:left w:val="single" w:sz="6" w:space="0" w:color="000000"/>
                          <w:bottom w:val="single" w:sz="6" w:space="0" w:color="000000"/>
                          <w:right w:val="single" w:sz="6" w:space="0" w:color="000000"/>
                        </w:tcBorders>
                        <w:shd w:val="clear" w:color="auto" w:fill="BDBDBD"/>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3028" w:type="dxa"/>
                        <w:tcBorders>
                          <w:top w:val="single" w:sz="6" w:space="0" w:color="000000"/>
                          <w:left w:val="single" w:sz="6" w:space="0" w:color="000000"/>
                          <w:bottom w:val="single" w:sz="6" w:space="0" w:color="000000"/>
                          <w:right w:val="single" w:sz="6" w:space="0" w:color="000000"/>
                        </w:tcBorders>
                        <w:shd w:val="clear" w:color="auto" w:fill="BDBDBD"/>
                      </w:tcPr>
                      <w:p>
                        <w:pPr>
                          <w:pStyle w:val="TableParagraph"/>
                          <w:spacing w:line="240" w:lineRule="auto" w:before="20"/>
                          <w:ind w:left="427" w:right="0"/>
                          <w:jc w:val="left"/>
                          <w:rPr>
                            <w:rFonts w:ascii="宋体" w:hAnsi="宋体" w:cs="宋体" w:eastAsia="宋体" w:hint="default"/>
                            <w:sz w:val="18"/>
                            <w:szCs w:val="18"/>
                          </w:rPr>
                        </w:pPr>
                        <w:r>
                          <w:rPr>
                            <w:rFonts w:ascii="宋体" w:hAnsi="宋体" w:cs="宋体" w:eastAsia="宋体" w:hint="default"/>
                            <w:sz w:val="18"/>
                            <w:szCs w:val="18"/>
                          </w:rPr>
                          <w:t>临时报告披露网站查询索引</w:t>
                        </w:r>
                      </w:p>
                    </w:tc>
                  </w:tr>
                  <w:tr>
                    <w:trPr>
                      <w:trHeight w:val="977" w:hRule="exact"/>
                    </w:trPr>
                    <w:tc>
                      <w:tcPr>
                        <w:tcW w:w="2268" w:type="dxa"/>
                        <w:tcBorders>
                          <w:top w:val="single" w:sz="10" w:space="0" w:color="000000"/>
                          <w:left w:val="single" w:sz="6" w:space="0" w:color="000000"/>
                          <w:bottom w:val="single" w:sz="6" w:space="0" w:color="000000"/>
                          <w:right w:val="single" w:sz="6" w:space="0" w:color="000000"/>
                        </w:tcBorders>
                      </w:tcPr>
                      <w:p>
                        <w:pPr>
                          <w:pStyle w:val="TableParagraph"/>
                          <w:spacing w:line="316" w:lineRule="auto" w:before="21"/>
                          <w:ind w:left="2" w:right="1"/>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z w:val="18"/>
                            <w:szCs w:val="18"/>
                          </w:rPr>
                          <w:t>1</w:t>
                        </w:r>
                        <w:r>
                          <w:rPr>
                            <w:rFonts w:ascii="宋体" w:hAnsi="宋体" w:cs="宋体" w:eastAsia="宋体" w:hint="default"/>
                            <w:sz w:val="18"/>
                            <w:szCs w:val="18"/>
                          </w:rPr>
                          <w:t>）注销股权投资基金公 司</w:t>
                        </w:r>
                      </w:p>
                    </w:tc>
                    <w:tc>
                      <w:tcPr>
                        <w:tcW w:w="3119"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2</w:t>
                        </w:r>
                        <w:r>
                          <w:rPr>
                            <w:rFonts w:ascii="宋体" w:hAnsi="宋体" w:cs="宋体" w:eastAsia="宋体" w:hint="default"/>
                            <w:sz w:val="18"/>
                            <w:szCs w:val="18"/>
                          </w:rPr>
                          <w:t>月</w:t>
                        </w:r>
                        <w:r>
                          <w:rPr>
                            <w:rFonts w:ascii="宋体" w:hAnsi="宋体" w:cs="宋体" w:eastAsia="宋体" w:hint="default"/>
                            <w:sz w:val="18"/>
                            <w:szCs w:val="18"/>
                          </w:rPr>
                          <w:t>7</w:t>
                        </w:r>
                        <w:r>
                          <w:rPr>
                            <w:rFonts w:ascii="宋体" w:hAnsi="宋体" w:cs="宋体" w:eastAsia="宋体" w:hint="default"/>
                            <w:sz w:val="18"/>
                            <w:szCs w:val="18"/>
                          </w:rPr>
                          <w:t>日、</w:t>
                        </w: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4</w:t>
                        </w:r>
                        <w:r>
                          <w:rPr>
                            <w:rFonts w:ascii="宋体" w:hAnsi="宋体" w:cs="宋体" w:eastAsia="宋体" w:hint="default"/>
                            <w:sz w:val="18"/>
                            <w:szCs w:val="18"/>
                          </w:rPr>
                          <w:t>月</w:t>
                        </w:r>
                        <w:r>
                          <w:rPr>
                            <w:rFonts w:ascii="宋体" w:hAnsi="宋体" w:cs="宋体" w:eastAsia="宋体" w:hint="default"/>
                            <w:sz w:val="18"/>
                            <w:szCs w:val="18"/>
                          </w:rPr>
                          <w:t>19</w:t>
                        </w:r>
                        <w:r>
                          <w:rPr>
                            <w:rFonts w:ascii="宋体" w:hAnsi="宋体" w:cs="宋体" w:eastAsia="宋体" w:hint="default"/>
                            <w:sz w:val="18"/>
                            <w:szCs w:val="18"/>
                          </w:rPr>
                          <w:t>日</w:t>
                        </w:r>
                      </w:p>
                    </w:tc>
                    <w:tc>
                      <w:tcPr>
                        <w:tcW w:w="3028" w:type="dxa"/>
                        <w:tcBorders>
                          <w:top w:val="single" w:sz="10" w:space="0" w:color="000000"/>
                          <w:left w:val="single" w:sz="6" w:space="0" w:color="000000"/>
                          <w:bottom w:val="single" w:sz="6" w:space="0" w:color="000000"/>
                          <w:right w:val="single" w:sz="6" w:space="0" w:color="000000"/>
                        </w:tcBorders>
                      </w:tcPr>
                      <w:p>
                        <w:pPr>
                          <w:pStyle w:val="TableParagraph"/>
                          <w:spacing w:line="319" w:lineRule="auto" w:before="21"/>
                          <w:ind w:left="3" w:right="-51"/>
                          <w:jc w:val="left"/>
                          <w:rPr>
                            <w:rFonts w:ascii="宋体" w:hAnsi="宋体" w:cs="宋体" w:eastAsia="宋体" w:hint="default"/>
                            <w:sz w:val="18"/>
                            <w:szCs w:val="18"/>
                          </w:rPr>
                        </w:pPr>
                        <w:r>
                          <w:rPr>
                            <w:rFonts w:ascii="宋体" w:hAnsi="宋体" w:cs="宋体" w:eastAsia="宋体" w:hint="default"/>
                            <w:spacing w:val="-18"/>
                            <w:sz w:val="18"/>
                            <w:szCs w:val="18"/>
                          </w:rPr>
                          <w:t>披露媒体：《证券时报》、《中国证券报</w:t>
                        </w:r>
                        <w:r>
                          <w:rPr>
                            <w:rFonts w:ascii="宋体" w:hAnsi="宋体" w:cs="宋体" w:eastAsia="宋体" w:hint="default"/>
                            <w:sz w:val="18"/>
                            <w:szCs w:val="18"/>
                          </w:rPr>
                          <w:t> 及巨潮资讯网；公告编号：</w:t>
                        </w:r>
                        <w:r>
                          <w:rPr>
                            <w:rFonts w:ascii="宋体" w:hAnsi="宋体" w:cs="宋体" w:eastAsia="宋体" w:hint="default"/>
                            <w:sz w:val="18"/>
                            <w:szCs w:val="18"/>
                          </w:rPr>
                          <w:t>2018-014</w:t>
                        </w:r>
                        <w:r>
                          <w:rPr>
                            <w:rFonts w:ascii="宋体" w:hAnsi="宋体" w:cs="宋体" w:eastAsia="宋体" w:hint="default"/>
                            <w:sz w:val="18"/>
                            <w:szCs w:val="18"/>
                          </w:rPr>
                          <w:t>、 </w:t>
                        </w:r>
                        <w:r>
                          <w:rPr>
                            <w:rFonts w:ascii="宋体" w:hAnsi="宋体" w:cs="宋体" w:eastAsia="宋体" w:hint="default"/>
                            <w:sz w:val="18"/>
                            <w:szCs w:val="18"/>
                          </w:rPr>
                          <w:t>2018-036</w:t>
                        </w:r>
                      </w:p>
                    </w:tc>
                  </w:tr>
                  <w:tr>
                    <w:trPr>
                      <w:trHeight w:val="660" w:hRule="exact"/>
                    </w:trPr>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z w:val="18"/>
                            <w:szCs w:val="18"/>
                          </w:rPr>
                          <w:t>2</w:t>
                        </w:r>
                        <w:r>
                          <w:rPr>
                            <w:rFonts w:ascii="宋体" w:hAnsi="宋体" w:cs="宋体" w:eastAsia="宋体" w:hint="default"/>
                            <w:sz w:val="18"/>
                            <w:szCs w:val="18"/>
                          </w:rPr>
                          <w:t>）投资设立孙公司</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1</w:t>
                        </w:r>
                        <w:r>
                          <w:rPr>
                            <w:rFonts w:ascii="宋体" w:hAnsi="宋体" w:cs="宋体" w:eastAsia="宋体" w:hint="default"/>
                            <w:sz w:val="18"/>
                            <w:szCs w:val="18"/>
                          </w:rPr>
                          <w:t>月</w:t>
                        </w:r>
                        <w:r>
                          <w:rPr>
                            <w:rFonts w:ascii="宋体" w:hAnsi="宋体" w:cs="宋体" w:eastAsia="宋体" w:hint="default"/>
                            <w:sz w:val="18"/>
                            <w:szCs w:val="18"/>
                          </w:rPr>
                          <w:t>9</w:t>
                        </w:r>
                        <w:r>
                          <w:rPr>
                            <w:rFonts w:ascii="宋体" w:hAnsi="宋体" w:cs="宋体" w:eastAsia="宋体" w:hint="default"/>
                            <w:sz w:val="18"/>
                            <w:szCs w:val="18"/>
                          </w:rPr>
                          <w:t>日</w:t>
                        </w:r>
                      </w:p>
                    </w:tc>
                    <w:tc>
                      <w:tcPr>
                        <w:tcW w:w="302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90"/>
                          <w:jc w:val="left"/>
                          <w:rPr>
                            <w:rFonts w:ascii="宋体" w:hAnsi="宋体" w:cs="宋体" w:eastAsia="宋体" w:hint="default"/>
                            <w:sz w:val="18"/>
                            <w:szCs w:val="18"/>
                          </w:rPr>
                        </w:pPr>
                        <w:r>
                          <w:rPr>
                            <w:rFonts w:ascii="宋体" w:hAnsi="宋体" w:cs="宋体" w:eastAsia="宋体" w:hint="default"/>
                            <w:spacing w:val="-18"/>
                            <w:sz w:val="18"/>
                            <w:szCs w:val="18"/>
                          </w:rPr>
                          <w:t>披露媒体：《证券时报》、《中国证券报</w:t>
                        </w:r>
                        <w:r>
                          <w:rPr>
                            <w:rFonts w:ascii="宋体" w:hAnsi="宋体" w:cs="宋体" w:eastAsia="宋体" w:hint="default"/>
                            <w:sz w:val="18"/>
                            <w:szCs w:val="18"/>
                          </w:rPr>
                          <w:t> 及巨潮资讯网；公告编号：</w:t>
                        </w:r>
                        <w:r>
                          <w:rPr>
                            <w:rFonts w:ascii="宋体" w:hAnsi="宋体" w:cs="宋体" w:eastAsia="宋体" w:hint="default"/>
                            <w:sz w:val="18"/>
                            <w:szCs w:val="18"/>
                          </w:rPr>
                          <w:t>2019-010</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40" w:lineRule="auto"/>
        <w:ind w:left="0" w:right="2274"/>
        <w:jc w:val="right"/>
      </w:pPr>
      <w:r>
        <w:rPr/>
        <w:t>》</w:t>
      </w:r>
    </w:p>
    <w:p>
      <w:pPr>
        <w:spacing w:after="0" w:line="240" w:lineRule="auto"/>
        <w:jc w:val="right"/>
        <w:sectPr>
          <w:pgSz w:w="11910" w:h="16840"/>
          <w:pgMar w:header="0" w:footer="1019" w:top="1120" w:bottom="120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pStyle w:val="Heading1"/>
        <w:spacing w:line="240" w:lineRule="auto"/>
        <w:ind w:left="2966" w:right="0"/>
        <w:jc w:val="left"/>
        <w:rPr>
          <w:b w:val="0"/>
          <w:bCs w:val="0"/>
        </w:rPr>
      </w:pPr>
      <w:bookmarkStart w:name="第六节 股份变动及股东情况" w:id="106"/>
      <w:bookmarkEnd w:id="106"/>
      <w:r>
        <w:rPr>
          <w:b w:val="0"/>
          <w:bCs w:val="0"/>
        </w:rPr>
      </w:r>
      <w:bookmarkStart w:name="_bookmark5" w:id="107"/>
      <w:bookmarkEnd w:id="107"/>
      <w:r>
        <w:rPr>
          <w:b w:val="0"/>
          <w:bCs w:val="0"/>
        </w:rPr>
      </w:r>
      <w:r>
        <w:rPr/>
        <w:t>第六节</w:t>
      </w:r>
      <w:r>
        <w:rPr>
          <w:spacing w:val="-10"/>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股份变动情况" w:id="108"/>
      <w:bookmarkEnd w:id="108"/>
      <w:r>
        <w:rPr>
          <w:b w:val="0"/>
          <w:bCs w:val="0"/>
        </w:rPr>
      </w:r>
      <w:r>
        <w:rPr/>
        <w:t>一、股份变动情况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股份变动情况" w:id="109"/>
      <w:bookmarkEnd w:id="109"/>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单位：股</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58"/>
        <w:gridCol w:w="1116"/>
        <w:gridCol w:w="862"/>
        <w:gridCol w:w="765"/>
        <w:gridCol w:w="518"/>
        <w:gridCol w:w="887"/>
        <w:gridCol w:w="1086"/>
        <w:gridCol w:w="1086"/>
        <w:gridCol w:w="1116"/>
        <w:gridCol w:w="862"/>
      </w:tblGrid>
      <w:tr>
        <w:trPr>
          <w:trHeight w:val="402" w:hRule="exact"/>
        </w:trPr>
        <w:tc>
          <w:tcPr>
            <w:tcW w:w="1558" w:type="dxa"/>
            <w:vMerge w:val="restart"/>
            <w:tcBorders>
              <w:top w:val="single" w:sz="4" w:space="0" w:color="000000"/>
              <w:left w:val="single" w:sz="4" w:space="0" w:color="000000"/>
              <w:right w:val="single" w:sz="4" w:space="0" w:color="000000"/>
            </w:tcBorders>
            <w:shd w:val="clear" w:color="auto" w:fill="D2D2D2"/>
          </w:tcPr>
          <w:p>
            <w:pPr/>
          </w:p>
        </w:tc>
        <w:tc>
          <w:tcPr>
            <w:tcW w:w="197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33"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34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76"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97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33"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4" w:hRule="exact"/>
        </w:trPr>
        <w:tc>
          <w:tcPr>
            <w:tcW w:w="1558" w:type="dxa"/>
            <w:vMerge/>
            <w:tcBorders>
              <w:left w:val="single" w:sz="4" w:space="0" w:color="000000"/>
              <w:bottom w:val="single" w:sz="4" w:space="0" w:color="000000"/>
              <w:right w:val="single" w:sz="4" w:space="0" w:color="000000"/>
            </w:tcBorders>
            <w:shd w:val="clear" w:color="auto" w:fill="D2D2D2"/>
          </w:tcPr>
          <w:p>
            <w:pPr/>
          </w:p>
        </w:tc>
        <w:tc>
          <w:tcPr>
            <w:tcW w:w="11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8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87" w:right="106" w:hanging="181"/>
              <w:jc w:val="left"/>
              <w:rPr>
                <w:rFonts w:ascii="宋体" w:hAnsi="宋体" w:cs="宋体" w:eastAsia="宋体" w:hint="default"/>
                <w:sz w:val="18"/>
                <w:szCs w:val="18"/>
              </w:rPr>
            </w:pPr>
            <w:r>
              <w:rPr>
                <w:rFonts w:ascii="宋体" w:hAnsi="宋体" w:cs="宋体" w:eastAsia="宋体" w:hint="default"/>
                <w:sz w:val="18"/>
                <w:szCs w:val="18"/>
              </w:rPr>
              <w:t>发行新 股</w:t>
            </w:r>
          </w:p>
        </w:tc>
        <w:tc>
          <w:tcPr>
            <w:tcW w:w="5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63" w:right="163"/>
              <w:jc w:val="left"/>
              <w:rPr>
                <w:rFonts w:ascii="宋体" w:hAnsi="宋体" w:cs="宋体" w:eastAsia="宋体" w:hint="default"/>
                <w:sz w:val="18"/>
                <w:szCs w:val="18"/>
              </w:rPr>
            </w:pPr>
            <w:r>
              <w:rPr>
                <w:rFonts w:ascii="宋体" w:hAnsi="宋体" w:cs="宋体" w:eastAsia="宋体" w:hint="default"/>
                <w:sz w:val="18"/>
                <w:szCs w:val="18"/>
              </w:rPr>
              <w:t>送 股</w:t>
            </w:r>
          </w:p>
        </w:tc>
        <w:tc>
          <w:tcPr>
            <w:tcW w:w="8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7" w:right="167"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1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7"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8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6"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714"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83"/>
              <w:jc w:val="left"/>
              <w:rPr>
                <w:rFonts w:ascii="宋体" w:hAnsi="宋体" w:cs="宋体" w:eastAsia="宋体" w:hint="default"/>
                <w:sz w:val="18"/>
                <w:szCs w:val="18"/>
              </w:rPr>
            </w:pPr>
            <w:r>
              <w:rPr>
                <w:rFonts w:ascii="宋体" w:hAnsi="宋体" w:cs="宋体" w:eastAsia="宋体" w:hint="default"/>
                <w:sz w:val="18"/>
                <w:szCs w:val="18"/>
              </w:rPr>
              <w:t>一、有限售条件 股份</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161,228,294</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27.75%</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18,865,230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18,865,230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180,093,524</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31.05%</w:t>
            </w:r>
          </w:p>
        </w:tc>
      </w:tr>
      <w:tr>
        <w:trPr>
          <w:trHeight w:val="402"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160,558,294</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27.63%</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19,032,730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19,032,730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179,591,024</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30.96%</w:t>
            </w:r>
          </w:p>
        </w:tc>
      </w:tr>
      <w:tr>
        <w:trPr>
          <w:trHeight w:val="714"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83"/>
              <w:jc w:val="left"/>
              <w:rPr>
                <w:rFonts w:ascii="宋体" w:hAnsi="宋体" w:cs="宋体" w:eastAsia="宋体" w:hint="default"/>
                <w:sz w:val="18"/>
                <w:szCs w:val="18"/>
              </w:rPr>
            </w:pPr>
            <w:r>
              <w:rPr>
                <w:rFonts w:ascii="宋体" w:hAnsi="宋体" w:cs="宋体" w:eastAsia="宋体" w:hint="default"/>
                <w:sz w:val="18"/>
                <w:szCs w:val="18"/>
              </w:rPr>
              <w:t>其中：境内法人 持股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50,131,881</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8.63%</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50,131,881</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8.64%</w:t>
            </w:r>
          </w:p>
        </w:tc>
      </w:tr>
      <w:tr>
        <w:trPr>
          <w:trHeight w:val="714"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境内自然</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人持股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110,426,413</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19.00%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19,032,730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19,032,730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129,459,143</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22.32%</w:t>
            </w:r>
          </w:p>
        </w:tc>
      </w:tr>
      <w:tr>
        <w:trPr>
          <w:trHeight w:val="402"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670,000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0.12%</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-167,500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-167,500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502,500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0.09%</w:t>
            </w:r>
          </w:p>
        </w:tc>
      </w:tr>
      <w:tr>
        <w:trPr>
          <w:trHeight w:val="714"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83"/>
              <w:jc w:val="left"/>
              <w:rPr>
                <w:rFonts w:ascii="宋体" w:hAnsi="宋体" w:cs="宋体" w:eastAsia="宋体" w:hint="default"/>
                <w:sz w:val="18"/>
                <w:szCs w:val="18"/>
              </w:rPr>
            </w:pPr>
            <w:r>
              <w:rPr>
                <w:rFonts w:ascii="宋体" w:hAnsi="宋体" w:cs="宋体" w:eastAsia="宋体" w:hint="default"/>
                <w:sz w:val="18"/>
                <w:szCs w:val="18"/>
              </w:rPr>
              <w:t>其中：境外法人 持股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境外自然</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人持股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670,000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0.12%</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-167,500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-167,500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502,500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0.09%</w:t>
            </w:r>
          </w:p>
        </w:tc>
      </w:tr>
      <w:tr>
        <w:trPr>
          <w:trHeight w:val="714"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83"/>
              <w:jc w:val="left"/>
              <w:rPr>
                <w:rFonts w:ascii="宋体" w:hAnsi="宋体" w:cs="宋体" w:eastAsia="宋体" w:hint="default"/>
                <w:sz w:val="18"/>
                <w:szCs w:val="18"/>
              </w:rPr>
            </w:pPr>
            <w:r>
              <w:rPr>
                <w:rFonts w:ascii="宋体" w:hAnsi="宋体" w:cs="宋体" w:eastAsia="宋体" w:hint="default"/>
                <w:sz w:val="18"/>
                <w:szCs w:val="18"/>
              </w:rPr>
              <w:t>二、无限售条件 股份</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419,810,910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72.25%</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-19,932,730</w:t>
            </w:r>
            <w:r>
              <w:rPr>
                <w:rFonts w:ascii="Times New Roman"/>
                <w:sz w:val="18"/>
              </w:rPr>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-19,932,730</w:t>
            </w:r>
            <w:r>
              <w:rPr>
                <w:rFonts w:ascii="Times New Roman"/>
                <w:sz w:val="18"/>
              </w:rPr>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399,878,180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68.95%</w:t>
            </w:r>
          </w:p>
        </w:tc>
      </w:tr>
      <w:tr>
        <w:trPr>
          <w:trHeight w:val="402"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419,810,910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72.25%</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-19,932,730</w:t>
            </w:r>
            <w:r>
              <w:rPr>
                <w:rFonts w:ascii="Times New Roman"/>
                <w:sz w:val="18"/>
              </w:rPr>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-19,932,730</w:t>
            </w:r>
            <w:r>
              <w:rPr>
                <w:rFonts w:ascii="Times New Roman"/>
                <w:sz w:val="18"/>
              </w:rPr>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399,878,180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68.95%</w:t>
            </w:r>
          </w:p>
        </w:tc>
      </w:tr>
      <w:tr>
        <w:trPr>
          <w:trHeight w:val="714"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、境内上市的外</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资股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、境外上市的外</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资股</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581,039,204</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-1,067,500</w:t>
            </w:r>
            <w:r>
              <w:rPr>
                <w:rFonts w:ascii="Times New Roman"/>
                <w:sz w:val="18"/>
              </w:rPr>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-1,067,500</w:t>
            </w:r>
            <w:r>
              <w:rPr>
                <w:rFonts w:ascii="Times New Roman"/>
                <w:sz w:val="18"/>
              </w:rPr>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579,971,704</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240" w:lineRule="auto" w:before="51"/>
        <w:ind w:right="0"/>
        <w:jc w:val="left"/>
      </w:pPr>
      <w:r>
        <w:rPr/>
        <w:t>股份变动的原因</w:t>
      </w:r>
    </w:p>
    <w:p>
      <w:pPr>
        <w:pStyle w:val="BodyText"/>
        <w:spacing w:line="240" w:lineRule="auto" w:before="117"/>
        <w:ind w:right="0"/>
        <w:jc w:val="left"/>
      </w:pPr>
      <w:r>
        <w:rPr/>
        <w:t>√ 适用 □ 不适用</w:t>
      </w:r>
    </w:p>
    <w:p>
      <w:pPr>
        <w:spacing w:line="240" w:lineRule="auto" w:before="10"/>
        <w:rPr>
          <w:rFonts w:ascii="宋体" w:hAnsi="宋体" w:cs="宋体" w:eastAsia="宋体" w:hint="default"/>
          <w:sz w:val="14"/>
          <w:szCs w:val="14"/>
        </w:rPr>
      </w:pPr>
    </w:p>
    <w:p>
      <w:pPr>
        <w:pStyle w:val="BodyText"/>
        <w:spacing w:line="240" w:lineRule="auto"/>
        <w:ind w:left="514" w:right="0"/>
        <w:jc w:val="left"/>
      </w:pPr>
      <w:r>
        <w:rPr>
          <w:rFonts w:ascii="Times New Roman" w:hAnsi="Times New Roman" w:cs="Times New Roman" w:eastAsia="Times New Roman" w:hint="default"/>
        </w:rPr>
        <w:t>1</w:t>
      </w:r>
      <w:r>
        <w:rPr/>
        <w:t>、报告期新增</w:t>
      </w:r>
      <w:r>
        <w:rPr>
          <w:rFonts w:ascii="宋体" w:hAnsi="宋体" w:cs="宋体" w:eastAsia="宋体" w:hint="default"/>
        </w:rPr>
        <w:t>18,865,230</w:t>
      </w:r>
      <w:r>
        <w:rPr/>
        <w:t>股限售股份，为新增高管锁定股。</w:t>
      </w:r>
    </w:p>
    <w:p>
      <w:pPr>
        <w:spacing w:after="0" w:line="240"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51" w:lineRule="auto" w:before="44"/>
        <w:ind w:right="0" w:firstLine="360"/>
        <w:jc w:val="left"/>
      </w:pPr>
      <w:r>
        <w:rPr>
          <w:rFonts w:ascii="宋体" w:hAnsi="宋体" w:cs="宋体" w:eastAsia="宋体" w:hint="default"/>
        </w:rPr>
        <w:t>2</w:t>
      </w:r>
      <w:r>
        <w:rPr/>
        <w:t>、根据公司《</w:t>
      </w:r>
      <w:r>
        <w:rPr>
          <w:rFonts w:ascii="Times New Roman" w:hAnsi="Times New Roman" w:cs="Times New Roman" w:eastAsia="Times New Roman" w:hint="default"/>
        </w:rPr>
        <w:t>2017</w:t>
      </w:r>
      <w:r>
        <w:rPr/>
        <w:t>年股票期权与限制性股票激励计划</w:t>
      </w:r>
      <w:r>
        <w:rPr>
          <w:rFonts w:ascii="Times New Roman" w:hAnsi="Times New Roman" w:cs="Times New Roman" w:eastAsia="Times New Roman" w:hint="default"/>
        </w:rPr>
        <w:t>(</w:t>
      </w:r>
      <w:r>
        <w:rPr/>
        <w:t>草案</w:t>
      </w:r>
      <w:r>
        <w:rPr>
          <w:rFonts w:ascii="Times New Roman" w:hAnsi="Times New Roman" w:cs="Times New Roman" w:eastAsia="Times New Roman" w:hint="default"/>
        </w:rPr>
        <w:t>)</w:t>
      </w:r>
      <w:r>
        <w:rPr/>
        <w:t>》的相关规定，因公司</w:t>
      </w:r>
      <w:r>
        <w:rPr>
          <w:rFonts w:ascii="Times New Roman" w:hAnsi="Times New Roman" w:cs="Times New Roman" w:eastAsia="Times New Roman" w:hint="default"/>
        </w:rPr>
        <w:t>2017</w:t>
      </w:r>
      <w:r>
        <w:rPr/>
        <w:t>年度业绩未达到解锁条件，公 </w:t>
      </w:r>
      <w:r>
        <w:rPr>
          <w:spacing w:val="-1"/>
        </w:rPr>
        <w:t>司将第一期即获授限制性股票总数的</w:t>
      </w:r>
      <w:r>
        <w:rPr>
          <w:rFonts w:ascii="Times New Roman" w:hAnsi="Times New Roman" w:cs="Times New Roman" w:eastAsia="Times New Roman" w:hint="default"/>
          <w:spacing w:val="-1"/>
        </w:rPr>
        <w:t>25%</w:t>
      </w:r>
      <w:r>
        <w:rPr>
          <w:spacing w:val="-1"/>
        </w:rPr>
        <w:t>进行回购注销，合计回购注销限制性股票</w:t>
      </w:r>
      <w:r>
        <w:rPr>
          <w:rFonts w:ascii="Times New Roman" w:hAnsi="Times New Roman" w:cs="Times New Roman" w:eastAsia="Times New Roman" w:hint="default"/>
          <w:spacing w:val="-1"/>
        </w:rPr>
        <w:t>106.75</w:t>
      </w:r>
      <w:r>
        <w:rPr>
          <w:spacing w:val="-1"/>
        </w:rPr>
        <w:t>万股。公司于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3</w:t>
      </w:r>
      <w:r>
        <w:rPr>
          <w:spacing w:val="-1"/>
        </w:rPr>
        <w:t>日在中国</w:t>
      </w:r>
      <w:r>
        <w:rPr>
          <w:spacing w:val="-37"/>
        </w:rPr>
        <w:t> </w:t>
      </w:r>
      <w:r>
        <w:rPr/>
        <w:t>证券登记结算有限责任公司深圳分公司办理完成回购注销手续。</w:t>
      </w:r>
    </w:p>
    <w:p>
      <w:pPr>
        <w:pStyle w:val="BodyText"/>
        <w:spacing w:line="240" w:lineRule="auto" w:before="115"/>
        <w:ind w:right="0"/>
        <w:jc w:val="left"/>
      </w:pPr>
      <w:r>
        <w:rPr/>
        <w:t>股份变动的批准情况</w:t>
      </w:r>
    </w:p>
    <w:p>
      <w:pPr>
        <w:spacing w:line="240" w:lineRule="auto" w:before="12"/>
        <w:rPr>
          <w:rFonts w:ascii="宋体" w:hAnsi="宋体" w:cs="宋体" w:eastAsia="宋体" w:hint="default"/>
          <w:sz w:val="20"/>
          <w:szCs w:val="20"/>
        </w:rPr>
      </w:pPr>
    </w:p>
    <w:p>
      <w:pPr>
        <w:pStyle w:val="BodyText"/>
        <w:spacing w:line="516" w:lineRule="auto"/>
        <w:ind w:left="514" w:right="1122" w:hanging="360"/>
        <w:jc w:val="left"/>
      </w:pPr>
      <w:r>
        <w:rPr/>
        <w:t>√ 适用 □ 不适用 公司于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23</w:t>
      </w:r>
      <w:r>
        <w:rPr/>
        <w:t>日召开第四届董事会第二十次会议，审议通过了《关于注销部分股票期权及回购注销部分限制性股</w:t>
      </w:r>
    </w:p>
    <w:p>
      <w:pPr>
        <w:pStyle w:val="BodyText"/>
        <w:spacing w:line="489" w:lineRule="auto"/>
        <w:ind w:right="7064"/>
        <w:jc w:val="left"/>
      </w:pPr>
      <w:r>
        <w:rPr>
          <w:spacing w:val="-4"/>
        </w:rPr>
        <w:t>票的议案》，并经</w:t>
      </w:r>
      <w:r>
        <w:rPr>
          <w:rFonts w:ascii="Times New Roman" w:hAnsi="Times New Roman" w:cs="Times New Roman" w:eastAsia="Times New Roman" w:hint="default"/>
          <w:spacing w:val="-4"/>
        </w:rPr>
        <w:t>2017</w:t>
      </w:r>
      <w:r>
        <w:rPr>
          <w:spacing w:val="-4"/>
        </w:rPr>
        <w:t>年度股东大会审批通过。</w:t>
      </w:r>
      <w:r>
        <w:rPr/>
        <w:t> 股份变动的过户情况</w:t>
      </w:r>
    </w:p>
    <w:p>
      <w:pPr>
        <w:pStyle w:val="BodyText"/>
        <w:spacing w:line="516" w:lineRule="auto" w:before="86"/>
        <w:ind w:left="514" w:right="1167" w:hanging="360"/>
        <w:jc w:val="left"/>
      </w:pPr>
      <w:r>
        <w:rPr/>
        <w:t>√ 适用 □ 不适用 截止</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日，上述需回购注销的</w:t>
      </w:r>
      <w:r>
        <w:rPr>
          <w:rFonts w:ascii="Times New Roman" w:hAnsi="Times New Roman" w:cs="Times New Roman" w:eastAsia="Times New Roman" w:hint="default"/>
        </w:rPr>
        <w:t>106.75</w:t>
      </w:r>
      <w:r>
        <w:rPr/>
        <w:t>万限制性股票已回购至公司专户，并于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3</w:t>
      </w:r>
      <w:r>
        <w:rPr/>
        <w:t>日在中国证券登记结</w:t>
      </w:r>
    </w:p>
    <w:p>
      <w:pPr>
        <w:pStyle w:val="BodyText"/>
        <w:spacing w:line="518" w:lineRule="auto"/>
        <w:ind w:right="6612"/>
        <w:jc w:val="left"/>
      </w:pPr>
      <w:r>
        <w:rPr/>
        <w:t>算有限责任公司深圳分公司办理完成回购注销手续。 股份回购的实施进展情况</w:t>
      </w:r>
    </w:p>
    <w:p>
      <w:pPr>
        <w:pStyle w:val="BodyText"/>
        <w:spacing w:line="516" w:lineRule="auto" w:before="64"/>
        <w:ind w:left="514" w:right="1122" w:hanging="360"/>
        <w:jc w:val="left"/>
        <w:rPr>
          <w:rFonts w:ascii="宋体" w:hAnsi="宋体" w:cs="宋体" w:eastAsia="宋体" w:hint="default"/>
        </w:rPr>
      </w:pPr>
      <w:r>
        <w:rPr/>
        <w:t>√ 适用 □ 不适用 </w:t>
      </w:r>
      <w:r>
        <w:rPr>
          <w:spacing w:val="-3"/>
        </w:rPr>
        <w:t>公司于</w:t>
      </w:r>
      <w:r>
        <w:rPr>
          <w:rFonts w:ascii="宋体" w:hAnsi="宋体" w:cs="宋体" w:eastAsia="宋体" w:hint="default"/>
          <w:spacing w:val="-3"/>
        </w:rPr>
        <w:t>2018</w:t>
      </w:r>
      <w:r>
        <w:rPr>
          <w:spacing w:val="-3"/>
        </w:rPr>
        <w:t>年</w:t>
      </w:r>
      <w:r>
        <w:rPr>
          <w:rFonts w:ascii="宋体" w:hAnsi="宋体" w:cs="宋体" w:eastAsia="宋体" w:hint="default"/>
          <w:spacing w:val="-3"/>
        </w:rPr>
        <w:t>11</w:t>
      </w:r>
      <w:r>
        <w:rPr>
          <w:spacing w:val="-3"/>
        </w:rPr>
        <w:t>月</w:t>
      </w:r>
      <w:r>
        <w:rPr>
          <w:rFonts w:ascii="宋体" w:hAnsi="宋体" w:cs="宋体" w:eastAsia="宋体" w:hint="default"/>
          <w:spacing w:val="-3"/>
        </w:rPr>
        <w:t>6</w:t>
      </w:r>
      <w:r>
        <w:rPr>
          <w:spacing w:val="-3"/>
        </w:rPr>
        <w:t>日召开第四届董事会第三十二次会议，审议通过了《关于回购公司股份的预案》，并于</w:t>
      </w:r>
      <w:r>
        <w:rPr>
          <w:rFonts w:ascii="宋体" w:hAnsi="宋体" w:cs="宋体" w:eastAsia="宋体" w:hint="default"/>
          <w:spacing w:val="-3"/>
        </w:rPr>
        <w:t>2018</w:t>
      </w:r>
      <w:r>
        <w:rPr>
          <w:spacing w:val="-3"/>
        </w:rPr>
        <w:t>年</w:t>
      </w:r>
      <w:r>
        <w:rPr>
          <w:rFonts w:ascii="宋体" w:hAnsi="宋体" w:cs="宋体" w:eastAsia="宋体" w:hint="default"/>
          <w:spacing w:val="-3"/>
        </w:rPr>
        <w:t>11</w:t>
      </w:r>
      <w:r>
        <w:rPr>
          <w:spacing w:val="-3"/>
        </w:rPr>
        <w:t>月</w:t>
      </w:r>
      <w:r>
        <w:rPr>
          <w:rFonts w:ascii="宋体" w:hAnsi="宋体" w:cs="宋体" w:eastAsia="宋体" w:hint="default"/>
          <w:spacing w:val="-3"/>
        </w:rPr>
        <w:t>23</w:t>
      </w:r>
    </w:p>
    <w:p>
      <w:pPr>
        <w:pStyle w:val="BodyText"/>
        <w:spacing w:line="477" w:lineRule="auto" w:before="26"/>
        <w:ind w:right="0"/>
        <w:jc w:val="left"/>
      </w:pPr>
      <w:r>
        <w:rPr>
          <w:spacing w:val="-2"/>
        </w:rPr>
        <w:t>日召开</w:t>
      </w:r>
      <w:r>
        <w:rPr>
          <w:rFonts w:ascii="宋体" w:hAnsi="宋体" w:cs="宋体" w:eastAsia="宋体" w:hint="default"/>
          <w:spacing w:val="-2"/>
        </w:rPr>
        <w:t>2018</w:t>
      </w:r>
      <w:r>
        <w:rPr>
          <w:spacing w:val="-2"/>
        </w:rPr>
        <w:t>年第七次临时股东大会审议通过上述议案。公司拟使用自有资金以集中竞价交易方式回购部分公司股份，回购总</w:t>
      </w:r>
      <w:r>
        <w:rPr>
          <w:spacing w:val="-60"/>
        </w:rPr>
        <w:t> </w:t>
      </w:r>
      <w:r>
        <w:rPr>
          <w:spacing w:val="-60"/>
        </w:rPr>
      </w:r>
      <w:r>
        <w:rPr>
          <w:spacing w:val="-2"/>
        </w:rPr>
        <w:t>金额不低于人民币</w:t>
      </w:r>
      <w:r>
        <w:rPr>
          <w:rFonts w:ascii="宋体" w:hAnsi="宋体" w:cs="宋体" w:eastAsia="宋体" w:hint="default"/>
          <w:spacing w:val="-2"/>
        </w:rPr>
        <w:t>15,000</w:t>
      </w:r>
      <w:r>
        <w:rPr>
          <w:spacing w:val="-2"/>
        </w:rPr>
        <w:t>万元、最高不超过人民币</w:t>
      </w:r>
      <w:r>
        <w:rPr>
          <w:rFonts w:ascii="宋体" w:hAnsi="宋体" w:cs="宋体" w:eastAsia="宋体" w:hint="default"/>
          <w:spacing w:val="-2"/>
        </w:rPr>
        <w:t>30,000</w:t>
      </w:r>
      <w:r>
        <w:rPr>
          <w:spacing w:val="-2"/>
        </w:rPr>
        <w:t>万元，回购价格不高于人民币</w:t>
      </w:r>
      <w:r>
        <w:rPr>
          <w:rFonts w:ascii="宋体" w:hAnsi="宋体" w:cs="宋体" w:eastAsia="宋体" w:hint="default"/>
          <w:spacing w:val="-2"/>
        </w:rPr>
        <w:t>9</w:t>
      </w:r>
      <w:r>
        <w:rPr>
          <w:spacing w:val="-2"/>
        </w:rPr>
        <w:t>元</w:t>
      </w:r>
      <w:r>
        <w:rPr>
          <w:rFonts w:ascii="宋体" w:hAnsi="宋体" w:cs="宋体" w:eastAsia="宋体" w:hint="default"/>
          <w:spacing w:val="-2"/>
        </w:rPr>
        <w:t>/</w:t>
      </w:r>
      <w:r>
        <w:rPr>
          <w:spacing w:val="-2"/>
        </w:rPr>
        <w:t>股（含</w:t>
      </w:r>
      <w:r>
        <w:rPr>
          <w:rFonts w:ascii="宋体" w:hAnsi="宋体" w:cs="宋体" w:eastAsia="宋体" w:hint="default"/>
          <w:spacing w:val="-2"/>
        </w:rPr>
        <w:t>9</w:t>
      </w:r>
      <w:r>
        <w:rPr>
          <w:spacing w:val="-2"/>
        </w:rPr>
        <w:t>元</w:t>
      </w:r>
      <w:r>
        <w:rPr>
          <w:rFonts w:ascii="宋体" w:hAnsi="宋体" w:cs="宋体" w:eastAsia="宋体" w:hint="default"/>
          <w:spacing w:val="-2"/>
        </w:rPr>
        <w:t>/</w:t>
      </w:r>
      <w:r>
        <w:rPr>
          <w:spacing w:val="-2"/>
        </w:rPr>
        <w:t>股），回购股份期限</w:t>
      </w:r>
      <w:r>
        <w:rPr>
          <w:spacing w:val="-56"/>
        </w:rPr>
        <w:t> </w:t>
      </w:r>
      <w:r>
        <w:rPr>
          <w:spacing w:val="-56"/>
        </w:rPr>
      </w:r>
      <w:r>
        <w:rPr>
          <w:spacing w:val="-2"/>
        </w:rPr>
        <w:t>为自股东大会审议通过回购股份方案之日起不超过</w:t>
      </w:r>
      <w:r>
        <w:rPr>
          <w:rFonts w:ascii="宋体" w:hAnsi="宋体" w:cs="宋体" w:eastAsia="宋体" w:hint="default"/>
          <w:spacing w:val="-2"/>
        </w:rPr>
        <w:t>6</w:t>
      </w:r>
      <w:r>
        <w:rPr>
          <w:spacing w:val="-2"/>
        </w:rPr>
        <w:t>个月。公司于</w:t>
      </w: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13</w:t>
      </w:r>
      <w:r>
        <w:rPr>
          <w:spacing w:val="-2"/>
        </w:rPr>
        <w:t>日披露了《关于回购公司股份的报告书》。</w:t>
      </w:r>
      <w:r>
        <w:rPr>
          <w:spacing w:val="-64"/>
        </w:rPr>
        <w:t> </w:t>
      </w:r>
      <w:r>
        <w:rPr>
          <w:spacing w:val="-64"/>
        </w:rPr>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22</w:t>
      </w:r>
      <w:r>
        <w:rPr/>
        <w:t>日，公司首次通过股票回购专用证券账户以集中竞价交易方式回购公司股份</w:t>
      </w:r>
      <w:r>
        <w:rPr>
          <w:rFonts w:ascii="宋体" w:hAnsi="宋体" w:cs="宋体" w:eastAsia="宋体" w:hint="default"/>
        </w:rPr>
        <w:t>1,602,669</w:t>
      </w:r>
      <w:r>
        <w:rPr/>
        <w:t>股，占公司总股本的</w:t>
      </w:r>
    </w:p>
    <w:p>
      <w:pPr>
        <w:pStyle w:val="BodyText"/>
        <w:spacing w:line="477" w:lineRule="auto" w:before="54"/>
        <w:ind w:right="1132"/>
        <w:jc w:val="both"/>
      </w:pPr>
      <w:r>
        <w:rPr>
          <w:rFonts w:ascii="宋体" w:hAnsi="宋体" w:cs="宋体" w:eastAsia="宋体" w:hint="default"/>
        </w:rPr>
        <w:t>0.28%</w:t>
      </w:r>
      <w:r>
        <w:rPr>
          <w:spacing w:val="-17"/>
        </w:rPr>
        <w:t>，</w:t>
      </w:r>
      <w:r>
        <w:rPr/>
        <w:t>最高成交价为</w:t>
      </w:r>
      <w:r>
        <w:rPr>
          <w:rFonts w:ascii="宋体" w:hAnsi="宋体" w:cs="宋体" w:eastAsia="宋体" w:hint="default"/>
        </w:rPr>
        <w:t>7.79</w:t>
      </w:r>
      <w:r>
        <w:rPr/>
        <w:t>元</w:t>
      </w:r>
      <w:r>
        <w:rPr>
          <w:rFonts w:ascii="宋体" w:hAnsi="宋体" w:cs="宋体" w:eastAsia="宋体" w:hint="default"/>
        </w:rPr>
        <w:t>/</w:t>
      </w:r>
      <w:r>
        <w:rPr/>
        <w:t>股</w:t>
      </w:r>
      <w:r>
        <w:rPr>
          <w:spacing w:val="-17"/>
        </w:rPr>
        <w:t>，</w:t>
      </w:r>
      <w:r>
        <w:rPr/>
        <w:t>最低成交价为</w:t>
      </w:r>
      <w:r>
        <w:rPr>
          <w:rFonts w:ascii="宋体" w:hAnsi="宋体" w:cs="宋体" w:eastAsia="宋体" w:hint="default"/>
        </w:rPr>
        <w:t>7.54</w:t>
      </w:r>
      <w:r>
        <w:rPr/>
        <w:t>元</w:t>
      </w:r>
      <w:r>
        <w:rPr>
          <w:rFonts w:ascii="宋体" w:hAnsi="宋体" w:cs="宋体" w:eastAsia="宋体" w:hint="default"/>
        </w:rPr>
        <w:t>/</w:t>
      </w:r>
      <w:r>
        <w:rPr/>
        <w:t>股</w:t>
      </w:r>
      <w:r>
        <w:rPr>
          <w:spacing w:val="-17"/>
        </w:rPr>
        <w:t>，</w:t>
      </w:r>
      <w:r>
        <w:rPr/>
        <w:t>成交总金额</w:t>
      </w:r>
      <w:r>
        <w:rPr>
          <w:spacing w:val="-1"/>
        </w:rPr>
        <w:t>为</w:t>
      </w:r>
      <w:r>
        <w:rPr>
          <w:rFonts w:ascii="宋体" w:hAnsi="宋体" w:cs="宋体" w:eastAsia="宋体" w:hint="default"/>
        </w:rPr>
        <w:t>12,256,105.09</w:t>
      </w:r>
      <w:r>
        <w:rPr>
          <w:spacing w:val="-17"/>
        </w:rPr>
        <w:t>元</w:t>
      </w:r>
      <w:r>
        <w:rPr/>
        <w:t>（不含交易费用</w:t>
      </w:r>
      <w:r>
        <w:rPr>
          <w:spacing w:val="-90"/>
        </w:rPr>
        <w:t>）</w:t>
      </w:r>
      <w:r>
        <w:rPr>
          <w:spacing w:val="-17"/>
        </w:rPr>
        <w:t>，</w:t>
      </w:r>
      <w:r>
        <w:rPr/>
        <w:t>并于</w:t>
      </w:r>
      <w:r>
        <w:rPr>
          <w:rFonts w:ascii="宋体" w:hAnsi="宋体" w:cs="宋体" w:eastAsia="宋体" w:hint="default"/>
        </w:rPr>
        <w:t>2019</w:t>
      </w:r>
      <w:r>
        <w:rPr>
          <w:spacing w:val="1"/>
        </w:rPr>
        <w:t>年</w:t>
      </w:r>
      <w:r>
        <w:rPr>
          <w:rFonts w:ascii="宋体" w:hAnsi="宋体" w:cs="宋体" w:eastAsia="宋体" w:hint="default"/>
        </w:rPr>
        <w:t>1 </w:t>
      </w:r>
      <w:r>
        <w:rPr/>
        <w:t>月</w:t>
      </w:r>
      <w:r>
        <w:rPr>
          <w:rFonts w:ascii="宋体" w:hAnsi="宋体" w:cs="宋体" w:eastAsia="宋体" w:hint="default"/>
        </w:rPr>
        <w:t>23</w:t>
      </w:r>
      <w:r>
        <w:rPr/>
        <w:t>日披露了《关于首次回购公司股份的公告</w:t>
      </w:r>
      <w:r>
        <w:rPr>
          <w:spacing w:val="-90"/>
        </w:rPr>
        <w:t>》</w:t>
      </w:r>
      <w:r>
        <w:rPr/>
        <w:t>。</w:t>
      </w:r>
      <w:r>
        <w:rPr>
          <w:rFonts w:ascii="宋体" w:hAnsi="宋体" w:cs="宋体" w:eastAsia="宋体" w:hint="default"/>
        </w:rPr>
        <w:t>2019</w:t>
      </w:r>
      <w:r>
        <w:rPr/>
        <w:t>年</w:t>
      </w:r>
      <w:r>
        <w:rPr>
          <w:rFonts w:ascii="宋体" w:hAnsi="宋体" w:cs="宋体" w:eastAsia="宋体" w:hint="default"/>
        </w:rPr>
        <w:t>2</w:t>
      </w:r>
      <w:r>
        <w:rPr/>
        <w:t>月</w:t>
      </w:r>
      <w:r>
        <w:rPr>
          <w:rFonts w:ascii="宋体" w:hAnsi="宋体" w:cs="宋体" w:eastAsia="宋体" w:hint="default"/>
        </w:rPr>
        <w:t>1</w:t>
      </w:r>
      <w:r>
        <w:rPr/>
        <w:t>日、</w:t>
      </w:r>
      <w:r>
        <w:rPr>
          <w:rFonts w:ascii="宋体" w:hAnsi="宋体" w:cs="宋体" w:eastAsia="宋体" w:hint="default"/>
        </w:rPr>
        <w:t>2019</w:t>
      </w:r>
      <w:r>
        <w:rPr/>
        <w:t>年</w:t>
      </w:r>
      <w:r>
        <w:rPr>
          <w:rFonts w:ascii="宋体" w:hAnsi="宋体" w:cs="宋体" w:eastAsia="宋体" w:hint="default"/>
        </w:rPr>
        <w:t>3</w:t>
      </w:r>
      <w:r>
        <w:rPr/>
        <w:t>月</w:t>
      </w:r>
      <w:r>
        <w:rPr>
          <w:rFonts w:ascii="宋体" w:hAnsi="宋体" w:cs="宋体" w:eastAsia="宋体" w:hint="default"/>
        </w:rPr>
        <w:t>2</w:t>
      </w:r>
      <w:r>
        <w:rPr/>
        <w:t>日、</w:t>
      </w:r>
      <w:r>
        <w:rPr>
          <w:rFonts w:ascii="宋体" w:hAnsi="宋体" w:cs="宋体" w:eastAsia="宋体" w:hint="default"/>
        </w:rPr>
        <w:t>2019</w:t>
      </w:r>
      <w:r>
        <w:rPr/>
        <w:t>年</w:t>
      </w:r>
      <w:r>
        <w:rPr>
          <w:rFonts w:ascii="宋体" w:hAnsi="宋体" w:cs="宋体" w:eastAsia="宋体" w:hint="default"/>
        </w:rPr>
        <w:t>4</w:t>
      </w:r>
      <w:r>
        <w:rPr/>
        <w:t>月</w:t>
      </w:r>
      <w:r>
        <w:rPr>
          <w:rFonts w:ascii="宋体" w:hAnsi="宋体" w:cs="宋体" w:eastAsia="宋体" w:hint="default"/>
        </w:rPr>
        <w:t>2</w:t>
      </w:r>
      <w:r>
        <w:rPr/>
        <w:t>日披露了《关于回购公司股份 的进展公告</w:t>
      </w:r>
      <w:r>
        <w:rPr>
          <w:spacing w:val="-90"/>
        </w:rPr>
        <w:t>》</w:t>
      </w:r>
      <w:r>
        <w:rPr/>
        <w:t>。</w:t>
      </w:r>
    </w:p>
    <w:p>
      <w:pPr>
        <w:pStyle w:val="BodyText"/>
        <w:spacing w:line="240" w:lineRule="auto" w:before="95"/>
        <w:ind w:right="0"/>
        <w:jc w:val="left"/>
      </w:pPr>
      <w:r>
        <w:rPr/>
        <w:t>采用集中竞价方式减持回购股份的实施进展情况</w:t>
      </w:r>
    </w:p>
    <w:p>
      <w:pPr>
        <w:spacing w:line="240" w:lineRule="auto" w:before="12"/>
        <w:rPr>
          <w:rFonts w:ascii="宋体" w:hAnsi="宋体" w:cs="宋体" w:eastAsia="宋体" w:hint="default"/>
          <w:sz w:val="20"/>
          <w:szCs w:val="20"/>
        </w:rPr>
      </w:pPr>
    </w:p>
    <w:p>
      <w:pPr>
        <w:pStyle w:val="BodyText"/>
        <w:spacing w:line="516" w:lineRule="auto"/>
        <w:ind w:right="1392"/>
        <w:jc w:val="left"/>
      </w:pPr>
      <w:r>
        <w:rPr/>
        <w:t>□ 适用 √ 不适用 股份变动对最近一年和最近一期基本每股收益和稀释每股收益、归属于公司普通股股东的每股净资产等财务指标的影响</w:t>
      </w:r>
    </w:p>
    <w:p>
      <w:pPr>
        <w:pStyle w:val="BodyText"/>
        <w:spacing w:line="496" w:lineRule="auto" w:before="65"/>
        <w:ind w:right="1118"/>
        <w:jc w:val="left"/>
      </w:pPr>
      <w:r>
        <w:rPr/>
        <w:pict>
          <v:shape style="position:absolute;margin-left:56.34pt;margin-top:71.021759pt;width:483.15pt;height:21.85pt;mso-position-horizontal-relative:page;mso-position-vertical-relative:paragraph;z-index:15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60"/>
                    <w:gridCol w:w="4110"/>
                    <w:gridCol w:w="3970"/>
                  </w:tblGrid>
                  <w:tr>
                    <w:trPr>
                      <w:trHeight w:val="422" w:hRule="exact"/>
                    </w:trPr>
                    <w:tc>
                      <w:tcPr>
                        <w:tcW w:w="1560" w:type="dxa"/>
                        <w:tcBorders>
                          <w:top w:val="single" w:sz="6" w:space="0" w:color="000000"/>
                          <w:left w:val="single" w:sz="6" w:space="0" w:color="000000"/>
                          <w:bottom w:val="single" w:sz="6" w:space="0" w:color="000000"/>
                          <w:right w:val="single" w:sz="6" w:space="0" w:color="000000"/>
                        </w:tcBorders>
                        <w:shd w:val="clear" w:color="auto" w:fill="D9D9D9"/>
                      </w:tcPr>
                      <w:p>
                        <w:pPr/>
                      </w:p>
                    </w:tc>
                    <w:tc>
                      <w:tcPr>
                        <w:tcW w:w="411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年度</w:t>
                        </w:r>
                      </w:p>
                    </w:tc>
                    <w:tc>
                      <w:tcPr>
                        <w:tcW w:w="397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w:t>
                        </w:r>
                      </w:p>
                    </w:tc>
                  </w:tr>
                </w:tbl>
                <w:p>
                  <w:pPr/>
                </w:p>
              </w:txbxContent>
            </v:textbox>
            <w10:wrap type="none"/>
          </v:shape>
        </w:pict>
      </w:r>
      <w:r>
        <w:rPr/>
        <w:t>√ 适用 □ 不适用 </w:t>
      </w:r>
      <w:r>
        <w:rPr>
          <w:spacing w:val="-2"/>
        </w:rPr>
        <w:t>股份变动对公司最近一年和最近一期基本每股收益和稀释每股收益、归属于公司普通股股东的每股净资产等财务指标的影响</w:t>
      </w:r>
      <w:r>
        <w:rPr>
          <w:spacing w:val="-64"/>
        </w:rPr>
        <w:t> </w:t>
      </w:r>
      <w:r>
        <w:rPr>
          <w:spacing w:val="-64"/>
        </w:rPr>
      </w:r>
      <w:r>
        <w:rPr/>
        <w:t>如下：</w:t>
      </w:r>
    </w:p>
    <w:p>
      <w:pPr>
        <w:spacing w:after="0" w:line="496" w:lineRule="auto"/>
        <w:jc w:val="left"/>
        <w:sectPr>
          <w:pgSz w:w="11910" w:h="16840"/>
          <w:pgMar w:header="0" w:footer="1019" w:top="1120" w:bottom="1200" w:left="980" w:right="0"/>
        </w:sectPr>
      </w:pPr>
    </w:p>
    <w:p>
      <w:pPr>
        <w:spacing w:line="240" w:lineRule="auto" w:before="9"/>
        <w:rPr>
          <w:rFonts w:ascii="宋体" w:hAnsi="宋体" w:cs="宋体" w:eastAsia="宋体" w:hint="default"/>
          <w:sz w:val="23"/>
          <w:szCs w:val="23"/>
        </w:rPr>
      </w:pPr>
    </w:p>
    <w:tbl>
      <w:tblPr>
        <w:tblW w:w="0" w:type="auto"/>
        <w:jc w:val="left"/>
        <w:tblInd w:w="146" w:type="dxa"/>
        <w:tblLayout w:type="fixed"/>
        <w:tblCellMar>
          <w:top w:w="0" w:type="dxa"/>
          <w:left w:w="0" w:type="dxa"/>
          <w:bottom w:w="0" w:type="dxa"/>
          <w:right w:w="0" w:type="dxa"/>
        </w:tblCellMar>
        <w:tblLook w:val="01E0"/>
      </w:tblPr>
      <w:tblGrid>
        <w:gridCol w:w="1560"/>
        <w:gridCol w:w="2126"/>
        <w:gridCol w:w="1984"/>
        <w:gridCol w:w="1985"/>
        <w:gridCol w:w="1985"/>
      </w:tblGrid>
      <w:tr>
        <w:trPr>
          <w:trHeight w:val="733" w:hRule="exact"/>
        </w:trPr>
        <w:tc>
          <w:tcPr>
            <w:tcW w:w="156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财务指标名称</w:t>
            </w:r>
          </w:p>
        </w:tc>
        <w:tc>
          <w:tcPr>
            <w:tcW w:w="212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00" w:lineRule="auto" w:before="56"/>
              <w:ind w:left="489" w:right="-51" w:hanging="488"/>
              <w:jc w:val="left"/>
              <w:rPr>
                <w:rFonts w:ascii="宋体" w:hAnsi="宋体" w:cs="宋体" w:eastAsia="宋体" w:hint="default"/>
                <w:sz w:val="18"/>
                <w:szCs w:val="18"/>
              </w:rPr>
            </w:pPr>
            <w:r>
              <w:rPr>
                <w:rFonts w:ascii="宋体" w:hAnsi="宋体" w:cs="宋体" w:eastAsia="宋体" w:hint="default"/>
                <w:sz w:val="18"/>
                <w:szCs w:val="18"/>
              </w:rPr>
              <w:t>按新股本（</w:t>
            </w:r>
            <w:r>
              <w:rPr>
                <w:rFonts w:ascii="Times New Roman" w:hAnsi="Times New Roman" w:cs="Times New Roman" w:eastAsia="Times New Roman" w:hint="default"/>
                <w:sz w:val="18"/>
                <w:szCs w:val="18"/>
              </w:rPr>
              <w:t>579,971,704</w:t>
            </w:r>
            <w:r>
              <w:rPr>
                <w:rFonts w:ascii="宋体" w:hAnsi="宋体" w:cs="宋体" w:eastAsia="宋体" w:hint="default"/>
                <w:sz w:val="18"/>
                <w:szCs w:val="18"/>
              </w:rPr>
              <w:t>股） 计算（元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8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00" w:lineRule="auto" w:before="56"/>
              <w:ind w:left="239" w:right="82" w:hanging="154"/>
              <w:jc w:val="left"/>
              <w:rPr>
                <w:rFonts w:ascii="宋体" w:hAnsi="宋体" w:cs="宋体" w:eastAsia="宋体" w:hint="default"/>
                <w:sz w:val="18"/>
                <w:szCs w:val="18"/>
              </w:rPr>
            </w:pPr>
            <w:r>
              <w:rPr>
                <w:rFonts w:ascii="宋体" w:hAnsi="宋体" w:cs="宋体" w:eastAsia="宋体" w:hint="default"/>
                <w:sz w:val="18"/>
                <w:szCs w:val="18"/>
              </w:rPr>
              <w:t>按原股本（</w:t>
            </w:r>
            <w:r>
              <w:rPr>
                <w:rFonts w:ascii="Times New Roman" w:hAnsi="Times New Roman" w:cs="Times New Roman" w:eastAsia="Times New Roman" w:hint="default"/>
                <w:sz w:val="18"/>
                <w:szCs w:val="18"/>
              </w:rPr>
              <w:t>581,039,204 </w:t>
            </w:r>
            <w:r>
              <w:rPr>
                <w:rFonts w:ascii="宋体" w:hAnsi="宋体" w:cs="宋体" w:eastAsia="宋体" w:hint="default"/>
                <w:sz w:val="18"/>
                <w:szCs w:val="18"/>
              </w:rPr>
              <w:t>股）计算（元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00" w:lineRule="auto" w:before="56"/>
              <w:ind w:left="240" w:right="83" w:hanging="155"/>
              <w:jc w:val="left"/>
              <w:rPr>
                <w:rFonts w:ascii="宋体" w:hAnsi="宋体" w:cs="宋体" w:eastAsia="宋体" w:hint="default"/>
                <w:sz w:val="18"/>
                <w:szCs w:val="18"/>
              </w:rPr>
            </w:pPr>
            <w:r>
              <w:rPr>
                <w:rFonts w:ascii="宋体" w:hAnsi="宋体" w:cs="宋体" w:eastAsia="宋体" w:hint="default"/>
                <w:sz w:val="18"/>
                <w:szCs w:val="18"/>
              </w:rPr>
              <w:t>按新股本（</w:t>
            </w:r>
            <w:r>
              <w:rPr>
                <w:rFonts w:ascii="Times New Roman" w:hAnsi="Times New Roman" w:cs="Times New Roman" w:eastAsia="Times New Roman" w:hint="default"/>
                <w:sz w:val="18"/>
                <w:szCs w:val="18"/>
              </w:rPr>
              <w:t>579,971,704 </w:t>
            </w:r>
            <w:r>
              <w:rPr>
                <w:rFonts w:ascii="宋体" w:hAnsi="宋体" w:cs="宋体" w:eastAsia="宋体" w:hint="default"/>
                <w:sz w:val="18"/>
                <w:szCs w:val="18"/>
              </w:rPr>
              <w:t>股）计算（元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00" w:lineRule="auto" w:before="56"/>
              <w:ind w:left="238" w:right="83" w:hanging="154"/>
              <w:jc w:val="left"/>
              <w:rPr>
                <w:rFonts w:ascii="宋体" w:hAnsi="宋体" w:cs="宋体" w:eastAsia="宋体" w:hint="default"/>
                <w:sz w:val="18"/>
                <w:szCs w:val="18"/>
              </w:rPr>
            </w:pPr>
            <w:r>
              <w:rPr>
                <w:rFonts w:ascii="宋体" w:hAnsi="宋体" w:cs="宋体" w:eastAsia="宋体" w:hint="default"/>
                <w:sz w:val="18"/>
                <w:szCs w:val="18"/>
              </w:rPr>
              <w:t>按原股本（</w:t>
            </w:r>
            <w:r>
              <w:rPr>
                <w:rFonts w:ascii="Times New Roman" w:hAnsi="Times New Roman" w:cs="Times New Roman" w:eastAsia="Times New Roman" w:hint="default"/>
                <w:sz w:val="18"/>
                <w:szCs w:val="18"/>
              </w:rPr>
              <w:t>581,039,204 </w:t>
            </w:r>
            <w:r>
              <w:rPr>
                <w:rFonts w:ascii="宋体" w:hAnsi="宋体" w:cs="宋体" w:eastAsia="宋体" w:hint="default"/>
                <w:sz w:val="18"/>
                <w:szCs w:val="18"/>
              </w:rPr>
              <w:t>股）计算（元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428"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基本每股收益</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宋体" w:hAnsi="宋体" w:cs="宋体" w:eastAsia="宋体" w:hint="default"/>
                <w:sz w:val="18"/>
                <w:szCs w:val="18"/>
              </w:rPr>
            </w:pPr>
            <w:r>
              <w:rPr>
                <w:rFonts w:ascii="宋体"/>
                <w:sz w:val="18"/>
              </w:rPr>
              <w:t>-0.18</w:t>
            </w:r>
          </w:p>
        </w:tc>
        <w:tc>
          <w:tcPr>
            <w:tcW w:w="1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宋体" w:hAnsi="宋体" w:cs="宋体" w:eastAsia="宋体" w:hint="default"/>
                <w:sz w:val="18"/>
                <w:szCs w:val="18"/>
              </w:rPr>
            </w:pPr>
            <w:r>
              <w:rPr>
                <w:rFonts w:ascii="宋体"/>
                <w:sz w:val="18"/>
              </w:rPr>
              <w:t>-0.18</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宋体" w:hAnsi="宋体" w:cs="宋体" w:eastAsia="宋体" w:hint="default"/>
                <w:sz w:val="18"/>
                <w:szCs w:val="18"/>
              </w:rPr>
            </w:pPr>
            <w:r>
              <w:rPr>
                <w:rFonts w:ascii="宋体"/>
                <w:sz w:val="18"/>
              </w:rPr>
              <w:t>0.04</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宋体" w:hAnsi="宋体" w:cs="宋体" w:eastAsia="宋体" w:hint="default"/>
                <w:sz w:val="18"/>
                <w:szCs w:val="18"/>
              </w:rPr>
            </w:pPr>
            <w:r>
              <w:rPr>
                <w:rFonts w:ascii="宋体"/>
                <w:sz w:val="18"/>
              </w:rPr>
              <w:t>0.04</w:t>
            </w:r>
          </w:p>
        </w:tc>
      </w:tr>
      <w:tr>
        <w:trPr>
          <w:trHeight w:val="426"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稀释每股收益</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宋体" w:hAnsi="宋体" w:cs="宋体" w:eastAsia="宋体" w:hint="default"/>
                <w:sz w:val="18"/>
                <w:szCs w:val="18"/>
              </w:rPr>
            </w:pPr>
            <w:r>
              <w:rPr>
                <w:rFonts w:ascii="宋体"/>
                <w:sz w:val="18"/>
              </w:rPr>
              <w:t>-0.18</w:t>
            </w:r>
          </w:p>
        </w:tc>
        <w:tc>
          <w:tcPr>
            <w:tcW w:w="1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宋体" w:hAnsi="宋体" w:cs="宋体" w:eastAsia="宋体" w:hint="default"/>
                <w:sz w:val="18"/>
                <w:szCs w:val="18"/>
              </w:rPr>
            </w:pPr>
            <w:r>
              <w:rPr>
                <w:rFonts w:ascii="宋体"/>
                <w:sz w:val="18"/>
              </w:rPr>
              <w:t>-0.18</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宋体" w:hAnsi="宋体" w:cs="宋体" w:eastAsia="宋体" w:hint="default"/>
                <w:sz w:val="18"/>
                <w:szCs w:val="18"/>
              </w:rPr>
            </w:pPr>
            <w:r>
              <w:rPr>
                <w:rFonts w:ascii="宋体"/>
                <w:sz w:val="18"/>
              </w:rPr>
              <w:t>0.04</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宋体" w:hAnsi="宋体" w:cs="宋体" w:eastAsia="宋体" w:hint="default"/>
                <w:sz w:val="18"/>
                <w:szCs w:val="18"/>
              </w:rPr>
            </w:pPr>
            <w:r>
              <w:rPr>
                <w:rFonts w:ascii="宋体"/>
                <w:sz w:val="18"/>
              </w:rPr>
              <w:t>0.04</w:t>
            </w:r>
          </w:p>
        </w:tc>
      </w:tr>
      <w:tr>
        <w:trPr>
          <w:trHeight w:val="740"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62"/>
              <w:ind w:left="51" w:right="52"/>
              <w:jc w:val="left"/>
              <w:rPr>
                <w:rFonts w:ascii="宋体" w:hAnsi="宋体" w:cs="宋体" w:eastAsia="宋体" w:hint="default"/>
                <w:sz w:val="18"/>
                <w:szCs w:val="18"/>
              </w:rPr>
            </w:pPr>
            <w:r>
              <w:rPr>
                <w:rFonts w:ascii="宋体" w:hAnsi="宋体" w:cs="宋体" w:eastAsia="宋体" w:hint="default"/>
                <w:sz w:val="18"/>
                <w:szCs w:val="18"/>
              </w:rPr>
              <w:t>归属于公司普通股 股东的每股净资产</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
              <w:jc w:val="right"/>
              <w:rPr>
                <w:rFonts w:ascii="宋体" w:hAnsi="宋体" w:cs="宋体" w:eastAsia="宋体" w:hint="default"/>
                <w:sz w:val="18"/>
                <w:szCs w:val="18"/>
              </w:rPr>
            </w:pPr>
            <w:r>
              <w:rPr>
                <w:rFonts w:ascii="宋体"/>
                <w:sz w:val="18"/>
              </w:rPr>
              <w:t>3.42</w:t>
            </w:r>
          </w:p>
        </w:tc>
        <w:tc>
          <w:tcPr>
            <w:tcW w:w="1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0"/>
              <w:jc w:val="right"/>
              <w:rPr>
                <w:rFonts w:ascii="宋体" w:hAnsi="宋体" w:cs="宋体" w:eastAsia="宋体" w:hint="default"/>
                <w:sz w:val="18"/>
                <w:szCs w:val="18"/>
              </w:rPr>
            </w:pPr>
            <w:r>
              <w:rPr>
                <w:rFonts w:ascii="宋体"/>
                <w:sz w:val="18"/>
              </w:rPr>
              <w:t>3.42</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0"/>
              <w:jc w:val="right"/>
              <w:rPr>
                <w:rFonts w:ascii="宋体" w:hAnsi="宋体" w:cs="宋体" w:eastAsia="宋体" w:hint="default"/>
                <w:sz w:val="18"/>
                <w:szCs w:val="18"/>
              </w:rPr>
            </w:pPr>
            <w:r>
              <w:rPr>
                <w:rFonts w:ascii="宋体"/>
                <w:sz w:val="18"/>
              </w:rPr>
              <w:t>3.66</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
              <w:jc w:val="right"/>
              <w:rPr>
                <w:rFonts w:ascii="宋体" w:hAnsi="宋体" w:cs="宋体" w:eastAsia="宋体" w:hint="default"/>
                <w:sz w:val="18"/>
                <w:szCs w:val="18"/>
              </w:rPr>
            </w:pPr>
            <w:r>
              <w:rPr>
                <w:rFonts w:ascii="宋体"/>
                <w:sz w:val="18"/>
              </w:rPr>
              <w:t>3.65</w:t>
            </w:r>
          </w:p>
        </w:tc>
      </w:tr>
    </w:tbl>
    <w:p>
      <w:pPr>
        <w:spacing w:line="240" w:lineRule="auto" w:before="5"/>
        <w:rPr>
          <w:rFonts w:ascii="宋体" w:hAnsi="宋体" w:cs="宋体" w:eastAsia="宋体" w:hint="default"/>
          <w:sz w:val="24"/>
          <w:szCs w:val="24"/>
        </w:rPr>
      </w:pPr>
    </w:p>
    <w:p>
      <w:pPr>
        <w:pStyle w:val="BodyText"/>
        <w:spacing w:line="240" w:lineRule="auto" w:before="44"/>
        <w:ind w:right="0"/>
        <w:jc w:val="left"/>
      </w:pPr>
      <w:r>
        <w:rPr/>
        <w:t>公司认为必要或证券监管机构要求披露的其他内容</w:t>
      </w:r>
    </w:p>
    <w:p>
      <w:pPr>
        <w:pStyle w:val="BodyText"/>
        <w:spacing w:line="240" w:lineRule="auto" w:before="116"/>
        <w:ind w:right="0"/>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限售股份变动情况" w:id="110"/>
      <w:bookmarkEnd w:id="110"/>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0"/>
        <w:jc w:val="right"/>
      </w:pPr>
      <w:r>
        <w:rPr/>
        <w:t>单位：股</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37"/>
              <w:jc w:val="right"/>
              <w:rPr>
                <w:rFonts w:ascii="宋体" w:hAnsi="宋体" w:cs="宋体" w:eastAsia="宋体" w:hint="default"/>
                <w:sz w:val="18"/>
                <w:szCs w:val="18"/>
              </w:rPr>
            </w:pPr>
            <w:r>
              <w:rPr>
                <w:rFonts w:ascii="宋体" w:hAnsi="宋体" w:cs="宋体" w:eastAsia="宋体" w:hint="default"/>
                <w:sz w:val="18"/>
                <w:szCs w:val="18"/>
              </w:rPr>
              <w:t>期初限售股数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98" w:right="137" w:hanging="360"/>
              <w:jc w:val="left"/>
              <w:rPr>
                <w:rFonts w:ascii="宋体" w:hAnsi="宋体" w:cs="宋体" w:eastAsia="宋体" w:hint="default"/>
                <w:sz w:val="18"/>
                <w:szCs w:val="18"/>
              </w:rPr>
            </w:pPr>
            <w:r>
              <w:rPr>
                <w:rFonts w:ascii="宋体" w:hAnsi="宋体" w:cs="宋体" w:eastAsia="宋体" w:hint="default"/>
                <w:sz w:val="18"/>
                <w:szCs w:val="18"/>
              </w:rPr>
              <w:t>本期解除限售 股数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97" w:right="137" w:hanging="360"/>
              <w:jc w:val="left"/>
              <w:rPr>
                <w:rFonts w:ascii="宋体" w:hAnsi="宋体" w:cs="宋体" w:eastAsia="宋体" w:hint="default"/>
                <w:sz w:val="18"/>
                <w:szCs w:val="18"/>
              </w:rPr>
            </w:pPr>
            <w:r>
              <w:rPr>
                <w:rFonts w:ascii="宋体" w:hAnsi="宋体" w:cs="宋体" w:eastAsia="宋体" w:hint="default"/>
                <w:sz w:val="18"/>
                <w:szCs w:val="18"/>
              </w:rPr>
              <w:t>本期增加限售 股数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38"/>
              <w:jc w:val="right"/>
              <w:rPr>
                <w:rFonts w:ascii="宋体" w:hAnsi="宋体" w:cs="宋体" w:eastAsia="宋体" w:hint="default"/>
                <w:sz w:val="18"/>
                <w:szCs w:val="18"/>
              </w:rPr>
            </w:pPr>
            <w:r>
              <w:rPr>
                <w:rFonts w:ascii="宋体" w:hAnsi="宋体" w:cs="宋体" w:eastAsia="宋体" w:hint="default"/>
                <w:sz w:val="18"/>
                <w:szCs w:val="18"/>
              </w:rPr>
              <w:t>期末限售股数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258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夏传武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93,784,620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19,750,230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113,534,850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、高管锁定股</w:t>
            </w:r>
          </w:p>
          <w:p>
            <w:pPr>
              <w:pStyle w:val="TableParagraph"/>
              <w:spacing w:line="302" w:lineRule="auto" w:before="62"/>
              <w:ind w:left="102" w:right="1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、非公开发行</w:t>
            </w:r>
            <w:r>
              <w:rPr>
                <w:rFonts w:ascii="宋体" w:hAnsi="宋体" w:cs="宋体" w:eastAsia="宋体" w:hint="default"/>
                <w:sz w:val="18"/>
                <w:szCs w:val="18"/>
              </w:rPr>
              <w:t> 限售股份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2"/>
              <w:ind w:left="103" w:right="101"/>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、高管锁定股</w:t>
            </w:r>
            <w:r>
              <w:rPr>
                <w:rFonts w:ascii="宋体" w:hAnsi="宋体" w:cs="宋体" w:eastAsia="宋体" w:hint="default"/>
                <w:sz w:val="18"/>
                <w:szCs w:val="18"/>
              </w:rPr>
              <w:t> 按法律法规的 规定解锁 </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、非公开发行</w:t>
            </w:r>
            <w:r>
              <w:rPr>
                <w:rFonts w:ascii="宋体" w:hAnsi="宋体" w:cs="宋体" w:eastAsia="宋体" w:hint="default"/>
                <w:sz w:val="18"/>
                <w:szCs w:val="18"/>
              </w:rPr>
              <w:t> 新增股份解除 限售时间为：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17</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338"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4"/>
              <w:jc w:val="both"/>
              <w:rPr>
                <w:rFonts w:ascii="宋体" w:hAnsi="宋体" w:cs="宋体" w:eastAsia="宋体" w:hint="default"/>
                <w:sz w:val="18"/>
                <w:szCs w:val="18"/>
              </w:rPr>
            </w:pPr>
            <w:r>
              <w:rPr>
                <w:rFonts w:ascii="宋体" w:hAnsi="宋体" w:cs="宋体" w:eastAsia="宋体" w:hint="default"/>
                <w:sz w:val="18"/>
                <w:szCs w:val="18"/>
              </w:rPr>
              <w:t>深圳市上元星 晖电子产业股 权投资基金</w:t>
            </w:r>
          </w:p>
          <w:p>
            <w:pPr>
              <w:pStyle w:val="TableParagraph"/>
              <w:spacing w:line="240" w:lineRule="auto" w:before="20"/>
              <w:ind w:left="103" w:right="0"/>
              <w:jc w:val="both"/>
              <w:rPr>
                <w:rFonts w:ascii="宋体" w:hAnsi="宋体" w:cs="宋体" w:eastAsia="宋体" w:hint="default"/>
                <w:sz w:val="18"/>
                <w:szCs w:val="18"/>
              </w:rPr>
            </w:pPr>
            <w:r>
              <w:rPr>
                <w:rFonts w:ascii="宋体" w:hAnsi="宋体" w:cs="宋体" w:eastAsia="宋体" w:hint="default"/>
                <w:sz w:val="18"/>
                <w:szCs w:val="18"/>
              </w:rPr>
              <w:t>（有限合伙）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24,327,784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24,327,784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2" w:right="173"/>
              <w:jc w:val="left"/>
              <w:rPr>
                <w:rFonts w:ascii="宋体" w:hAnsi="宋体" w:cs="宋体" w:eastAsia="宋体" w:hint="default"/>
                <w:sz w:val="18"/>
                <w:szCs w:val="18"/>
              </w:rPr>
            </w:pPr>
            <w:r>
              <w:rPr>
                <w:rFonts w:ascii="宋体" w:hAnsi="宋体" w:cs="宋体" w:eastAsia="宋体" w:hint="default"/>
                <w:sz w:val="18"/>
                <w:szCs w:val="18"/>
              </w:rPr>
              <w:t>非公开发行限 售股份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338"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4"/>
              <w:jc w:val="both"/>
              <w:rPr>
                <w:rFonts w:ascii="宋体" w:hAnsi="宋体" w:cs="宋体" w:eastAsia="宋体" w:hint="default"/>
                <w:sz w:val="18"/>
                <w:szCs w:val="18"/>
              </w:rPr>
            </w:pPr>
            <w:r>
              <w:rPr>
                <w:rFonts w:ascii="宋体" w:hAnsi="宋体" w:cs="宋体" w:eastAsia="宋体" w:hint="default"/>
                <w:sz w:val="18"/>
                <w:szCs w:val="18"/>
              </w:rPr>
              <w:t>深圳市中科祥 瑞资本管理合 伙企业（有限 合伙）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21,804,097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21,804,097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2" w:right="173"/>
              <w:jc w:val="left"/>
              <w:rPr>
                <w:rFonts w:ascii="宋体" w:hAnsi="宋体" w:cs="宋体" w:eastAsia="宋体" w:hint="default"/>
                <w:sz w:val="18"/>
                <w:szCs w:val="18"/>
              </w:rPr>
            </w:pPr>
            <w:r>
              <w:rPr>
                <w:rFonts w:ascii="宋体" w:hAnsi="宋体" w:cs="宋体" w:eastAsia="宋体" w:hint="default"/>
                <w:sz w:val="18"/>
                <w:szCs w:val="18"/>
              </w:rPr>
              <w:t>非公开发行限 售股份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王卫</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7,103,393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7,103,393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173"/>
              <w:jc w:val="left"/>
              <w:rPr>
                <w:rFonts w:ascii="宋体" w:hAnsi="宋体" w:cs="宋体" w:eastAsia="宋体" w:hint="default"/>
                <w:sz w:val="18"/>
                <w:szCs w:val="18"/>
              </w:rPr>
            </w:pPr>
            <w:r>
              <w:rPr>
                <w:rFonts w:ascii="宋体" w:hAnsi="宋体" w:cs="宋体" w:eastAsia="宋体" w:hint="default"/>
                <w:sz w:val="18"/>
                <w:szCs w:val="18"/>
              </w:rPr>
              <w:t>非公开发行限 售股份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4"/>
              <w:jc w:val="left"/>
              <w:rPr>
                <w:rFonts w:ascii="宋体" w:hAnsi="宋体" w:cs="宋体" w:eastAsia="宋体" w:hint="default"/>
                <w:sz w:val="18"/>
                <w:szCs w:val="18"/>
              </w:rPr>
            </w:pPr>
            <w:r>
              <w:rPr>
                <w:rFonts w:ascii="宋体" w:hAnsi="宋体" w:cs="宋体" w:eastAsia="宋体" w:hint="default"/>
                <w:sz w:val="18"/>
                <w:szCs w:val="18"/>
              </w:rPr>
              <w:t>深圳市聚睿投 资管理企业</w:t>
            </w:r>
          </w:p>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2" w:right="173"/>
              <w:jc w:val="left"/>
              <w:rPr>
                <w:rFonts w:ascii="宋体" w:hAnsi="宋体" w:cs="宋体" w:eastAsia="宋体" w:hint="default"/>
                <w:sz w:val="18"/>
                <w:szCs w:val="18"/>
              </w:rPr>
            </w:pPr>
            <w:r>
              <w:rPr>
                <w:rFonts w:ascii="宋体" w:hAnsi="宋体" w:cs="宋体" w:eastAsia="宋体" w:hint="default"/>
                <w:sz w:val="18"/>
                <w:szCs w:val="18"/>
              </w:rPr>
              <w:t>非公开发行限 售股份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王杏才</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173"/>
              <w:jc w:val="left"/>
              <w:rPr>
                <w:rFonts w:ascii="宋体" w:hAnsi="宋体" w:cs="宋体" w:eastAsia="宋体" w:hint="default"/>
                <w:sz w:val="18"/>
                <w:szCs w:val="18"/>
              </w:rPr>
            </w:pPr>
            <w:r>
              <w:rPr>
                <w:rFonts w:ascii="宋体" w:hAnsi="宋体" w:cs="宋体" w:eastAsia="宋体" w:hint="default"/>
                <w:sz w:val="18"/>
                <w:szCs w:val="18"/>
              </w:rPr>
              <w:t>非公开发行限 售股份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17</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李超</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71"/>
              <w:jc w:val="center"/>
              <w:rPr>
                <w:rFonts w:ascii="宋体" w:hAnsi="宋体" w:cs="宋体" w:eastAsia="宋体" w:hint="default"/>
                <w:sz w:val="18"/>
                <w:szCs w:val="18"/>
              </w:rPr>
            </w:pPr>
            <w:r>
              <w:rPr>
                <w:rFonts w:ascii="宋体" w:hAnsi="宋体" w:cs="宋体" w:eastAsia="宋体" w:hint="default"/>
                <w:sz w:val="18"/>
                <w:szCs w:val="18"/>
              </w:rPr>
              <w:t>非公开发行限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17</w:t>
            </w:r>
          </w:p>
        </w:tc>
      </w:tr>
    </w:tbl>
    <w:p>
      <w:pPr>
        <w:spacing w:after="0" w:line="240" w:lineRule="auto"/>
        <w:jc w:val="lef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362" w:hRule="exact"/>
        </w:trPr>
        <w:tc>
          <w:tcPr>
            <w:tcW w:w="1370"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售股份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414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陈新民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891,525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56,250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955,275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、高管锁定股</w:t>
            </w:r>
          </w:p>
          <w:p>
            <w:pPr>
              <w:pStyle w:val="TableParagraph"/>
              <w:spacing w:line="314" w:lineRule="auto" w:before="61"/>
              <w:ind w:left="102" w:right="102"/>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2</w:t>
            </w:r>
            <w:r>
              <w:rPr>
                <w:rFonts w:ascii="宋体" w:hAnsi="宋体" w:cs="宋体" w:eastAsia="宋体" w:hint="default"/>
                <w:spacing w:val="-11"/>
                <w:sz w:val="18"/>
                <w:szCs w:val="18"/>
              </w:rPr>
              <w:t>、</w:t>
            </w:r>
            <w:r>
              <w:rPr>
                <w:rFonts w:ascii="Times New Roman" w:hAnsi="Times New Roman" w:cs="Times New Roman" w:eastAsia="Times New Roman" w:hint="default"/>
                <w:spacing w:val="-11"/>
                <w:sz w:val="18"/>
                <w:szCs w:val="18"/>
              </w:rPr>
              <w:t>2017</w:t>
            </w:r>
            <w:r>
              <w:rPr>
                <w:rFonts w:ascii="Times New Roman" w:hAnsi="Times New Roman" w:cs="Times New Roman" w:eastAsia="Times New Roman" w:hint="default"/>
                <w:sz w:val="18"/>
                <w:szCs w:val="18"/>
              </w:rPr>
              <w:t> </w:t>
            </w:r>
            <w:r>
              <w:rPr>
                <w:rFonts w:ascii="宋体" w:hAnsi="宋体" w:cs="宋体" w:eastAsia="宋体" w:hint="default"/>
                <w:sz w:val="18"/>
                <w:szCs w:val="18"/>
              </w:rPr>
              <w:t>年度股 权激励限售 股，</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月因股权激励 计划解锁条件 中的公司业绩 条件未达到， 公司决定回购 注销授予其所 持有的限制性 股票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，即 </w:t>
            </w:r>
            <w:r>
              <w:rPr>
                <w:rFonts w:ascii="Times New Roman" w:hAnsi="Times New Roman" w:cs="Times New Roman" w:eastAsia="Times New Roman" w:hint="default"/>
                <w:sz w:val="18"/>
                <w:szCs w:val="18"/>
              </w:rPr>
              <w:t>56,250 </w:t>
            </w:r>
            <w:r>
              <w:rPr>
                <w:rFonts w:ascii="宋体" w:hAnsi="宋体" w:cs="宋体" w:eastAsia="宋体" w:hint="default"/>
                <w:sz w:val="18"/>
                <w:szCs w:val="18"/>
              </w:rPr>
              <w:t>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2" w:lineRule="auto"/>
              <w:ind w:left="103" w:right="101"/>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、高管锁定股</w:t>
            </w:r>
            <w:r>
              <w:rPr>
                <w:rFonts w:ascii="宋体" w:hAnsi="宋体" w:cs="宋体" w:eastAsia="宋体" w:hint="default"/>
                <w:sz w:val="18"/>
                <w:szCs w:val="18"/>
              </w:rPr>
              <w:t> 按法律法规的 规定解锁 </w:t>
            </w:r>
            <w:r>
              <w:rPr>
                <w:rFonts w:ascii="Times New Roman" w:hAnsi="Times New Roman" w:cs="Times New Roman" w:eastAsia="Times New Roman" w:hint="default"/>
                <w:spacing w:val="-11"/>
                <w:sz w:val="18"/>
                <w:szCs w:val="18"/>
              </w:rPr>
              <w:t>2</w:t>
            </w:r>
            <w:r>
              <w:rPr>
                <w:rFonts w:ascii="宋体" w:hAnsi="宋体" w:cs="宋体" w:eastAsia="宋体" w:hint="default"/>
                <w:spacing w:val="-11"/>
                <w:sz w:val="18"/>
                <w:szCs w:val="18"/>
              </w:rPr>
              <w:t>、</w:t>
            </w:r>
            <w:r>
              <w:rPr>
                <w:rFonts w:ascii="Times New Roman" w:hAnsi="Times New Roman" w:cs="Times New Roman" w:eastAsia="Times New Roman" w:hint="default"/>
                <w:spacing w:val="-11"/>
                <w:sz w:val="18"/>
                <w:szCs w:val="18"/>
              </w:rPr>
              <w:t>2017</w:t>
            </w:r>
            <w:r>
              <w:rPr>
                <w:rFonts w:ascii="Times New Roman" w:hAnsi="Times New Roman" w:cs="Times New Roman" w:eastAsia="Times New Roman" w:hint="default"/>
                <w:sz w:val="18"/>
                <w:szCs w:val="18"/>
              </w:rPr>
              <w:t> </w:t>
            </w:r>
            <w:r>
              <w:rPr>
                <w:rFonts w:ascii="宋体" w:hAnsi="宋体" w:cs="宋体" w:eastAsia="宋体" w:hint="default"/>
                <w:sz w:val="18"/>
                <w:szCs w:val="18"/>
              </w:rPr>
              <w:t>年度股 权激励限售股 解除限售时间 为：</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83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sz w:val="18"/>
                <w:szCs w:val="18"/>
              </w:rPr>
              <w:t>卢和忠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100"/>
              <w:jc w:val="right"/>
              <w:rPr>
                <w:rFonts w:ascii="Times New Roman" w:hAnsi="Times New Roman" w:cs="Times New Roman" w:eastAsia="Times New Roman" w:hint="default"/>
                <w:sz w:val="18"/>
                <w:szCs w:val="18"/>
              </w:rPr>
            </w:pPr>
            <w:r>
              <w:rPr>
                <w:rFonts w:ascii="Times New Roman"/>
                <w:sz w:val="18"/>
              </w:rPr>
              <w:t>650,000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100"/>
              <w:jc w:val="right"/>
              <w:rPr>
                <w:rFonts w:ascii="Times New Roman" w:hAnsi="Times New Roman" w:cs="Times New Roman" w:eastAsia="Times New Roman" w:hint="default"/>
                <w:sz w:val="18"/>
                <w:szCs w:val="18"/>
              </w:rPr>
            </w:pPr>
            <w:r>
              <w:rPr>
                <w:rFonts w:ascii="Times New Roman"/>
                <w:sz w:val="18"/>
              </w:rPr>
              <w:t>162,500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right="101"/>
              <w:jc w:val="right"/>
              <w:rPr>
                <w:rFonts w:ascii="Times New Roman" w:hAnsi="Times New Roman" w:cs="Times New Roman" w:eastAsia="Times New Roman" w:hint="default"/>
                <w:sz w:val="18"/>
                <w:szCs w:val="18"/>
              </w:rPr>
            </w:pPr>
            <w:r>
              <w:rPr>
                <w:rFonts w:ascii="Times New Roman"/>
                <w:sz w:val="18"/>
              </w:rPr>
              <w:t>487,500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2" w:right="128"/>
              <w:jc w:val="both"/>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年度股权 激励限售股，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月因 股权激励计划 解锁条件中的 公司业绩条件 未达到，公司 决定回购注销 授予其所持有 的限制性股票 </w:t>
            </w:r>
            <w:r>
              <w:rPr>
                <w:rFonts w:ascii="Times New Roman" w:hAnsi="Times New Roman" w:cs="Times New Roman" w:eastAsia="Times New Roman" w:hint="default"/>
                <w:sz w:val="18"/>
                <w:szCs w:val="18"/>
              </w:rPr>
              <w:t>25%</w:t>
            </w:r>
            <w:r>
              <w:rPr>
                <w:rFonts w:ascii="宋体" w:hAnsi="宋体" w:cs="宋体" w:eastAsia="宋体" w:hint="default"/>
                <w:sz w:val="18"/>
                <w:szCs w:val="18"/>
              </w:rPr>
              <w:t>，即</w:t>
            </w:r>
          </w:p>
          <w:p>
            <w:pPr>
              <w:pStyle w:val="TableParagraph"/>
              <w:spacing w:line="240" w:lineRule="auto" w:before="2"/>
              <w:ind w:left="10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162,500 </w:t>
            </w:r>
            <w:r>
              <w:rPr>
                <w:rFonts w:ascii="宋体" w:hAnsi="宋体" w:cs="宋体" w:eastAsia="宋体" w:hint="default"/>
                <w:sz w:val="18"/>
                <w:szCs w:val="18"/>
              </w:rPr>
              <w:t>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08"/>
              <w:ind w:left="103" w:right="127"/>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年度股权 激励限售股解 除限售时间 为：</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146"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魏代英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621,875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87,500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62,500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596,875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、高管锁定股</w:t>
            </w:r>
          </w:p>
          <w:p>
            <w:pPr>
              <w:pStyle w:val="TableParagraph"/>
              <w:spacing w:line="314" w:lineRule="auto" w:before="61"/>
              <w:ind w:left="102" w:right="102"/>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2</w:t>
            </w:r>
            <w:r>
              <w:rPr>
                <w:rFonts w:ascii="宋体" w:hAnsi="宋体" w:cs="宋体" w:eastAsia="宋体" w:hint="default"/>
                <w:spacing w:val="-11"/>
                <w:sz w:val="18"/>
                <w:szCs w:val="18"/>
              </w:rPr>
              <w:t>、</w:t>
            </w:r>
            <w:r>
              <w:rPr>
                <w:rFonts w:ascii="Times New Roman" w:hAnsi="Times New Roman" w:cs="Times New Roman" w:eastAsia="Times New Roman" w:hint="default"/>
                <w:spacing w:val="-11"/>
                <w:sz w:val="18"/>
                <w:szCs w:val="18"/>
              </w:rPr>
              <w:t>2017</w:t>
            </w:r>
            <w:r>
              <w:rPr>
                <w:rFonts w:ascii="Times New Roman" w:hAnsi="Times New Roman" w:cs="Times New Roman" w:eastAsia="Times New Roman" w:hint="default"/>
                <w:sz w:val="18"/>
                <w:szCs w:val="18"/>
              </w:rPr>
              <w:t> </w:t>
            </w:r>
            <w:r>
              <w:rPr>
                <w:rFonts w:ascii="宋体" w:hAnsi="宋体" w:cs="宋体" w:eastAsia="宋体" w:hint="default"/>
                <w:sz w:val="18"/>
                <w:szCs w:val="18"/>
              </w:rPr>
              <w:t>年度股 权激励限售 股，</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月因股权激励 计划解锁条件 中的公司业绩 条件未达到， 公司决定回购 注销授予其所 持有的限制性 股票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，即 </w:t>
            </w:r>
            <w:r>
              <w:rPr>
                <w:rFonts w:ascii="Times New Roman" w:hAnsi="Times New Roman" w:cs="Times New Roman" w:eastAsia="Times New Roman" w:hint="default"/>
                <w:sz w:val="18"/>
                <w:szCs w:val="18"/>
              </w:rPr>
              <w:t>87,500 </w:t>
            </w:r>
            <w:r>
              <w:rPr>
                <w:rFonts w:ascii="宋体" w:hAnsi="宋体" w:cs="宋体" w:eastAsia="宋体" w:hint="default"/>
                <w:sz w:val="18"/>
                <w:szCs w:val="18"/>
              </w:rPr>
              <w:t>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2" w:lineRule="auto"/>
              <w:ind w:left="103" w:right="101"/>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、高管锁定股</w:t>
            </w:r>
            <w:r>
              <w:rPr>
                <w:rFonts w:ascii="宋体" w:hAnsi="宋体" w:cs="宋体" w:eastAsia="宋体" w:hint="default"/>
                <w:sz w:val="18"/>
                <w:szCs w:val="18"/>
              </w:rPr>
              <w:t> 按法律法规的 规定解锁 </w:t>
            </w:r>
            <w:r>
              <w:rPr>
                <w:rFonts w:ascii="Times New Roman" w:hAnsi="Times New Roman" w:cs="Times New Roman" w:eastAsia="Times New Roman" w:hint="default"/>
                <w:spacing w:val="-11"/>
                <w:sz w:val="18"/>
                <w:szCs w:val="18"/>
              </w:rPr>
              <w:t>2</w:t>
            </w:r>
            <w:r>
              <w:rPr>
                <w:rFonts w:ascii="宋体" w:hAnsi="宋体" w:cs="宋体" w:eastAsia="宋体" w:hint="default"/>
                <w:spacing w:val="-11"/>
                <w:sz w:val="18"/>
                <w:szCs w:val="18"/>
              </w:rPr>
              <w:t>、</w:t>
            </w:r>
            <w:r>
              <w:rPr>
                <w:rFonts w:ascii="Times New Roman" w:hAnsi="Times New Roman" w:cs="Times New Roman" w:eastAsia="Times New Roman" w:hint="default"/>
                <w:spacing w:val="-11"/>
                <w:sz w:val="18"/>
                <w:szCs w:val="18"/>
              </w:rPr>
              <w:t>2017</w:t>
            </w:r>
            <w:r>
              <w:rPr>
                <w:rFonts w:ascii="Times New Roman" w:hAnsi="Times New Roman" w:cs="Times New Roman" w:eastAsia="Times New Roman" w:hint="default"/>
                <w:sz w:val="18"/>
                <w:szCs w:val="18"/>
              </w:rPr>
              <w:t> </w:t>
            </w:r>
            <w:r>
              <w:rPr>
                <w:rFonts w:ascii="宋体" w:hAnsi="宋体" w:cs="宋体" w:eastAsia="宋体" w:hint="default"/>
                <w:sz w:val="18"/>
                <w:szCs w:val="18"/>
              </w:rPr>
              <w:t>年度股 权激励限售股 解除限售时间 为：</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1299"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36"/>
              <w:ind w:left="103" w:right="174"/>
              <w:jc w:val="left"/>
              <w:rPr>
                <w:rFonts w:ascii="宋体" w:hAnsi="宋体" w:cs="宋体" w:eastAsia="宋体" w:hint="default"/>
                <w:sz w:val="18"/>
                <w:szCs w:val="18"/>
              </w:rPr>
            </w:pPr>
            <w:r>
              <w:rPr>
                <w:rFonts w:ascii="宋体" w:hAnsi="宋体" w:cs="宋体" w:eastAsia="宋体" w:hint="default"/>
                <w:sz w:val="18"/>
                <w:szCs w:val="18"/>
              </w:rPr>
              <w:t>其他限制性股 票激励对象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5"/>
              <w:ind w:right="100"/>
              <w:jc w:val="right"/>
              <w:rPr>
                <w:rFonts w:ascii="Times New Roman" w:hAnsi="Times New Roman" w:cs="Times New Roman" w:eastAsia="Times New Roman" w:hint="default"/>
                <w:sz w:val="18"/>
                <w:szCs w:val="18"/>
              </w:rPr>
            </w:pPr>
            <w:r>
              <w:rPr>
                <w:rFonts w:ascii="Times New Roman"/>
                <w:sz w:val="18"/>
              </w:rPr>
              <w:t>3,045,000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5"/>
              <w:ind w:right="100"/>
              <w:jc w:val="right"/>
              <w:rPr>
                <w:rFonts w:ascii="Times New Roman" w:hAnsi="Times New Roman" w:cs="Times New Roman" w:eastAsia="Times New Roman" w:hint="default"/>
                <w:sz w:val="18"/>
                <w:szCs w:val="18"/>
              </w:rPr>
            </w:pPr>
            <w:r>
              <w:rPr>
                <w:rFonts w:ascii="Times New Roman"/>
                <w:sz w:val="18"/>
              </w:rPr>
              <w:t>761,250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5"/>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5"/>
              <w:ind w:right="101"/>
              <w:jc w:val="right"/>
              <w:rPr>
                <w:rFonts w:ascii="Times New Roman" w:hAnsi="Times New Roman" w:cs="Times New Roman" w:eastAsia="Times New Roman" w:hint="default"/>
                <w:sz w:val="18"/>
                <w:szCs w:val="18"/>
              </w:rPr>
            </w:pPr>
            <w:r>
              <w:rPr>
                <w:rFonts w:ascii="Times New Roman"/>
                <w:sz w:val="18"/>
              </w:rPr>
              <w:t>2,283,750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1"/>
              <w:ind w:left="102" w:right="128"/>
              <w:jc w:val="both"/>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年度股权 激励限售股，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月因 股权激励计划</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27"/>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年度股权 激励限售股解 除限售时间 为：</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p>
        </w:tc>
      </w:tr>
    </w:tbl>
    <w:p>
      <w:pPr>
        <w:spacing w:after="0" w:line="312" w:lineRule="auto"/>
        <w:jc w:val="lef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2547" w:hRule="exact"/>
        </w:trPr>
        <w:tc>
          <w:tcPr>
            <w:tcW w:w="1370"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73"/>
              <w:jc w:val="both"/>
              <w:rPr>
                <w:rFonts w:ascii="宋体" w:hAnsi="宋体" w:cs="宋体" w:eastAsia="宋体" w:hint="default"/>
                <w:sz w:val="18"/>
                <w:szCs w:val="18"/>
              </w:rPr>
            </w:pPr>
            <w:r>
              <w:rPr>
                <w:rFonts w:ascii="宋体" w:hAnsi="宋体" w:cs="宋体" w:eastAsia="宋体" w:hint="default"/>
                <w:sz w:val="18"/>
                <w:szCs w:val="18"/>
              </w:rPr>
              <w:t>解锁条件中的 公司业绩条件 未达到，公司 决定回购注销 授予其所持有 的限制性股票 </w:t>
            </w:r>
            <w:r>
              <w:rPr>
                <w:rFonts w:ascii="Times New Roman" w:hAnsi="Times New Roman" w:cs="Times New Roman" w:eastAsia="Times New Roman" w:hint="default"/>
                <w:sz w:val="18"/>
                <w:szCs w:val="18"/>
              </w:rPr>
              <w:t>25%</w:t>
            </w:r>
            <w:r>
              <w:rPr>
                <w:rFonts w:ascii="宋体" w:hAnsi="宋体" w:cs="宋体" w:eastAsia="宋体" w:hint="default"/>
                <w:sz w:val="18"/>
                <w:szCs w:val="18"/>
              </w:rPr>
              <w:t>，即</w:t>
            </w:r>
          </w:p>
          <w:p>
            <w:pPr>
              <w:pStyle w:val="TableParagraph"/>
              <w:spacing w:line="240" w:lineRule="auto"/>
              <w:ind w:left="10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761,250 </w:t>
            </w:r>
            <w:r>
              <w:rPr>
                <w:rFonts w:ascii="宋体" w:hAnsi="宋体" w:cs="宋体" w:eastAsia="宋体" w:hint="default"/>
                <w:sz w:val="18"/>
                <w:szCs w:val="18"/>
              </w:rPr>
              <w:t>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3" w:right="0"/>
              <w:jc w:val="left"/>
              <w:rPr>
                <w:rFonts w:ascii="Times New Roman" w:hAnsi="Times New Roman" w:cs="Times New Roman" w:eastAsia="Times New Roman" w:hint="default"/>
                <w:sz w:val="18"/>
                <w:szCs w:val="18"/>
              </w:rPr>
            </w:pPr>
            <w:r>
              <w:rPr>
                <w:rFonts w:ascii="Times New Roman"/>
                <w:sz w:val="18"/>
              </w:rPr>
              <w:t>161,228,294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4" w:right="0"/>
              <w:jc w:val="left"/>
              <w:rPr>
                <w:rFonts w:ascii="Times New Roman" w:hAnsi="Times New Roman" w:cs="Times New Roman" w:eastAsia="Times New Roman" w:hint="default"/>
                <w:sz w:val="18"/>
                <w:szCs w:val="18"/>
              </w:rPr>
            </w:pPr>
            <w:r>
              <w:rPr>
                <w:rFonts w:ascii="Times New Roman"/>
                <w:sz w:val="18"/>
              </w:rPr>
              <w:t>1,067,500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3" w:right="0"/>
              <w:jc w:val="left"/>
              <w:rPr>
                <w:rFonts w:ascii="Times New Roman" w:hAnsi="Times New Roman" w:cs="Times New Roman" w:eastAsia="Times New Roman" w:hint="default"/>
                <w:sz w:val="18"/>
                <w:szCs w:val="18"/>
              </w:rPr>
            </w:pPr>
            <w:r>
              <w:rPr>
                <w:rFonts w:ascii="Times New Roman"/>
                <w:sz w:val="18"/>
              </w:rPr>
              <w:t>19,932,730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3" w:right="0"/>
              <w:jc w:val="left"/>
              <w:rPr>
                <w:rFonts w:ascii="Times New Roman" w:hAnsi="Times New Roman" w:cs="Times New Roman" w:eastAsia="Times New Roman" w:hint="default"/>
                <w:sz w:val="18"/>
                <w:szCs w:val="18"/>
              </w:rPr>
            </w:pPr>
            <w:r>
              <w:rPr>
                <w:rFonts w:ascii="Times New Roman"/>
                <w:sz w:val="18"/>
              </w:rPr>
              <w:t>180,093,524</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right="0"/>
        <w:jc w:val="left"/>
        <w:rPr>
          <w:b w:val="0"/>
          <w:bCs w:val="0"/>
        </w:rPr>
      </w:pPr>
      <w:bookmarkStart w:name="二、证券发行与上市情况" w:id="111"/>
      <w:bookmarkEnd w:id="111"/>
      <w:r>
        <w:rPr>
          <w:b w:val="0"/>
          <w:bCs w:val="0"/>
        </w:rPr>
      </w:r>
      <w:r>
        <w:rPr/>
        <w:t>二、证券发行与上市情况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报告期内证券发行（不含优先股）情况" w:id="112"/>
      <w:bookmarkEnd w:id="112"/>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公司股份总数及股东结构的变动、公司资产和负债结构的变动情况说明" w:id="113"/>
      <w:bookmarkEnd w:id="113"/>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0"/>
          <w:szCs w:val="20"/>
        </w:rPr>
      </w:pPr>
    </w:p>
    <w:p>
      <w:pPr>
        <w:pStyle w:val="BodyText"/>
        <w:spacing w:line="451" w:lineRule="auto"/>
        <w:ind w:right="0" w:firstLine="360"/>
        <w:jc w:val="left"/>
      </w:pPr>
      <w:r>
        <w:rPr>
          <w:rFonts w:ascii="Times New Roman" w:hAnsi="Times New Roman" w:cs="Times New Roman" w:eastAsia="Times New Roman" w:hint="default"/>
          <w:spacing w:val="-2"/>
        </w:rPr>
        <w:t>2018</w:t>
      </w:r>
      <w:r>
        <w:rPr>
          <w:spacing w:val="-2"/>
        </w:rPr>
        <w:t>年</w:t>
      </w:r>
      <w:r>
        <w:rPr>
          <w:rFonts w:ascii="宋体" w:hAnsi="宋体" w:cs="宋体" w:eastAsia="宋体" w:hint="default"/>
          <w:spacing w:val="-2"/>
        </w:rPr>
        <w:t>7</w:t>
      </w:r>
      <w:r>
        <w:rPr>
          <w:spacing w:val="-2"/>
        </w:rPr>
        <w:t>月</w:t>
      </w:r>
      <w:r>
        <w:rPr>
          <w:rFonts w:ascii="宋体" w:hAnsi="宋体" w:cs="宋体" w:eastAsia="宋体" w:hint="default"/>
          <w:spacing w:val="-2"/>
        </w:rPr>
        <w:t>3</w:t>
      </w:r>
      <w:r>
        <w:rPr>
          <w:spacing w:val="-2"/>
        </w:rPr>
        <w:t>日，公司在中国证券登记结算有限责任公司深圳分公司办理完成</w:t>
      </w:r>
      <w:r>
        <w:rPr>
          <w:rFonts w:ascii="Times New Roman" w:hAnsi="Times New Roman" w:cs="Times New Roman" w:eastAsia="Times New Roman" w:hint="default"/>
          <w:spacing w:val="-2"/>
        </w:rPr>
        <w:t>2017</w:t>
      </w:r>
      <w:r>
        <w:rPr>
          <w:spacing w:val="-2"/>
        </w:rPr>
        <w:t>年股权激励计划第一期限制性股票回购</w:t>
      </w:r>
      <w:r>
        <w:rPr/>
        <w:t> 注销手续，合计回购注销限制性股票</w:t>
      </w:r>
      <w:r>
        <w:rPr>
          <w:rFonts w:ascii="宋体" w:hAnsi="宋体" w:cs="宋体" w:eastAsia="宋体" w:hint="default"/>
        </w:rPr>
        <w:t>106.75</w:t>
      </w:r>
      <w:r>
        <w:rPr/>
        <w:t>万股，公司总股本由</w:t>
      </w:r>
      <w:r>
        <w:rPr>
          <w:rFonts w:ascii="Times New Roman" w:hAnsi="Times New Roman" w:cs="Times New Roman" w:eastAsia="Times New Roman" w:hint="default"/>
        </w:rPr>
        <w:t>581,039,204</w:t>
      </w:r>
      <w:r>
        <w:rPr/>
        <w:t>股减至</w:t>
      </w:r>
      <w:r>
        <w:rPr>
          <w:rFonts w:ascii="Times New Roman" w:hAnsi="Times New Roman" w:cs="Times New Roman" w:eastAsia="Times New Roman" w:hint="default"/>
        </w:rPr>
        <w:t>579,971,704</w:t>
      </w:r>
      <w:r>
        <w:rPr/>
        <w:t>股。</w:t>
      </w:r>
    </w:p>
    <w:p>
      <w:pPr>
        <w:spacing w:line="240" w:lineRule="auto" w:before="6"/>
        <w:rPr>
          <w:rFonts w:ascii="宋体" w:hAnsi="宋体" w:cs="宋体" w:eastAsia="宋体" w:hint="default"/>
          <w:sz w:val="18"/>
          <w:szCs w:val="18"/>
        </w:rPr>
      </w:pPr>
    </w:p>
    <w:p>
      <w:pPr>
        <w:pStyle w:val="Heading3"/>
        <w:spacing w:line="240" w:lineRule="auto"/>
        <w:ind w:right="0"/>
        <w:jc w:val="left"/>
        <w:rPr>
          <w:b w:val="0"/>
          <w:bCs w:val="0"/>
        </w:rPr>
      </w:pPr>
      <w:bookmarkStart w:name="3、现存的内部职工股情况" w:id="114"/>
      <w:bookmarkEnd w:id="114"/>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三、股东和实际控制人情况" w:id="115"/>
      <w:bookmarkEnd w:id="115"/>
      <w:r>
        <w:rPr>
          <w:b w:val="0"/>
          <w:bCs w:val="0"/>
        </w:rPr>
      </w:r>
      <w:r>
        <w:rPr/>
        <w:t>三、股东和实际控制人情况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公司股东数量及持股情况" w:id="116"/>
      <w:bookmarkEnd w:id="116"/>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单位：股</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196"/>
        <w:gridCol w:w="274"/>
        <w:gridCol w:w="923"/>
        <w:gridCol w:w="490"/>
        <w:gridCol w:w="748"/>
        <w:gridCol w:w="827"/>
        <w:gridCol w:w="328"/>
        <w:gridCol w:w="461"/>
        <w:gridCol w:w="761"/>
        <w:gridCol w:w="866"/>
        <w:gridCol w:w="305"/>
        <w:gridCol w:w="1044"/>
        <w:gridCol w:w="152"/>
        <w:gridCol w:w="1195"/>
      </w:tblGrid>
      <w:tr>
        <w:trPr>
          <w:trHeight w:val="2279"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103" w:right="180"/>
              <w:jc w:val="both"/>
              <w:rPr>
                <w:rFonts w:ascii="宋体" w:hAnsi="宋体" w:cs="宋体" w:eastAsia="宋体" w:hint="default"/>
                <w:sz w:val="18"/>
                <w:szCs w:val="18"/>
              </w:rPr>
            </w:pPr>
            <w:r>
              <w:rPr>
                <w:rFonts w:ascii="宋体" w:hAnsi="宋体" w:cs="宋体" w:eastAsia="宋体" w:hint="default"/>
                <w:sz w:val="18"/>
                <w:szCs w:val="18"/>
              </w:rPr>
              <w:t>报告期末普 通股股东总 数</w:t>
            </w:r>
          </w:p>
        </w:tc>
        <w:tc>
          <w:tcPr>
            <w:tcW w:w="11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589" w:right="0"/>
              <w:jc w:val="left"/>
              <w:rPr>
                <w:rFonts w:ascii="Times New Roman" w:hAnsi="Times New Roman" w:cs="Times New Roman" w:eastAsia="Times New Roman" w:hint="default"/>
                <w:sz w:val="18"/>
                <w:szCs w:val="18"/>
              </w:rPr>
            </w:pPr>
            <w:r>
              <w:rPr>
                <w:rFonts w:ascii="Times New Roman"/>
                <w:sz w:val="18"/>
              </w:rPr>
              <w:t>45,967</w:t>
            </w:r>
          </w:p>
        </w:tc>
        <w:tc>
          <w:tcPr>
            <w:tcW w:w="12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01" w:right="223"/>
              <w:jc w:val="both"/>
              <w:rPr>
                <w:rFonts w:ascii="宋体" w:hAnsi="宋体" w:cs="宋体" w:eastAsia="宋体" w:hint="default"/>
                <w:sz w:val="18"/>
                <w:szCs w:val="18"/>
              </w:rPr>
            </w:pPr>
            <w:r>
              <w:rPr>
                <w:rFonts w:ascii="宋体" w:hAnsi="宋体" w:cs="宋体" w:eastAsia="宋体" w:hint="default"/>
                <w:sz w:val="18"/>
                <w:szCs w:val="18"/>
              </w:rPr>
              <w:t>年度报告披 露日前上一 月末普通股 股东总数</w:t>
            </w:r>
          </w:p>
        </w:tc>
        <w:tc>
          <w:tcPr>
            <w:tcW w:w="11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547" w:right="0"/>
              <w:jc w:val="left"/>
              <w:rPr>
                <w:rFonts w:ascii="Times New Roman" w:hAnsi="Times New Roman" w:cs="Times New Roman" w:eastAsia="Times New Roman" w:hint="default"/>
                <w:sz w:val="18"/>
                <w:szCs w:val="18"/>
              </w:rPr>
            </w:pPr>
            <w:r>
              <w:rPr>
                <w:rFonts w:ascii="Times New Roman"/>
                <w:sz w:val="18"/>
              </w:rPr>
              <w:t>51,553</w:t>
            </w:r>
          </w:p>
        </w:tc>
        <w:tc>
          <w:tcPr>
            <w:tcW w:w="122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03" w:right="36"/>
              <w:jc w:val="left"/>
              <w:rPr>
                <w:rFonts w:ascii="宋体" w:hAnsi="宋体" w:cs="宋体" w:eastAsia="宋体" w:hint="default"/>
                <w:sz w:val="18"/>
                <w:szCs w:val="18"/>
              </w:rPr>
            </w:pPr>
            <w:r>
              <w:rPr>
                <w:rFonts w:ascii="宋体" w:hAnsi="宋体" w:cs="宋体" w:eastAsia="宋体" w:hint="default"/>
                <w:sz w:val="18"/>
                <w:szCs w:val="18"/>
              </w:rPr>
              <w:t>报告期末表 决权恢复的 优先股股东 </w:t>
            </w:r>
            <w:r>
              <w:rPr>
                <w:rFonts w:ascii="宋体" w:hAnsi="宋体" w:cs="宋体" w:eastAsia="宋体" w:hint="default"/>
                <w:spacing w:val="-2"/>
                <w:sz w:val="18"/>
                <w:szCs w:val="18"/>
              </w:rPr>
              <w:t>总数（如有）</w:t>
            </w:r>
          </w:p>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81"/>
              <w:jc w:val="both"/>
              <w:rPr>
                <w:rFonts w:ascii="宋体" w:hAnsi="宋体" w:cs="宋体" w:eastAsia="宋体" w:hint="default"/>
                <w:sz w:val="18"/>
                <w:szCs w:val="18"/>
              </w:rPr>
            </w:pPr>
            <w:r>
              <w:rPr>
                <w:rFonts w:ascii="宋体" w:hAnsi="宋体" w:cs="宋体" w:eastAsia="宋体" w:hint="default"/>
                <w:sz w:val="18"/>
                <w:szCs w:val="18"/>
              </w:rPr>
              <w:t>年度报告披 露日前上一 月末表决权 恢复的优先 股股东总数</w:t>
            </w:r>
          </w:p>
          <w:p>
            <w:pPr>
              <w:pStyle w:val="TableParagraph"/>
              <w:spacing w:line="319" w:lineRule="auto" w:before="19"/>
              <w:ind w:left="103" w:right="101"/>
              <w:jc w:val="both"/>
              <w:rPr>
                <w:rFonts w:ascii="宋体" w:hAnsi="宋体" w:cs="宋体" w:eastAsia="宋体" w:hint="default"/>
                <w:sz w:val="18"/>
                <w:szCs w:val="18"/>
              </w:rPr>
            </w:pPr>
            <w:r>
              <w:rPr>
                <w:rFonts w:ascii="宋体" w:hAnsi="宋体" w:cs="宋体" w:eastAsia="宋体" w:hint="default"/>
                <w:spacing w:val="-17"/>
                <w:sz w:val="18"/>
                <w:szCs w:val="18"/>
              </w:rPr>
              <w:t>（如有）（参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398" w:hRule="exact"/>
        </w:trPr>
        <w:tc>
          <w:tcPr>
            <w:tcW w:w="9569" w:type="dxa"/>
            <w:gridSpan w:val="1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402" w:hRule="exact"/>
        </w:trPr>
        <w:tc>
          <w:tcPr>
            <w:tcW w:w="146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316" w:lineRule="auto"/>
              <w:ind w:left="298" w:right="77"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8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57" w:right="119"/>
              <w:jc w:val="left"/>
              <w:rPr>
                <w:rFonts w:ascii="宋体" w:hAnsi="宋体" w:cs="宋体" w:eastAsia="宋体" w:hint="default"/>
                <w:sz w:val="18"/>
                <w:szCs w:val="18"/>
              </w:rPr>
            </w:pPr>
            <w:r>
              <w:rPr>
                <w:rFonts w:ascii="宋体" w:hAnsi="宋体" w:cs="宋体" w:eastAsia="宋体" w:hint="default"/>
                <w:sz w:val="18"/>
                <w:szCs w:val="18"/>
              </w:rPr>
              <w:t>报告期 末持股</w:t>
            </w:r>
          </w:p>
        </w:tc>
        <w:tc>
          <w:tcPr>
            <w:tcW w:w="78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7" w:right="119"/>
              <w:jc w:val="both"/>
              <w:rPr>
                <w:rFonts w:ascii="宋体" w:hAnsi="宋体" w:cs="宋体" w:eastAsia="宋体" w:hint="default"/>
                <w:sz w:val="18"/>
                <w:szCs w:val="18"/>
              </w:rPr>
            </w:pPr>
            <w:r>
              <w:rPr>
                <w:rFonts w:ascii="宋体" w:hAnsi="宋体" w:cs="宋体" w:eastAsia="宋体" w:hint="default"/>
                <w:sz w:val="18"/>
                <w:szCs w:val="18"/>
              </w:rPr>
              <w:t>报告期 内增减 变动情</w:t>
            </w:r>
          </w:p>
        </w:tc>
        <w:tc>
          <w:tcPr>
            <w:tcW w:w="76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8" w:right="90"/>
              <w:jc w:val="both"/>
              <w:rPr>
                <w:rFonts w:ascii="宋体" w:hAnsi="宋体" w:cs="宋体" w:eastAsia="宋体" w:hint="default"/>
                <w:sz w:val="18"/>
                <w:szCs w:val="18"/>
              </w:rPr>
            </w:pPr>
            <w:r>
              <w:rPr>
                <w:rFonts w:ascii="宋体" w:hAnsi="宋体" w:cs="宋体" w:eastAsia="宋体" w:hint="default"/>
                <w:sz w:val="18"/>
                <w:szCs w:val="18"/>
              </w:rPr>
              <w:t>持有有 限售条 件的股</w:t>
            </w:r>
          </w:p>
        </w:tc>
        <w:tc>
          <w:tcPr>
            <w:tcW w:w="8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71" w:right="143"/>
              <w:jc w:val="both"/>
              <w:rPr>
                <w:rFonts w:ascii="宋体" w:hAnsi="宋体" w:cs="宋体" w:eastAsia="宋体" w:hint="default"/>
                <w:sz w:val="18"/>
                <w:szCs w:val="18"/>
              </w:rPr>
            </w:pPr>
            <w:r>
              <w:rPr>
                <w:rFonts w:ascii="宋体" w:hAnsi="宋体" w:cs="宋体" w:eastAsia="宋体" w:hint="default"/>
                <w:sz w:val="18"/>
                <w:szCs w:val="18"/>
              </w:rPr>
              <w:t>持有无 限售条 件的股</w:t>
            </w:r>
          </w:p>
        </w:tc>
        <w:tc>
          <w:tcPr>
            <w:tcW w:w="269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14"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584" w:hRule="exact"/>
        </w:trPr>
        <w:tc>
          <w:tcPr>
            <w:tcW w:w="1469" w:type="dxa"/>
            <w:gridSpan w:val="2"/>
            <w:vMerge/>
            <w:tcBorders>
              <w:left w:val="single" w:sz="4" w:space="0" w:color="000000"/>
              <w:bottom w:val="single" w:sz="4" w:space="0" w:color="000000"/>
              <w:right w:val="single" w:sz="4" w:space="0" w:color="000000"/>
            </w:tcBorders>
            <w:shd w:val="clear" w:color="auto" w:fill="D2D2D2"/>
          </w:tcPr>
          <w:p>
            <w:pPr/>
          </w:p>
        </w:tc>
        <w:tc>
          <w:tcPr>
            <w:tcW w:w="1412" w:type="dxa"/>
            <w:gridSpan w:val="2"/>
            <w:vMerge/>
            <w:tcBorders>
              <w:left w:val="single" w:sz="4" w:space="0" w:color="000000"/>
              <w:bottom w:val="single" w:sz="4" w:space="0" w:color="000000"/>
              <w:right w:val="single" w:sz="4" w:space="0" w:color="000000"/>
            </w:tcBorders>
            <w:shd w:val="clear" w:color="auto" w:fill="D2D2D2"/>
          </w:tcPr>
          <w:p>
            <w:pPr/>
          </w:p>
        </w:tc>
        <w:tc>
          <w:tcPr>
            <w:tcW w:w="748" w:type="dxa"/>
            <w:vMerge/>
            <w:tcBorders>
              <w:left w:val="single" w:sz="4" w:space="0" w:color="000000"/>
              <w:bottom w:val="single" w:sz="4" w:space="0" w:color="000000"/>
              <w:right w:val="single" w:sz="4" w:space="0" w:color="000000"/>
            </w:tcBorders>
            <w:shd w:val="clear" w:color="auto" w:fill="D2D2D2"/>
          </w:tcPr>
          <w:p>
            <w:pPr/>
          </w:p>
        </w:tc>
        <w:tc>
          <w:tcPr>
            <w:tcW w:w="827" w:type="dxa"/>
            <w:vMerge/>
            <w:tcBorders>
              <w:left w:val="single" w:sz="4" w:space="0" w:color="000000"/>
              <w:bottom w:val="single" w:sz="4" w:space="0" w:color="000000"/>
              <w:right w:val="single" w:sz="4" w:space="0" w:color="000000"/>
            </w:tcBorders>
            <w:shd w:val="clear" w:color="auto" w:fill="D2D2D2"/>
          </w:tcPr>
          <w:p>
            <w:pPr/>
          </w:p>
        </w:tc>
        <w:tc>
          <w:tcPr>
            <w:tcW w:w="788" w:type="dxa"/>
            <w:gridSpan w:val="2"/>
            <w:vMerge/>
            <w:tcBorders>
              <w:left w:val="single" w:sz="4" w:space="0" w:color="000000"/>
              <w:bottom w:val="single" w:sz="4" w:space="0" w:color="000000"/>
              <w:right w:val="single" w:sz="4" w:space="0" w:color="000000"/>
            </w:tcBorders>
            <w:shd w:val="clear" w:color="auto" w:fill="D2D2D2"/>
          </w:tcPr>
          <w:p>
            <w:pPr/>
          </w:p>
        </w:tc>
        <w:tc>
          <w:tcPr>
            <w:tcW w:w="761" w:type="dxa"/>
            <w:vMerge/>
            <w:tcBorders>
              <w:left w:val="single" w:sz="4" w:space="0" w:color="000000"/>
              <w:bottom w:val="single" w:sz="4" w:space="0" w:color="000000"/>
              <w:right w:val="single" w:sz="4" w:space="0" w:color="000000"/>
            </w:tcBorders>
            <w:shd w:val="clear" w:color="auto" w:fill="D2D2D2"/>
          </w:tcPr>
          <w:p>
            <w:pPr/>
          </w:p>
        </w:tc>
        <w:tc>
          <w:tcPr>
            <w:tcW w:w="866" w:type="dxa"/>
            <w:vMerge/>
            <w:tcBorders>
              <w:left w:val="single" w:sz="4" w:space="0" w:color="000000"/>
              <w:bottom w:val="single" w:sz="4" w:space="0" w:color="000000"/>
              <w:right w:val="single" w:sz="4" w:space="0" w:color="000000"/>
            </w:tcBorders>
            <w:shd w:val="clear" w:color="auto" w:fill="D2D2D2"/>
          </w:tcPr>
          <w:p>
            <w:pPr/>
          </w:p>
        </w:tc>
        <w:tc>
          <w:tcPr>
            <w:tcW w:w="134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2"/>
              <w:ind w:left="310"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34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2"/>
              <w:ind w:right="1"/>
              <w:jc w:val="center"/>
              <w:rPr>
                <w:rFonts w:ascii="宋体" w:hAnsi="宋体" w:cs="宋体" w:eastAsia="宋体" w:hint="default"/>
                <w:sz w:val="18"/>
                <w:szCs w:val="18"/>
              </w:rPr>
            </w:pPr>
            <w:r>
              <w:rPr>
                <w:rFonts w:ascii="宋体" w:hAnsi="宋体" w:cs="宋体" w:eastAsia="宋体" w:hint="default"/>
                <w:sz w:val="18"/>
                <w:szCs w:val="18"/>
              </w:rPr>
              <w:t>数量</w:t>
            </w:r>
          </w:p>
        </w:tc>
      </w:tr>
    </w:tbl>
    <w:p>
      <w:pPr>
        <w:spacing w:after="0" w:line="240" w:lineRule="auto"/>
        <w:jc w:val="center"/>
        <w:rPr>
          <w:rFonts w:ascii="宋体" w:hAnsi="宋体" w:cs="宋体" w:eastAsia="宋体"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469"/>
        <w:gridCol w:w="1412"/>
        <w:gridCol w:w="788"/>
        <w:gridCol w:w="786"/>
        <w:gridCol w:w="788"/>
        <w:gridCol w:w="787"/>
        <w:gridCol w:w="840"/>
        <w:gridCol w:w="1349"/>
        <w:gridCol w:w="1348"/>
      </w:tblGrid>
      <w:tr>
        <w:trPr>
          <w:trHeight w:val="362" w:hRule="exact"/>
        </w:trPr>
        <w:tc>
          <w:tcPr>
            <w:tcW w:w="14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0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况</w:t>
            </w:r>
          </w:p>
        </w:tc>
        <w:tc>
          <w:tcPr>
            <w:tcW w:w="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16"/>
              <w:jc w:val="right"/>
              <w:rPr>
                <w:rFonts w:ascii="宋体" w:hAnsi="宋体" w:cs="宋体" w:eastAsia="宋体" w:hint="default"/>
                <w:sz w:val="18"/>
                <w:szCs w:val="18"/>
              </w:rPr>
            </w:pPr>
            <w:r>
              <w:rPr>
                <w:rFonts w:ascii="宋体" w:hAnsi="宋体" w:cs="宋体" w:eastAsia="宋体" w:hint="default"/>
                <w:sz w:val="18"/>
                <w:szCs w:val="18"/>
              </w:rPr>
              <w:t>份数量</w:t>
            </w:r>
          </w:p>
        </w:tc>
        <w:tc>
          <w:tcPr>
            <w:tcW w:w="8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43"/>
              <w:jc w:val="right"/>
              <w:rPr>
                <w:rFonts w:ascii="宋体" w:hAnsi="宋体" w:cs="宋体" w:eastAsia="宋体" w:hint="default"/>
                <w:sz w:val="18"/>
                <w:szCs w:val="18"/>
              </w:rPr>
            </w:pPr>
            <w:r>
              <w:rPr>
                <w:rFonts w:ascii="宋体" w:hAnsi="宋体" w:cs="宋体" w:eastAsia="宋体" w:hint="default"/>
                <w:sz w:val="18"/>
                <w:szCs w:val="18"/>
              </w:rPr>
              <w:t>份数量</w:t>
            </w: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4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夏传武</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19.58%</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3" w:right="0"/>
              <w:jc w:val="left"/>
              <w:rPr>
                <w:rFonts w:ascii="Times New Roman" w:hAnsi="Times New Roman" w:cs="Times New Roman" w:eastAsia="Times New Roman" w:hint="default"/>
                <w:sz w:val="18"/>
                <w:szCs w:val="18"/>
              </w:rPr>
            </w:pPr>
            <w:r>
              <w:rPr>
                <w:rFonts w:ascii="Times New Roman"/>
                <w:sz w:val="18"/>
              </w:rPr>
              <w:t>113,53</w:t>
            </w:r>
          </w:p>
          <w:p>
            <w:pPr>
              <w:pStyle w:val="TableParagraph"/>
              <w:spacing w:line="240" w:lineRule="auto" w:before="105"/>
              <w:ind w:left="268" w:right="0"/>
              <w:jc w:val="left"/>
              <w:rPr>
                <w:rFonts w:ascii="Times New Roman" w:hAnsi="Times New Roman" w:cs="Times New Roman" w:eastAsia="Times New Roman" w:hint="default"/>
                <w:sz w:val="18"/>
                <w:szCs w:val="18"/>
              </w:rPr>
            </w:pPr>
            <w:r>
              <w:rPr>
                <w:rFonts w:ascii="Times New Roman"/>
                <w:sz w:val="18"/>
              </w:rPr>
              <w:t>4,850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5" w:right="0"/>
              <w:jc w:val="left"/>
              <w:rPr>
                <w:rFonts w:ascii="Times New Roman" w:hAnsi="Times New Roman" w:cs="Times New Roman" w:eastAsia="Times New Roman" w:hint="default"/>
                <w:sz w:val="18"/>
                <w:szCs w:val="18"/>
              </w:rPr>
            </w:pPr>
            <w:r>
              <w:rPr>
                <w:rFonts w:ascii="Times New Roman"/>
                <w:sz w:val="18"/>
              </w:rPr>
              <w:t>113,53</w:t>
            </w:r>
          </w:p>
          <w:p>
            <w:pPr>
              <w:pStyle w:val="TableParagraph"/>
              <w:spacing w:line="240" w:lineRule="auto" w:before="105"/>
              <w:ind w:left="269" w:right="0"/>
              <w:jc w:val="left"/>
              <w:rPr>
                <w:rFonts w:ascii="Times New Roman" w:hAnsi="Times New Roman" w:cs="Times New Roman" w:eastAsia="Times New Roman" w:hint="default"/>
                <w:sz w:val="18"/>
                <w:szCs w:val="18"/>
              </w:rPr>
            </w:pPr>
            <w:r>
              <w:rPr>
                <w:rFonts w:ascii="Times New Roman"/>
                <w:sz w:val="18"/>
              </w:rPr>
              <w:t>4,850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98,013,930</w:t>
            </w:r>
          </w:p>
        </w:tc>
      </w:tr>
      <w:tr>
        <w:trPr>
          <w:trHeight w:val="1338"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4"/>
              <w:jc w:val="left"/>
              <w:rPr>
                <w:rFonts w:ascii="宋体" w:hAnsi="宋体" w:cs="宋体" w:eastAsia="宋体" w:hint="default"/>
                <w:sz w:val="18"/>
                <w:szCs w:val="18"/>
              </w:rPr>
            </w:pPr>
            <w:r>
              <w:rPr>
                <w:rFonts w:ascii="宋体" w:hAnsi="宋体" w:cs="宋体" w:eastAsia="宋体" w:hint="default"/>
                <w:sz w:val="18"/>
                <w:szCs w:val="18"/>
              </w:rPr>
              <w:t>深圳市上元星 晖电子产业股 权投资基金企 业（有限合伙）</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217"/>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4.19%</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24,327,</w:t>
            </w:r>
          </w:p>
          <w:p>
            <w:pPr>
              <w:pStyle w:val="TableParagraph"/>
              <w:spacing w:line="240" w:lineRule="auto" w:before="105"/>
              <w:ind w:left="402" w:right="0"/>
              <w:jc w:val="left"/>
              <w:rPr>
                <w:rFonts w:ascii="Times New Roman" w:hAnsi="Times New Roman" w:cs="Times New Roman" w:eastAsia="Times New Roman" w:hint="default"/>
                <w:sz w:val="18"/>
                <w:szCs w:val="18"/>
              </w:rPr>
            </w:pPr>
            <w:r>
              <w:rPr>
                <w:rFonts w:ascii="Times New Roman"/>
                <w:sz w:val="18"/>
              </w:rPr>
              <w:t>784</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2" w:right="0"/>
              <w:jc w:val="left"/>
              <w:rPr>
                <w:rFonts w:ascii="Times New Roman" w:hAnsi="Times New Roman" w:cs="Times New Roman" w:eastAsia="Times New Roman" w:hint="default"/>
                <w:sz w:val="18"/>
                <w:szCs w:val="18"/>
              </w:rPr>
            </w:pPr>
            <w:r>
              <w:rPr>
                <w:rFonts w:ascii="Times New Roman"/>
                <w:sz w:val="18"/>
              </w:rPr>
              <w:t>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24,327,</w:t>
            </w:r>
          </w:p>
          <w:p>
            <w:pPr>
              <w:pStyle w:val="TableParagraph"/>
              <w:spacing w:line="240" w:lineRule="auto" w:before="105"/>
              <w:ind w:left="404" w:right="0"/>
              <w:jc w:val="left"/>
              <w:rPr>
                <w:rFonts w:ascii="Times New Roman" w:hAnsi="Times New Roman" w:cs="Times New Roman" w:eastAsia="Times New Roman" w:hint="default"/>
                <w:sz w:val="18"/>
                <w:szCs w:val="18"/>
              </w:rPr>
            </w:pPr>
            <w:r>
              <w:rPr>
                <w:rFonts w:ascii="Times New Roman"/>
                <w:sz w:val="18"/>
              </w:rPr>
              <w:t>784</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24,320,000</w:t>
            </w:r>
          </w:p>
        </w:tc>
      </w:tr>
      <w:tr>
        <w:trPr>
          <w:trHeight w:val="1338"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z w:val="18"/>
                <w:szCs w:val="18"/>
              </w:rPr>
              <w:t>深圳市中科祥 瑞资本管理合 伙企业（有限合 伙）</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217"/>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3.76%</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21,804,</w:t>
            </w:r>
          </w:p>
          <w:p>
            <w:pPr>
              <w:pStyle w:val="TableParagraph"/>
              <w:spacing w:line="240" w:lineRule="auto" w:before="105"/>
              <w:ind w:left="402" w:right="0"/>
              <w:jc w:val="left"/>
              <w:rPr>
                <w:rFonts w:ascii="Times New Roman" w:hAnsi="Times New Roman" w:cs="Times New Roman" w:eastAsia="Times New Roman" w:hint="default"/>
                <w:sz w:val="18"/>
                <w:szCs w:val="18"/>
              </w:rPr>
            </w:pPr>
            <w:r>
              <w:rPr>
                <w:rFonts w:ascii="Times New Roman"/>
                <w:sz w:val="18"/>
              </w:rPr>
              <w:t>097</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2" w:right="0"/>
              <w:jc w:val="left"/>
              <w:rPr>
                <w:rFonts w:ascii="Times New Roman" w:hAnsi="Times New Roman" w:cs="Times New Roman" w:eastAsia="Times New Roman" w:hint="default"/>
                <w:sz w:val="18"/>
                <w:szCs w:val="18"/>
              </w:rPr>
            </w:pPr>
            <w:r>
              <w:rPr>
                <w:rFonts w:ascii="Times New Roman"/>
                <w:sz w:val="18"/>
              </w:rPr>
              <w:t>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21,804,</w:t>
            </w:r>
          </w:p>
          <w:p>
            <w:pPr>
              <w:pStyle w:val="TableParagraph"/>
              <w:spacing w:line="240" w:lineRule="auto" w:before="105"/>
              <w:ind w:left="404" w:right="0"/>
              <w:jc w:val="left"/>
              <w:rPr>
                <w:rFonts w:ascii="Times New Roman" w:hAnsi="Times New Roman" w:cs="Times New Roman" w:eastAsia="Times New Roman" w:hint="default"/>
                <w:sz w:val="18"/>
                <w:szCs w:val="18"/>
              </w:rPr>
            </w:pPr>
            <w:r>
              <w:rPr>
                <w:rFonts w:ascii="Times New Roman"/>
                <w:sz w:val="18"/>
              </w:rPr>
              <w:t>097</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21,804,097</w:t>
            </w:r>
          </w:p>
        </w:tc>
      </w:tr>
      <w:tr>
        <w:trPr>
          <w:trHeight w:val="1338"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02"/>
              <w:jc w:val="left"/>
              <w:rPr>
                <w:rFonts w:ascii="宋体" w:hAnsi="宋体" w:cs="宋体" w:eastAsia="宋体" w:hint="default"/>
                <w:sz w:val="18"/>
                <w:szCs w:val="18"/>
              </w:rPr>
            </w:pPr>
            <w:r>
              <w:rPr>
                <w:rFonts w:ascii="宋体" w:hAnsi="宋体" w:cs="宋体" w:eastAsia="宋体" w:hint="default"/>
                <w:sz w:val="18"/>
                <w:szCs w:val="18"/>
              </w:rPr>
              <w:t>深圳市上元资 本管理有限公 司－上元</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号私</w:t>
            </w:r>
            <w:r>
              <w:rPr>
                <w:rFonts w:ascii="宋体" w:hAnsi="宋体" w:cs="宋体" w:eastAsia="宋体" w:hint="default"/>
                <w:spacing w:val="-2"/>
                <w:sz w:val="18"/>
                <w:szCs w:val="18"/>
              </w:rPr>
              <w:t> </w:t>
            </w:r>
            <w:r>
              <w:rPr>
                <w:rFonts w:ascii="宋体" w:hAnsi="宋体" w:cs="宋体" w:eastAsia="宋体" w:hint="default"/>
                <w:sz w:val="18"/>
                <w:szCs w:val="18"/>
              </w:rPr>
              <w:t>募基金</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2.12%</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12,290,</w:t>
            </w:r>
          </w:p>
          <w:p>
            <w:pPr>
              <w:pStyle w:val="TableParagraph"/>
              <w:spacing w:line="240" w:lineRule="auto" w:before="105"/>
              <w:ind w:left="402" w:right="0"/>
              <w:jc w:val="left"/>
              <w:rPr>
                <w:rFonts w:ascii="Times New Roman" w:hAnsi="Times New Roman" w:cs="Times New Roman" w:eastAsia="Times New Roman" w:hint="default"/>
                <w:sz w:val="18"/>
                <w:szCs w:val="18"/>
              </w:rPr>
            </w:pPr>
            <w:r>
              <w:rPr>
                <w:rFonts w:ascii="Times New Roman"/>
                <w:sz w:val="18"/>
              </w:rPr>
              <w:t>635</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-6,057,</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000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12,290,</w:t>
            </w:r>
          </w:p>
          <w:p>
            <w:pPr>
              <w:pStyle w:val="TableParagraph"/>
              <w:spacing w:line="240" w:lineRule="auto" w:before="105"/>
              <w:ind w:left="457" w:right="0"/>
              <w:jc w:val="left"/>
              <w:rPr>
                <w:rFonts w:ascii="Times New Roman" w:hAnsi="Times New Roman" w:cs="Times New Roman" w:eastAsia="Times New Roman" w:hint="default"/>
                <w:sz w:val="18"/>
                <w:szCs w:val="18"/>
              </w:rPr>
            </w:pPr>
            <w:r>
              <w:rPr>
                <w:rFonts w:ascii="Times New Roman"/>
                <w:sz w:val="18"/>
              </w:rPr>
              <w:t>635</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李国辉</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1.42%</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 w:right="0"/>
              <w:jc w:val="left"/>
              <w:rPr>
                <w:rFonts w:ascii="Times New Roman" w:hAnsi="Times New Roman" w:cs="Times New Roman" w:eastAsia="Times New Roman" w:hint="default"/>
                <w:sz w:val="18"/>
                <w:szCs w:val="18"/>
              </w:rPr>
            </w:pPr>
            <w:r>
              <w:rPr>
                <w:rFonts w:ascii="Times New Roman"/>
                <w:sz w:val="18"/>
              </w:rPr>
              <w:t>8,228,9</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20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44,700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8,228,9</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20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王卫</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1.22%</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 w:right="0"/>
              <w:jc w:val="left"/>
              <w:rPr>
                <w:rFonts w:ascii="Times New Roman" w:hAnsi="Times New Roman" w:cs="Times New Roman" w:eastAsia="Times New Roman" w:hint="default"/>
                <w:sz w:val="18"/>
                <w:szCs w:val="18"/>
              </w:rPr>
            </w:pPr>
            <w:r>
              <w:rPr>
                <w:rFonts w:ascii="Times New Roman"/>
                <w:sz w:val="18"/>
              </w:rPr>
              <w:t>7,103,3</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93</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4" w:right="0"/>
              <w:jc w:val="left"/>
              <w:rPr>
                <w:rFonts w:ascii="Times New Roman" w:hAnsi="Times New Roman" w:cs="Times New Roman" w:eastAsia="Times New Roman" w:hint="default"/>
                <w:sz w:val="18"/>
                <w:szCs w:val="18"/>
              </w:rPr>
            </w:pPr>
            <w:r>
              <w:rPr>
                <w:rFonts w:ascii="Times New Roman"/>
                <w:sz w:val="18"/>
              </w:rPr>
              <w:t>7,103,3</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93</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7,100,000</w:t>
            </w: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魏杰</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1.17%</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 w:right="0"/>
              <w:jc w:val="left"/>
              <w:rPr>
                <w:rFonts w:ascii="Times New Roman" w:hAnsi="Times New Roman" w:cs="Times New Roman" w:eastAsia="Times New Roman" w:hint="default"/>
                <w:sz w:val="18"/>
                <w:szCs w:val="18"/>
              </w:rPr>
            </w:pPr>
            <w:r>
              <w:rPr>
                <w:rFonts w:ascii="Times New Roman"/>
                <w:sz w:val="18"/>
              </w:rPr>
              <w:t>6,790,0</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-1,551,</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200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6,790,0</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00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74"/>
              <w:jc w:val="left"/>
              <w:rPr>
                <w:rFonts w:ascii="宋体" w:hAnsi="宋体" w:cs="宋体" w:eastAsia="宋体" w:hint="default"/>
                <w:sz w:val="18"/>
                <w:szCs w:val="18"/>
              </w:rPr>
            </w:pPr>
            <w:r>
              <w:rPr>
                <w:rFonts w:ascii="宋体" w:hAnsi="宋体" w:cs="宋体" w:eastAsia="宋体" w:hint="default"/>
                <w:sz w:val="18"/>
                <w:szCs w:val="18"/>
              </w:rPr>
              <w:t>百年人寿保险 股份有限公司</w:t>
            </w:r>
          </w:p>
          <w:p>
            <w:pPr>
              <w:pStyle w:val="TableParagraph"/>
              <w:spacing w:line="319" w:lineRule="auto" w:before="19"/>
              <w:ind w:left="103" w:right="274"/>
              <w:jc w:val="left"/>
              <w:rPr>
                <w:rFonts w:ascii="宋体" w:hAnsi="宋体" w:cs="宋体" w:eastAsia="宋体" w:hint="default"/>
                <w:sz w:val="18"/>
                <w:szCs w:val="18"/>
              </w:rPr>
            </w:pPr>
            <w:r>
              <w:rPr>
                <w:rFonts w:ascii="宋体" w:hAnsi="宋体" w:cs="宋体" w:eastAsia="宋体" w:hint="default"/>
                <w:sz w:val="18"/>
                <w:szCs w:val="18"/>
              </w:rPr>
              <w:t>－百年人寿－ 传统保险产品</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1.15%</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6,692,4</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01</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2" w:right="0"/>
              <w:jc w:val="left"/>
              <w:rPr>
                <w:rFonts w:ascii="Times New Roman" w:hAnsi="Times New Roman" w:cs="Times New Roman" w:eastAsia="Times New Roman" w:hint="default"/>
                <w:sz w:val="18"/>
                <w:szCs w:val="18"/>
              </w:rPr>
            </w:pPr>
            <w:r>
              <w:rPr>
                <w:rFonts w:ascii="Times New Roman"/>
                <w:sz w:val="18"/>
              </w:rPr>
              <w:t>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6,692,4</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01</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周彤</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境外自然人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1.03%</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 w:right="0"/>
              <w:jc w:val="left"/>
              <w:rPr>
                <w:rFonts w:ascii="Times New Roman" w:hAnsi="Times New Roman" w:cs="Times New Roman" w:eastAsia="Times New Roman" w:hint="default"/>
                <w:sz w:val="18"/>
                <w:szCs w:val="18"/>
              </w:rPr>
            </w:pPr>
            <w:r>
              <w:rPr>
                <w:rFonts w:ascii="Times New Roman"/>
                <w:sz w:val="18"/>
              </w:rPr>
              <w:t>6,000,0</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64</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6,000,0</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64</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z w:val="18"/>
                <w:szCs w:val="18"/>
              </w:rPr>
              <w:t>深圳市聚睿投 资管理企业（有 限合伙）</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03" w:right="217"/>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0.69%</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2" w:right="0"/>
              <w:jc w:val="left"/>
              <w:rPr>
                <w:rFonts w:ascii="Times New Roman" w:hAnsi="Times New Roman" w:cs="Times New Roman" w:eastAsia="Times New Roman" w:hint="default"/>
                <w:sz w:val="18"/>
                <w:szCs w:val="18"/>
              </w:rPr>
            </w:pPr>
            <w:r>
              <w:rPr>
                <w:rFonts w:ascii="Times New Roman"/>
                <w:sz w:val="18"/>
              </w:rPr>
              <w:t>4,000,0</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4,000,0</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4,000,000</w:t>
            </w:r>
          </w:p>
        </w:tc>
      </w:tr>
      <w:tr>
        <w:trPr>
          <w:trHeight w:val="1026" w:hRule="exact"/>
        </w:trPr>
        <w:tc>
          <w:tcPr>
            <w:tcW w:w="28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1"/>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 股成为前</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名股东的情况（如有）</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6687" w:type="dxa"/>
            <w:gridSpan w:val="7"/>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0"/>
              <w:jc w:val="left"/>
              <w:rPr>
                <w:rFonts w:ascii="宋体" w:hAnsi="宋体" w:cs="宋体" w:eastAsia="宋体" w:hint="default"/>
                <w:sz w:val="18"/>
                <w:szCs w:val="18"/>
              </w:rPr>
            </w:pPr>
            <w:r>
              <w:rPr>
                <w:rFonts w:ascii="宋体" w:hAnsi="宋体" w:cs="宋体" w:eastAsia="宋体" w:hint="default"/>
                <w:sz w:val="18"/>
                <w:szCs w:val="18"/>
              </w:rPr>
              <w:t>深圳市上元星晖电子产业股权投资基金企业（有限合伙</w:t>
            </w:r>
            <w:r>
              <w:rPr>
                <w:rFonts w:ascii="宋体" w:hAnsi="宋体" w:cs="宋体" w:eastAsia="宋体" w:hint="default"/>
                <w:spacing w:val="-90"/>
                <w:sz w:val="18"/>
                <w:szCs w:val="18"/>
              </w:rPr>
              <w:t>）</w:t>
            </w:r>
            <w:r>
              <w:rPr>
                <w:rFonts w:ascii="宋体" w:hAnsi="宋体" w:cs="宋体" w:eastAsia="宋体" w:hint="default"/>
                <w:sz w:val="18"/>
                <w:szCs w:val="18"/>
              </w:rPr>
              <w:t>、深圳市中科祥瑞资本管</w:t>
            </w:r>
            <w:r>
              <w:rPr>
                <w:rFonts w:ascii="宋体" w:hAnsi="宋体" w:cs="宋体" w:eastAsia="宋体" w:hint="default"/>
                <w:sz w:val="18"/>
                <w:szCs w:val="18"/>
              </w:rPr>
              <w:t> 理合伙企</w:t>
            </w:r>
            <w:r>
              <w:rPr>
                <w:rFonts w:ascii="宋体" w:hAnsi="宋体" w:cs="宋体" w:eastAsia="宋体" w:hint="default"/>
                <w:spacing w:val="-4"/>
                <w:sz w:val="18"/>
                <w:szCs w:val="18"/>
              </w:rPr>
              <w:t>业</w:t>
            </w:r>
            <w:r>
              <w:rPr>
                <w:rFonts w:ascii="宋体" w:hAnsi="宋体" w:cs="宋体" w:eastAsia="宋体" w:hint="default"/>
                <w:sz w:val="18"/>
                <w:szCs w:val="18"/>
              </w:rPr>
              <w:t>（有限合伙</w:t>
            </w:r>
            <w:r>
              <w:rPr>
                <w:rFonts w:ascii="宋体" w:hAnsi="宋体" w:cs="宋体" w:eastAsia="宋体" w:hint="default"/>
                <w:spacing w:val="-90"/>
                <w:sz w:val="18"/>
                <w:szCs w:val="18"/>
              </w:rPr>
              <w:t>）</w:t>
            </w:r>
            <w:r>
              <w:rPr>
                <w:rFonts w:ascii="宋体" w:hAnsi="宋体" w:cs="宋体" w:eastAsia="宋体" w:hint="default"/>
                <w:spacing w:val="-3"/>
                <w:sz w:val="18"/>
                <w:szCs w:val="18"/>
              </w:rPr>
              <w:t>、</w:t>
            </w:r>
            <w:r>
              <w:rPr>
                <w:rFonts w:ascii="宋体" w:hAnsi="宋体" w:cs="宋体" w:eastAsia="宋体" w:hint="default"/>
                <w:spacing w:val="-2"/>
                <w:sz w:val="18"/>
                <w:szCs w:val="18"/>
              </w:rPr>
              <w:t>王</w:t>
            </w:r>
            <w:r>
              <w:rPr>
                <w:rFonts w:ascii="宋体" w:hAnsi="宋体" w:cs="宋体" w:eastAsia="宋体" w:hint="default"/>
                <w:sz w:val="18"/>
                <w:szCs w:val="18"/>
              </w:rPr>
              <w:t>卫为公司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年度非公开发行股票认购对象</w:t>
            </w:r>
            <w:r>
              <w:rPr>
                <w:rFonts w:ascii="宋体" w:hAnsi="宋体" w:cs="宋体" w:eastAsia="宋体" w:hint="default"/>
                <w:spacing w:val="-3"/>
                <w:sz w:val="18"/>
                <w:szCs w:val="18"/>
              </w:rPr>
              <w:t>，</w:t>
            </w:r>
            <w:r>
              <w:rPr>
                <w:rFonts w:ascii="宋体" w:hAnsi="宋体" w:cs="宋体" w:eastAsia="宋体" w:hint="default"/>
                <w:sz w:val="18"/>
                <w:szCs w:val="18"/>
              </w:rPr>
              <w:t>所</w:t>
            </w:r>
            <w:r>
              <w:rPr>
                <w:rFonts w:ascii="宋体" w:hAnsi="宋体" w:cs="宋体" w:eastAsia="宋体" w:hint="default"/>
                <w:spacing w:val="1"/>
                <w:sz w:val="18"/>
                <w:szCs w:val="18"/>
              </w:rPr>
              <w:t>持</w:t>
            </w:r>
            <w:r>
              <w:rPr>
                <w:rFonts w:ascii="宋体" w:hAnsi="宋体" w:cs="宋体" w:eastAsia="宋体" w:hint="default"/>
                <w:sz w:val="18"/>
                <w:szCs w:val="18"/>
              </w:rPr>
              <w:t>股</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份自新股上市日期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日之日起，三十六个月内不得进行转让。</w:t>
            </w:r>
          </w:p>
        </w:tc>
      </w:tr>
      <w:tr>
        <w:trPr>
          <w:trHeight w:val="2314" w:hRule="exact"/>
        </w:trPr>
        <w:tc>
          <w:tcPr>
            <w:tcW w:w="28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319" w:lineRule="auto"/>
              <w:ind w:left="103" w:right="246"/>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 说明</w:t>
            </w:r>
          </w:p>
        </w:tc>
        <w:tc>
          <w:tcPr>
            <w:tcW w:w="6687"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、夏传武先生是本公司的控股股东、实际控制人；</w:t>
            </w:r>
          </w:p>
          <w:p>
            <w:pPr>
              <w:pStyle w:val="TableParagraph"/>
              <w:spacing w:line="312" w:lineRule="auto" w:before="102"/>
              <w:ind w:left="103"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、公司控股股东、实际控制人与其他前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名股东不存在关联关系，不属于一致行 动人；其中深圳市上元资本管理有限公司是深圳市上元星晖电子产业股权投资基金 企业（有限合伙）的普通合伙人，持有上元星晖</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股份，上元星晖全体合伙人委 托上元资本为执行事务合伙人，代表上元星晖执行合伙事务，故认定上元资本与上 元星晖为一致行动人；本公司未知上述其他股东之间是否存在关联关系，也未知上 </w:t>
            </w:r>
            <w:r>
              <w:rPr>
                <w:rFonts w:ascii="宋体" w:hAnsi="宋体" w:cs="宋体" w:eastAsia="宋体" w:hint="default"/>
                <w:spacing w:val="-3"/>
                <w:sz w:val="18"/>
                <w:szCs w:val="18"/>
              </w:rPr>
              <w:t>述股东是否属于《上市公司股东持股变动信息披露管理办法》中规定的一致行动人。</w:t>
            </w:r>
          </w:p>
        </w:tc>
      </w:tr>
    </w:tbl>
    <w:p>
      <w:pPr>
        <w:spacing w:after="0" w:line="312" w:lineRule="auto"/>
        <w:jc w:val="left"/>
        <w:rPr>
          <w:rFonts w:ascii="宋体" w:hAnsi="宋体" w:cs="宋体" w:eastAsia="宋体"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2882"/>
        <w:gridCol w:w="3990"/>
        <w:gridCol w:w="1349"/>
        <w:gridCol w:w="1348"/>
      </w:tblGrid>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402" w:hRule="exact"/>
        </w:trPr>
        <w:tc>
          <w:tcPr>
            <w:tcW w:w="28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left="639"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69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402" w:hRule="exact"/>
        </w:trPr>
        <w:tc>
          <w:tcPr>
            <w:tcW w:w="2882" w:type="dxa"/>
            <w:vMerge/>
            <w:tcBorders>
              <w:left w:val="single" w:sz="4" w:space="0" w:color="000000"/>
              <w:bottom w:val="single" w:sz="4" w:space="0" w:color="000000"/>
              <w:right w:val="single" w:sz="4" w:space="0" w:color="000000"/>
            </w:tcBorders>
            <w:shd w:val="clear" w:color="auto" w:fill="D2D2D2"/>
          </w:tcPr>
          <w:p>
            <w:pPr/>
          </w:p>
        </w:tc>
        <w:tc>
          <w:tcPr>
            <w:tcW w:w="3990" w:type="dxa"/>
            <w:vMerge/>
            <w:tcBorders>
              <w:left w:val="single" w:sz="4" w:space="0" w:color="000000"/>
              <w:bottom w:val="single" w:sz="4" w:space="0" w:color="000000"/>
              <w:right w:val="single" w:sz="4" w:space="0" w:color="000000"/>
            </w:tcBorders>
            <w:shd w:val="clear" w:color="auto" w:fill="D2D2D2"/>
          </w:tcPr>
          <w:p>
            <w:pP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c>
          <w:tcPr>
            <w:tcW w:w="13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714"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46"/>
              <w:jc w:val="left"/>
              <w:rPr>
                <w:rFonts w:ascii="宋体" w:hAnsi="宋体" w:cs="宋体" w:eastAsia="宋体" w:hint="default"/>
                <w:sz w:val="18"/>
                <w:szCs w:val="18"/>
              </w:rPr>
            </w:pPr>
            <w:r>
              <w:rPr>
                <w:rFonts w:ascii="宋体" w:hAnsi="宋体" w:cs="宋体" w:eastAsia="宋体" w:hint="default"/>
                <w:sz w:val="18"/>
                <w:szCs w:val="18"/>
              </w:rPr>
              <w:t>深圳市上元资本管理有限公司－ 上元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号私募基金</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12,290,635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12,290,635</w:t>
            </w:r>
          </w:p>
        </w:tc>
      </w:tr>
      <w:tr>
        <w:trPr>
          <w:trHeight w:val="402"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李国辉</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8,228,920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8,228,920</w:t>
            </w:r>
          </w:p>
        </w:tc>
      </w:tr>
      <w:tr>
        <w:trPr>
          <w:trHeight w:val="402"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魏杰</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6,790,000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6,790,000</w:t>
            </w:r>
          </w:p>
        </w:tc>
      </w:tr>
      <w:tr>
        <w:trPr>
          <w:trHeight w:val="714"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46"/>
              <w:jc w:val="left"/>
              <w:rPr>
                <w:rFonts w:ascii="宋体" w:hAnsi="宋体" w:cs="宋体" w:eastAsia="宋体" w:hint="default"/>
                <w:sz w:val="18"/>
                <w:szCs w:val="18"/>
              </w:rPr>
            </w:pPr>
            <w:r>
              <w:rPr>
                <w:rFonts w:ascii="宋体" w:hAnsi="宋体" w:cs="宋体" w:eastAsia="宋体" w:hint="default"/>
                <w:sz w:val="18"/>
                <w:szCs w:val="18"/>
              </w:rPr>
              <w:t>百年人寿保险股份有限公司－百 年人寿－传统保险产品</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6,692,401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6,692,401</w:t>
            </w:r>
          </w:p>
        </w:tc>
      </w:tr>
      <w:tr>
        <w:trPr>
          <w:trHeight w:val="402"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周彤</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6,000,064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6,000,064</w:t>
            </w:r>
          </w:p>
        </w:tc>
      </w:tr>
      <w:tr>
        <w:trPr>
          <w:trHeight w:val="402"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陈杰</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2,741,669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2,741,669</w:t>
            </w:r>
          </w:p>
        </w:tc>
      </w:tr>
      <w:tr>
        <w:trPr>
          <w:trHeight w:val="402"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沈志坤</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2,249,013</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2,249,013</w:t>
            </w:r>
          </w:p>
        </w:tc>
      </w:tr>
      <w:tr>
        <w:trPr>
          <w:trHeight w:val="402"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刘慈君</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1,982,930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1,982,930</w:t>
            </w:r>
          </w:p>
        </w:tc>
      </w:tr>
      <w:tr>
        <w:trPr>
          <w:trHeight w:val="402"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王薇</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1,959,000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1,959,000</w:t>
            </w:r>
          </w:p>
        </w:tc>
      </w:tr>
      <w:tr>
        <w:trPr>
          <w:trHeight w:val="402" w:hRule="exact"/>
        </w:trPr>
        <w:tc>
          <w:tcPr>
            <w:tcW w:w="2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刘快</w:t>
            </w:r>
          </w:p>
        </w:tc>
        <w:tc>
          <w:tcPr>
            <w:tcW w:w="3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1,567,000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1,567,000</w:t>
            </w:r>
          </w:p>
        </w:tc>
      </w:tr>
      <w:tr>
        <w:trPr>
          <w:trHeight w:val="2626" w:hRule="exact"/>
        </w:trPr>
        <w:tc>
          <w:tcPr>
            <w:tcW w:w="28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w:t>
            </w:r>
          </w:p>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以及前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名无限售流通股股东和</w:t>
            </w:r>
          </w:p>
          <w:p>
            <w:pPr>
              <w:pStyle w:val="TableParagraph"/>
              <w:spacing w:line="302" w:lineRule="auto" w:before="63"/>
              <w:ind w:left="103" w:right="156"/>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名股东之间关联关系或一致 行动的说明</w:t>
            </w:r>
          </w:p>
        </w:tc>
        <w:tc>
          <w:tcPr>
            <w:tcW w:w="668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、夏传武先生是本公司的控股股东、实际控制人；</w:t>
            </w:r>
          </w:p>
          <w:p>
            <w:pPr>
              <w:pStyle w:val="TableParagraph"/>
              <w:spacing w:line="240" w:lineRule="auto" w:before="10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名无限售流通股股东中，公司控股股东、实际控制人与前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名无限售股</w:t>
            </w:r>
          </w:p>
          <w:p>
            <w:pPr>
              <w:pStyle w:val="TableParagraph"/>
              <w:spacing w:line="312" w:lineRule="auto" w:before="63"/>
              <w:ind w:left="103" w:right="10"/>
              <w:jc w:val="left"/>
              <w:rPr>
                <w:rFonts w:ascii="宋体" w:hAnsi="宋体" w:cs="宋体" w:eastAsia="宋体" w:hint="default"/>
                <w:sz w:val="18"/>
                <w:szCs w:val="18"/>
              </w:rPr>
            </w:pPr>
            <w:r>
              <w:rPr>
                <w:rFonts w:ascii="宋体" w:hAnsi="宋体" w:cs="宋体" w:eastAsia="宋体" w:hint="default"/>
                <w:sz w:val="18"/>
                <w:szCs w:val="18"/>
              </w:rPr>
              <w:t>东不存在关联关系，不属于一致行动人；前</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名无限售流通股股东和前</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名股东 之间，其中深圳市上元资本管理有限公司是深圳市上元星晖电子产业股权投资基金 企业（有限合伙）的普通合伙人，持有上元星晖</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股份，上元星晖全体合伙人委 托上元资本为执行事务合伙人，代表上元星晖执行合伙事务，故认定上元资本与上 元星晖为一致行动人；本公司未知上述其他股东之间是否存在关联关系，也未知上 </w:t>
            </w:r>
            <w:r>
              <w:rPr>
                <w:rFonts w:ascii="宋体" w:hAnsi="宋体" w:cs="宋体" w:eastAsia="宋体" w:hint="default"/>
                <w:spacing w:val="-3"/>
                <w:sz w:val="18"/>
                <w:szCs w:val="18"/>
              </w:rPr>
              <w:t>述股东是否属于《上市公司股东持股变动信息披露管理办法》中规定的一致行动人。</w:t>
            </w:r>
          </w:p>
        </w:tc>
      </w:tr>
      <w:tr>
        <w:trPr>
          <w:trHeight w:val="4187" w:hRule="exact"/>
        </w:trPr>
        <w:tc>
          <w:tcPr>
            <w:tcW w:w="28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32"/>
              <w:ind w:left="103" w:right="23"/>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名普通股股东参与融资融券 </w:t>
            </w:r>
            <w:r>
              <w:rPr>
                <w:rFonts w:ascii="宋体" w:hAnsi="宋体" w:cs="宋体" w:eastAsia="宋体" w:hint="default"/>
                <w:spacing w:val="-7"/>
                <w:sz w:val="18"/>
                <w:szCs w:val="18"/>
              </w:rPr>
              <w:t>业务情况说明（如有）（参见注</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8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63" w:right="0"/>
              <w:jc w:val="left"/>
              <w:rPr>
                <w:rFonts w:ascii="宋体" w:hAnsi="宋体" w:cs="宋体" w:eastAsia="宋体" w:hint="default"/>
                <w:sz w:val="18"/>
                <w:szCs w:val="18"/>
              </w:rPr>
            </w:pPr>
            <w:r>
              <w:rPr>
                <w:rFonts w:ascii="宋体" w:hAnsi="宋体" w:cs="宋体" w:eastAsia="宋体" w:hint="default"/>
                <w:sz w:val="18"/>
                <w:szCs w:val="18"/>
              </w:rPr>
              <w:t>公司股东深圳市上元资本管理有限公司－上元</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号私募基金通过招商证券股份</w:t>
            </w:r>
          </w:p>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有限公司客户信用交易担保证券账户持有公司股票</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10,907,635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股，通过普通账户持</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有公司股票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1,383,000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股；股东李国辉通过山西证券股份有限公司客户信用交易担</w:t>
            </w:r>
          </w:p>
          <w:p>
            <w:pPr>
              <w:pStyle w:val="TableParagraph"/>
              <w:spacing w:line="309" w:lineRule="auto" w:before="63"/>
              <w:ind w:left="103" w:right="101"/>
              <w:jc w:val="left"/>
              <w:rPr>
                <w:rFonts w:ascii="宋体" w:hAnsi="宋体" w:cs="宋体" w:eastAsia="宋体" w:hint="default"/>
                <w:sz w:val="18"/>
                <w:szCs w:val="18"/>
              </w:rPr>
            </w:pPr>
            <w:r>
              <w:rPr>
                <w:rFonts w:ascii="宋体" w:hAnsi="宋体" w:cs="宋体" w:eastAsia="宋体" w:hint="default"/>
                <w:sz w:val="18"/>
                <w:szCs w:val="18"/>
              </w:rPr>
              <w:t>保证券账户持有公司股票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8,228,920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股，通过普通账户持有公司股票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 </w:t>
            </w:r>
            <w:r>
              <w:rPr>
                <w:rFonts w:ascii="宋体" w:hAnsi="宋体" w:cs="宋体" w:eastAsia="宋体" w:hint="default"/>
                <w:sz w:val="18"/>
                <w:szCs w:val="18"/>
              </w:rPr>
              <w:t>股；股东魏 杰通过中信建投证券股份有限公司客户信用交易担保证券账户持有公司股票 </w:t>
            </w:r>
            <w:r>
              <w:rPr>
                <w:rFonts w:ascii="Times New Roman" w:hAnsi="Times New Roman" w:cs="Times New Roman" w:eastAsia="Times New Roman" w:hint="default"/>
                <w:sz w:val="18"/>
                <w:szCs w:val="18"/>
              </w:rPr>
              <w:t>6,790,000</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股，通过普通账户持有公司股票</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股；股东周彤通过山西证券股份有限公</w:t>
            </w:r>
          </w:p>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司客户信用交易担保证券账户持有公司股票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6,000,064 </w:t>
            </w:r>
            <w:r>
              <w:rPr>
                <w:rFonts w:ascii="宋体" w:hAnsi="宋体" w:cs="宋体" w:eastAsia="宋体" w:hint="default"/>
                <w:sz w:val="18"/>
                <w:szCs w:val="18"/>
              </w:rPr>
              <w:t>股，通过普通账户持有公司</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股票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p>
            <w:pPr>
              <w:pStyle w:val="TableParagraph"/>
              <w:spacing w:line="316" w:lineRule="auto" w:before="101"/>
              <w:ind w:left="103" w:right="183" w:firstLine="450"/>
              <w:jc w:val="left"/>
              <w:rPr>
                <w:rFonts w:ascii="宋体" w:hAnsi="宋体" w:cs="宋体" w:eastAsia="宋体" w:hint="default"/>
                <w:sz w:val="18"/>
                <w:szCs w:val="18"/>
              </w:rPr>
            </w:pPr>
            <w:r>
              <w:rPr>
                <w:rFonts w:ascii="宋体" w:hAnsi="宋体" w:cs="宋体" w:eastAsia="宋体" w:hint="default"/>
                <w:sz w:val="18"/>
                <w:szCs w:val="18"/>
              </w:rPr>
              <w:t>以上股东中，股东魏杰使用客户信用交易担保证券账户持有公司股票较报告 期初减少了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1,551,200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股；股东李国辉使用客户信用交易担保证券账户持有公司股</w:t>
            </w:r>
          </w:p>
          <w:p>
            <w:pPr>
              <w:pStyle w:val="TableParagraph"/>
              <w:spacing w:line="248" w:lineRule="exact"/>
              <w:ind w:left="103" w:right="0"/>
              <w:jc w:val="left"/>
              <w:rPr>
                <w:rFonts w:ascii="宋体" w:hAnsi="宋体" w:cs="宋体" w:eastAsia="宋体" w:hint="default"/>
                <w:sz w:val="18"/>
                <w:szCs w:val="18"/>
              </w:rPr>
            </w:pPr>
            <w:r>
              <w:rPr>
                <w:rFonts w:ascii="宋体" w:hAnsi="宋体" w:cs="宋体" w:eastAsia="宋体" w:hint="default"/>
                <w:sz w:val="18"/>
                <w:szCs w:val="18"/>
              </w:rPr>
              <w:t>票较报告期初增加了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股，使用普通账户持有公司股票较报告期初减少了</w:t>
            </w:r>
          </w:p>
          <w:p>
            <w:pPr>
              <w:pStyle w:val="TableParagraph"/>
              <w:spacing w:line="302" w:lineRule="auto" w:before="63"/>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76,200</w:t>
            </w:r>
            <w:r>
              <w:rPr>
                <w:rFonts w:ascii="Times New Roman" w:hAnsi="Times New Roman" w:cs="Times New Roman" w:eastAsia="Times New Roman" w:hint="default"/>
                <w:spacing w:val="8"/>
                <w:sz w:val="18"/>
                <w:szCs w:val="18"/>
              </w:rPr>
              <w:t> </w:t>
            </w:r>
            <w:r>
              <w:rPr>
                <w:rFonts w:ascii="宋体" w:hAnsi="宋体" w:cs="宋体" w:eastAsia="宋体" w:hint="default"/>
                <w:spacing w:val="-6"/>
                <w:sz w:val="18"/>
                <w:szCs w:val="18"/>
              </w:rPr>
              <w:t>股；其他股东未参与融资融券业务。上述股东在报告期内变动情况请参见《持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名股东持股情况》表格中内容。</w:t>
            </w:r>
          </w:p>
        </w:tc>
      </w:tr>
    </w:tbl>
    <w:p>
      <w:pPr>
        <w:pStyle w:val="BodyText"/>
        <w:spacing w:line="240" w:lineRule="auto" w:before="51"/>
        <w:ind w:right="0"/>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名无限售条件普通股股东在报告期内是否进行约定购回交易</w:t>
      </w:r>
    </w:p>
    <w:p>
      <w:pPr>
        <w:pStyle w:val="BodyText"/>
        <w:spacing w:line="240" w:lineRule="auto" w:before="103"/>
        <w:ind w:right="0"/>
        <w:jc w:val="left"/>
      </w:pPr>
      <w:r>
        <w:rPr/>
        <w:t>□ 是 √ 否</w:t>
      </w:r>
    </w:p>
    <w:p>
      <w:pPr>
        <w:pStyle w:val="BodyText"/>
        <w:spacing w:line="240" w:lineRule="auto" w:before="116"/>
        <w:ind w:right="0"/>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名无限售条件普通股股东在报告期内未进行约定购回交易。</w:t>
      </w:r>
    </w:p>
    <w:p>
      <w:pPr>
        <w:spacing w:after="0" w:line="240" w:lineRule="auto"/>
        <w:jc w:val="left"/>
        <w:sectPr>
          <w:pgSz w:w="11910" w:h="16840"/>
          <w:pgMar w:header="0" w:footer="1019" w:top="112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2、公司控股股东情况" w:id="117"/>
      <w:bookmarkEnd w:id="117"/>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8592"/>
        <w:jc w:val="left"/>
      </w:pPr>
      <w:r>
        <w:rPr/>
        <w:t>控股股东性质：自然人控股 控股股东类型：自然人</w:t>
      </w:r>
    </w:p>
    <w:tbl>
      <w:tblPr>
        <w:tblW w:w="0" w:type="auto"/>
        <w:jc w:val="left"/>
        <w:tblInd w:w="149" w:type="dxa"/>
        <w:tblLayout w:type="fixed"/>
        <w:tblCellMar>
          <w:top w:w="0" w:type="dxa"/>
          <w:left w:w="0" w:type="dxa"/>
          <w:bottom w:w="0" w:type="dxa"/>
          <w:right w:w="0" w:type="dxa"/>
        </w:tblCellMar>
        <w:tblLook w:val="01E0"/>
      </w:tblPr>
      <w:tblGrid>
        <w:gridCol w:w="3418"/>
        <w:gridCol w:w="2303"/>
        <w:gridCol w:w="3848"/>
      </w:tblGrid>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8"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夏传武</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深圳市卓翼科技股份有限公司控股股东、实际控制人</w:t>
            </w:r>
          </w:p>
        </w:tc>
      </w:tr>
      <w:tr>
        <w:trPr>
          <w:trHeight w:val="714"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243"/>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 公司的股权情况</w:t>
            </w:r>
          </w:p>
        </w:tc>
        <w:tc>
          <w:tcPr>
            <w:tcW w:w="61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公司实际控制人夏传武先生未控股其他境内外上市公司</w:t>
            </w:r>
          </w:p>
        </w:tc>
      </w:tr>
    </w:tbl>
    <w:p>
      <w:pPr>
        <w:pStyle w:val="BodyText"/>
        <w:spacing w:line="240" w:lineRule="auto" w:before="68"/>
        <w:ind w:right="0"/>
        <w:jc w:val="left"/>
      </w:pPr>
      <w:r>
        <w:rPr/>
        <w:t>控股股东报告期内变更</w:t>
      </w:r>
    </w:p>
    <w:p>
      <w:pPr>
        <w:pStyle w:val="BodyText"/>
        <w:spacing w:line="357" w:lineRule="auto" w:before="117"/>
        <w:ind w:right="7692"/>
        <w:jc w:val="left"/>
      </w:pPr>
      <w:r>
        <w:rPr/>
        <w:t>□ 适用 √ 不适用 公司报告期控股股东未发生变更。</w:t>
      </w:r>
    </w:p>
    <w:p>
      <w:pPr>
        <w:spacing w:line="240" w:lineRule="auto" w:before="13"/>
        <w:rPr>
          <w:rFonts w:ascii="宋体" w:hAnsi="宋体" w:cs="宋体" w:eastAsia="宋体" w:hint="default"/>
          <w:sz w:val="19"/>
          <w:szCs w:val="19"/>
        </w:rPr>
      </w:pPr>
    </w:p>
    <w:p>
      <w:pPr>
        <w:pStyle w:val="Heading3"/>
        <w:spacing w:line="240" w:lineRule="auto"/>
        <w:ind w:right="0"/>
        <w:jc w:val="left"/>
        <w:rPr>
          <w:b w:val="0"/>
          <w:bCs w:val="0"/>
        </w:rPr>
      </w:pPr>
      <w:bookmarkStart w:name="3、公司实际控制人及其一致行动人" w:id="118"/>
      <w:bookmarkEnd w:id="118"/>
      <w:r>
        <w:rPr>
          <w:b w:val="0"/>
          <w:bCs w:val="0"/>
        </w:rPr>
      </w:r>
      <w:r>
        <w:rPr>
          <w:rFonts w:ascii="Times New Roman" w:hAnsi="Times New Roman" w:cs="Times New Roman" w:eastAsia="Times New Roman" w:hint="default"/>
        </w:rPr>
        <w:t>3</w:t>
      </w:r>
      <w:r>
        <w:rPr/>
        <w:t>、公司实际控制人及其一致行动人</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8412"/>
        <w:jc w:val="left"/>
      </w:pPr>
      <w:r>
        <w:rPr/>
        <w:t>实际控制人性质：境内自然人 实际控制人类型：自然人</w:t>
      </w: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0"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国籍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0" w:right="109" w:hanging="900"/>
              <w:jc w:val="left"/>
              <w:rPr>
                <w:rFonts w:ascii="宋体" w:hAnsi="宋体" w:cs="宋体" w:eastAsia="宋体" w:hint="default"/>
                <w:sz w:val="18"/>
                <w:szCs w:val="18"/>
              </w:rPr>
            </w:pPr>
            <w:r>
              <w:rPr>
                <w:rFonts w:ascii="宋体" w:hAnsi="宋体" w:cs="宋体" w:eastAsia="宋体" w:hint="default"/>
                <w:sz w:val="18"/>
                <w:szCs w:val="18"/>
              </w:rPr>
              <w:t>是否取得其他国家或地区居 留权</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夏传武</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1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深圳市卓翼科技股份有限公司控股股东、实际控制人</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206"/>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 上市公司情况</w:t>
            </w:r>
          </w:p>
        </w:tc>
        <w:tc>
          <w:tcPr>
            <w:tcW w:w="71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公司实际控制人夏传武先生未控股其他境内外上市公司</w:t>
            </w:r>
          </w:p>
        </w:tc>
      </w:tr>
    </w:tbl>
    <w:p>
      <w:pPr>
        <w:pStyle w:val="BodyText"/>
        <w:spacing w:line="240" w:lineRule="auto" w:before="68"/>
        <w:ind w:right="0"/>
        <w:jc w:val="left"/>
      </w:pPr>
      <w:r>
        <w:rPr/>
        <w:t>实际控制人报告期内变更</w:t>
      </w:r>
    </w:p>
    <w:p>
      <w:pPr>
        <w:pStyle w:val="BodyText"/>
        <w:spacing w:line="357" w:lineRule="auto" w:before="117"/>
        <w:ind w:right="6792"/>
        <w:jc w:val="left"/>
      </w:pPr>
      <w:r>
        <w:rPr/>
        <w:t>□ 适用 √ 不适用 公司报告期实际控制人未发生变更。 公司与实际控制人之间的产权及控制关系的方框图</w:t>
      </w:r>
    </w:p>
    <w:p>
      <w:pPr>
        <w:spacing w:line="240" w:lineRule="auto" w:before="3"/>
        <w:rPr>
          <w:rFonts w:ascii="宋体" w:hAnsi="宋体" w:cs="宋体" w:eastAsia="宋体" w:hint="default"/>
          <w:sz w:val="23"/>
          <w:szCs w:val="23"/>
        </w:rPr>
      </w:pPr>
    </w:p>
    <w:p>
      <w:pPr>
        <w:spacing w:line="3801" w:lineRule="exact"/>
        <w:ind w:left="2441"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3215005" cy="2413635"/>
            <wp:effectExtent l="0" t="0" r="0" b="0"/>
            <wp:docPr id="49" name="image16.jpeg" descr=""/>
            <wp:cNvGraphicFramePr>
              <a:graphicFrameLocks noChangeAspect="1"/>
            </wp:cNvGraphicFramePr>
            <a:graphic>
              <a:graphicData uri="http://schemas.openxmlformats.org/drawingml/2006/picture">
                <pic:pic>
                  <pic:nvPicPr>
                    <pic:cNvPr id="50" name="image16.jpeg"/>
                    <pic:cNvPicPr/>
                  </pic:nvPicPr>
                  <pic:blipFill>
                    <a:blip r:embed="rId42" cstate="print"/>
                    <a:stretch>
                      <a:fillRect/>
                    </a:stretch>
                  </pic:blipFill>
                  <pic:spPr>
                    <a:xfrm>
                      <a:off x="0" y="0"/>
                      <a:ext cx="3215005" cy="2413635"/>
                    </a:xfrm>
                    <a:prstGeom prst="rect">
                      <a:avLst/>
                    </a:prstGeom>
                  </pic:spPr>
                </pic:pic>
              </a:graphicData>
            </a:graphic>
          </wp:inline>
        </w:drawing>
      </w:r>
      <w:r>
        <w:rPr>
          <w:rFonts w:ascii="宋体" w:hAnsi="宋体" w:cs="宋体" w:eastAsia="宋体" w:hint="default"/>
          <w:position w:val="-75"/>
          <w:sz w:val="20"/>
          <w:szCs w:val="20"/>
        </w:rPr>
      </w:r>
    </w:p>
    <w:p>
      <w:pPr>
        <w:spacing w:after="0" w:line="3801" w:lineRule="exact"/>
        <w:rPr>
          <w:rFonts w:ascii="宋体" w:hAnsi="宋体" w:cs="宋体" w:eastAsia="宋体" w:hint="default"/>
          <w:sz w:val="20"/>
          <w:szCs w:val="20"/>
        </w:rPr>
        <w:sectPr>
          <w:pgSz w:w="11910" w:h="16840"/>
          <w:pgMar w:header="0" w:footer="1019" w:top="1120" w:bottom="1200" w:left="980" w:right="0"/>
        </w:sectPr>
      </w:pPr>
    </w:p>
    <w:p>
      <w:pPr>
        <w:spacing w:line="240" w:lineRule="auto" w:before="9"/>
        <w:rPr>
          <w:rFonts w:ascii="宋体" w:hAnsi="宋体" w:cs="宋体" w:eastAsia="宋体" w:hint="default"/>
          <w:sz w:val="20"/>
          <w:szCs w:val="20"/>
        </w:rPr>
      </w:pPr>
    </w:p>
    <w:p>
      <w:pPr>
        <w:pStyle w:val="BodyText"/>
        <w:spacing w:line="240" w:lineRule="auto" w:before="44"/>
        <w:ind w:right="0"/>
        <w:jc w:val="left"/>
      </w:pPr>
      <w:r>
        <w:rPr/>
        <w:t>实际控制人通过信托或其他资产管理方式控制公司</w:t>
      </w:r>
    </w:p>
    <w:p>
      <w:pPr>
        <w:spacing w:line="240" w:lineRule="auto" w:before="3"/>
        <w:rPr>
          <w:rFonts w:ascii="宋体" w:hAnsi="宋体" w:cs="宋体" w:eastAsia="宋体" w:hint="default"/>
          <w:sz w:val="21"/>
          <w:szCs w:val="21"/>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4、其他持股在10%以上的法人股东" w:id="119"/>
      <w:bookmarkEnd w:id="119"/>
      <w:r>
        <w:rPr>
          <w:b w:val="0"/>
          <w:bCs w:val="0"/>
        </w:rPr>
      </w:r>
      <w:r>
        <w:rPr>
          <w:rFonts w:ascii="Times New Roman" w:hAnsi="Times New Roman" w:cs="Times New Roman" w:eastAsia="Times New Roman" w:hint="default"/>
        </w:rPr>
        <w:t>4</w:t>
      </w:r>
      <w:r>
        <w:rPr/>
        <w:t>、其他持股在</w:t>
      </w:r>
      <w:r>
        <w:rPr>
          <w:spacing w:val="-57"/>
        </w:rPr>
        <w:t> </w:t>
      </w:r>
      <w:r>
        <w:rPr>
          <w:rFonts w:ascii="Times New Roman" w:hAnsi="Times New Roman" w:cs="Times New Roman" w:eastAsia="Times New Roman" w:hint="default"/>
        </w:rPr>
        <w:t>10%</w:t>
      </w:r>
      <w:r>
        <w:rPr/>
        <w:t>以上的法人股东</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5、控股股东、实际控制人、重组方及其他承诺主体股份限制减持情况" w:id="120"/>
      <w:bookmarkEnd w:id="120"/>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0" w:footer="1019" w:top="1120" w:bottom="120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1"/>
        <w:spacing w:line="240" w:lineRule="auto"/>
        <w:ind w:left="3286" w:right="0"/>
        <w:jc w:val="left"/>
        <w:rPr>
          <w:b w:val="0"/>
          <w:bCs w:val="0"/>
        </w:rPr>
      </w:pPr>
      <w:bookmarkStart w:name="第七节 优先股相关情况" w:id="121"/>
      <w:bookmarkEnd w:id="121"/>
      <w:r>
        <w:rPr>
          <w:b w:val="0"/>
          <w:bCs w:val="0"/>
        </w:rPr>
      </w:r>
      <w:bookmarkStart w:name="_bookmark6" w:id="122"/>
      <w:bookmarkEnd w:id="122"/>
      <w:r>
        <w:rPr>
          <w:b w:val="0"/>
          <w:bCs w:val="0"/>
        </w:rPr>
      </w:r>
      <w:r>
        <w:rPr/>
        <w:t>第七节</w:t>
      </w:r>
      <w:r>
        <w:rPr>
          <w:spacing w:val="-8"/>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pStyle w:val="BodyText"/>
        <w:spacing w:line="357" w:lineRule="auto" w:before="44"/>
        <w:ind w:right="8592"/>
        <w:jc w:val="left"/>
      </w:pPr>
      <w:r>
        <w:rPr/>
        <w:t>□ 适用 √ 不适用 报告期公司不存在优先股。</w:t>
      </w:r>
    </w:p>
    <w:p>
      <w:pPr>
        <w:spacing w:after="0" w:line="357" w:lineRule="auto"/>
        <w:jc w:val="left"/>
        <w:sectPr>
          <w:pgSz w:w="11910" w:h="16840"/>
          <w:pgMar w:header="0" w:footer="1019" w:top="1120" w:bottom="120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1"/>
        <w:spacing w:line="240" w:lineRule="auto"/>
        <w:ind w:left="1680" w:right="0"/>
        <w:jc w:val="left"/>
        <w:rPr>
          <w:b w:val="0"/>
          <w:bCs w:val="0"/>
        </w:rPr>
      </w:pPr>
      <w:bookmarkStart w:name="第八节 董事、监事、高级管理人员和员工情况" w:id="123"/>
      <w:bookmarkEnd w:id="123"/>
      <w:r>
        <w:rPr>
          <w:b w:val="0"/>
          <w:bCs w:val="0"/>
        </w:rPr>
      </w:r>
      <w:bookmarkStart w:name="_bookmark7" w:id="124"/>
      <w:bookmarkEnd w:id="124"/>
      <w:r>
        <w:rPr>
          <w:b w:val="0"/>
          <w:bCs w:val="0"/>
        </w:rPr>
      </w:r>
      <w:r>
        <w:rPr/>
        <w:t>第八节</w:t>
      </w:r>
      <w:r>
        <w:rPr>
          <w:spacing w:val="-16"/>
        </w:rPr>
        <w:t> </w:t>
      </w:r>
      <w:r>
        <w:rPr/>
        <w:t>董事、监事、高级管理人员和员工情况</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董事、监事和高级管理人员持股变动" w:id="125"/>
      <w:bookmarkEnd w:id="125"/>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6"/>
        <w:gridCol w:w="638"/>
        <w:gridCol w:w="516"/>
        <w:gridCol w:w="437"/>
        <w:gridCol w:w="436"/>
        <w:gridCol w:w="827"/>
        <w:gridCol w:w="827"/>
        <w:gridCol w:w="1232"/>
        <w:gridCol w:w="1078"/>
        <w:gridCol w:w="1077"/>
        <w:gridCol w:w="1079"/>
        <w:gridCol w:w="1234"/>
      </w:tblGrid>
      <w:tr>
        <w:trPr>
          <w:trHeight w:val="1337" w:hRule="exact"/>
        </w:trPr>
        <w:tc>
          <w:tcPr>
            <w:tcW w:w="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142" w:right="143"/>
              <w:jc w:val="left"/>
              <w:rPr>
                <w:rFonts w:ascii="宋体" w:hAnsi="宋体" w:cs="宋体" w:eastAsia="宋体" w:hint="default"/>
                <w:sz w:val="18"/>
                <w:szCs w:val="18"/>
              </w:rPr>
            </w:pPr>
            <w:r>
              <w:rPr>
                <w:rFonts w:ascii="宋体" w:hAnsi="宋体" w:cs="宋体" w:eastAsia="宋体" w:hint="default"/>
                <w:sz w:val="18"/>
                <w:szCs w:val="18"/>
              </w:rPr>
              <w:t>姓 名</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13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1" w:right="162"/>
              <w:jc w:val="both"/>
              <w:rPr>
                <w:rFonts w:ascii="宋体" w:hAnsi="宋体" w:cs="宋体" w:eastAsia="宋体" w:hint="default"/>
                <w:sz w:val="18"/>
                <w:szCs w:val="18"/>
              </w:rPr>
            </w:pPr>
            <w:r>
              <w:rPr>
                <w:rFonts w:ascii="宋体" w:hAnsi="宋体" w:cs="宋体" w:eastAsia="宋体" w:hint="default"/>
                <w:sz w:val="18"/>
                <w:szCs w:val="18"/>
              </w:rPr>
              <w:t>任 职 状 态</w:t>
            </w:r>
          </w:p>
        </w:tc>
        <w:tc>
          <w:tcPr>
            <w:tcW w:w="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122" w:right="122"/>
              <w:jc w:val="left"/>
              <w:rPr>
                <w:rFonts w:ascii="宋体" w:hAnsi="宋体" w:cs="宋体" w:eastAsia="宋体" w:hint="default"/>
                <w:sz w:val="18"/>
                <w:szCs w:val="18"/>
              </w:rPr>
            </w:pPr>
            <w:r>
              <w:rPr>
                <w:rFonts w:ascii="宋体" w:hAnsi="宋体" w:cs="宋体" w:eastAsia="宋体" w:hint="default"/>
                <w:sz w:val="18"/>
                <w:szCs w:val="18"/>
              </w:rPr>
              <w:t>性 别</w:t>
            </w:r>
          </w:p>
        </w:tc>
        <w:tc>
          <w:tcPr>
            <w:tcW w:w="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122" w:right="121"/>
              <w:jc w:val="left"/>
              <w:rPr>
                <w:rFonts w:ascii="宋体" w:hAnsi="宋体" w:cs="宋体" w:eastAsia="宋体" w:hint="default"/>
                <w:sz w:val="18"/>
                <w:szCs w:val="18"/>
              </w:rPr>
            </w:pPr>
            <w:r>
              <w:rPr>
                <w:rFonts w:ascii="宋体" w:hAnsi="宋体" w:cs="宋体" w:eastAsia="宋体" w:hint="default"/>
                <w:sz w:val="18"/>
                <w:szCs w:val="18"/>
              </w:rPr>
              <w:t>年 龄</w:t>
            </w:r>
          </w:p>
        </w:tc>
        <w:tc>
          <w:tcPr>
            <w:tcW w:w="8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138" w:right="137"/>
              <w:jc w:val="left"/>
              <w:rPr>
                <w:rFonts w:ascii="宋体" w:hAnsi="宋体" w:cs="宋体" w:eastAsia="宋体" w:hint="default"/>
                <w:sz w:val="18"/>
                <w:szCs w:val="18"/>
              </w:rPr>
            </w:pPr>
            <w:r>
              <w:rPr>
                <w:rFonts w:ascii="宋体" w:hAnsi="宋体" w:cs="宋体" w:eastAsia="宋体" w:hint="default"/>
                <w:sz w:val="18"/>
                <w:szCs w:val="18"/>
              </w:rPr>
              <w:t>任期起 始日期</w:t>
            </w:r>
          </w:p>
        </w:tc>
        <w:tc>
          <w:tcPr>
            <w:tcW w:w="8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138" w:right="137"/>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1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期初持股数</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（股）</w:t>
            </w:r>
          </w:p>
        </w:tc>
        <w:tc>
          <w:tcPr>
            <w:tcW w:w="10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73" w:right="173"/>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26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0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72" w:right="17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262"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0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103" w:right="65" w:firstLine="70"/>
              <w:jc w:val="left"/>
              <w:rPr>
                <w:rFonts w:ascii="宋体" w:hAnsi="宋体" w:cs="宋体" w:eastAsia="宋体" w:hint="default"/>
                <w:sz w:val="18"/>
                <w:szCs w:val="18"/>
              </w:rPr>
            </w:pPr>
            <w:r>
              <w:rPr>
                <w:rFonts w:ascii="宋体" w:hAnsi="宋体" w:cs="宋体" w:eastAsia="宋体" w:hint="default"/>
                <w:sz w:val="18"/>
                <w:szCs w:val="18"/>
              </w:rPr>
              <w:t>其他增减 变动（股）</w:t>
            </w:r>
          </w:p>
        </w:tc>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期末持股数</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（股）</w:t>
            </w:r>
          </w:p>
        </w:tc>
      </w:tr>
      <w:tr>
        <w:trPr>
          <w:trHeight w:val="1026" w:hRule="exact"/>
        </w:trPr>
        <w:tc>
          <w:tcPr>
            <w:tcW w:w="4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25"/>
                <w:szCs w:val="25"/>
              </w:rPr>
            </w:pPr>
          </w:p>
          <w:p>
            <w:pPr>
              <w:pStyle w:val="TableParagraph"/>
              <w:spacing w:line="316" w:lineRule="auto"/>
              <w:ind w:left="103" w:right="181"/>
              <w:jc w:val="both"/>
              <w:rPr>
                <w:rFonts w:ascii="宋体" w:hAnsi="宋体" w:cs="宋体" w:eastAsia="宋体" w:hint="default"/>
                <w:sz w:val="18"/>
                <w:szCs w:val="18"/>
              </w:rPr>
            </w:pPr>
            <w:r>
              <w:rPr>
                <w:rFonts w:ascii="宋体" w:hAnsi="宋体" w:cs="宋体" w:eastAsia="宋体" w:hint="default"/>
                <w:sz w:val="18"/>
                <w:szCs w:val="18"/>
              </w:rPr>
              <w:t>夏 传 武</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3" w:right="162"/>
              <w:jc w:val="left"/>
              <w:rPr>
                <w:rFonts w:ascii="宋体" w:hAnsi="宋体" w:cs="宋体" w:eastAsia="宋体" w:hint="default"/>
                <w:sz w:val="18"/>
                <w:szCs w:val="18"/>
              </w:rPr>
            </w:pPr>
            <w:r>
              <w:rPr>
                <w:rFonts w:ascii="宋体" w:hAnsi="宋体" w:cs="宋体" w:eastAsia="宋体" w:hint="default"/>
                <w:sz w:val="18"/>
                <w:szCs w:val="18"/>
              </w:rPr>
              <w:t>原总 经理</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1" w:right="222"/>
              <w:jc w:val="left"/>
              <w:rPr>
                <w:rFonts w:ascii="宋体" w:hAnsi="宋体" w:cs="宋体" w:eastAsia="宋体" w:hint="default"/>
                <w:sz w:val="18"/>
                <w:szCs w:val="18"/>
              </w:rPr>
            </w:pPr>
            <w:r>
              <w:rPr>
                <w:rFonts w:ascii="宋体" w:hAnsi="宋体" w:cs="宋体" w:eastAsia="宋体" w:hint="default"/>
                <w:sz w:val="18"/>
                <w:szCs w:val="18"/>
              </w:rPr>
              <w:t>离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left="226" w:right="0"/>
              <w:jc w:val="left"/>
              <w:rPr>
                <w:rFonts w:ascii="Times New Roman" w:hAnsi="Times New Roman" w:cs="Times New Roman" w:eastAsia="Times New Roman" w:hint="default"/>
                <w:sz w:val="18"/>
                <w:szCs w:val="18"/>
              </w:rPr>
            </w:pPr>
            <w:r>
              <w:rPr>
                <w:rFonts w:ascii="Times New Roman"/>
                <w:sz w:val="18"/>
              </w:rPr>
              <w:t>113,534,850</w:t>
            </w:r>
          </w:p>
        </w:tc>
        <w:tc>
          <w:tcPr>
            <w:tcW w:w="10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left="228" w:right="0"/>
              <w:jc w:val="left"/>
              <w:rPr>
                <w:rFonts w:ascii="Times New Roman" w:hAnsi="Times New Roman" w:cs="Times New Roman" w:eastAsia="Times New Roman" w:hint="default"/>
                <w:sz w:val="18"/>
                <w:szCs w:val="18"/>
              </w:rPr>
            </w:pPr>
            <w:r>
              <w:rPr>
                <w:rFonts w:ascii="Times New Roman"/>
                <w:sz w:val="18"/>
              </w:rPr>
              <w:t>113,534,850</w:t>
            </w:r>
          </w:p>
        </w:tc>
      </w:tr>
      <w:tr>
        <w:trPr>
          <w:trHeight w:val="1026" w:hRule="exact"/>
        </w:trPr>
        <w:tc>
          <w:tcPr>
            <w:tcW w:w="476" w:type="dxa"/>
            <w:vMerge/>
            <w:tcBorders>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3" w:right="162"/>
              <w:jc w:val="left"/>
              <w:rPr>
                <w:rFonts w:ascii="宋体" w:hAnsi="宋体" w:cs="宋体" w:eastAsia="宋体" w:hint="default"/>
                <w:sz w:val="18"/>
                <w:szCs w:val="18"/>
              </w:rPr>
            </w:pPr>
            <w:r>
              <w:rPr>
                <w:rFonts w:ascii="宋体" w:hAnsi="宋体" w:cs="宋体" w:eastAsia="宋体" w:hint="default"/>
                <w:sz w:val="18"/>
                <w:szCs w:val="18"/>
              </w:rPr>
              <w:t>原董 事长</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1" w:right="222"/>
              <w:jc w:val="left"/>
              <w:rPr>
                <w:rFonts w:ascii="宋体" w:hAnsi="宋体" w:cs="宋体" w:eastAsia="宋体" w:hint="default"/>
                <w:sz w:val="18"/>
                <w:szCs w:val="18"/>
              </w:rPr>
            </w:pPr>
            <w:r>
              <w:rPr>
                <w:rFonts w:ascii="宋体" w:hAnsi="宋体" w:cs="宋体" w:eastAsia="宋体" w:hint="default"/>
                <w:sz w:val="18"/>
                <w:szCs w:val="18"/>
              </w:rPr>
              <w:t>离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tcBorders>
              <w:left w:val="single" w:sz="4" w:space="0" w:color="000000"/>
              <w:bottom w:val="single" w:sz="4" w:space="0" w:color="000000"/>
              <w:right w:val="single" w:sz="4" w:space="0" w:color="000000"/>
            </w:tcBorders>
          </w:tcPr>
          <w:p>
            <w:pPr/>
          </w:p>
        </w:tc>
        <w:tc>
          <w:tcPr>
            <w:tcW w:w="1078" w:type="dxa"/>
            <w:vMerge/>
            <w:tcBorders>
              <w:left w:val="single" w:sz="4" w:space="0" w:color="000000"/>
              <w:bottom w:val="single" w:sz="4" w:space="0" w:color="000000"/>
              <w:right w:val="single" w:sz="4" w:space="0" w:color="000000"/>
            </w:tcBorders>
          </w:tcPr>
          <w:p>
            <w:pPr/>
          </w:p>
        </w:tc>
        <w:tc>
          <w:tcPr>
            <w:tcW w:w="1077" w:type="dxa"/>
            <w:vMerge/>
            <w:tcBorders>
              <w:left w:val="single" w:sz="4" w:space="0" w:color="000000"/>
              <w:bottom w:val="single" w:sz="4" w:space="0" w:color="000000"/>
              <w:right w:val="single" w:sz="4" w:space="0" w:color="000000"/>
            </w:tcBorders>
          </w:tcPr>
          <w:p>
            <w:pPr/>
          </w:p>
        </w:tc>
        <w:tc>
          <w:tcPr>
            <w:tcW w:w="1079" w:type="dxa"/>
            <w:vMerge/>
            <w:tcBorders>
              <w:left w:val="single" w:sz="4" w:space="0" w:color="000000"/>
              <w:bottom w:val="single" w:sz="4" w:space="0" w:color="000000"/>
              <w:right w:val="single" w:sz="4" w:space="0" w:color="000000"/>
            </w:tcBorders>
          </w:tcPr>
          <w:p>
            <w:pPr/>
          </w:p>
        </w:tc>
        <w:tc>
          <w:tcPr>
            <w:tcW w:w="1234" w:type="dxa"/>
            <w:vMerge/>
            <w:tcBorders>
              <w:left w:val="single" w:sz="4" w:space="0" w:color="000000"/>
              <w:bottom w:val="single" w:sz="4" w:space="0" w:color="000000"/>
              <w:right w:val="single" w:sz="4" w:space="0" w:color="000000"/>
            </w:tcBorders>
          </w:tcPr>
          <w:p>
            <w:pPr/>
          </w:p>
        </w:tc>
      </w:tr>
      <w:tr>
        <w:trPr>
          <w:trHeight w:val="1026" w:hRule="exact"/>
        </w:trPr>
        <w:tc>
          <w:tcPr>
            <w:tcW w:w="4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2"/>
                <w:szCs w:val="22"/>
              </w:rPr>
            </w:pPr>
          </w:p>
          <w:p>
            <w:pPr>
              <w:pStyle w:val="TableParagraph"/>
              <w:spacing w:line="319" w:lineRule="auto"/>
              <w:ind w:left="103" w:right="181"/>
              <w:jc w:val="left"/>
              <w:rPr>
                <w:rFonts w:ascii="宋体" w:hAnsi="宋体" w:cs="宋体" w:eastAsia="宋体" w:hint="default"/>
                <w:sz w:val="18"/>
                <w:szCs w:val="18"/>
              </w:rPr>
            </w:pPr>
            <w:r>
              <w:rPr>
                <w:rFonts w:ascii="宋体" w:hAnsi="宋体" w:cs="宋体" w:eastAsia="宋体" w:hint="default"/>
                <w:sz w:val="18"/>
                <w:szCs w:val="18"/>
              </w:rPr>
              <w:t>昌 智</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3" w:right="162"/>
              <w:jc w:val="left"/>
              <w:rPr>
                <w:rFonts w:ascii="宋体" w:hAnsi="宋体" w:cs="宋体" w:eastAsia="宋体" w:hint="default"/>
                <w:sz w:val="18"/>
                <w:szCs w:val="18"/>
              </w:rPr>
            </w:pPr>
            <w:r>
              <w:rPr>
                <w:rFonts w:ascii="宋体" w:hAnsi="宋体" w:cs="宋体" w:eastAsia="宋体" w:hint="default"/>
                <w:sz w:val="18"/>
                <w:szCs w:val="18"/>
              </w:rPr>
              <w:t>董事 长</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476" w:type="dxa"/>
            <w:vMerge/>
            <w:tcBorders>
              <w:left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tcBorders>
              <w:left w:val="single" w:sz="4" w:space="0" w:color="000000"/>
              <w:right w:val="single" w:sz="4" w:space="0" w:color="000000"/>
            </w:tcBorders>
          </w:tcPr>
          <w:p>
            <w:pPr/>
          </w:p>
        </w:tc>
        <w:tc>
          <w:tcPr>
            <w:tcW w:w="1078" w:type="dxa"/>
            <w:vMerge/>
            <w:tcBorders>
              <w:left w:val="single" w:sz="4" w:space="0" w:color="000000"/>
              <w:right w:val="single" w:sz="4" w:space="0" w:color="000000"/>
            </w:tcBorders>
          </w:tcPr>
          <w:p>
            <w:pPr/>
          </w:p>
        </w:tc>
        <w:tc>
          <w:tcPr>
            <w:tcW w:w="1077" w:type="dxa"/>
            <w:vMerge/>
            <w:tcBorders>
              <w:left w:val="single" w:sz="4" w:space="0" w:color="000000"/>
              <w:right w:val="single" w:sz="4" w:space="0" w:color="000000"/>
            </w:tcBorders>
          </w:tcPr>
          <w:p>
            <w:pPr/>
          </w:p>
        </w:tc>
        <w:tc>
          <w:tcPr>
            <w:tcW w:w="1079"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1026" w:hRule="exact"/>
        </w:trPr>
        <w:tc>
          <w:tcPr>
            <w:tcW w:w="476" w:type="dxa"/>
            <w:vMerge/>
            <w:tcBorders>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62"/>
              <w:jc w:val="both"/>
              <w:rPr>
                <w:rFonts w:ascii="宋体" w:hAnsi="宋体" w:cs="宋体" w:eastAsia="宋体" w:hint="default"/>
                <w:sz w:val="18"/>
                <w:szCs w:val="18"/>
              </w:rPr>
            </w:pPr>
            <w:r>
              <w:rPr>
                <w:rFonts w:ascii="宋体" w:hAnsi="宋体" w:cs="宋体" w:eastAsia="宋体" w:hint="default"/>
                <w:sz w:val="18"/>
                <w:szCs w:val="18"/>
              </w:rPr>
              <w:t>原财 务负 责人</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1" w:right="222"/>
              <w:jc w:val="left"/>
              <w:rPr>
                <w:rFonts w:ascii="宋体" w:hAnsi="宋体" w:cs="宋体" w:eastAsia="宋体" w:hint="default"/>
                <w:sz w:val="18"/>
                <w:szCs w:val="18"/>
              </w:rPr>
            </w:pPr>
            <w:r>
              <w:rPr>
                <w:rFonts w:ascii="宋体" w:hAnsi="宋体" w:cs="宋体" w:eastAsia="宋体" w:hint="default"/>
                <w:sz w:val="18"/>
                <w:szCs w:val="18"/>
              </w:rPr>
              <w:t>离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02</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tcBorders>
              <w:left w:val="single" w:sz="4" w:space="0" w:color="000000"/>
              <w:bottom w:val="single" w:sz="4" w:space="0" w:color="000000"/>
              <w:right w:val="single" w:sz="4" w:space="0" w:color="000000"/>
            </w:tcBorders>
          </w:tcPr>
          <w:p>
            <w:pPr/>
          </w:p>
        </w:tc>
        <w:tc>
          <w:tcPr>
            <w:tcW w:w="1078" w:type="dxa"/>
            <w:vMerge/>
            <w:tcBorders>
              <w:left w:val="single" w:sz="4" w:space="0" w:color="000000"/>
              <w:bottom w:val="single" w:sz="4" w:space="0" w:color="000000"/>
              <w:right w:val="single" w:sz="4" w:space="0" w:color="000000"/>
            </w:tcBorders>
          </w:tcPr>
          <w:p>
            <w:pPr/>
          </w:p>
        </w:tc>
        <w:tc>
          <w:tcPr>
            <w:tcW w:w="1077" w:type="dxa"/>
            <w:vMerge/>
            <w:tcBorders>
              <w:left w:val="single" w:sz="4" w:space="0" w:color="000000"/>
              <w:bottom w:val="single" w:sz="4" w:space="0" w:color="000000"/>
              <w:right w:val="single" w:sz="4" w:space="0" w:color="000000"/>
            </w:tcBorders>
          </w:tcPr>
          <w:p>
            <w:pPr/>
          </w:p>
        </w:tc>
        <w:tc>
          <w:tcPr>
            <w:tcW w:w="1079" w:type="dxa"/>
            <w:vMerge/>
            <w:tcBorders>
              <w:left w:val="single" w:sz="4" w:space="0" w:color="000000"/>
              <w:bottom w:val="single" w:sz="4" w:space="0" w:color="000000"/>
              <w:right w:val="single" w:sz="4" w:space="0" w:color="000000"/>
            </w:tcBorders>
          </w:tcPr>
          <w:p>
            <w:pPr/>
          </w:p>
        </w:tc>
        <w:tc>
          <w:tcPr>
            <w:tcW w:w="1234" w:type="dxa"/>
            <w:vMerge/>
            <w:tcBorders>
              <w:left w:val="single" w:sz="4" w:space="0" w:color="000000"/>
              <w:bottom w:val="single" w:sz="4" w:space="0" w:color="000000"/>
              <w:right w:val="single" w:sz="4" w:space="0" w:color="000000"/>
            </w:tcBorders>
          </w:tcPr>
          <w:p>
            <w:pPr/>
          </w:p>
        </w:tc>
      </w:tr>
      <w:tr>
        <w:trPr>
          <w:trHeight w:val="1026" w:hRule="exact"/>
        </w:trPr>
        <w:tc>
          <w:tcPr>
            <w:tcW w:w="4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25"/>
                <w:szCs w:val="25"/>
              </w:rPr>
            </w:pPr>
          </w:p>
          <w:p>
            <w:pPr>
              <w:pStyle w:val="TableParagraph"/>
              <w:spacing w:line="316" w:lineRule="auto"/>
              <w:ind w:left="103" w:right="181"/>
              <w:jc w:val="both"/>
              <w:rPr>
                <w:rFonts w:ascii="宋体" w:hAnsi="宋体" w:cs="宋体" w:eastAsia="宋体" w:hint="default"/>
                <w:sz w:val="18"/>
                <w:szCs w:val="18"/>
              </w:rPr>
            </w:pPr>
            <w:r>
              <w:rPr>
                <w:rFonts w:ascii="宋体" w:hAnsi="宋体" w:cs="宋体" w:eastAsia="宋体" w:hint="default"/>
                <w:sz w:val="18"/>
                <w:szCs w:val="18"/>
              </w:rPr>
              <w:t>陈 新 民</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52</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left="399" w:right="0"/>
              <w:jc w:val="left"/>
              <w:rPr>
                <w:rFonts w:ascii="Times New Roman" w:hAnsi="Times New Roman" w:cs="Times New Roman" w:eastAsia="Times New Roman" w:hint="default"/>
                <w:sz w:val="18"/>
                <w:szCs w:val="18"/>
              </w:rPr>
            </w:pPr>
            <w:r>
              <w:rPr>
                <w:rFonts w:ascii="Times New Roman"/>
                <w:sz w:val="18"/>
              </w:rPr>
              <w:t>1,273,700</w:t>
            </w:r>
          </w:p>
        </w:tc>
        <w:tc>
          <w:tcPr>
            <w:tcW w:w="10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left="411" w:right="0"/>
              <w:jc w:val="left"/>
              <w:rPr>
                <w:rFonts w:ascii="Times New Roman" w:hAnsi="Times New Roman" w:cs="Times New Roman" w:eastAsia="Times New Roman" w:hint="default"/>
                <w:sz w:val="18"/>
                <w:szCs w:val="18"/>
              </w:rPr>
            </w:pPr>
            <w:r>
              <w:rPr>
                <w:rFonts w:ascii="Times New Roman"/>
                <w:sz w:val="18"/>
              </w:rPr>
              <w:t>-56,250</w:t>
            </w:r>
          </w:p>
        </w:tc>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left="400" w:right="0"/>
              <w:jc w:val="left"/>
              <w:rPr>
                <w:rFonts w:ascii="Times New Roman" w:hAnsi="Times New Roman" w:cs="Times New Roman" w:eastAsia="Times New Roman" w:hint="default"/>
                <w:sz w:val="18"/>
                <w:szCs w:val="18"/>
              </w:rPr>
            </w:pPr>
            <w:r>
              <w:rPr>
                <w:rFonts w:ascii="Times New Roman"/>
                <w:sz w:val="18"/>
              </w:rPr>
              <w:t>1,217,450</w:t>
            </w:r>
          </w:p>
        </w:tc>
      </w:tr>
      <w:tr>
        <w:trPr>
          <w:trHeight w:val="1026" w:hRule="exact"/>
        </w:trPr>
        <w:tc>
          <w:tcPr>
            <w:tcW w:w="476" w:type="dxa"/>
            <w:vMerge/>
            <w:tcBorders>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3" w:right="162"/>
              <w:jc w:val="left"/>
              <w:rPr>
                <w:rFonts w:ascii="宋体" w:hAnsi="宋体" w:cs="宋体" w:eastAsia="宋体" w:hint="default"/>
                <w:sz w:val="18"/>
                <w:szCs w:val="18"/>
              </w:rPr>
            </w:pPr>
            <w:r>
              <w:rPr>
                <w:rFonts w:ascii="宋体" w:hAnsi="宋体" w:cs="宋体" w:eastAsia="宋体" w:hint="default"/>
                <w:sz w:val="18"/>
                <w:szCs w:val="18"/>
              </w:rPr>
              <w:t>总经 理</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52</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tcBorders>
              <w:left w:val="single" w:sz="4" w:space="0" w:color="000000"/>
              <w:bottom w:val="single" w:sz="4" w:space="0" w:color="000000"/>
              <w:right w:val="single" w:sz="4" w:space="0" w:color="000000"/>
            </w:tcBorders>
          </w:tcPr>
          <w:p>
            <w:pPr/>
          </w:p>
        </w:tc>
        <w:tc>
          <w:tcPr>
            <w:tcW w:w="1078" w:type="dxa"/>
            <w:vMerge/>
            <w:tcBorders>
              <w:left w:val="single" w:sz="4" w:space="0" w:color="000000"/>
              <w:bottom w:val="single" w:sz="4" w:space="0" w:color="000000"/>
              <w:right w:val="single" w:sz="4" w:space="0" w:color="000000"/>
            </w:tcBorders>
          </w:tcPr>
          <w:p>
            <w:pPr/>
          </w:p>
        </w:tc>
        <w:tc>
          <w:tcPr>
            <w:tcW w:w="1077" w:type="dxa"/>
            <w:vMerge/>
            <w:tcBorders>
              <w:left w:val="single" w:sz="4" w:space="0" w:color="000000"/>
              <w:bottom w:val="single" w:sz="4" w:space="0" w:color="000000"/>
              <w:right w:val="single" w:sz="4" w:space="0" w:color="000000"/>
            </w:tcBorders>
          </w:tcPr>
          <w:p>
            <w:pPr/>
          </w:p>
        </w:tc>
        <w:tc>
          <w:tcPr>
            <w:tcW w:w="1079" w:type="dxa"/>
            <w:vMerge/>
            <w:tcBorders>
              <w:left w:val="single" w:sz="4" w:space="0" w:color="000000"/>
              <w:bottom w:val="single" w:sz="4" w:space="0" w:color="000000"/>
              <w:right w:val="single" w:sz="4" w:space="0" w:color="000000"/>
            </w:tcBorders>
          </w:tcPr>
          <w:p>
            <w:pPr/>
          </w:p>
        </w:tc>
        <w:tc>
          <w:tcPr>
            <w:tcW w:w="1234" w:type="dxa"/>
            <w:vMerge/>
            <w:tcBorders>
              <w:left w:val="single" w:sz="4" w:space="0" w:color="000000"/>
              <w:bottom w:val="single" w:sz="4" w:space="0" w:color="000000"/>
              <w:right w:val="single" w:sz="4" w:space="0" w:color="000000"/>
            </w:tcBorders>
          </w:tcPr>
          <w:p>
            <w:pPr/>
          </w:p>
        </w:tc>
      </w:tr>
      <w:tr>
        <w:trPr>
          <w:trHeight w:val="1338" w:hRule="exact"/>
        </w:trPr>
        <w:tc>
          <w:tcPr>
            <w:tcW w:w="4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316" w:lineRule="auto"/>
              <w:ind w:left="103" w:right="181"/>
              <w:jc w:val="both"/>
              <w:rPr>
                <w:rFonts w:ascii="宋体" w:hAnsi="宋体" w:cs="宋体" w:eastAsia="宋体" w:hint="default"/>
                <w:sz w:val="18"/>
                <w:szCs w:val="18"/>
              </w:rPr>
            </w:pPr>
            <w:r>
              <w:rPr>
                <w:rFonts w:ascii="宋体" w:hAnsi="宋体" w:cs="宋体" w:eastAsia="宋体" w:hint="default"/>
                <w:sz w:val="18"/>
                <w:szCs w:val="18"/>
              </w:rPr>
              <w:t>杨 依 明</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62"/>
              <w:jc w:val="both"/>
              <w:rPr>
                <w:rFonts w:ascii="宋体" w:hAnsi="宋体" w:cs="宋体" w:eastAsia="宋体" w:hint="default"/>
                <w:sz w:val="18"/>
                <w:szCs w:val="18"/>
              </w:rPr>
            </w:pPr>
            <w:r>
              <w:rPr>
                <w:rFonts w:ascii="宋体" w:hAnsi="宋体" w:cs="宋体" w:eastAsia="宋体" w:hint="default"/>
                <w:sz w:val="18"/>
                <w:szCs w:val="18"/>
              </w:rPr>
              <w:t>原常 务副 总经 理</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9"/>
              <w:ind w:left="101" w:right="222"/>
              <w:jc w:val="left"/>
              <w:rPr>
                <w:rFonts w:ascii="宋体" w:hAnsi="宋体" w:cs="宋体" w:eastAsia="宋体" w:hint="default"/>
                <w:sz w:val="18"/>
                <w:szCs w:val="18"/>
              </w:rPr>
            </w:pPr>
            <w:r>
              <w:rPr>
                <w:rFonts w:ascii="宋体" w:hAnsi="宋体" w:cs="宋体" w:eastAsia="宋体" w:hint="default"/>
                <w:sz w:val="18"/>
                <w:szCs w:val="18"/>
              </w:rPr>
              <w:t>离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47</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535" w:right="0"/>
              <w:jc w:val="left"/>
              <w:rPr>
                <w:rFonts w:ascii="Times New Roman" w:hAnsi="Times New Roman" w:cs="Times New Roman" w:eastAsia="Times New Roman" w:hint="default"/>
                <w:sz w:val="18"/>
                <w:szCs w:val="18"/>
              </w:rPr>
            </w:pPr>
            <w:r>
              <w:rPr>
                <w:rFonts w:ascii="Times New Roman"/>
                <w:sz w:val="18"/>
              </w:rPr>
              <w:t>550,000</w:t>
            </w:r>
          </w:p>
        </w:tc>
        <w:tc>
          <w:tcPr>
            <w:tcW w:w="10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321" w:right="0"/>
              <w:jc w:val="left"/>
              <w:rPr>
                <w:rFonts w:ascii="Times New Roman" w:hAnsi="Times New Roman" w:cs="Times New Roman" w:eastAsia="Times New Roman" w:hint="default"/>
                <w:sz w:val="18"/>
                <w:szCs w:val="18"/>
              </w:rPr>
            </w:pPr>
            <w:r>
              <w:rPr>
                <w:rFonts w:ascii="Times New Roman"/>
                <w:sz w:val="18"/>
              </w:rPr>
              <w:t>-137,500</w:t>
            </w:r>
          </w:p>
        </w:tc>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536" w:right="0"/>
              <w:jc w:val="left"/>
              <w:rPr>
                <w:rFonts w:ascii="Times New Roman" w:hAnsi="Times New Roman" w:cs="Times New Roman" w:eastAsia="Times New Roman" w:hint="default"/>
                <w:sz w:val="18"/>
                <w:szCs w:val="18"/>
              </w:rPr>
            </w:pPr>
            <w:r>
              <w:rPr>
                <w:rFonts w:ascii="Times New Roman"/>
                <w:sz w:val="18"/>
              </w:rPr>
              <w:t>412,500</w:t>
            </w:r>
          </w:p>
        </w:tc>
      </w:tr>
      <w:tr>
        <w:trPr>
          <w:trHeight w:val="1026" w:hRule="exact"/>
        </w:trPr>
        <w:tc>
          <w:tcPr>
            <w:tcW w:w="476" w:type="dxa"/>
            <w:vMerge/>
            <w:tcBorders>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103" w:right="162"/>
              <w:jc w:val="left"/>
              <w:rPr>
                <w:rFonts w:ascii="宋体" w:hAnsi="宋体" w:cs="宋体" w:eastAsia="宋体" w:hint="default"/>
                <w:sz w:val="18"/>
                <w:szCs w:val="18"/>
              </w:rPr>
            </w:pPr>
            <w:r>
              <w:rPr>
                <w:rFonts w:ascii="宋体" w:hAnsi="宋体" w:cs="宋体" w:eastAsia="宋体" w:hint="default"/>
                <w:sz w:val="18"/>
                <w:szCs w:val="18"/>
              </w:rPr>
              <w:t>原总 经理</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离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47</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tcBorders>
              <w:left w:val="single" w:sz="4" w:space="0" w:color="000000"/>
              <w:bottom w:val="single" w:sz="4" w:space="0" w:color="000000"/>
              <w:right w:val="single" w:sz="4" w:space="0" w:color="000000"/>
            </w:tcBorders>
          </w:tcPr>
          <w:p>
            <w:pPr/>
          </w:p>
        </w:tc>
        <w:tc>
          <w:tcPr>
            <w:tcW w:w="1078" w:type="dxa"/>
            <w:vMerge/>
            <w:tcBorders>
              <w:left w:val="single" w:sz="4" w:space="0" w:color="000000"/>
              <w:bottom w:val="single" w:sz="4" w:space="0" w:color="000000"/>
              <w:right w:val="single" w:sz="4" w:space="0" w:color="000000"/>
            </w:tcBorders>
          </w:tcPr>
          <w:p>
            <w:pPr/>
          </w:p>
        </w:tc>
        <w:tc>
          <w:tcPr>
            <w:tcW w:w="1077" w:type="dxa"/>
            <w:vMerge/>
            <w:tcBorders>
              <w:left w:val="single" w:sz="4" w:space="0" w:color="000000"/>
              <w:bottom w:val="single" w:sz="4" w:space="0" w:color="000000"/>
              <w:right w:val="single" w:sz="4" w:space="0" w:color="000000"/>
            </w:tcBorders>
          </w:tcPr>
          <w:p>
            <w:pPr/>
          </w:p>
        </w:tc>
        <w:tc>
          <w:tcPr>
            <w:tcW w:w="1079" w:type="dxa"/>
            <w:vMerge/>
            <w:tcBorders>
              <w:left w:val="single" w:sz="4" w:space="0" w:color="000000"/>
              <w:bottom w:val="single" w:sz="4" w:space="0" w:color="000000"/>
              <w:right w:val="single" w:sz="4" w:space="0" w:color="000000"/>
            </w:tcBorders>
          </w:tcPr>
          <w:p>
            <w:pPr/>
          </w:p>
        </w:tc>
        <w:tc>
          <w:tcPr>
            <w:tcW w:w="1234" w:type="dxa"/>
            <w:vMerge/>
            <w:tcBorders>
              <w:left w:val="single" w:sz="4" w:space="0" w:color="000000"/>
              <w:bottom w:val="single" w:sz="4" w:space="0" w:color="000000"/>
              <w:right w:val="single" w:sz="4" w:space="0" w:color="000000"/>
            </w:tcBorders>
          </w:tcPr>
          <w:p>
            <w:pPr/>
          </w:p>
        </w:tc>
      </w:tr>
      <w:tr>
        <w:trPr>
          <w:trHeight w:val="1026" w:hRule="exact"/>
        </w:trPr>
        <w:tc>
          <w:tcPr>
            <w:tcW w:w="476" w:type="dxa"/>
            <w:tcBorders>
              <w:top w:val="single" w:sz="4" w:space="0" w:color="000000"/>
              <w:left w:val="single" w:sz="4" w:space="0" w:color="000000"/>
              <w:bottom w:val="nil" w:sz="6" w:space="0" w:color="auto"/>
              <w:right w:val="single" w:sz="4" w:space="0" w:color="000000"/>
            </w:tcBorders>
          </w:tcPr>
          <w:p>
            <w:pPr>
              <w:pStyle w:val="TableParagraph"/>
              <w:spacing w:line="319" w:lineRule="auto" w:before="51"/>
              <w:ind w:left="103" w:right="181"/>
              <w:jc w:val="both"/>
              <w:rPr>
                <w:rFonts w:ascii="宋体" w:hAnsi="宋体" w:cs="宋体" w:eastAsia="宋体" w:hint="default"/>
                <w:sz w:val="18"/>
                <w:szCs w:val="18"/>
              </w:rPr>
            </w:pPr>
            <w:r>
              <w:rPr>
                <w:rFonts w:ascii="宋体" w:hAnsi="宋体" w:cs="宋体" w:eastAsia="宋体" w:hint="default"/>
                <w:sz w:val="18"/>
                <w:szCs w:val="18"/>
              </w:rPr>
              <w:t>魏 代 英</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535" w:right="0"/>
              <w:jc w:val="left"/>
              <w:rPr>
                <w:rFonts w:ascii="Times New Roman" w:hAnsi="Times New Roman" w:cs="Times New Roman" w:eastAsia="Times New Roman" w:hint="default"/>
                <w:sz w:val="18"/>
                <w:szCs w:val="18"/>
              </w:rPr>
            </w:pPr>
            <w:r>
              <w:rPr>
                <w:rFonts w:ascii="Times New Roman"/>
                <w:sz w:val="18"/>
              </w:rPr>
              <w:t>912,500</w:t>
            </w:r>
          </w:p>
        </w:tc>
        <w:tc>
          <w:tcPr>
            <w:tcW w:w="1078"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411" w:right="0"/>
              <w:jc w:val="left"/>
              <w:rPr>
                <w:rFonts w:ascii="Times New Roman" w:hAnsi="Times New Roman" w:cs="Times New Roman" w:eastAsia="Times New Roman" w:hint="default"/>
                <w:sz w:val="18"/>
                <w:szCs w:val="18"/>
              </w:rPr>
            </w:pPr>
            <w:r>
              <w:rPr>
                <w:rFonts w:ascii="Times New Roman"/>
                <w:sz w:val="18"/>
              </w:rPr>
              <w:t>-87,500</w:t>
            </w:r>
          </w:p>
        </w:tc>
        <w:tc>
          <w:tcPr>
            <w:tcW w:w="1234"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536" w:right="0"/>
              <w:jc w:val="left"/>
              <w:rPr>
                <w:rFonts w:ascii="Times New Roman" w:hAnsi="Times New Roman" w:cs="Times New Roman" w:eastAsia="Times New Roman" w:hint="default"/>
                <w:sz w:val="18"/>
                <w:szCs w:val="18"/>
              </w:rPr>
            </w:pPr>
            <w:r>
              <w:rPr>
                <w:rFonts w:ascii="Times New Roman"/>
                <w:sz w:val="18"/>
              </w:rPr>
              <w:t>825,000</w:t>
            </w:r>
          </w:p>
        </w:tc>
      </w:tr>
    </w:tbl>
    <w:p>
      <w:pPr>
        <w:spacing w:after="0" w:line="240" w:lineRule="auto"/>
        <w:jc w:val="lef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476"/>
        <w:gridCol w:w="638"/>
        <w:gridCol w:w="516"/>
        <w:gridCol w:w="437"/>
        <w:gridCol w:w="436"/>
        <w:gridCol w:w="827"/>
        <w:gridCol w:w="827"/>
        <w:gridCol w:w="1232"/>
        <w:gridCol w:w="1078"/>
        <w:gridCol w:w="1077"/>
        <w:gridCol w:w="1079"/>
        <w:gridCol w:w="1234"/>
      </w:tblGrid>
      <w:tr>
        <w:trPr>
          <w:trHeight w:val="1026" w:hRule="exact"/>
        </w:trPr>
        <w:tc>
          <w:tcPr>
            <w:tcW w:w="476" w:type="dxa"/>
            <w:tcBorders>
              <w:top w:val="nil" w:sz="6" w:space="0" w:color="auto"/>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62"/>
              <w:jc w:val="both"/>
              <w:rPr>
                <w:rFonts w:ascii="宋体" w:hAnsi="宋体" w:cs="宋体" w:eastAsia="宋体" w:hint="default"/>
                <w:sz w:val="18"/>
                <w:szCs w:val="18"/>
              </w:rPr>
            </w:pPr>
            <w:r>
              <w:rPr>
                <w:rFonts w:ascii="宋体" w:hAnsi="宋体" w:cs="宋体" w:eastAsia="宋体" w:hint="default"/>
                <w:sz w:val="18"/>
                <w:szCs w:val="18"/>
              </w:rPr>
              <w:t>董事 会秘 书</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nil" w:sz="6" w:space="0" w:color="auto"/>
              <w:left w:val="single" w:sz="4" w:space="0" w:color="000000"/>
              <w:bottom w:val="single" w:sz="4" w:space="0" w:color="000000"/>
              <w:right w:val="single" w:sz="4" w:space="0" w:color="000000"/>
            </w:tcBorders>
          </w:tcPr>
          <w:p>
            <w:pPr/>
          </w:p>
        </w:tc>
        <w:tc>
          <w:tcPr>
            <w:tcW w:w="1078" w:type="dxa"/>
            <w:tcBorders>
              <w:top w:val="single" w:sz="4" w:space="0" w:color="FFFFFF"/>
              <w:left w:val="single" w:sz="4" w:space="0" w:color="000000"/>
              <w:bottom w:val="single" w:sz="4" w:space="0" w:color="000000"/>
              <w:right w:val="single" w:sz="4" w:space="0" w:color="000000"/>
            </w:tcBorders>
          </w:tcPr>
          <w:p>
            <w:pPr/>
          </w:p>
        </w:tc>
        <w:tc>
          <w:tcPr>
            <w:tcW w:w="1077" w:type="dxa"/>
            <w:tcBorders>
              <w:top w:val="single" w:sz="4" w:space="0" w:color="FFFFFF"/>
              <w:left w:val="single" w:sz="4" w:space="0" w:color="000000"/>
              <w:bottom w:val="single" w:sz="4" w:space="0" w:color="000000"/>
              <w:right w:val="single" w:sz="4" w:space="0" w:color="000000"/>
            </w:tcBorders>
          </w:tcPr>
          <w:p>
            <w:pPr/>
          </w:p>
        </w:tc>
        <w:tc>
          <w:tcPr>
            <w:tcW w:w="1079" w:type="dxa"/>
            <w:tcBorders>
              <w:top w:val="single" w:sz="4" w:space="0" w:color="FFFFFF"/>
              <w:left w:val="single" w:sz="4" w:space="0" w:color="000000"/>
              <w:bottom w:val="single" w:sz="4" w:space="0" w:color="000000"/>
              <w:right w:val="single" w:sz="4" w:space="0" w:color="000000"/>
            </w:tcBorders>
          </w:tcPr>
          <w:p>
            <w:pPr/>
          </w:p>
        </w:tc>
        <w:tc>
          <w:tcPr>
            <w:tcW w:w="1234" w:type="dxa"/>
            <w:tcBorders>
              <w:top w:val="single" w:sz="4" w:space="0" w:color="FFFFFF"/>
              <w:left w:val="single" w:sz="4" w:space="0" w:color="000000"/>
              <w:bottom w:val="single" w:sz="4" w:space="0" w:color="000000"/>
              <w:right w:val="single" w:sz="4" w:space="0" w:color="000000"/>
            </w:tcBorders>
          </w:tcPr>
          <w:p>
            <w:pPr/>
          </w:p>
        </w:tc>
      </w:tr>
      <w:tr>
        <w:trPr>
          <w:trHeight w:val="1026" w:hRule="exact"/>
        </w:trPr>
        <w:tc>
          <w:tcPr>
            <w:tcW w:w="4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1"/>
              <w:ind w:left="103" w:right="181"/>
              <w:jc w:val="both"/>
              <w:rPr>
                <w:rFonts w:ascii="宋体" w:hAnsi="宋体" w:cs="宋体" w:eastAsia="宋体" w:hint="default"/>
                <w:sz w:val="18"/>
                <w:szCs w:val="18"/>
              </w:rPr>
            </w:pPr>
            <w:r>
              <w:rPr>
                <w:rFonts w:ascii="宋体" w:hAnsi="宋体" w:cs="宋体" w:eastAsia="宋体" w:hint="default"/>
                <w:sz w:val="18"/>
                <w:szCs w:val="18"/>
              </w:rPr>
              <w:t>曾 兆 豪</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62"/>
              <w:jc w:val="both"/>
              <w:rPr>
                <w:rFonts w:ascii="宋体" w:hAnsi="宋体" w:cs="宋体" w:eastAsia="宋体" w:hint="default"/>
                <w:sz w:val="18"/>
                <w:szCs w:val="18"/>
              </w:rPr>
            </w:pPr>
            <w:r>
              <w:rPr>
                <w:rFonts w:ascii="宋体" w:hAnsi="宋体" w:cs="宋体" w:eastAsia="宋体" w:hint="default"/>
                <w:sz w:val="18"/>
                <w:szCs w:val="18"/>
              </w:rPr>
              <w:t>原财 务负 责人</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离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43</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left="535" w:right="0"/>
              <w:jc w:val="left"/>
              <w:rPr>
                <w:rFonts w:ascii="Times New Roman" w:hAnsi="Times New Roman" w:cs="Times New Roman" w:eastAsia="Times New Roman" w:hint="default"/>
                <w:sz w:val="18"/>
                <w:szCs w:val="18"/>
              </w:rPr>
            </w:pPr>
            <w:r>
              <w:rPr>
                <w:rFonts w:ascii="Times New Roman"/>
                <w:sz w:val="18"/>
              </w:rPr>
              <w:t>350,000</w:t>
            </w:r>
          </w:p>
        </w:tc>
        <w:tc>
          <w:tcPr>
            <w:tcW w:w="10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left="411" w:right="0"/>
              <w:jc w:val="left"/>
              <w:rPr>
                <w:rFonts w:ascii="Times New Roman" w:hAnsi="Times New Roman" w:cs="Times New Roman" w:eastAsia="Times New Roman" w:hint="default"/>
                <w:sz w:val="18"/>
                <w:szCs w:val="18"/>
              </w:rPr>
            </w:pPr>
            <w:r>
              <w:rPr>
                <w:rFonts w:ascii="Times New Roman"/>
                <w:sz w:val="18"/>
              </w:rPr>
              <w:t>-87,500</w:t>
            </w:r>
          </w:p>
        </w:tc>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left="536" w:right="0"/>
              <w:jc w:val="left"/>
              <w:rPr>
                <w:rFonts w:ascii="Times New Roman" w:hAnsi="Times New Roman" w:cs="Times New Roman" w:eastAsia="Times New Roman" w:hint="default"/>
                <w:sz w:val="18"/>
                <w:szCs w:val="18"/>
              </w:rPr>
            </w:pPr>
            <w:r>
              <w:rPr>
                <w:rFonts w:ascii="Times New Roman"/>
                <w:sz w:val="18"/>
              </w:rPr>
              <w:t>262,500</w:t>
            </w:r>
          </w:p>
        </w:tc>
      </w:tr>
      <w:tr>
        <w:trPr>
          <w:trHeight w:val="1026" w:hRule="exact"/>
        </w:trPr>
        <w:tc>
          <w:tcPr>
            <w:tcW w:w="476" w:type="dxa"/>
            <w:vMerge/>
            <w:tcBorders>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62"/>
              <w:jc w:val="left"/>
              <w:rPr>
                <w:rFonts w:ascii="宋体" w:hAnsi="宋体" w:cs="宋体" w:eastAsia="宋体" w:hint="default"/>
                <w:sz w:val="18"/>
                <w:szCs w:val="18"/>
              </w:rPr>
            </w:pPr>
            <w:r>
              <w:rPr>
                <w:rFonts w:ascii="宋体" w:hAnsi="宋体" w:cs="宋体" w:eastAsia="宋体" w:hint="default"/>
                <w:sz w:val="18"/>
                <w:szCs w:val="18"/>
              </w:rPr>
              <w:t>原董 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离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43</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14</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02</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tcBorders>
              <w:left w:val="single" w:sz="4" w:space="0" w:color="000000"/>
              <w:bottom w:val="single" w:sz="4" w:space="0" w:color="000000"/>
              <w:right w:val="single" w:sz="4" w:space="0" w:color="000000"/>
            </w:tcBorders>
          </w:tcPr>
          <w:p>
            <w:pPr/>
          </w:p>
        </w:tc>
        <w:tc>
          <w:tcPr>
            <w:tcW w:w="1078" w:type="dxa"/>
            <w:vMerge/>
            <w:tcBorders>
              <w:left w:val="single" w:sz="4" w:space="0" w:color="000000"/>
              <w:bottom w:val="single" w:sz="4" w:space="0" w:color="000000"/>
              <w:right w:val="single" w:sz="4" w:space="0" w:color="000000"/>
            </w:tcBorders>
          </w:tcPr>
          <w:p>
            <w:pPr/>
          </w:p>
        </w:tc>
        <w:tc>
          <w:tcPr>
            <w:tcW w:w="1077" w:type="dxa"/>
            <w:vMerge/>
            <w:tcBorders>
              <w:left w:val="single" w:sz="4" w:space="0" w:color="000000"/>
              <w:bottom w:val="single" w:sz="4" w:space="0" w:color="000000"/>
              <w:right w:val="single" w:sz="4" w:space="0" w:color="000000"/>
            </w:tcBorders>
          </w:tcPr>
          <w:p>
            <w:pPr/>
          </w:p>
        </w:tc>
        <w:tc>
          <w:tcPr>
            <w:tcW w:w="1079" w:type="dxa"/>
            <w:vMerge/>
            <w:tcBorders>
              <w:left w:val="single" w:sz="4" w:space="0" w:color="000000"/>
              <w:bottom w:val="single" w:sz="4" w:space="0" w:color="000000"/>
              <w:right w:val="single" w:sz="4" w:space="0" w:color="000000"/>
            </w:tcBorders>
          </w:tcPr>
          <w:p>
            <w:pPr/>
          </w:p>
        </w:tc>
        <w:tc>
          <w:tcPr>
            <w:tcW w:w="1234" w:type="dxa"/>
            <w:vMerge/>
            <w:tcBorders>
              <w:left w:val="single" w:sz="4" w:space="0" w:color="000000"/>
              <w:bottom w:val="single" w:sz="4" w:space="0" w:color="000000"/>
              <w:right w:val="single" w:sz="4" w:space="0" w:color="000000"/>
            </w:tcBorders>
          </w:tcPr>
          <w:p>
            <w:pPr/>
          </w:p>
        </w:tc>
      </w:tr>
      <w:tr>
        <w:trPr>
          <w:trHeight w:val="1026" w:hRule="exact"/>
        </w:trPr>
        <w:tc>
          <w:tcPr>
            <w:tcW w:w="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81"/>
              <w:jc w:val="left"/>
              <w:rPr>
                <w:rFonts w:ascii="宋体" w:hAnsi="宋体" w:cs="宋体" w:eastAsia="宋体" w:hint="default"/>
                <w:sz w:val="18"/>
                <w:szCs w:val="18"/>
              </w:rPr>
            </w:pPr>
            <w:r>
              <w:rPr>
                <w:rFonts w:ascii="宋体" w:hAnsi="宋体" w:cs="宋体" w:eastAsia="宋体" w:hint="default"/>
                <w:sz w:val="18"/>
                <w:szCs w:val="18"/>
              </w:rPr>
              <w:t>廖 垚</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4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1"/>
              <w:ind w:left="103" w:right="181"/>
              <w:jc w:val="both"/>
              <w:rPr>
                <w:rFonts w:ascii="宋体" w:hAnsi="宋体" w:cs="宋体" w:eastAsia="宋体" w:hint="default"/>
                <w:sz w:val="18"/>
                <w:szCs w:val="18"/>
              </w:rPr>
            </w:pPr>
            <w:r>
              <w:rPr>
                <w:rFonts w:ascii="宋体" w:hAnsi="宋体" w:cs="宋体" w:eastAsia="宋体" w:hint="default"/>
                <w:sz w:val="18"/>
                <w:szCs w:val="18"/>
              </w:rPr>
              <w:t>卢 和 忠</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62"/>
              <w:jc w:val="left"/>
              <w:rPr>
                <w:rFonts w:ascii="宋体" w:hAnsi="宋体" w:cs="宋体" w:eastAsia="宋体" w:hint="default"/>
                <w:sz w:val="18"/>
                <w:szCs w:val="18"/>
              </w:rPr>
            </w:pPr>
            <w:r>
              <w:rPr>
                <w:rFonts w:ascii="宋体" w:hAnsi="宋体" w:cs="宋体" w:eastAsia="宋体" w:hint="default"/>
                <w:sz w:val="18"/>
                <w:szCs w:val="18"/>
              </w:rPr>
              <w:t>原监 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离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535" w:right="0"/>
              <w:jc w:val="left"/>
              <w:rPr>
                <w:rFonts w:ascii="Times New Roman" w:hAnsi="Times New Roman" w:cs="Times New Roman" w:eastAsia="Times New Roman" w:hint="default"/>
                <w:sz w:val="18"/>
                <w:szCs w:val="18"/>
              </w:rPr>
            </w:pPr>
            <w:r>
              <w:rPr>
                <w:rFonts w:ascii="Times New Roman"/>
                <w:sz w:val="18"/>
              </w:rPr>
              <w:t>650,000</w:t>
            </w:r>
          </w:p>
        </w:tc>
        <w:tc>
          <w:tcPr>
            <w:tcW w:w="10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321" w:right="0"/>
              <w:jc w:val="left"/>
              <w:rPr>
                <w:rFonts w:ascii="Times New Roman" w:hAnsi="Times New Roman" w:cs="Times New Roman" w:eastAsia="Times New Roman" w:hint="default"/>
                <w:sz w:val="18"/>
                <w:szCs w:val="18"/>
              </w:rPr>
            </w:pPr>
            <w:r>
              <w:rPr>
                <w:rFonts w:ascii="Times New Roman"/>
                <w:sz w:val="18"/>
              </w:rPr>
              <w:t>-162,500</w:t>
            </w:r>
          </w:p>
        </w:tc>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536" w:right="0"/>
              <w:jc w:val="left"/>
              <w:rPr>
                <w:rFonts w:ascii="Times New Roman" w:hAnsi="Times New Roman" w:cs="Times New Roman" w:eastAsia="Times New Roman" w:hint="default"/>
                <w:sz w:val="18"/>
                <w:szCs w:val="18"/>
              </w:rPr>
            </w:pPr>
            <w:r>
              <w:rPr>
                <w:rFonts w:ascii="Times New Roman"/>
                <w:sz w:val="18"/>
              </w:rPr>
              <w:t>487,500</w:t>
            </w:r>
          </w:p>
        </w:tc>
      </w:tr>
      <w:tr>
        <w:trPr>
          <w:trHeight w:val="1026" w:hRule="exact"/>
        </w:trPr>
        <w:tc>
          <w:tcPr>
            <w:tcW w:w="476" w:type="dxa"/>
            <w:vMerge/>
            <w:tcBorders>
              <w:left w:val="single" w:sz="4" w:space="0" w:color="000000"/>
              <w:bottom w:val="single" w:sz="4" w:space="0" w:color="000000"/>
              <w:right w:val="single" w:sz="4" w:space="0" w:color="000000"/>
            </w:tcBorders>
          </w:tcPr>
          <w:p>
            <w:pP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vMerge/>
            <w:tcBorders>
              <w:left w:val="single" w:sz="4" w:space="0" w:color="000000"/>
              <w:bottom w:val="single" w:sz="4" w:space="0" w:color="000000"/>
              <w:right w:val="single" w:sz="4" w:space="0" w:color="000000"/>
            </w:tcBorders>
          </w:tcPr>
          <w:p>
            <w:pPr/>
          </w:p>
        </w:tc>
        <w:tc>
          <w:tcPr>
            <w:tcW w:w="1078" w:type="dxa"/>
            <w:vMerge/>
            <w:tcBorders>
              <w:left w:val="single" w:sz="4" w:space="0" w:color="000000"/>
              <w:bottom w:val="single" w:sz="4" w:space="0" w:color="000000"/>
              <w:right w:val="single" w:sz="4" w:space="0" w:color="000000"/>
            </w:tcBorders>
          </w:tcPr>
          <w:p>
            <w:pPr/>
          </w:p>
        </w:tc>
        <w:tc>
          <w:tcPr>
            <w:tcW w:w="1077" w:type="dxa"/>
            <w:vMerge/>
            <w:tcBorders>
              <w:left w:val="single" w:sz="4" w:space="0" w:color="000000"/>
              <w:bottom w:val="single" w:sz="4" w:space="0" w:color="000000"/>
              <w:right w:val="single" w:sz="4" w:space="0" w:color="000000"/>
            </w:tcBorders>
          </w:tcPr>
          <w:p>
            <w:pPr/>
          </w:p>
        </w:tc>
        <w:tc>
          <w:tcPr>
            <w:tcW w:w="1079" w:type="dxa"/>
            <w:vMerge/>
            <w:tcBorders>
              <w:left w:val="single" w:sz="4" w:space="0" w:color="000000"/>
              <w:bottom w:val="single" w:sz="4" w:space="0" w:color="000000"/>
              <w:right w:val="single" w:sz="4" w:space="0" w:color="000000"/>
            </w:tcBorders>
          </w:tcPr>
          <w:p>
            <w:pPr/>
          </w:p>
        </w:tc>
        <w:tc>
          <w:tcPr>
            <w:tcW w:w="1234" w:type="dxa"/>
            <w:vMerge/>
            <w:tcBorders>
              <w:left w:val="single" w:sz="4" w:space="0" w:color="000000"/>
              <w:bottom w:val="single" w:sz="4" w:space="0" w:color="000000"/>
              <w:right w:val="single" w:sz="4" w:space="0" w:color="000000"/>
            </w:tcBorders>
          </w:tcPr>
          <w:p>
            <w:pPr/>
          </w:p>
        </w:tc>
      </w:tr>
      <w:tr>
        <w:trPr>
          <w:trHeight w:val="1026" w:hRule="exact"/>
        </w:trPr>
        <w:tc>
          <w:tcPr>
            <w:tcW w:w="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81"/>
              <w:jc w:val="left"/>
              <w:rPr>
                <w:rFonts w:ascii="宋体" w:hAnsi="宋体" w:cs="宋体" w:eastAsia="宋体" w:hint="default"/>
                <w:sz w:val="18"/>
                <w:szCs w:val="18"/>
              </w:rPr>
            </w:pPr>
            <w:r>
              <w:rPr>
                <w:rFonts w:ascii="宋体" w:hAnsi="宋体" w:cs="宋体" w:eastAsia="宋体" w:hint="default"/>
                <w:sz w:val="18"/>
                <w:szCs w:val="18"/>
              </w:rPr>
              <w:t>王 平</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62"/>
              <w:jc w:val="left"/>
              <w:rPr>
                <w:rFonts w:ascii="宋体" w:hAnsi="宋体" w:cs="宋体" w:eastAsia="宋体" w:hint="default"/>
                <w:sz w:val="18"/>
                <w:szCs w:val="18"/>
              </w:rPr>
            </w:pPr>
            <w:r>
              <w:rPr>
                <w:rFonts w:ascii="宋体" w:hAnsi="宋体" w:cs="宋体" w:eastAsia="宋体" w:hint="default"/>
                <w:sz w:val="18"/>
                <w:szCs w:val="18"/>
              </w:rPr>
              <w:t>独立 董事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49</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4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81"/>
              <w:jc w:val="both"/>
              <w:rPr>
                <w:rFonts w:ascii="宋体" w:hAnsi="宋体" w:cs="宋体" w:eastAsia="宋体" w:hint="default"/>
                <w:sz w:val="18"/>
                <w:szCs w:val="18"/>
              </w:rPr>
            </w:pPr>
            <w:r>
              <w:rPr>
                <w:rFonts w:ascii="宋体" w:hAnsi="宋体" w:cs="宋体" w:eastAsia="宋体" w:hint="default"/>
                <w:sz w:val="18"/>
                <w:szCs w:val="18"/>
              </w:rPr>
              <w:t>王 艳 梅</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62"/>
              <w:jc w:val="left"/>
              <w:rPr>
                <w:rFonts w:ascii="宋体" w:hAnsi="宋体" w:cs="宋体" w:eastAsia="宋体" w:hint="default"/>
                <w:sz w:val="18"/>
                <w:szCs w:val="18"/>
              </w:rPr>
            </w:pPr>
            <w:r>
              <w:rPr>
                <w:rFonts w:ascii="宋体" w:hAnsi="宋体" w:cs="宋体" w:eastAsia="宋体" w:hint="default"/>
                <w:sz w:val="18"/>
                <w:szCs w:val="18"/>
              </w:rPr>
              <w:t>独立 董事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4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81"/>
              <w:jc w:val="both"/>
              <w:rPr>
                <w:rFonts w:ascii="宋体" w:hAnsi="宋体" w:cs="宋体" w:eastAsia="宋体" w:hint="default"/>
                <w:sz w:val="18"/>
                <w:szCs w:val="18"/>
              </w:rPr>
            </w:pPr>
            <w:r>
              <w:rPr>
                <w:rFonts w:ascii="宋体" w:hAnsi="宋体" w:cs="宋体" w:eastAsia="宋体" w:hint="default"/>
                <w:sz w:val="18"/>
                <w:szCs w:val="18"/>
              </w:rPr>
              <w:t>易 庆 国</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62"/>
              <w:jc w:val="left"/>
              <w:rPr>
                <w:rFonts w:ascii="宋体" w:hAnsi="宋体" w:cs="宋体" w:eastAsia="宋体" w:hint="default"/>
                <w:sz w:val="18"/>
                <w:szCs w:val="18"/>
              </w:rPr>
            </w:pPr>
            <w:r>
              <w:rPr>
                <w:rFonts w:ascii="宋体" w:hAnsi="宋体" w:cs="宋体" w:eastAsia="宋体" w:hint="default"/>
                <w:sz w:val="18"/>
                <w:szCs w:val="18"/>
              </w:rPr>
              <w:t>独立 董事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71</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4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81"/>
              <w:jc w:val="both"/>
              <w:rPr>
                <w:rFonts w:ascii="宋体" w:hAnsi="宋体" w:cs="宋体" w:eastAsia="宋体" w:hint="default"/>
                <w:sz w:val="18"/>
                <w:szCs w:val="18"/>
              </w:rPr>
            </w:pPr>
            <w:r>
              <w:rPr>
                <w:rFonts w:ascii="宋体" w:hAnsi="宋体" w:cs="宋体" w:eastAsia="宋体" w:hint="default"/>
                <w:sz w:val="18"/>
                <w:szCs w:val="18"/>
              </w:rPr>
              <w:t>胡 爱 武</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4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81"/>
              <w:jc w:val="both"/>
              <w:rPr>
                <w:rFonts w:ascii="宋体" w:hAnsi="宋体" w:cs="宋体" w:eastAsia="宋体" w:hint="default"/>
                <w:sz w:val="18"/>
                <w:szCs w:val="18"/>
              </w:rPr>
            </w:pPr>
            <w:r>
              <w:rPr>
                <w:rFonts w:ascii="宋体" w:hAnsi="宋体" w:cs="宋体" w:eastAsia="宋体" w:hint="default"/>
                <w:sz w:val="18"/>
                <w:szCs w:val="18"/>
              </w:rPr>
              <w:t>叶 广 照</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62"/>
              <w:jc w:val="left"/>
              <w:rPr>
                <w:rFonts w:ascii="宋体" w:hAnsi="宋体" w:cs="宋体" w:eastAsia="宋体" w:hint="default"/>
                <w:sz w:val="18"/>
                <w:szCs w:val="18"/>
              </w:rPr>
            </w:pPr>
            <w:r>
              <w:rPr>
                <w:rFonts w:ascii="宋体" w:hAnsi="宋体" w:cs="宋体" w:eastAsia="宋体" w:hint="default"/>
                <w:sz w:val="18"/>
                <w:szCs w:val="18"/>
              </w:rPr>
              <w:t>原监 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离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44</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4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81"/>
              <w:jc w:val="both"/>
              <w:rPr>
                <w:rFonts w:ascii="宋体" w:hAnsi="宋体" w:cs="宋体" w:eastAsia="宋体" w:hint="default"/>
                <w:sz w:val="18"/>
                <w:szCs w:val="18"/>
              </w:rPr>
            </w:pPr>
            <w:r>
              <w:rPr>
                <w:rFonts w:ascii="宋体" w:hAnsi="宋体" w:cs="宋体" w:eastAsia="宋体" w:hint="default"/>
                <w:sz w:val="18"/>
                <w:szCs w:val="18"/>
              </w:rPr>
              <w:t>施 隆 红</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4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81"/>
              <w:jc w:val="both"/>
              <w:rPr>
                <w:rFonts w:ascii="宋体" w:hAnsi="宋体" w:cs="宋体" w:eastAsia="宋体" w:hint="default"/>
                <w:sz w:val="18"/>
                <w:szCs w:val="18"/>
              </w:rPr>
            </w:pPr>
            <w:r>
              <w:rPr>
                <w:rFonts w:ascii="宋体" w:hAnsi="宋体" w:cs="宋体" w:eastAsia="宋体" w:hint="default"/>
                <w:sz w:val="18"/>
                <w:szCs w:val="18"/>
              </w:rPr>
              <w:t>夏 艳 华</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9" w:lineRule="auto"/>
              <w:ind w:left="103" w:right="162"/>
              <w:jc w:val="left"/>
              <w:rPr>
                <w:rFonts w:ascii="宋体" w:hAnsi="宋体" w:cs="宋体" w:eastAsia="宋体" w:hint="default"/>
                <w:sz w:val="18"/>
                <w:szCs w:val="18"/>
              </w:rPr>
            </w:pPr>
            <w:r>
              <w:rPr>
                <w:rFonts w:ascii="宋体" w:hAnsi="宋体" w:cs="宋体" w:eastAsia="宋体" w:hint="default"/>
                <w:sz w:val="18"/>
                <w:szCs w:val="18"/>
              </w:rPr>
              <w:t>职工 监事</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38</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17</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陈</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副总</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1" w:right="0"/>
              <w:jc w:val="left"/>
              <w:rPr>
                <w:rFonts w:ascii="宋体" w:hAnsi="宋体" w:cs="宋体" w:eastAsia="宋体" w:hint="default"/>
                <w:sz w:val="18"/>
                <w:szCs w:val="18"/>
              </w:rPr>
            </w:pPr>
            <w:r>
              <w:rPr>
                <w:rFonts w:ascii="宋体" w:hAnsi="宋体" w:cs="宋体" w:eastAsia="宋体" w:hint="default"/>
                <w:sz w:val="18"/>
                <w:szCs w:val="18"/>
              </w:rPr>
              <w:t>现</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350,000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-87,500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262,500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476"/>
        <w:gridCol w:w="638"/>
        <w:gridCol w:w="516"/>
        <w:gridCol w:w="437"/>
        <w:gridCol w:w="436"/>
        <w:gridCol w:w="827"/>
        <w:gridCol w:w="827"/>
        <w:gridCol w:w="1232"/>
        <w:gridCol w:w="1078"/>
        <w:gridCol w:w="1077"/>
        <w:gridCol w:w="1079"/>
        <w:gridCol w:w="1234"/>
      </w:tblGrid>
      <w:tr>
        <w:trPr>
          <w:trHeight w:val="674" w:hRule="exact"/>
        </w:trPr>
        <w:tc>
          <w:tcPr>
            <w:tcW w:w="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蔚</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58"/>
              <w:jc w:val="center"/>
              <w:rPr>
                <w:rFonts w:ascii="宋体" w:hAnsi="宋体" w:cs="宋体" w:eastAsia="宋体" w:hint="default"/>
                <w:sz w:val="18"/>
                <w:szCs w:val="18"/>
              </w:rPr>
            </w:pPr>
            <w:r>
              <w:rPr>
                <w:rFonts w:ascii="宋体" w:hAnsi="宋体" w:cs="宋体" w:eastAsia="宋体" w:hint="default"/>
                <w:sz w:val="18"/>
                <w:szCs w:val="18"/>
              </w:rPr>
              <w:t>经理</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22"/>
              <w:jc w:val="right"/>
              <w:rPr>
                <w:rFonts w:ascii="宋体" w:hAnsi="宋体" w:cs="宋体" w:eastAsia="宋体" w:hint="default"/>
                <w:sz w:val="18"/>
                <w:szCs w:val="18"/>
              </w:rPr>
            </w:pPr>
            <w:r>
              <w:rPr>
                <w:rFonts w:ascii="宋体" w:hAnsi="宋体" w:cs="宋体" w:eastAsia="宋体" w:hint="default"/>
                <w:sz w:val="18"/>
                <w:szCs w:val="18"/>
              </w:rPr>
              <w:t>任</w:t>
            </w:r>
          </w:p>
        </w:tc>
        <w:tc>
          <w:tcPr>
            <w:tcW w:w="437" w:type="dxa"/>
            <w:tcBorders>
              <w:top w:val="single" w:sz="4" w:space="0" w:color="000000"/>
              <w:left w:val="single" w:sz="4" w:space="0" w:color="000000"/>
              <w:bottom w:val="single" w:sz="4" w:space="0" w:color="000000"/>
              <w:right w:val="single" w:sz="4" w:space="0" w:color="000000"/>
            </w:tcBorders>
          </w:tcPr>
          <w:p>
            <w:pPr/>
          </w:p>
        </w:tc>
        <w:tc>
          <w:tcPr>
            <w:tcW w:w="436" w:type="dxa"/>
            <w:tcBorders>
              <w:top w:val="single" w:sz="4" w:space="0" w:color="000000"/>
              <w:left w:val="single" w:sz="4" w:space="0" w:color="000000"/>
              <w:bottom w:val="single" w:sz="4" w:space="0" w:color="000000"/>
              <w:right w:val="single" w:sz="4" w:space="0" w:color="000000"/>
            </w:tcBorders>
          </w:tcPr>
          <w:p>
            <w:pP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077" w:type="dxa"/>
            <w:tcBorders>
              <w:top w:val="single" w:sz="4" w:space="0" w:color="000000"/>
              <w:left w:val="single" w:sz="4" w:space="0" w:color="000000"/>
              <w:bottom w:val="single" w:sz="4" w:space="0" w:color="000000"/>
              <w:right w:val="single" w:sz="4" w:space="0" w:color="000000"/>
            </w:tcBorders>
          </w:tcPr>
          <w:p>
            <w:pPr/>
          </w:p>
        </w:tc>
        <w:tc>
          <w:tcPr>
            <w:tcW w:w="1079"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4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81"/>
              <w:jc w:val="both"/>
              <w:rPr>
                <w:rFonts w:ascii="宋体" w:hAnsi="宋体" w:cs="宋体" w:eastAsia="宋体" w:hint="default"/>
                <w:sz w:val="18"/>
                <w:szCs w:val="18"/>
              </w:rPr>
            </w:pPr>
            <w:r>
              <w:rPr>
                <w:rFonts w:ascii="宋体" w:hAnsi="宋体" w:cs="宋体" w:eastAsia="宋体" w:hint="default"/>
                <w:sz w:val="18"/>
                <w:szCs w:val="18"/>
              </w:rPr>
              <w:t>谢 从 雄</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62"/>
              <w:jc w:val="both"/>
              <w:rPr>
                <w:rFonts w:ascii="宋体" w:hAnsi="宋体" w:cs="宋体" w:eastAsia="宋体" w:hint="default"/>
                <w:sz w:val="18"/>
                <w:szCs w:val="18"/>
              </w:rPr>
            </w:pPr>
            <w:r>
              <w:rPr>
                <w:rFonts w:ascii="宋体" w:hAnsi="宋体" w:cs="宋体" w:eastAsia="宋体" w:hint="default"/>
                <w:sz w:val="18"/>
                <w:szCs w:val="18"/>
              </w:rPr>
              <w:t>财务 负责 人</w:t>
            </w:r>
          </w:p>
        </w:tc>
        <w:tc>
          <w:tcPr>
            <w:tcW w:w="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1" w:right="222"/>
              <w:jc w:val="left"/>
              <w:rPr>
                <w:rFonts w:ascii="宋体" w:hAnsi="宋体" w:cs="宋体" w:eastAsia="宋体" w:hint="default"/>
                <w:sz w:val="18"/>
                <w:szCs w:val="18"/>
              </w:rPr>
            </w:pPr>
            <w:r>
              <w:rPr>
                <w:rFonts w:ascii="宋体" w:hAnsi="宋体" w:cs="宋体" w:eastAsia="宋体" w:hint="default"/>
                <w:sz w:val="18"/>
                <w:szCs w:val="18"/>
              </w:rPr>
              <w:t>现 任</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43"/>
              <w:jc w:val="right"/>
              <w:rPr>
                <w:rFonts w:ascii="宋体" w:hAnsi="宋体" w:cs="宋体" w:eastAsia="宋体" w:hint="default"/>
                <w:sz w:val="18"/>
                <w:szCs w:val="18"/>
              </w:rPr>
            </w:pPr>
            <w:r>
              <w:rPr>
                <w:rFonts w:ascii="宋体" w:hAnsi="宋体" w:cs="宋体" w:eastAsia="宋体" w:hint="default"/>
                <w:sz w:val="18"/>
                <w:szCs w:val="18"/>
              </w:rPr>
              <w:t>男</w:t>
            </w:r>
          </w:p>
        </w:tc>
        <w:tc>
          <w:tcPr>
            <w:tcW w:w="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42" w:right="0"/>
              <w:jc w:val="left"/>
              <w:rPr>
                <w:rFonts w:ascii="Times New Roman" w:hAnsi="Times New Roman" w:cs="Times New Roman" w:eastAsia="Times New Roman" w:hint="default"/>
                <w:sz w:val="18"/>
                <w:szCs w:val="18"/>
              </w:rPr>
            </w:pPr>
            <w:r>
              <w:rPr>
                <w:rFonts w:ascii="Times New Roman"/>
                <w:sz w:val="18"/>
              </w:rPr>
              <w:t>55</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02</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81"/>
              <w:jc w:val="left"/>
              <w:rPr>
                <w:rFonts w:ascii="宋体" w:hAnsi="宋体" w:cs="宋体" w:eastAsia="宋体" w:hint="default"/>
                <w:sz w:val="18"/>
                <w:szCs w:val="18"/>
              </w:rPr>
            </w:pPr>
            <w:r>
              <w:rPr>
                <w:rFonts w:ascii="宋体" w:hAnsi="宋体" w:cs="宋体" w:eastAsia="宋体" w:hint="default"/>
                <w:sz w:val="18"/>
                <w:szCs w:val="18"/>
              </w:rPr>
              <w:t>合 计</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5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2"/>
              <w:jc w:val="right"/>
              <w:rPr>
                <w:rFonts w:ascii="Times New Roman" w:hAnsi="Times New Roman" w:cs="Times New Roman" w:eastAsia="Times New Roman" w:hint="default"/>
                <w:sz w:val="18"/>
                <w:szCs w:val="18"/>
              </w:rPr>
            </w:pPr>
            <w:r>
              <w:rPr>
                <w:rFonts w:ascii="Times New Roman"/>
                <w:sz w:val="18"/>
              </w:rPr>
              <w:t>--</w:t>
            </w:r>
          </w:p>
        </w:tc>
        <w:tc>
          <w:tcPr>
            <w:tcW w:w="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5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w:t>
            </w:r>
          </w:p>
        </w:tc>
        <w:tc>
          <w:tcPr>
            <w:tcW w:w="8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117,621,050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0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-618,750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117,002,300</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right="0"/>
        <w:jc w:val="left"/>
        <w:rPr>
          <w:b w:val="0"/>
          <w:bCs w:val="0"/>
        </w:rPr>
      </w:pPr>
      <w:bookmarkStart w:name="二、公司董事、监事、高级管理人员变动情况" w:id="126"/>
      <w:bookmarkEnd w:id="126"/>
      <w:r>
        <w:rPr>
          <w:b w:val="0"/>
          <w:bCs w:val="0"/>
        </w:rPr>
      </w:r>
      <w:r>
        <w:rPr/>
        <w:t>二、公司董事、监事、高级管理人员变动情况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30"/>
        <w:gridCol w:w="1331"/>
        <w:gridCol w:w="1330"/>
        <w:gridCol w:w="1330"/>
        <w:gridCol w:w="4248"/>
      </w:tblGrid>
      <w:tr>
        <w:trPr>
          <w:trHeight w:val="401"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0"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1650"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叶广照</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3"/>
              <w:jc w:val="left"/>
              <w:rPr>
                <w:rFonts w:ascii="宋体" w:hAnsi="宋体" w:cs="宋体" w:eastAsia="宋体" w:hint="default"/>
                <w:sz w:val="18"/>
                <w:szCs w:val="18"/>
              </w:rPr>
            </w:pPr>
            <w:r>
              <w:rPr>
                <w:rFonts w:ascii="宋体" w:hAnsi="宋体" w:cs="宋体" w:eastAsia="宋体" w:hint="default"/>
                <w:sz w:val="18"/>
                <w:szCs w:val="18"/>
              </w:rPr>
              <w:t>因个人原因，叶广照先生申请辞去公司第四届监事 会监事一职。具体内容详见</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日刊登在</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《中国证券报》和巨潮资讯网</w:t>
            </w:r>
          </w:p>
          <w:p>
            <w:pPr>
              <w:pStyle w:val="TableParagraph"/>
              <w:spacing w:line="302" w:lineRule="auto" w:before="76"/>
              <w:ind w:left="103" w:right="17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htpp://</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）上的第</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2018-025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号公 告。</w:t>
            </w:r>
          </w:p>
        </w:tc>
      </w:tr>
      <w:tr>
        <w:trPr>
          <w:trHeight w:val="2586"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卢和忠</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103" w:right="102"/>
              <w:jc w:val="left"/>
              <w:rPr>
                <w:rFonts w:ascii="Times New Roman" w:hAnsi="Times New Roman" w:cs="Times New Roman" w:eastAsia="Times New Roman" w:hint="default"/>
                <w:sz w:val="18"/>
                <w:szCs w:val="18"/>
              </w:rPr>
            </w:pPr>
            <w:r>
              <w:rPr>
                <w:rFonts w:ascii="宋体" w:hAnsi="宋体" w:cs="宋体" w:eastAsia="宋体" w:hint="default"/>
                <w:sz w:val="18"/>
                <w:szCs w:val="18"/>
              </w:rPr>
              <w:t>因原监事辞职，经召开第四届监事会第十三次会议 以及</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年第二次临时股东大会审议通过，同意选 举卢和忠先生为公司第四届监事会股东代表监事， 其任期自选举通过之日起至第四届监事会任期结束 之日止。具体内容分别详见</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2018</w:t>
            </w:r>
          </w:p>
          <w:p>
            <w:pPr>
              <w:pStyle w:val="TableParagraph"/>
              <w:spacing w:line="300" w:lineRule="auto" w:before="1"/>
              <w:ind w:left="103" w:right="101"/>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pacing w:val="-11"/>
                <w:sz w:val="18"/>
                <w:szCs w:val="18"/>
              </w:rPr>
              <w:t>日刊登在《证券时报》、《中国证券报》和</w:t>
            </w:r>
            <w:r>
              <w:rPr>
                <w:rFonts w:ascii="宋体" w:hAnsi="宋体" w:cs="宋体" w:eastAsia="宋体" w:hint="default"/>
                <w:sz w:val="18"/>
                <w:szCs w:val="18"/>
              </w:rPr>
              <w:t> 巨潮资讯网（</w:t>
            </w:r>
            <w:r>
              <w:rPr>
                <w:rFonts w:ascii="Times New Roman" w:hAnsi="Times New Roman" w:cs="Times New Roman" w:eastAsia="Times New Roman" w:hint="default"/>
                <w:sz w:val="18"/>
                <w:szCs w:val="18"/>
              </w:rPr>
              <w:t>htpp://</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）上的第 </w:t>
            </w:r>
            <w:r>
              <w:rPr>
                <w:rFonts w:ascii="Times New Roman" w:hAnsi="Times New Roman" w:cs="Times New Roman" w:eastAsia="Times New Roman" w:hint="default"/>
                <w:sz w:val="18"/>
                <w:szCs w:val="18"/>
              </w:rPr>
              <w:t>2018-025 </w:t>
            </w:r>
            <w:r>
              <w:rPr>
                <w:rFonts w:ascii="宋体" w:hAnsi="宋体" w:cs="宋体" w:eastAsia="宋体" w:hint="default"/>
                <w:sz w:val="18"/>
                <w:szCs w:val="18"/>
              </w:rPr>
              <w:t>号、</w:t>
            </w:r>
            <w:r>
              <w:rPr>
                <w:rFonts w:ascii="Times New Roman" w:hAnsi="Times New Roman" w:cs="Times New Roman" w:eastAsia="Times New Roman" w:hint="default"/>
                <w:sz w:val="18"/>
                <w:szCs w:val="18"/>
              </w:rPr>
              <w:t>2018-029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号公告。</w:t>
            </w:r>
          </w:p>
        </w:tc>
      </w:tr>
      <w:tr>
        <w:trPr>
          <w:trHeight w:val="1650"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卢和忠</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103" w:right="173"/>
              <w:jc w:val="both"/>
              <w:rPr>
                <w:rFonts w:ascii="宋体" w:hAnsi="宋体" w:cs="宋体" w:eastAsia="宋体" w:hint="default"/>
                <w:sz w:val="18"/>
                <w:szCs w:val="18"/>
              </w:rPr>
            </w:pPr>
            <w:r>
              <w:rPr>
                <w:rFonts w:ascii="宋体" w:hAnsi="宋体" w:cs="宋体" w:eastAsia="宋体" w:hint="default"/>
                <w:sz w:val="18"/>
                <w:szCs w:val="18"/>
              </w:rPr>
              <w:t>因个人原因，卢和忠先生申请辞去公司第四届监事 会监事一职。具体内容详见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日刊登 </w:t>
            </w:r>
            <w:r>
              <w:rPr>
                <w:rFonts w:ascii="宋体" w:hAnsi="宋体" w:cs="宋体" w:eastAsia="宋体" w:hint="default"/>
                <w:spacing w:val="-9"/>
                <w:sz w:val="18"/>
                <w:szCs w:val="18"/>
              </w:rPr>
              <w:t>在《证券时报》、《中国证券报》和巨潮资讯网</w:t>
            </w:r>
          </w:p>
          <w:p>
            <w:pPr>
              <w:pStyle w:val="TableParagraph"/>
              <w:spacing w:line="302" w:lineRule="auto" w:before="24"/>
              <w:ind w:left="103" w:right="173"/>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htpp://</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）上的第</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2018-047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号公 告。</w:t>
            </w:r>
          </w:p>
        </w:tc>
      </w:tr>
      <w:tr>
        <w:trPr>
          <w:trHeight w:val="2586"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施隆红</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103" w:right="102"/>
              <w:jc w:val="left"/>
              <w:rPr>
                <w:rFonts w:ascii="宋体" w:hAnsi="宋体" w:cs="宋体" w:eastAsia="宋体" w:hint="default"/>
                <w:sz w:val="18"/>
                <w:szCs w:val="18"/>
              </w:rPr>
            </w:pPr>
            <w:r>
              <w:rPr>
                <w:rFonts w:ascii="宋体" w:hAnsi="宋体" w:cs="宋体" w:eastAsia="宋体" w:hint="default"/>
                <w:sz w:val="18"/>
                <w:szCs w:val="18"/>
              </w:rPr>
              <w:t>因原监事辞职，经召开第四届监事会第十五次会议 以及</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年年度股东大会审议通过，同意选举施隆 红先生为公司第四届监事会股东代表监事，其任期 自选举通过之日起至第四届监事会任期结束之日 止。具体内容分别详见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300" w:lineRule="auto" w:before="1"/>
              <w:ind w:left="103" w:right="129"/>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pacing w:val="-9"/>
                <w:sz w:val="18"/>
                <w:szCs w:val="18"/>
              </w:rPr>
              <w:t>日刊登在《证券时报》、《中国证券报》和巨</w:t>
            </w:r>
            <w:r>
              <w:rPr>
                <w:rFonts w:ascii="宋体" w:hAnsi="宋体" w:cs="宋体" w:eastAsia="宋体" w:hint="default"/>
                <w:sz w:val="18"/>
                <w:szCs w:val="18"/>
              </w:rPr>
              <w:t> 潮资讯网（</w:t>
            </w:r>
            <w:r>
              <w:rPr>
                <w:rFonts w:ascii="Times New Roman" w:hAnsi="Times New Roman" w:cs="Times New Roman" w:eastAsia="Times New Roman" w:hint="default"/>
                <w:sz w:val="18"/>
                <w:szCs w:val="18"/>
              </w:rPr>
              <w:t>htpp://</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）上的第</w:t>
            </w:r>
          </w:p>
          <w:p>
            <w:pPr>
              <w:pStyle w:val="TableParagraph"/>
              <w:spacing w:line="240" w:lineRule="auto" w:before="1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2018-047 </w:t>
            </w:r>
            <w:r>
              <w:rPr>
                <w:rFonts w:ascii="宋体" w:hAnsi="宋体" w:cs="宋体" w:eastAsia="宋体" w:hint="default"/>
                <w:sz w:val="18"/>
                <w:szCs w:val="18"/>
              </w:rPr>
              <w:t>号、</w:t>
            </w:r>
            <w:r>
              <w:rPr>
                <w:rFonts w:ascii="Times New Roman" w:hAnsi="Times New Roman" w:cs="Times New Roman" w:eastAsia="Times New Roman" w:hint="default"/>
                <w:sz w:val="18"/>
                <w:szCs w:val="18"/>
              </w:rPr>
              <w:t>2018-052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号公告。</w:t>
            </w:r>
          </w:p>
        </w:tc>
      </w:tr>
      <w:tr>
        <w:trPr>
          <w:trHeight w:val="1299"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夏传武</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3" w:right="173"/>
              <w:jc w:val="both"/>
              <w:rPr>
                <w:rFonts w:ascii="宋体" w:hAnsi="宋体" w:cs="宋体" w:eastAsia="宋体" w:hint="default"/>
                <w:sz w:val="18"/>
                <w:szCs w:val="18"/>
              </w:rPr>
            </w:pPr>
            <w:r>
              <w:rPr>
                <w:rFonts w:ascii="宋体" w:hAnsi="宋体" w:cs="宋体" w:eastAsia="宋体" w:hint="default"/>
                <w:sz w:val="18"/>
                <w:szCs w:val="18"/>
              </w:rPr>
              <w:t>为进一步完善公司治理结构，夏传武先生申请辞去 公司总经理一职，其辞去总经理职务后将继续担任 公司董事长及董事会相关专门委员会职务。具体内 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pacing w:val="-14"/>
                <w:sz w:val="18"/>
                <w:szCs w:val="18"/>
              </w:rPr>
              <w:t>日刊登在《证券时报》、《中</w:t>
            </w:r>
          </w:p>
        </w:tc>
      </w:tr>
    </w:tbl>
    <w:p>
      <w:pPr>
        <w:spacing w:after="0" w:line="316" w:lineRule="auto"/>
        <w:jc w:val="both"/>
        <w:rPr>
          <w:rFonts w:ascii="宋体" w:hAnsi="宋体" w:cs="宋体" w:eastAsia="宋体"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330"/>
        <w:gridCol w:w="1331"/>
        <w:gridCol w:w="1330"/>
        <w:gridCol w:w="1330"/>
        <w:gridCol w:w="4248"/>
      </w:tblGrid>
      <w:tr>
        <w:trPr>
          <w:trHeight w:val="674" w:hRule="exact"/>
        </w:trPr>
        <w:tc>
          <w:tcPr>
            <w:tcW w:w="1330" w:type="dxa"/>
            <w:tcBorders>
              <w:top w:val="single" w:sz="4" w:space="0" w:color="000000"/>
              <w:left w:val="single" w:sz="4" w:space="0" w:color="000000"/>
              <w:bottom w:val="single" w:sz="4" w:space="0" w:color="000000"/>
              <w:right w:val="single" w:sz="4" w:space="0" w:color="000000"/>
            </w:tcBorders>
          </w:tcPr>
          <w:p>
            <w:pPr/>
          </w:p>
        </w:tc>
        <w:tc>
          <w:tcPr>
            <w:tcW w:w="1331"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10"/>
              <w:ind w:left="103" w:right="12"/>
              <w:jc w:val="left"/>
              <w:rPr>
                <w:rFonts w:ascii="宋体" w:hAnsi="宋体" w:cs="宋体" w:eastAsia="宋体" w:hint="default"/>
                <w:sz w:val="18"/>
                <w:szCs w:val="18"/>
              </w:rPr>
            </w:pPr>
            <w:r>
              <w:rPr>
                <w:rFonts w:ascii="宋体" w:hAnsi="宋体" w:cs="宋体" w:eastAsia="宋体" w:hint="default"/>
                <w:spacing w:val="-5"/>
                <w:sz w:val="18"/>
                <w:szCs w:val="18"/>
              </w:rPr>
              <w:t>国证券报》和巨潮资讯网（</w:t>
            </w:r>
            <w:hyperlink r:id="rId12">
              <w:r>
                <w:rPr>
                  <w:rFonts w:ascii="Times New Roman" w:hAnsi="Times New Roman" w:cs="Times New Roman" w:eastAsia="Times New Roman" w:hint="default"/>
                  <w:spacing w:val="-5"/>
                  <w:sz w:val="18"/>
                  <w:szCs w:val="18"/>
                </w:rPr>
                <w:t>htpp://www</w:t>
              </w:r>
            </w:hyperlink>
            <w:r>
              <w:rPr>
                <w:rFonts w:ascii="Times New Roman" w:hAnsi="Times New Roman" w:cs="Times New Roman" w:eastAsia="Times New Roman" w:hint="default"/>
                <w:spacing w:val="-5"/>
                <w:sz w:val="18"/>
                <w:szCs w:val="18"/>
              </w:rPr>
              <w:t>.cni</w:t>
            </w:r>
            <w:hyperlink r:id="rId12">
              <w:r>
                <w:rPr>
                  <w:rFonts w:ascii="Times New Roman" w:hAnsi="Times New Roman" w:cs="Times New Roman" w:eastAsia="Times New Roman" w:hint="default"/>
                  <w:spacing w:val="-5"/>
                  <w:sz w:val="18"/>
                  <w:szCs w:val="18"/>
                </w:rPr>
                <w:t>nfo.</w:t>
              </w:r>
            </w:hyperlink>
            <w:r>
              <w:rPr>
                <w:rFonts w:ascii="Times New Roman" w:hAnsi="Times New Roman" w:cs="Times New Roman" w:eastAsia="Times New Roman" w:hint="default"/>
                <w:spacing w:val="-5"/>
                <w:sz w:val="18"/>
                <w:szCs w:val="18"/>
              </w:rPr>
              <w:t>com</w:t>
            </w:r>
            <w:hyperlink r:id="rId12">
              <w:r>
                <w:rPr>
                  <w:rFonts w:ascii="Times New Roman" w:hAnsi="Times New Roman" w:cs="Times New Roman" w:eastAsia="Times New Roman" w:hint="default"/>
                  <w:spacing w:val="-5"/>
                  <w:sz w:val="18"/>
                  <w:szCs w:val="18"/>
                </w:rPr>
                <w:t>.cn</w:t>
              </w:r>
            </w:hyperlink>
            <w:r>
              <w:rPr>
                <w:rFonts w:ascii="宋体" w:hAnsi="宋体" w:cs="宋体" w:eastAsia="宋体" w:hint="default"/>
                <w:spacing w:val="-5"/>
                <w:sz w:val="18"/>
                <w:szCs w:val="18"/>
              </w:rPr>
              <w:t>）</w:t>
            </w:r>
            <w:r>
              <w:rPr>
                <w:rFonts w:ascii="宋体" w:hAnsi="宋体" w:cs="宋体" w:eastAsia="宋体" w:hint="default"/>
                <w:spacing w:val="-63"/>
                <w:sz w:val="18"/>
                <w:szCs w:val="18"/>
              </w:rPr>
              <w:t> </w:t>
            </w:r>
            <w:r>
              <w:rPr>
                <w:rFonts w:ascii="宋体" w:hAnsi="宋体" w:cs="宋体" w:eastAsia="宋体" w:hint="default"/>
                <w:sz w:val="18"/>
                <w:szCs w:val="18"/>
              </w:rPr>
              <w:t>上的第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2018-058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号公告。</w:t>
            </w:r>
          </w:p>
        </w:tc>
      </w:tr>
      <w:tr>
        <w:trPr>
          <w:trHeight w:val="227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杨依明</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z w:val="18"/>
                <w:szCs w:val="18"/>
              </w:rPr>
              <w:t>因原总经理夏传武先生辞去公司总经理一职，经召 开四届董事会第二十二次会议审议通过，同意聘任 杨依明先生为公司总经理，任期自选举之日起至第 四届董事会任期结束之日止。具体内容详见</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p>
          <w:p>
            <w:pPr>
              <w:pStyle w:val="TableParagraph"/>
              <w:spacing w:line="300" w:lineRule="auto"/>
              <w:ind w:left="103" w:right="129"/>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pacing w:val="-9"/>
                <w:sz w:val="18"/>
                <w:szCs w:val="18"/>
              </w:rPr>
              <w:t>日刊登在《中国证券报》、《证券时报》和巨</w:t>
            </w:r>
            <w:r>
              <w:rPr>
                <w:rFonts w:ascii="宋体" w:hAnsi="宋体" w:cs="宋体" w:eastAsia="宋体" w:hint="default"/>
                <w:sz w:val="18"/>
                <w:szCs w:val="18"/>
              </w:rPr>
              <w:t> 潮资讯网（</w:t>
            </w:r>
            <w:hyperlink r:id="rId12">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）上的第</w:t>
            </w:r>
          </w:p>
          <w:p>
            <w:pPr>
              <w:pStyle w:val="TableParagraph"/>
              <w:spacing w:line="240" w:lineRule="auto" w:before="14"/>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2018-058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号公告。</w:t>
            </w:r>
          </w:p>
        </w:tc>
      </w:tr>
      <w:tr>
        <w:trPr>
          <w:trHeight w:val="1650"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夏传武</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73"/>
              <w:jc w:val="both"/>
              <w:rPr>
                <w:rFonts w:ascii="宋体" w:hAnsi="宋体" w:cs="宋体" w:eastAsia="宋体" w:hint="default"/>
                <w:sz w:val="18"/>
                <w:szCs w:val="18"/>
              </w:rPr>
            </w:pPr>
            <w:r>
              <w:rPr>
                <w:rFonts w:ascii="宋体" w:hAnsi="宋体" w:cs="宋体" w:eastAsia="宋体" w:hint="default"/>
                <w:sz w:val="18"/>
                <w:szCs w:val="18"/>
              </w:rPr>
              <w:t>因个人原因，夏传武先生申请辞去公司第四届董事 会董事长一职。具体内容详见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日刊 </w:t>
            </w:r>
            <w:r>
              <w:rPr>
                <w:rFonts w:ascii="宋体" w:hAnsi="宋体" w:cs="宋体" w:eastAsia="宋体" w:hint="default"/>
                <w:spacing w:val="-9"/>
                <w:sz w:val="18"/>
                <w:szCs w:val="18"/>
              </w:rPr>
              <w:t>登在《证券时报》、《中国证券报》和巨潮资讯网</w:t>
            </w:r>
          </w:p>
          <w:p>
            <w:pPr>
              <w:pStyle w:val="TableParagraph"/>
              <w:spacing w:line="302" w:lineRule="auto" w:before="24"/>
              <w:ind w:left="103" w:right="173"/>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htpp://</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）上的第</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2018-095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号公 告。</w:t>
            </w:r>
          </w:p>
        </w:tc>
      </w:tr>
      <w:tr>
        <w:trPr>
          <w:trHeight w:val="1650"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曾兆豪</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财务负责人</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49"/>
              <w:jc w:val="left"/>
              <w:rPr>
                <w:rFonts w:ascii="宋体" w:hAnsi="宋体" w:cs="宋体" w:eastAsia="宋体" w:hint="default"/>
                <w:sz w:val="18"/>
                <w:szCs w:val="18"/>
              </w:rPr>
            </w:pPr>
            <w:r>
              <w:rPr>
                <w:rFonts w:ascii="宋体" w:hAnsi="宋体" w:cs="宋体" w:eastAsia="宋体" w:hint="default"/>
                <w:sz w:val="18"/>
                <w:szCs w:val="18"/>
              </w:rPr>
              <w:t>曾兆豪先生因担任董事职务且拟转任其他核心管理 职务，故不再担任公司财务负责人一职。具体内容 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pacing w:val="-13"/>
                <w:sz w:val="18"/>
                <w:szCs w:val="18"/>
              </w:rPr>
              <w:t>日刊登在《证券时报》、《中国</w:t>
            </w:r>
            <w:r>
              <w:rPr>
                <w:rFonts w:ascii="宋体" w:hAnsi="宋体" w:cs="宋体" w:eastAsia="宋体" w:hint="default"/>
                <w:sz w:val="18"/>
                <w:szCs w:val="18"/>
              </w:rPr>
              <w:t> </w:t>
            </w:r>
            <w:r>
              <w:rPr>
                <w:rFonts w:ascii="宋体" w:hAnsi="宋体" w:cs="宋体" w:eastAsia="宋体" w:hint="default"/>
                <w:spacing w:val="-1"/>
                <w:sz w:val="18"/>
                <w:szCs w:val="18"/>
              </w:rPr>
              <w:t>证券报》和巨潮资讯网（</w:t>
            </w:r>
            <w:r>
              <w:rPr>
                <w:rFonts w:ascii="Times New Roman" w:hAnsi="Times New Roman" w:cs="Times New Roman" w:eastAsia="Times New Roman" w:hint="default"/>
                <w:spacing w:val="-1"/>
                <w:sz w:val="18"/>
                <w:szCs w:val="18"/>
              </w:rPr>
              <w:t>htpp://</w:t>
            </w:r>
            <w:hyperlink r:id="rId12">
              <w:r>
                <w:rPr>
                  <w:rFonts w:ascii="Times New Roman" w:hAnsi="Times New Roman" w:cs="Times New Roman" w:eastAsia="Times New Roman" w:hint="default"/>
                  <w:spacing w:val="-1"/>
                  <w:sz w:val="18"/>
                  <w:szCs w:val="18"/>
                </w:rPr>
                <w:t>www.cninfo.com.cn</w:t>
              </w:r>
            </w:hyperlink>
            <w:r>
              <w:rPr>
                <w:rFonts w:ascii="宋体" w:hAnsi="宋体" w:cs="宋体" w:eastAsia="宋体" w:hint="default"/>
                <w:spacing w:val="-1"/>
                <w:sz w:val="18"/>
                <w:szCs w:val="18"/>
              </w:rPr>
              <w:t>）</w:t>
            </w:r>
            <w:r>
              <w:rPr>
                <w:rFonts w:ascii="宋体" w:hAnsi="宋体" w:cs="宋体" w:eastAsia="宋体" w:hint="default"/>
                <w:spacing w:val="-72"/>
                <w:sz w:val="18"/>
                <w:szCs w:val="18"/>
              </w:rPr>
              <w:t> </w:t>
            </w:r>
            <w:r>
              <w:rPr>
                <w:rFonts w:ascii="宋体" w:hAnsi="宋体" w:cs="宋体" w:eastAsia="宋体" w:hint="default"/>
                <w:sz w:val="18"/>
                <w:szCs w:val="18"/>
              </w:rPr>
              <w:t>上的第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2018-095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号公告。</w:t>
            </w:r>
          </w:p>
        </w:tc>
      </w:tr>
      <w:tr>
        <w:trPr>
          <w:trHeight w:val="227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昌智</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6" w:lineRule="auto"/>
              <w:ind w:left="103" w:right="137"/>
              <w:jc w:val="left"/>
              <w:rPr>
                <w:rFonts w:ascii="宋体" w:hAnsi="宋体" w:cs="宋体" w:eastAsia="宋体" w:hint="default"/>
                <w:sz w:val="18"/>
                <w:szCs w:val="18"/>
              </w:rPr>
            </w:pPr>
            <w:r>
              <w:rPr>
                <w:rFonts w:ascii="宋体" w:hAnsi="宋体" w:cs="宋体" w:eastAsia="宋体" w:hint="default"/>
                <w:sz w:val="18"/>
                <w:szCs w:val="18"/>
              </w:rPr>
              <w:t>董事长兼财务 负责人</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31"/>
              <w:jc w:val="both"/>
              <w:rPr>
                <w:rFonts w:ascii="Times New Roman" w:hAnsi="Times New Roman" w:cs="Times New Roman" w:eastAsia="Times New Roman" w:hint="default"/>
                <w:sz w:val="18"/>
                <w:szCs w:val="18"/>
              </w:rPr>
            </w:pPr>
            <w:r>
              <w:rPr>
                <w:rFonts w:ascii="宋体" w:hAnsi="宋体" w:cs="宋体" w:eastAsia="宋体" w:hint="default"/>
                <w:sz w:val="18"/>
                <w:szCs w:val="18"/>
              </w:rPr>
              <w:t>因原董事长及财务负责人辞职，经召开四届董事会 第二十七次会议审议通过，同意聘任昌智先生为公 司董事长兼财务负责人，任期自选举之日起至第四 届董事会任期结束之日止。具体内容详见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p>
          <w:p>
            <w:pPr>
              <w:pStyle w:val="TableParagraph"/>
              <w:spacing w:line="248" w:lineRule="exact"/>
              <w:ind w:left="103" w:right="0"/>
              <w:jc w:val="both"/>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日刊登</w:t>
            </w:r>
            <w:r>
              <w:rPr>
                <w:rFonts w:ascii="宋体" w:hAnsi="宋体" w:cs="宋体" w:eastAsia="宋体" w:hint="default"/>
                <w:spacing w:val="-5"/>
                <w:sz w:val="18"/>
                <w:szCs w:val="18"/>
              </w:rPr>
              <w:t>在</w:t>
            </w: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pacing w:val="-96"/>
                <w:sz w:val="18"/>
                <w:szCs w:val="18"/>
              </w:rPr>
              <w:t>、</w:t>
            </w:r>
            <w:r>
              <w:rPr>
                <w:rFonts w:ascii="宋体" w:hAnsi="宋体" w:cs="宋体" w:eastAsia="宋体" w:hint="default"/>
                <w:sz w:val="18"/>
                <w:szCs w:val="18"/>
              </w:rPr>
              <w:t>《证券时报</w:t>
            </w:r>
            <w:r>
              <w:rPr>
                <w:rFonts w:ascii="宋体" w:hAnsi="宋体" w:cs="宋体" w:eastAsia="宋体" w:hint="default"/>
                <w:spacing w:val="-8"/>
                <w:sz w:val="18"/>
                <w:szCs w:val="18"/>
              </w:rPr>
              <w:t>》</w:t>
            </w:r>
            <w:r>
              <w:rPr>
                <w:rFonts w:ascii="宋体" w:hAnsi="宋体" w:cs="宋体" w:eastAsia="宋体" w:hint="default"/>
                <w:sz w:val="18"/>
                <w:szCs w:val="18"/>
              </w:rPr>
              <w:t>和巨潮</w:t>
            </w:r>
          </w:p>
          <w:p>
            <w:pPr>
              <w:pStyle w:val="TableParagraph"/>
              <w:spacing w:line="240" w:lineRule="auto" w:before="63"/>
              <w:ind w:left="103" w:right="0"/>
              <w:jc w:val="both"/>
              <w:rPr>
                <w:rFonts w:ascii="Times New Roman" w:hAnsi="Times New Roman" w:cs="Times New Roman" w:eastAsia="Times New Roman" w:hint="default"/>
                <w:sz w:val="18"/>
                <w:szCs w:val="18"/>
              </w:rPr>
            </w:pPr>
            <w:r>
              <w:rPr>
                <w:rFonts w:ascii="宋体" w:hAnsi="宋体" w:cs="宋体" w:eastAsia="宋体" w:hint="default"/>
                <w:spacing w:val="-2"/>
                <w:sz w:val="18"/>
                <w:szCs w:val="18"/>
              </w:rPr>
              <w:t>资讯网（</w:t>
            </w:r>
            <w:hyperlink r:id="rId12">
              <w:r>
                <w:rPr>
                  <w:rFonts w:ascii="Times New Roman" w:hAnsi="Times New Roman" w:cs="Times New Roman" w:eastAsia="Times New Roman" w:hint="default"/>
                  <w:spacing w:val="-2"/>
                  <w:sz w:val="18"/>
                  <w:szCs w:val="18"/>
                </w:rPr>
                <w:t>http://www.cninfo.com.cn</w:t>
              </w:r>
            </w:hyperlink>
            <w:r>
              <w:rPr>
                <w:rFonts w:ascii="宋体" w:hAnsi="宋体" w:cs="宋体" w:eastAsia="宋体" w:hint="default"/>
                <w:spacing w:val="-2"/>
                <w:sz w:val="18"/>
                <w:szCs w:val="18"/>
              </w:rPr>
              <w:t>）上的第</w:t>
            </w:r>
            <w:r>
              <w:rPr>
                <w:rFonts w:ascii="宋体" w:hAnsi="宋体" w:cs="宋体" w:eastAsia="宋体" w:hint="default"/>
                <w:spacing w:val="-26"/>
                <w:sz w:val="18"/>
                <w:szCs w:val="18"/>
              </w:rPr>
              <w:t> </w:t>
            </w:r>
            <w:r>
              <w:rPr>
                <w:rFonts w:ascii="Times New Roman" w:hAnsi="Times New Roman" w:cs="Times New Roman" w:eastAsia="Times New Roman" w:hint="default"/>
                <w:sz w:val="18"/>
                <w:szCs w:val="18"/>
              </w:rPr>
              <w:t>2018-095</w:t>
            </w:r>
          </w:p>
          <w:p>
            <w:pPr>
              <w:pStyle w:val="TableParagraph"/>
              <w:spacing w:line="240" w:lineRule="auto" w:before="64"/>
              <w:ind w:left="103" w:right="0"/>
              <w:jc w:val="both"/>
              <w:rPr>
                <w:rFonts w:ascii="宋体" w:hAnsi="宋体" w:cs="宋体" w:eastAsia="宋体" w:hint="default"/>
                <w:sz w:val="18"/>
                <w:szCs w:val="18"/>
              </w:rPr>
            </w:pPr>
            <w:r>
              <w:rPr>
                <w:rFonts w:ascii="宋体" w:hAnsi="宋体" w:cs="宋体" w:eastAsia="宋体" w:hint="default"/>
                <w:sz w:val="18"/>
                <w:szCs w:val="18"/>
              </w:rPr>
              <w:t>号公告。</w:t>
            </w:r>
          </w:p>
        </w:tc>
      </w:tr>
      <w:tr>
        <w:trPr>
          <w:trHeight w:val="196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杨依明</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90"/>
              <w:jc w:val="left"/>
              <w:rPr>
                <w:rFonts w:ascii="宋体" w:hAnsi="宋体" w:cs="宋体" w:eastAsia="宋体" w:hint="default"/>
                <w:sz w:val="18"/>
                <w:szCs w:val="18"/>
              </w:rPr>
            </w:pPr>
            <w:r>
              <w:rPr>
                <w:rFonts w:ascii="宋体" w:hAnsi="宋体" w:cs="宋体" w:eastAsia="宋体" w:hint="default"/>
                <w:sz w:val="18"/>
                <w:szCs w:val="18"/>
              </w:rPr>
              <w:t>为了更好地贯彻执行公司的发展战略，以及维护公 司股东特别是中小股东的权益，经审慎研究，公司 董事会决定免去杨依明先生的总经理职务。具体内 容详见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 </w:t>
            </w:r>
            <w:r>
              <w:rPr>
                <w:rFonts w:ascii="宋体" w:hAnsi="宋体" w:cs="宋体" w:eastAsia="宋体" w:hint="default"/>
                <w:spacing w:val="-21"/>
                <w:sz w:val="18"/>
                <w:szCs w:val="18"/>
              </w:rPr>
              <w:t>日刊登在《中国证券报》、《证</w:t>
            </w:r>
            <w:r>
              <w:rPr>
                <w:rFonts w:ascii="宋体" w:hAnsi="宋体" w:cs="宋体" w:eastAsia="宋体" w:hint="default"/>
                <w:sz w:val="18"/>
                <w:szCs w:val="18"/>
              </w:rPr>
              <w:t> </w:t>
            </w:r>
            <w:r>
              <w:rPr>
                <w:rFonts w:ascii="宋体" w:hAnsi="宋体" w:cs="宋体" w:eastAsia="宋体" w:hint="default"/>
                <w:spacing w:val="-1"/>
                <w:sz w:val="18"/>
                <w:szCs w:val="18"/>
              </w:rPr>
              <w:t>券时报》和巨潮资讯网（</w:t>
            </w:r>
            <w:hyperlink r:id="rId12">
              <w:r>
                <w:rPr>
                  <w:rFonts w:ascii="Times New Roman" w:hAnsi="Times New Roman" w:cs="Times New Roman" w:eastAsia="Times New Roman" w:hint="default"/>
                  <w:spacing w:val="-1"/>
                  <w:sz w:val="18"/>
                  <w:szCs w:val="18"/>
                </w:rPr>
                <w:t>http://www.cninfo.com.cn</w:t>
              </w:r>
            </w:hyperlink>
            <w:r>
              <w:rPr>
                <w:rFonts w:ascii="宋体" w:hAnsi="宋体" w:cs="宋体" w:eastAsia="宋体" w:hint="default"/>
                <w:spacing w:val="-1"/>
                <w:sz w:val="18"/>
                <w:szCs w:val="18"/>
              </w:rPr>
              <w:t>）</w:t>
            </w:r>
            <w:r>
              <w:rPr>
                <w:rFonts w:ascii="宋体" w:hAnsi="宋体" w:cs="宋体" w:eastAsia="宋体" w:hint="default"/>
                <w:spacing w:val="-73"/>
                <w:sz w:val="18"/>
                <w:szCs w:val="18"/>
              </w:rPr>
              <w:t> </w:t>
            </w:r>
            <w:r>
              <w:rPr>
                <w:rFonts w:ascii="宋体" w:hAnsi="宋体" w:cs="宋体" w:eastAsia="宋体" w:hint="default"/>
                <w:sz w:val="18"/>
                <w:szCs w:val="18"/>
              </w:rPr>
              <w:t>上的第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2018-095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号公告。</w:t>
            </w:r>
          </w:p>
        </w:tc>
      </w:tr>
      <w:tr>
        <w:trPr>
          <w:trHeight w:val="227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陈新民</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73"/>
              <w:jc w:val="left"/>
              <w:rPr>
                <w:rFonts w:ascii="宋体" w:hAnsi="宋体" w:cs="宋体" w:eastAsia="宋体" w:hint="default"/>
                <w:sz w:val="18"/>
                <w:szCs w:val="18"/>
              </w:rPr>
            </w:pPr>
            <w:r>
              <w:rPr>
                <w:rFonts w:ascii="宋体" w:hAnsi="宋体" w:cs="宋体" w:eastAsia="宋体" w:hint="default"/>
                <w:sz w:val="18"/>
                <w:szCs w:val="18"/>
              </w:rPr>
              <w:t>因原总经理辞职，经召开四届董事会第二十七次会 议审议通过，同意聘任陈新民先生为公司总经理， 任期自选举之日起至第四届董事会任期结束之日 止。具体内容详见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日刊登在《中国 </w:t>
            </w:r>
            <w:r>
              <w:rPr>
                <w:rFonts w:ascii="宋体" w:hAnsi="宋体" w:cs="宋体" w:eastAsia="宋体" w:hint="default"/>
                <w:spacing w:val="-11"/>
                <w:sz w:val="18"/>
                <w:szCs w:val="18"/>
              </w:rPr>
              <w:t>证券报》、《证券时报》和巨潮资讯网</w:t>
            </w:r>
          </w:p>
          <w:p>
            <w:pPr>
              <w:pStyle w:val="TableParagraph"/>
              <w:spacing w:line="302" w:lineRule="auto" w:before="20"/>
              <w:ind w:left="103" w:right="210"/>
              <w:jc w:val="left"/>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）上的第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2018-095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号公 告。</w:t>
            </w:r>
          </w:p>
        </w:tc>
      </w:tr>
      <w:tr>
        <w:trPr>
          <w:trHeight w:val="986"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廖垚</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02"/>
              <w:jc w:val="left"/>
              <w:rPr>
                <w:rFonts w:ascii="宋体" w:hAnsi="宋体" w:cs="宋体" w:eastAsia="宋体" w:hint="default"/>
                <w:sz w:val="18"/>
                <w:szCs w:val="18"/>
              </w:rPr>
            </w:pPr>
            <w:r>
              <w:rPr>
                <w:rFonts w:ascii="宋体" w:hAnsi="宋体" w:cs="宋体" w:eastAsia="宋体" w:hint="default"/>
                <w:sz w:val="18"/>
                <w:szCs w:val="18"/>
              </w:rPr>
              <w:t>因原董事长夏传武先生辞职，经召开第四届董事会 第二十八次会议以及</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年第二次临时股东大会审 议通过，同意选举廖垚先生为公司第四届董事会非</w:t>
            </w:r>
          </w:p>
        </w:tc>
      </w:tr>
    </w:tbl>
    <w:p>
      <w:pPr>
        <w:spacing w:after="0" w:line="309" w:lineRule="auto"/>
        <w:jc w:val="left"/>
        <w:rPr>
          <w:rFonts w:ascii="宋体" w:hAnsi="宋体" w:cs="宋体" w:eastAsia="宋体"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330"/>
        <w:gridCol w:w="1331"/>
        <w:gridCol w:w="1330"/>
        <w:gridCol w:w="1330"/>
        <w:gridCol w:w="4248"/>
      </w:tblGrid>
      <w:tr>
        <w:trPr>
          <w:trHeight w:val="1611" w:hRule="exact"/>
        </w:trPr>
        <w:tc>
          <w:tcPr>
            <w:tcW w:w="1330" w:type="dxa"/>
            <w:tcBorders>
              <w:top w:val="single" w:sz="4" w:space="0" w:color="000000"/>
              <w:left w:val="single" w:sz="4" w:space="0" w:color="000000"/>
              <w:bottom w:val="single" w:sz="4" w:space="0" w:color="000000"/>
              <w:right w:val="single" w:sz="4" w:space="0" w:color="000000"/>
            </w:tcBorders>
          </w:tcPr>
          <w:p>
            <w:pPr/>
          </w:p>
        </w:tc>
        <w:tc>
          <w:tcPr>
            <w:tcW w:w="1331"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4"/>
              <w:jc w:val="left"/>
              <w:rPr>
                <w:rFonts w:ascii="宋体" w:hAnsi="宋体" w:cs="宋体" w:eastAsia="宋体" w:hint="default"/>
                <w:sz w:val="18"/>
                <w:szCs w:val="18"/>
              </w:rPr>
            </w:pPr>
            <w:r>
              <w:rPr>
                <w:rFonts w:ascii="宋体" w:hAnsi="宋体" w:cs="宋体" w:eastAsia="宋体" w:hint="default"/>
                <w:sz w:val="18"/>
                <w:szCs w:val="18"/>
              </w:rPr>
              <w:t>独立董事，其任期自选举通过之日起至第四届董事 会任期结束之日止。具体内容分别详见</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p>
          <w:p>
            <w:pPr>
              <w:pStyle w:val="TableParagraph"/>
              <w:spacing w:line="302" w:lineRule="auto"/>
              <w:ind w:left="103" w:right="12"/>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pacing w:val="-14"/>
                <w:sz w:val="18"/>
                <w:szCs w:val="18"/>
              </w:rPr>
              <w:t>日刊登在《证券时报》、《中</w:t>
            </w:r>
            <w:r>
              <w:rPr>
                <w:rFonts w:ascii="宋体" w:hAnsi="宋体" w:cs="宋体" w:eastAsia="宋体" w:hint="default"/>
                <w:sz w:val="18"/>
                <w:szCs w:val="18"/>
              </w:rPr>
              <w:t> </w:t>
            </w:r>
            <w:r>
              <w:rPr>
                <w:rFonts w:ascii="宋体" w:hAnsi="宋体" w:cs="宋体" w:eastAsia="宋体" w:hint="default"/>
                <w:spacing w:val="-5"/>
                <w:sz w:val="18"/>
                <w:szCs w:val="18"/>
              </w:rPr>
              <w:t>国证券报》和巨潮资讯网（</w:t>
            </w:r>
            <w:hyperlink r:id="rId12">
              <w:r>
                <w:rPr>
                  <w:rFonts w:ascii="Times New Roman" w:hAnsi="Times New Roman" w:cs="Times New Roman" w:eastAsia="Times New Roman" w:hint="default"/>
                  <w:spacing w:val="-5"/>
                  <w:sz w:val="18"/>
                  <w:szCs w:val="18"/>
                </w:rPr>
                <w:t>htpp://www</w:t>
              </w:r>
            </w:hyperlink>
            <w:r>
              <w:rPr>
                <w:rFonts w:ascii="Times New Roman" w:hAnsi="Times New Roman" w:cs="Times New Roman" w:eastAsia="Times New Roman" w:hint="default"/>
                <w:spacing w:val="-5"/>
                <w:sz w:val="18"/>
                <w:szCs w:val="18"/>
              </w:rPr>
              <w:t>.cni</w:t>
            </w:r>
            <w:hyperlink r:id="rId12">
              <w:r>
                <w:rPr>
                  <w:rFonts w:ascii="Times New Roman" w:hAnsi="Times New Roman" w:cs="Times New Roman" w:eastAsia="Times New Roman" w:hint="default"/>
                  <w:spacing w:val="-5"/>
                  <w:sz w:val="18"/>
                  <w:szCs w:val="18"/>
                </w:rPr>
                <w:t>nfo.</w:t>
              </w:r>
            </w:hyperlink>
            <w:r>
              <w:rPr>
                <w:rFonts w:ascii="Times New Roman" w:hAnsi="Times New Roman" w:cs="Times New Roman" w:eastAsia="Times New Roman" w:hint="default"/>
                <w:spacing w:val="-5"/>
                <w:sz w:val="18"/>
                <w:szCs w:val="18"/>
              </w:rPr>
              <w:t>com</w:t>
            </w:r>
            <w:hyperlink r:id="rId12">
              <w:r>
                <w:rPr>
                  <w:rFonts w:ascii="Times New Roman" w:hAnsi="Times New Roman" w:cs="Times New Roman" w:eastAsia="Times New Roman" w:hint="default"/>
                  <w:spacing w:val="-5"/>
                  <w:sz w:val="18"/>
                  <w:szCs w:val="18"/>
                </w:rPr>
                <w:t>.cn</w:t>
              </w:r>
            </w:hyperlink>
            <w:r>
              <w:rPr>
                <w:rFonts w:ascii="宋体" w:hAnsi="宋体" w:cs="宋体" w:eastAsia="宋体" w:hint="default"/>
                <w:spacing w:val="-5"/>
                <w:sz w:val="18"/>
                <w:szCs w:val="18"/>
              </w:rPr>
              <w:t>）</w:t>
            </w:r>
            <w:r>
              <w:rPr>
                <w:rFonts w:ascii="宋体" w:hAnsi="宋体" w:cs="宋体" w:eastAsia="宋体" w:hint="default"/>
                <w:spacing w:val="-63"/>
                <w:sz w:val="18"/>
                <w:szCs w:val="18"/>
              </w:rPr>
              <w:t> </w:t>
            </w:r>
            <w:r>
              <w:rPr>
                <w:rFonts w:ascii="宋体" w:hAnsi="宋体" w:cs="宋体" w:eastAsia="宋体" w:hint="default"/>
                <w:sz w:val="18"/>
                <w:szCs w:val="18"/>
              </w:rPr>
              <w:t>上的第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2018-099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2018-104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号公告。</w:t>
            </w:r>
          </w:p>
        </w:tc>
      </w:tr>
      <w:tr>
        <w:trPr>
          <w:trHeight w:val="1650"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曾兆豪</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04"/>
              <w:jc w:val="left"/>
              <w:rPr>
                <w:rFonts w:ascii="宋体" w:hAnsi="宋体" w:cs="宋体" w:eastAsia="宋体" w:hint="default"/>
                <w:sz w:val="18"/>
                <w:szCs w:val="18"/>
              </w:rPr>
            </w:pPr>
            <w:r>
              <w:rPr>
                <w:rFonts w:ascii="宋体" w:hAnsi="宋体" w:cs="宋体" w:eastAsia="宋体" w:hint="default"/>
                <w:sz w:val="18"/>
                <w:szCs w:val="18"/>
              </w:rPr>
              <w:t>因个人原因，曾兆豪先生申请辞去公司第四届董事 会非独立董事一职。具体内容详见</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 </w:t>
            </w:r>
            <w:r>
              <w:rPr>
                <w:rFonts w:ascii="宋体" w:hAnsi="宋体" w:cs="宋体" w:eastAsia="宋体" w:hint="default"/>
                <w:spacing w:val="-8"/>
                <w:sz w:val="18"/>
                <w:szCs w:val="18"/>
              </w:rPr>
              <w:t>刊登在《证券时报》、《中国证券报》和巨潮资讯网</w:t>
            </w:r>
          </w:p>
          <w:p>
            <w:pPr>
              <w:pStyle w:val="TableParagraph"/>
              <w:spacing w:line="302" w:lineRule="auto" w:before="24"/>
              <w:ind w:left="103" w:right="17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htpp://</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）上的第</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2019-006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号公 告。</w:t>
            </w:r>
          </w:p>
        </w:tc>
      </w:tr>
      <w:tr>
        <w:trPr>
          <w:trHeight w:val="2586"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卢和忠</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84"/>
              <w:jc w:val="left"/>
              <w:rPr>
                <w:rFonts w:ascii="宋体" w:hAnsi="宋体" w:cs="宋体" w:eastAsia="宋体" w:hint="default"/>
                <w:sz w:val="18"/>
                <w:szCs w:val="18"/>
              </w:rPr>
            </w:pPr>
            <w:r>
              <w:rPr>
                <w:rFonts w:ascii="宋体" w:hAnsi="宋体" w:cs="宋体" w:eastAsia="宋体" w:hint="default"/>
                <w:sz w:val="18"/>
                <w:szCs w:val="18"/>
              </w:rPr>
              <w:t>因原董事长曾兆豪先生辞职，经召开四届董事会第 三十三次会议以及</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年第一次临时股东大会审议 通过，同意选举卢和忠先生为公司第四届董事会非 独立董事，任期自选举之日起至第四届董事会任期 结束之日止。具体内容分别详见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300" w:lineRule="auto" w:before="1"/>
              <w:ind w:left="103" w:right="12"/>
              <w:jc w:val="left"/>
              <w:rPr>
                <w:rFonts w:ascii="宋体" w:hAnsi="宋体" w:cs="宋体" w:eastAsia="宋体"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pacing w:val="-19"/>
                <w:sz w:val="18"/>
                <w:szCs w:val="18"/>
              </w:rPr>
              <w:t>日刊登在《证券时报》、《中国证券报》</w:t>
            </w:r>
            <w:r>
              <w:rPr>
                <w:rFonts w:ascii="宋体" w:hAnsi="宋体" w:cs="宋体" w:eastAsia="宋体" w:hint="default"/>
                <w:sz w:val="18"/>
                <w:szCs w:val="18"/>
              </w:rPr>
              <w:t> 和巨潮资讯网（</w:t>
            </w:r>
            <w:r>
              <w:rPr>
                <w:rFonts w:ascii="Times New Roman" w:hAnsi="Times New Roman" w:cs="Times New Roman" w:eastAsia="Times New Roman" w:hint="default"/>
                <w:sz w:val="18"/>
                <w:szCs w:val="18"/>
              </w:rPr>
              <w:t>htpp://</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）上的第 </w:t>
            </w:r>
            <w:r>
              <w:rPr>
                <w:rFonts w:ascii="Times New Roman" w:hAnsi="Times New Roman" w:cs="Times New Roman" w:eastAsia="Times New Roman" w:hint="default"/>
                <w:sz w:val="18"/>
                <w:szCs w:val="18"/>
              </w:rPr>
              <w:t>2019-006 </w:t>
            </w:r>
            <w:r>
              <w:rPr>
                <w:rFonts w:ascii="宋体" w:hAnsi="宋体" w:cs="宋体" w:eastAsia="宋体" w:hint="default"/>
                <w:sz w:val="18"/>
                <w:szCs w:val="18"/>
              </w:rPr>
              <w:t>号、</w:t>
            </w:r>
            <w:r>
              <w:rPr>
                <w:rFonts w:ascii="Times New Roman" w:hAnsi="Times New Roman" w:cs="Times New Roman" w:eastAsia="Times New Roman" w:hint="default"/>
                <w:sz w:val="18"/>
                <w:szCs w:val="18"/>
              </w:rPr>
              <w:t>2019-012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号公告。</w:t>
            </w:r>
          </w:p>
        </w:tc>
      </w:tr>
      <w:tr>
        <w:trPr>
          <w:trHeight w:val="1650"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昌智</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财务负责人</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left"/>
              <w:rPr>
                <w:rFonts w:ascii="宋体" w:hAnsi="宋体" w:cs="宋体" w:eastAsia="宋体" w:hint="default"/>
                <w:sz w:val="18"/>
                <w:szCs w:val="18"/>
              </w:rPr>
            </w:pPr>
            <w:r>
              <w:rPr>
                <w:rFonts w:ascii="宋体" w:hAnsi="宋体" w:cs="宋体" w:eastAsia="宋体" w:hint="default"/>
                <w:sz w:val="18"/>
                <w:szCs w:val="18"/>
              </w:rPr>
              <w:t>因调整个人工作重心，昌智先生申请辞去公司财务 负责人一职。具体内容详见</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日刊登在</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《中国证券报》和巨潮资讯网</w:t>
            </w:r>
          </w:p>
          <w:p>
            <w:pPr>
              <w:pStyle w:val="TableParagraph"/>
              <w:spacing w:line="302" w:lineRule="auto" w:before="77"/>
              <w:ind w:left="103" w:right="17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htpp://</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）上的第</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2019-005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号公 告。</w:t>
            </w:r>
          </w:p>
        </w:tc>
      </w:tr>
      <w:tr>
        <w:trPr>
          <w:trHeight w:val="227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谢从雄</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财务负责人</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02"/>
              <w:jc w:val="left"/>
              <w:rPr>
                <w:rFonts w:ascii="宋体" w:hAnsi="宋体" w:cs="宋体" w:eastAsia="宋体" w:hint="default"/>
                <w:sz w:val="18"/>
                <w:szCs w:val="18"/>
              </w:rPr>
            </w:pPr>
            <w:r>
              <w:rPr>
                <w:rFonts w:ascii="宋体" w:hAnsi="宋体" w:cs="宋体" w:eastAsia="宋体" w:hint="default"/>
                <w:sz w:val="18"/>
                <w:szCs w:val="18"/>
              </w:rPr>
              <w:t>因原财务负责人辞职，经召开四届董事会第三十三 次会议审议通过，同意聘任谢从雄先生为公司财务 负责人，任期自选举之日起至第四届董事会任期结 </w:t>
            </w:r>
            <w:r>
              <w:rPr>
                <w:rFonts w:ascii="宋体" w:hAnsi="宋体" w:cs="宋体" w:eastAsia="宋体" w:hint="default"/>
                <w:spacing w:val="-9"/>
                <w:sz w:val="18"/>
                <w:szCs w:val="18"/>
              </w:rPr>
              <w:t>束之日止。具体内容详见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pacing w:val="-16"/>
                <w:sz w:val="18"/>
                <w:szCs w:val="18"/>
              </w:rPr>
              <w:t>日刊登在《证</w:t>
            </w:r>
            <w:r>
              <w:rPr>
                <w:rFonts w:ascii="宋体" w:hAnsi="宋体" w:cs="宋体" w:eastAsia="宋体" w:hint="default"/>
                <w:sz w:val="18"/>
                <w:szCs w:val="18"/>
              </w:rPr>
              <w:t> </w:t>
            </w:r>
            <w:r>
              <w:rPr>
                <w:rFonts w:ascii="宋体" w:hAnsi="宋体" w:cs="宋体" w:eastAsia="宋体" w:hint="default"/>
                <w:spacing w:val="-10"/>
                <w:sz w:val="18"/>
                <w:szCs w:val="18"/>
              </w:rPr>
              <w:t>券时报》、《中国证券报》和巨潮资讯网</w:t>
            </w:r>
          </w:p>
          <w:p>
            <w:pPr>
              <w:pStyle w:val="TableParagraph"/>
              <w:spacing w:line="302" w:lineRule="auto" w:before="20"/>
              <w:ind w:left="103" w:right="17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htpp://</w:t>
            </w:r>
            <w:hyperlink r:id="rId12">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）上的第</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2019-005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号公 告。</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right="0"/>
        <w:jc w:val="left"/>
        <w:rPr>
          <w:b w:val="0"/>
          <w:bCs w:val="0"/>
        </w:rPr>
      </w:pPr>
      <w:bookmarkStart w:name="三、任职情况" w:id="127"/>
      <w:bookmarkEnd w:id="127"/>
      <w:r>
        <w:rPr>
          <w:b w:val="0"/>
          <w:bCs w:val="0"/>
        </w:rPr>
      </w:r>
      <w:r>
        <w:rPr/>
        <w:t>三、任职情况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公司现任董事、监事、高级管理人员专业背景、主要工作经历以及目前在公司的主要职责</w:t>
      </w:r>
    </w:p>
    <w:p>
      <w:pPr>
        <w:spacing w:line="240" w:lineRule="auto" w:before="10"/>
        <w:rPr>
          <w:rFonts w:ascii="宋体" w:hAnsi="宋体" w:cs="宋体" w:eastAsia="宋体" w:hint="default"/>
          <w:sz w:val="14"/>
          <w:szCs w:val="14"/>
        </w:rPr>
      </w:pPr>
    </w:p>
    <w:p>
      <w:pPr>
        <w:pStyle w:val="BodyText"/>
        <w:spacing w:line="240" w:lineRule="auto"/>
        <w:ind w:left="514" w:right="0"/>
        <w:jc w:val="left"/>
      </w:pPr>
      <w:r>
        <w:rPr>
          <w:rFonts w:ascii="Times New Roman" w:hAnsi="Times New Roman" w:cs="Times New Roman" w:eastAsia="Times New Roman" w:hint="default"/>
        </w:rPr>
        <w:t>1</w:t>
      </w:r>
      <w:r>
        <w:rPr/>
        <w:t>、现任董事会成员主要工作经历</w:t>
      </w:r>
    </w:p>
    <w:p>
      <w:pPr>
        <w:spacing w:line="240" w:lineRule="auto" w:before="9"/>
        <w:rPr>
          <w:rFonts w:ascii="宋体" w:hAnsi="宋体" w:cs="宋体" w:eastAsia="宋体" w:hint="default"/>
          <w:sz w:val="16"/>
          <w:szCs w:val="16"/>
        </w:rPr>
      </w:pPr>
    </w:p>
    <w:p>
      <w:pPr>
        <w:pStyle w:val="BodyText"/>
        <w:spacing w:line="477" w:lineRule="auto"/>
        <w:ind w:right="1129" w:firstLine="360"/>
        <w:jc w:val="both"/>
      </w:pPr>
      <w:r>
        <w:rPr/>
        <w:t>（</w:t>
      </w:r>
      <w:r>
        <w:rPr>
          <w:rFonts w:ascii="宋体" w:hAnsi="宋体" w:cs="宋体" w:eastAsia="宋体" w:hint="default"/>
        </w:rPr>
        <w:t>1</w:t>
      </w:r>
      <w:r>
        <w:rPr/>
        <w:t>）昌智先生，曾任职于广东工学院、深圳大学、深圳大学文化科技服务公司、深圳经济特区发展集团公司、深圳市 特发信息股份有限公司；曾担任深圳市证通电子股份有限公司外部董事。</w:t>
      </w:r>
      <w:r>
        <w:rPr>
          <w:rFonts w:ascii="宋体" w:hAnsi="宋体" w:cs="宋体" w:eastAsia="宋体" w:hint="default"/>
        </w:rPr>
        <w:t>2013</w:t>
      </w:r>
      <w:r>
        <w:rPr/>
        <w:t>年</w:t>
      </w:r>
      <w:r>
        <w:rPr>
          <w:rFonts w:ascii="宋体" w:hAnsi="宋体" w:cs="宋体" w:eastAsia="宋体" w:hint="default"/>
        </w:rPr>
        <w:t>11</w:t>
      </w:r>
      <w:r>
        <w:rPr/>
        <w:t>月至</w:t>
      </w:r>
      <w:r>
        <w:rPr>
          <w:rFonts w:ascii="宋体" w:hAnsi="宋体" w:cs="宋体" w:eastAsia="宋体" w:hint="default"/>
        </w:rPr>
        <w:t>2016</w:t>
      </w:r>
      <w:r>
        <w:rPr/>
        <w:t>年</w:t>
      </w:r>
      <w:r>
        <w:rPr>
          <w:rFonts w:ascii="宋体" w:hAnsi="宋体" w:cs="宋体" w:eastAsia="宋体" w:hint="default"/>
        </w:rPr>
        <w:t>7</w:t>
      </w:r>
      <w:r>
        <w:rPr/>
        <w:t>月，担任公司第三届董事会</w:t>
      </w:r>
      <w:r>
        <w:rPr>
          <w:spacing w:val="-82"/>
        </w:rPr>
        <w:t> </w:t>
      </w:r>
      <w:r>
        <w:rPr>
          <w:spacing w:val="-82"/>
        </w:rPr>
      </w:r>
      <w:r>
        <w:rPr>
          <w:spacing w:val="-2"/>
        </w:rPr>
        <w:t>董事，现担任本公司第四届董事会董事长，同时担任深圳市贝朗管理顾问有限公司董事长兼总经理、深圳市承创管理咨询有</w:t>
      </w:r>
      <w:r>
        <w:rPr>
          <w:spacing w:val="-66"/>
        </w:rPr>
        <w:t> </w:t>
      </w:r>
      <w:r>
        <w:rPr>
          <w:spacing w:val="-66"/>
        </w:rPr>
      </w:r>
      <w:r>
        <w:rPr/>
        <w:t>限公司董事长兼总经理。</w:t>
      </w:r>
    </w:p>
    <w:p>
      <w:pPr>
        <w:pStyle w:val="BodyText"/>
        <w:spacing w:line="240" w:lineRule="auto" w:before="54"/>
        <w:ind w:left="514" w:right="0"/>
        <w:jc w:val="left"/>
        <w:rPr>
          <w:rFonts w:ascii="Times New Roman" w:hAnsi="Times New Roman" w:cs="Times New Roman" w:eastAsia="Times New Roman" w:hint="default"/>
        </w:rPr>
      </w:pPr>
      <w:r>
        <w:rPr/>
        <w:t>（</w:t>
      </w:r>
      <w:r>
        <w:rPr>
          <w:rFonts w:ascii="Times New Roman" w:hAnsi="Times New Roman" w:cs="Times New Roman" w:eastAsia="Times New Roman" w:hint="default"/>
        </w:rPr>
        <w:t>2</w:t>
      </w:r>
      <w:r>
        <w:rPr/>
        <w:t>）陈新民先生，</w:t>
      </w:r>
      <w:r>
        <w:rPr>
          <w:rFonts w:ascii="Times New Roman" w:hAnsi="Times New Roman" w:cs="Times New Roman" w:eastAsia="Times New Roman" w:hint="default"/>
        </w:rPr>
        <w:t>2005</w:t>
      </w:r>
      <w:r>
        <w:rPr/>
        <w:t>年加入卓翼科技，</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7</w:t>
      </w:r>
      <w:r>
        <w:rPr/>
        <w:t>月，担任公司第二届董事会董事；</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7</w:t>
      </w:r>
    </w:p>
    <w:p>
      <w:pPr>
        <w:spacing w:after="0" w:line="240" w:lineRule="auto"/>
        <w:jc w:val="left"/>
        <w:rPr>
          <w:rFonts w:ascii="Times New Roman" w:hAnsi="Times New Roman" w:cs="Times New Roman" w:eastAsia="Times New Roman" w:hint="default"/>
        </w:rPr>
        <w:sectPr>
          <w:pgSz w:w="11910" w:h="16840"/>
          <w:pgMar w:header="0" w:footer="1019" w:top="1120" w:bottom="120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4"/>
          <w:szCs w:val="14"/>
        </w:rPr>
      </w:pPr>
    </w:p>
    <w:p>
      <w:pPr>
        <w:pStyle w:val="BodyText"/>
        <w:spacing w:line="477" w:lineRule="auto"/>
        <w:ind w:right="0"/>
        <w:jc w:val="left"/>
      </w:pPr>
      <w:r>
        <w:rPr>
          <w:spacing w:val="-2"/>
        </w:rPr>
        <w:t>月，担任公司第三届董事会董事；现担任公司第四届董事会董事、总经理，同时担任深圳市卓翼智造有限公司总经理、深圳</w:t>
      </w:r>
      <w:r>
        <w:rPr>
          <w:spacing w:val="-66"/>
        </w:rPr>
        <w:t> </w:t>
      </w:r>
      <w:r>
        <w:rPr>
          <w:spacing w:val="-66"/>
        </w:rPr>
      </w:r>
      <w:r>
        <w:rPr/>
        <w:t>市卓博机器人有限公司总经理及执行董事、中广互联（厦门）信息科技有限公司监事。</w:t>
      </w:r>
    </w:p>
    <w:p>
      <w:pPr>
        <w:pStyle w:val="BodyText"/>
        <w:spacing w:line="458" w:lineRule="auto" w:before="54"/>
        <w:ind w:right="1032" w:firstLine="360"/>
        <w:jc w:val="left"/>
      </w:pPr>
      <w:r>
        <w:rPr/>
        <w:t>（</w:t>
      </w:r>
      <w:r>
        <w:rPr>
          <w:rFonts w:ascii="宋体" w:hAnsi="宋体" w:cs="宋体" w:eastAsia="宋体" w:hint="default"/>
        </w:rPr>
        <w:t>3</w:t>
      </w:r>
      <w:r>
        <w:rPr/>
        <w:t>）魏代英女士，</w:t>
      </w:r>
      <w:r>
        <w:rPr>
          <w:rFonts w:ascii="Times New Roman" w:hAnsi="Times New Roman" w:cs="Times New Roman" w:eastAsia="Times New Roman" w:hint="default"/>
        </w:rPr>
        <w:t>2006</w:t>
      </w:r>
      <w:r>
        <w:rPr/>
        <w:t>年加入卓翼科技，</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8</w:t>
      </w:r>
      <w:r>
        <w:rPr/>
        <w:t>月至</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7</w:t>
      </w:r>
      <w:r>
        <w:rPr/>
        <w:t>月，担任公司第一届监事会监事；</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7 </w:t>
      </w:r>
      <w:r>
        <w:rPr>
          <w:spacing w:val="-2"/>
        </w:rPr>
        <w:t>月，担任公司第二届董事会董事；</w:t>
      </w: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7</w:t>
      </w:r>
      <w:r>
        <w:rPr>
          <w:spacing w:val="-2"/>
        </w:rPr>
        <w:t>月至</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7</w:t>
      </w:r>
      <w:r>
        <w:rPr>
          <w:spacing w:val="-2"/>
        </w:rPr>
        <w:t>月，担任公司第三届董事会董事、董事会秘书，现担任公司第四届董</w:t>
      </w:r>
      <w:r>
        <w:rPr>
          <w:spacing w:val="-56"/>
        </w:rPr>
        <w:t> </w:t>
      </w:r>
      <w:r>
        <w:rPr>
          <w:spacing w:val="-56"/>
        </w:rPr>
      </w:r>
      <w:r>
        <w:rPr/>
        <w:t>事会董事、董事会秘书，同时担任深圳市翼飞投资有限公司执行董事、深圳市聚睿投资管理企业（有限合伙）执行合伙人、 深圳市聚智投资管理企业（有限合伙）执行合伙人。</w:t>
      </w:r>
    </w:p>
    <w:p>
      <w:pPr>
        <w:pStyle w:val="BodyText"/>
        <w:spacing w:line="477" w:lineRule="auto" w:before="68"/>
        <w:ind w:right="1032" w:firstLine="360"/>
        <w:jc w:val="left"/>
      </w:pPr>
      <w:r>
        <w:rPr/>
        <w:t>（</w:t>
      </w:r>
      <w:r>
        <w:rPr>
          <w:rFonts w:ascii="宋体" w:hAnsi="宋体" w:cs="宋体" w:eastAsia="宋体" w:hint="default"/>
        </w:rPr>
        <w:t>4</w:t>
      </w:r>
      <w:r>
        <w:rPr/>
        <w:t>）廖垚先生，曾任职于巨田证券有限责任公司、国信证券有限责任公司、世纪证券有限责任公司、深圳市中广资本 </w:t>
      </w:r>
      <w:r>
        <w:rPr>
          <w:spacing w:val="-2"/>
        </w:rPr>
        <w:t>管理有限公司；现担任深圳市上元资本管理有限公司董事长、首席执行官、香港上元资本管理有限公司董事长、深圳市中广</w:t>
      </w:r>
      <w:r>
        <w:rPr>
          <w:spacing w:val="-66"/>
        </w:rPr>
        <w:t> </w:t>
      </w:r>
      <w:r>
        <w:rPr>
          <w:spacing w:val="-66"/>
        </w:rPr>
      </w:r>
      <w:r>
        <w:rPr/>
        <w:t>财富管理有限公司执行董事、总经理、深圳市艺元投资有限公司执行董事、总经理、深圳叁色生命科技有限公司执行董事、 总经理、北京上元汇企业管理有限公司执行董事、湖南百佳生物工程有限公司董事等。同时担任公司第四届董事会董事。</w:t>
      </w:r>
    </w:p>
    <w:p>
      <w:pPr>
        <w:pStyle w:val="BodyText"/>
        <w:spacing w:line="463" w:lineRule="auto" w:before="54"/>
        <w:ind w:right="1141" w:firstLine="360"/>
        <w:jc w:val="both"/>
      </w:pPr>
      <w:r>
        <w:rPr/>
        <w:t>（</w:t>
      </w:r>
      <w:r>
        <w:rPr>
          <w:rFonts w:ascii="宋体" w:hAnsi="宋体" w:cs="宋体" w:eastAsia="宋体" w:hint="default"/>
        </w:rPr>
        <w:t>5</w:t>
      </w:r>
      <w:r>
        <w:rPr/>
        <w:t>）卢和忠先生，曾任江西赣南炼锡厂助理工程师，深圳市北岳电子科技有限公司人力资源经理，深圳市虹视实业有 限公司行政总监，富士康科技集团人力资源副理，</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2</w:t>
      </w:r>
      <w:r>
        <w:rPr/>
        <w:t>月至今任深圳市卓翼科技股份有限公司总裁助理，分管公司人力 资源、流程及</w:t>
      </w:r>
      <w:r>
        <w:rPr>
          <w:rFonts w:ascii="Times New Roman" w:hAnsi="Times New Roman" w:cs="Times New Roman" w:eastAsia="Times New Roman" w:hint="default"/>
        </w:rPr>
        <w:t>IT</w:t>
      </w:r>
      <w:r>
        <w:rPr/>
        <w:t>等工作，现担任本公司第四届董事会董事。</w:t>
      </w:r>
    </w:p>
    <w:p>
      <w:pPr>
        <w:pStyle w:val="BodyText"/>
        <w:spacing w:line="470" w:lineRule="auto" w:before="33"/>
        <w:ind w:right="1129" w:firstLine="360"/>
        <w:jc w:val="both"/>
      </w:pPr>
      <w:r>
        <w:rPr/>
        <w:t>（</w:t>
      </w:r>
      <w:r>
        <w:rPr>
          <w:rFonts w:ascii="Times New Roman" w:hAnsi="Times New Roman" w:cs="Times New Roman" w:eastAsia="Times New Roman" w:hint="default"/>
        </w:rPr>
        <w:t>6</w:t>
      </w:r>
      <w:r>
        <w:rPr/>
        <w:t>）王平先生，曾任职于江苏省会计师事务所、德勤国际会计师行、</w:t>
      </w:r>
      <w:r>
        <w:rPr>
          <w:rFonts w:ascii="Times New Roman" w:hAnsi="Times New Roman" w:cs="Times New Roman" w:eastAsia="Times New Roman" w:hint="default"/>
        </w:rPr>
        <w:t>China</w:t>
      </w:r>
      <w:r>
        <w:rPr>
          <w:rFonts w:ascii="Times New Roman" w:hAnsi="Times New Roman" w:cs="Times New Roman" w:eastAsia="Times New Roman" w:hint="default"/>
          <w:spacing w:val="-9"/>
        </w:rPr>
        <w:t> </w:t>
      </w:r>
      <w:r>
        <w:rPr>
          <w:rFonts w:ascii="Times New Roman" w:hAnsi="Times New Roman" w:cs="Times New Roman" w:eastAsia="Times New Roman" w:hint="default"/>
        </w:rPr>
        <w:t>Jishan</w:t>
      </w:r>
      <w:r>
        <w:rPr>
          <w:rFonts w:ascii="Times New Roman" w:hAnsi="Times New Roman" w:cs="Times New Roman" w:eastAsia="Times New Roman" w:hint="default"/>
          <w:spacing w:val="-9"/>
        </w:rPr>
        <w:t> </w:t>
      </w:r>
      <w:r>
        <w:rPr>
          <w:rFonts w:ascii="Times New Roman" w:hAnsi="Times New Roman" w:cs="Times New Roman" w:eastAsia="Times New Roman" w:hint="default"/>
        </w:rPr>
        <w:t>Holdings</w:t>
      </w:r>
      <w:r>
        <w:rPr>
          <w:rFonts w:ascii="Times New Roman" w:hAnsi="Times New Roman" w:cs="Times New Roman" w:eastAsia="Times New Roman" w:hint="default"/>
          <w:spacing w:val="-9"/>
        </w:rPr>
        <w:t> </w:t>
      </w:r>
      <w:r>
        <w:rPr>
          <w:rFonts w:ascii="Times New Roman" w:hAnsi="Times New Roman" w:cs="Times New Roman" w:eastAsia="Times New Roman" w:hint="default"/>
        </w:rPr>
        <w:t>Ltd</w:t>
      </w:r>
      <w:r>
        <w:rPr/>
        <w:t>、</w:t>
      </w:r>
      <w:r>
        <w:rPr>
          <w:rFonts w:ascii="Times New Roman" w:hAnsi="Times New Roman" w:cs="Times New Roman" w:eastAsia="Times New Roman" w:hint="default"/>
        </w:rPr>
        <w:t>EV</w:t>
      </w:r>
      <w:r>
        <w:rPr>
          <w:rFonts w:ascii="Times New Roman" w:hAnsi="Times New Roman" w:cs="Times New Roman" w:eastAsia="Times New Roman" w:hint="default"/>
          <w:spacing w:val="-13"/>
        </w:rPr>
        <w:t> </w:t>
      </w:r>
      <w:r>
        <w:rPr>
          <w:rFonts w:ascii="Times New Roman" w:hAnsi="Times New Roman" w:cs="Times New Roman" w:eastAsia="Times New Roman" w:hint="default"/>
        </w:rPr>
        <w:t>Capital</w:t>
      </w:r>
      <w:r>
        <w:rPr>
          <w:rFonts w:ascii="Times New Roman" w:hAnsi="Times New Roman" w:cs="Times New Roman" w:eastAsia="Times New Roman" w:hint="default"/>
          <w:spacing w:val="-9"/>
        </w:rPr>
        <w:t> </w:t>
      </w:r>
      <w:r>
        <w:rPr>
          <w:rFonts w:ascii="Times New Roman" w:hAnsi="Times New Roman" w:cs="Times New Roman" w:eastAsia="Times New Roman" w:hint="default"/>
        </w:rPr>
        <w:t>Pte</w:t>
      </w:r>
      <w:r>
        <w:rPr>
          <w:rFonts w:ascii="Times New Roman" w:hAnsi="Times New Roman" w:cs="Times New Roman" w:eastAsia="Times New Roman" w:hint="default"/>
          <w:spacing w:val="-9"/>
        </w:rPr>
        <w:t> </w:t>
      </w:r>
      <w:r>
        <w:rPr>
          <w:rFonts w:ascii="Times New Roman" w:hAnsi="Times New Roman" w:cs="Times New Roman" w:eastAsia="Times New Roman" w:hint="default"/>
        </w:rPr>
        <w:t>Ltd</w:t>
      </w:r>
      <w:r>
        <w:rPr/>
        <w:t>、首 </w:t>
      </w:r>
      <w:r>
        <w:rPr>
          <w:spacing w:val="-2"/>
        </w:rPr>
        <w:t>控集团有限公司执行董事、崇义章源钨业股份有限公司独立董事、深圳市富安娜家居用品股份有限公司独立董事及四川川润</w:t>
      </w:r>
      <w:r>
        <w:rPr>
          <w:spacing w:val="-64"/>
        </w:rPr>
        <w:t> </w:t>
      </w:r>
      <w:r>
        <w:rPr>
          <w:spacing w:val="-64"/>
        </w:rPr>
      </w:r>
      <w:r>
        <w:rPr>
          <w:spacing w:val="-2"/>
        </w:rPr>
        <w:t>股份有限公司独立董事及非执行董事；现担任公司第四届董事会独立董事，同时担任中国罕王控股有限公司独立董事、中国</w:t>
      </w:r>
      <w:r>
        <w:rPr>
          <w:spacing w:val="-66"/>
        </w:rPr>
        <w:t> </w:t>
      </w:r>
      <w:r>
        <w:rPr>
          <w:spacing w:val="-66"/>
        </w:rPr>
      </w:r>
      <w:r>
        <w:rPr>
          <w:spacing w:val="-2"/>
        </w:rPr>
        <w:t>天瑞集团水泥有限公司独立董事、旅业国际控股有限公司独立董事、华星集团有限公司独立董事及云南恩捷新材料股份有限</w:t>
      </w:r>
      <w:r>
        <w:rPr>
          <w:spacing w:val="-63"/>
        </w:rPr>
        <w:t> </w:t>
      </w:r>
      <w:r>
        <w:rPr>
          <w:spacing w:val="-63"/>
        </w:rPr>
      </w:r>
      <w:r>
        <w:rPr/>
        <w:t>公司独立董事；崇义章源钨业股份有限公司、博骏教育有限公司的非执行董事。</w:t>
      </w:r>
    </w:p>
    <w:p>
      <w:pPr>
        <w:pStyle w:val="BodyText"/>
        <w:spacing w:line="451" w:lineRule="auto" w:before="59"/>
        <w:ind w:right="1130" w:firstLine="360"/>
        <w:jc w:val="both"/>
      </w:pPr>
      <w:r>
        <w:rPr/>
        <w:t>（</w:t>
      </w:r>
      <w:r>
        <w:rPr>
          <w:rFonts w:ascii="Times New Roman" w:hAnsi="Times New Roman" w:cs="Times New Roman" w:eastAsia="Times New Roman" w:hint="default"/>
        </w:rPr>
        <w:t>7</w:t>
      </w:r>
      <w:r>
        <w:rPr/>
        <w:t>）王艳梅女士，曾任职辽宁鞍山钢铁集团公司研究所、深圳市科学技术学会、深圳清华大学研究院、深圳清华国际 </w:t>
      </w:r>
      <w:r>
        <w:rPr>
          <w:spacing w:val="-2"/>
        </w:rPr>
        <w:t>技术转移中心、深圳力合孵化器发展有限公司；曾担任浩宁达股份有限公司独立董事；</w:t>
      </w: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7</w:t>
      </w:r>
      <w:r>
        <w:rPr>
          <w:spacing w:val="-2"/>
        </w:rPr>
        <w:t>月至</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7</w:t>
      </w:r>
      <w:r>
        <w:rPr>
          <w:spacing w:val="-2"/>
        </w:rPr>
        <w:t>月，担任本公司</w:t>
      </w:r>
      <w:r>
        <w:rPr>
          <w:spacing w:val="-55"/>
        </w:rPr>
        <w:t> </w:t>
      </w:r>
      <w:r>
        <w:rPr>
          <w:spacing w:val="-55"/>
        </w:rPr>
      </w:r>
      <w:r>
        <w:rPr/>
        <w:t>第三届董事会独立董事，现担任公司第四届董事会独立董事，同时担任深圳市南山科技事务所所长。</w:t>
      </w:r>
    </w:p>
    <w:p>
      <w:pPr>
        <w:pStyle w:val="BodyText"/>
        <w:spacing w:line="451" w:lineRule="auto" w:before="115"/>
        <w:ind w:right="1032" w:firstLine="360"/>
        <w:jc w:val="left"/>
      </w:pPr>
      <w:r>
        <w:rPr/>
        <w:t>（</w:t>
      </w:r>
      <w:r>
        <w:rPr>
          <w:rFonts w:ascii="Times New Roman" w:hAnsi="Times New Roman" w:cs="Times New Roman" w:eastAsia="Times New Roman" w:hint="default"/>
        </w:rPr>
        <w:t>8</w:t>
      </w:r>
      <w:r>
        <w:rPr/>
        <w:t>）易庆国先生，曾任职险峰机床厂、深圳特区华侨城建设指挥部、深圳市特发黎明光电集团有限公司、深圳市中小 企业信用担保中心有限公司，曾担任深圳市第三届人大代表；</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7</w:t>
      </w:r>
      <w:r>
        <w:rPr/>
        <w:t>月，担任本公司第三届董事会独立董事， 现担任公司第四届董事会独立董事，同时担任深圳市水源投资有限公司总经理。</w:t>
      </w:r>
    </w:p>
    <w:p>
      <w:pPr>
        <w:pStyle w:val="BodyText"/>
        <w:spacing w:line="240" w:lineRule="auto" w:before="113"/>
        <w:ind w:left="514" w:right="0"/>
        <w:jc w:val="left"/>
      </w:pPr>
      <w:r>
        <w:rPr>
          <w:rFonts w:ascii="Times New Roman" w:hAnsi="Times New Roman" w:cs="Times New Roman" w:eastAsia="Times New Roman" w:hint="default"/>
        </w:rPr>
        <w:t>2</w:t>
      </w:r>
      <w:r>
        <w:rPr/>
        <w:t>、现任监事会成员主要工作经历</w:t>
      </w:r>
    </w:p>
    <w:p>
      <w:pPr>
        <w:spacing w:line="240" w:lineRule="auto" w:before="9"/>
        <w:rPr>
          <w:rFonts w:ascii="宋体" w:hAnsi="宋体" w:cs="宋体" w:eastAsia="宋体" w:hint="default"/>
          <w:sz w:val="16"/>
          <w:szCs w:val="16"/>
        </w:rPr>
      </w:pPr>
    </w:p>
    <w:p>
      <w:pPr>
        <w:pStyle w:val="BodyText"/>
        <w:spacing w:line="451" w:lineRule="auto"/>
        <w:ind w:right="1130" w:firstLine="360"/>
        <w:jc w:val="both"/>
      </w:pPr>
      <w:r>
        <w:rPr/>
        <w:t>（</w:t>
      </w:r>
      <w:r>
        <w:rPr>
          <w:rFonts w:ascii="Times New Roman" w:hAnsi="Times New Roman" w:cs="Times New Roman" w:eastAsia="Times New Roman" w:hint="default"/>
        </w:rPr>
        <w:t>1</w:t>
      </w:r>
      <w:r>
        <w:rPr/>
        <w:t>）胡爱武女士，</w:t>
      </w:r>
      <w:r>
        <w:rPr>
          <w:rFonts w:ascii="Times New Roman" w:hAnsi="Times New Roman" w:cs="Times New Roman" w:eastAsia="Times New Roman" w:hint="default"/>
        </w:rPr>
        <w:t>2004</w:t>
      </w:r>
      <w:r>
        <w:rPr/>
        <w:t>年加入深圳市卓翼科技股份有限公司，</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7</w:t>
      </w:r>
      <w:r>
        <w:rPr/>
        <w:t>月，担任公司第一届监事会职工代 表监事；</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7</w:t>
      </w:r>
      <w:r>
        <w:rPr/>
        <w:t>月，担任公司第二届监事会监事；</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4</w:t>
      </w:r>
      <w:r>
        <w:rPr/>
        <w:t>月至</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7</w:t>
      </w:r>
      <w:r>
        <w:rPr/>
        <w:t>月担任公司内部审计部负责人；</w:t>
      </w:r>
      <w:r>
        <w:rPr>
          <w:rFonts w:ascii="Times New Roman" w:hAnsi="Times New Roman" w:cs="Times New Roman" w:eastAsia="Times New Roman" w:hint="default"/>
        </w:rPr>
        <w:t>2013</w:t>
      </w:r>
      <w:r>
        <w:rPr>
          <w:rFonts w:ascii="Times New Roman" w:hAnsi="Times New Roman" w:cs="Times New Roman" w:eastAsia="Times New Roman" w:hint="default"/>
          <w:spacing w:val="40"/>
        </w:rPr>
        <w:t> </w:t>
      </w:r>
      <w:r>
        <w:rPr>
          <w:spacing w:val="-2"/>
        </w:rPr>
        <w:t>年</w:t>
      </w:r>
      <w:r>
        <w:rPr>
          <w:rFonts w:ascii="Times New Roman" w:hAnsi="Times New Roman" w:cs="Times New Roman" w:eastAsia="Times New Roman" w:hint="default"/>
          <w:spacing w:val="-2"/>
        </w:rPr>
        <w:t>7</w:t>
      </w:r>
      <w:r>
        <w:rPr>
          <w:spacing w:val="-2"/>
        </w:rPr>
        <w:t>月至</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7</w:t>
      </w:r>
      <w:r>
        <w:rPr>
          <w:spacing w:val="-2"/>
        </w:rPr>
        <w:t>月，担任公司第三届监事会监事，现担任公司总经理助理、第四届监事会监事，同时担任深圳市卓翼智造有</w:t>
      </w:r>
      <w:r>
        <w:rPr>
          <w:spacing w:val="-60"/>
        </w:rPr>
        <w:t> </w:t>
      </w:r>
      <w:r>
        <w:rPr>
          <w:spacing w:val="-60"/>
        </w:rPr>
      </w:r>
      <w:r>
        <w:rPr/>
        <w:t>限公司监事。</w:t>
      </w:r>
    </w:p>
    <w:p>
      <w:pPr>
        <w:spacing w:after="0" w:line="451" w:lineRule="auto"/>
        <w:jc w:val="both"/>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31" w:firstLine="360"/>
        <w:jc w:val="both"/>
      </w:pPr>
      <w:r>
        <w:rPr/>
        <w:t>（</w:t>
      </w:r>
      <w:r>
        <w:rPr>
          <w:rFonts w:ascii="宋体" w:hAnsi="宋体" w:cs="宋体" w:eastAsia="宋体" w:hint="default"/>
        </w:rPr>
        <w:t>2</w:t>
      </w:r>
      <w:r>
        <w:rPr/>
        <w:t>）施隆红先生，曾任华为技术有限公司制造工程师，深圳宇龙计算技术有限公司制造总监，深圳市海派通讯有限公 </w:t>
      </w:r>
      <w:r>
        <w:rPr>
          <w:spacing w:val="-2"/>
        </w:rPr>
        <w:t>司制造总监，依偎科技（南昌）有限公司制造供应总监，</w:t>
      </w:r>
      <w:r>
        <w:rPr>
          <w:rFonts w:ascii="宋体" w:hAnsi="宋体" w:cs="宋体" w:eastAsia="宋体" w:hint="default"/>
          <w:spacing w:val="-2"/>
        </w:rPr>
        <w:t>2017</w:t>
      </w:r>
      <w:r>
        <w:rPr>
          <w:spacing w:val="-2"/>
        </w:rPr>
        <w:t>年</w:t>
      </w:r>
      <w:r>
        <w:rPr>
          <w:rFonts w:ascii="宋体" w:hAnsi="宋体" w:cs="宋体" w:eastAsia="宋体" w:hint="default"/>
          <w:spacing w:val="-2"/>
        </w:rPr>
        <w:t>10</w:t>
      </w:r>
      <w:r>
        <w:rPr>
          <w:spacing w:val="-2"/>
        </w:rPr>
        <w:t>月至今任深圳市卓翼科技股份有限公司制造副总、第四届</w:t>
      </w:r>
      <w:r>
        <w:rPr>
          <w:spacing w:val="-60"/>
        </w:rPr>
        <w:t> </w:t>
      </w:r>
      <w:r>
        <w:rPr>
          <w:spacing w:val="-60"/>
        </w:rPr>
      </w:r>
      <w:r>
        <w:rPr/>
        <w:t>监事会监事。</w:t>
      </w:r>
    </w:p>
    <w:p>
      <w:pPr>
        <w:pStyle w:val="BodyText"/>
        <w:spacing w:line="451" w:lineRule="auto" w:before="54"/>
        <w:ind w:right="1131" w:firstLine="360"/>
        <w:jc w:val="both"/>
      </w:pPr>
      <w:r>
        <w:rPr>
          <w:spacing w:val="-2"/>
        </w:rPr>
        <w:t>（</w:t>
      </w:r>
      <w:r>
        <w:rPr>
          <w:rFonts w:ascii="Times New Roman" w:hAnsi="Times New Roman" w:cs="Times New Roman" w:eastAsia="Times New Roman" w:hint="default"/>
          <w:spacing w:val="-2"/>
        </w:rPr>
        <w:t>3</w:t>
      </w:r>
      <w:r>
        <w:rPr>
          <w:spacing w:val="-2"/>
        </w:rPr>
        <w:t>）夏艳华女士，</w:t>
      </w:r>
      <w:r>
        <w:rPr>
          <w:rFonts w:ascii="Times New Roman" w:hAnsi="Times New Roman" w:cs="Times New Roman" w:eastAsia="Times New Roman" w:hint="default"/>
          <w:spacing w:val="-2"/>
        </w:rPr>
        <w:t>2004</w:t>
      </w:r>
      <w:r>
        <w:rPr>
          <w:spacing w:val="-2"/>
        </w:rPr>
        <w:t>年</w:t>
      </w:r>
      <w:r>
        <w:rPr>
          <w:rFonts w:ascii="Times New Roman" w:hAnsi="Times New Roman" w:cs="Times New Roman" w:eastAsia="Times New Roman" w:hint="default"/>
          <w:spacing w:val="-2"/>
        </w:rPr>
        <w:t>4</w:t>
      </w:r>
      <w:r>
        <w:rPr>
          <w:spacing w:val="-2"/>
        </w:rPr>
        <w:t>月至今任职于深圳市卓翼科技股份有限公司，先后担任公司国际业务部业务员、国际业务部</w:t>
      </w:r>
      <w:r>
        <w:rPr/>
        <w:t> </w:t>
      </w:r>
      <w:r>
        <w:rPr>
          <w:spacing w:val="-2"/>
        </w:rPr>
        <w:t>副经理、商务部经理，从</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6</w:t>
      </w:r>
      <w:r>
        <w:rPr>
          <w:spacing w:val="-2"/>
        </w:rPr>
        <w:t>月至</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7</w:t>
      </w:r>
      <w:r>
        <w:rPr>
          <w:spacing w:val="-2"/>
        </w:rPr>
        <w:t>月，担任公司第三届监事会职工监事；现担任公司商务部经理、第四届监事会</w:t>
      </w:r>
      <w:r>
        <w:rPr>
          <w:spacing w:val="-56"/>
        </w:rPr>
        <w:t> </w:t>
      </w:r>
      <w:r>
        <w:rPr>
          <w:spacing w:val="-56"/>
        </w:rPr>
      </w:r>
      <w:r>
        <w:rPr/>
        <w:t>职工监事。</w:t>
      </w:r>
    </w:p>
    <w:p>
      <w:pPr>
        <w:pStyle w:val="BodyText"/>
        <w:spacing w:line="240" w:lineRule="auto" w:before="74"/>
        <w:ind w:left="514" w:right="0"/>
        <w:jc w:val="left"/>
      </w:pPr>
      <w:r>
        <w:rPr>
          <w:rFonts w:ascii="Times New Roman" w:hAnsi="Times New Roman" w:cs="Times New Roman" w:eastAsia="Times New Roman" w:hint="default"/>
        </w:rPr>
        <w:t>3</w:t>
      </w:r>
      <w:r>
        <w:rPr/>
        <w:t>、现任高级管理人员主要工作经历</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t>（</w:t>
      </w:r>
      <w:r>
        <w:rPr>
          <w:rFonts w:ascii="宋体" w:hAnsi="宋体" w:cs="宋体" w:eastAsia="宋体" w:hint="default"/>
        </w:rPr>
        <w:t>1</w:t>
      </w:r>
      <w:r>
        <w:rPr/>
        <w:t>）陈新民先生简历详见董事会成员所述。</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t>（</w:t>
      </w:r>
      <w:r>
        <w:rPr>
          <w:rFonts w:ascii="宋体" w:hAnsi="宋体" w:cs="宋体" w:eastAsia="宋体" w:hint="default"/>
        </w:rPr>
        <w:t>2</w:t>
      </w:r>
      <w:r>
        <w:rPr/>
        <w:t>）魏代英女士简历详见董事会成员所述。</w:t>
      </w:r>
    </w:p>
    <w:p>
      <w:pPr>
        <w:spacing w:line="240" w:lineRule="auto" w:before="12"/>
        <w:rPr>
          <w:rFonts w:ascii="宋体" w:hAnsi="宋体" w:cs="宋体" w:eastAsia="宋体" w:hint="default"/>
          <w:sz w:val="20"/>
          <w:szCs w:val="20"/>
        </w:rPr>
      </w:pPr>
    </w:p>
    <w:p>
      <w:pPr>
        <w:pStyle w:val="BodyText"/>
        <w:spacing w:line="463" w:lineRule="auto"/>
        <w:ind w:right="1131" w:firstLine="360"/>
        <w:jc w:val="both"/>
      </w:pPr>
      <w:r>
        <w:rPr/>
        <w:t>（</w:t>
      </w:r>
      <w:r>
        <w:rPr>
          <w:rFonts w:ascii="宋体" w:hAnsi="宋体" w:cs="宋体" w:eastAsia="宋体" w:hint="default"/>
        </w:rPr>
        <w:t>3</w:t>
      </w:r>
      <w:r>
        <w:rPr/>
        <w:t>）陈蔚女士，曾担任广州有线通讯工业公司助理工程师，同维电子有限公司采购部经理，共进电子有限公司供应链 </w:t>
      </w:r>
      <w:r>
        <w:rPr>
          <w:spacing w:val="-2"/>
        </w:rPr>
        <w:t>总监、市场部总监、副总经理，深圳万得凯科技有限公司总经理；</w:t>
      </w:r>
      <w:r>
        <w:rPr>
          <w:rFonts w:ascii="Times New Roman" w:hAnsi="Times New Roman" w:cs="Times New Roman" w:eastAsia="Times New Roman" w:hint="default"/>
          <w:spacing w:val="-2"/>
        </w:rPr>
        <w:t>2012</w:t>
      </w:r>
      <w:r>
        <w:rPr>
          <w:spacing w:val="-2"/>
        </w:rPr>
        <w:t>年加入深圳市卓翼科技股份有限公司；现担任本公司</w:t>
      </w:r>
      <w:r>
        <w:rPr>
          <w:spacing w:val="-62"/>
        </w:rPr>
        <w:t> </w:t>
      </w:r>
      <w:r>
        <w:rPr>
          <w:spacing w:val="-62"/>
        </w:rPr>
      </w:r>
      <w:r>
        <w:rPr/>
        <w:t>副总经理、深圳市中广物联科技有限公司执行董事兼总经理。</w:t>
      </w:r>
    </w:p>
    <w:p>
      <w:pPr>
        <w:pStyle w:val="BodyText"/>
        <w:spacing w:line="240" w:lineRule="auto" w:before="104"/>
        <w:ind w:left="514" w:right="0"/>
        <w:jc w:val="left"/>
      </w:pPr>
      <w:r>
        <w:rPr/>
        <w:t>（</w:t>
      </w:r>
      <w:r>
        <w:rPr>
          <w:rFonts w:ascii="宋体" w:hAnsi="宋体" w:cs="宋体" w:eastAsia="宋体" w:hint="default"/>
        </w:rPr>
        <w:t>4</w:t>
      </w:r>
      <w:r>
        <w:rPr/>
        <w:t>）谢从雄先生，曾任深圳国威电子有限公司、广州珠江轮胎有限公司、湖北神雾热能技术有限公司、深圳一德投资</w:t>
      </w:r>
    </w:p>
    <w:p>
      <w:pPr>
        <w:spacing w:line="240" w:lineRule="auto" w:before="11"/>
        <w:rPr>
          <w:rFonts w:ascii="宋体" w:hAnsi="宋体" w:cs="宋体" w:eastAsia="宋体" w:hint="default"/>
          <w:sz w:val="17"/>
          <w:szCs w:val="17"/>
        </w:rPr>
      </w:pPr>
    </w:p>
    <w:p>
      <w:pPr>
        <w:pStyle w:val="BodyText"/>
        <w:spacing w:line="436" w:lineRule="auto"/>
        <w:ind w:right="2202"/>
        <w:jc w:val="left"/>
      </w:pPr>
      <w:r>
        <w:rPr/>
        <w:t>集团有限公司等公司的财务负责人，</w:t>
      </w:r>
      <w:r>
        <w:rPr>
          <w:rFonts w:ascii="宋体" w:hAnsi="宋体" w:cs="宋体" w:eastAsia="宋体" w:hint="default"/>
        </w:rPr>
        <w:t>2018</w:t>
      </w:r>
      <w:r>
        <w:rPr/>
        <w:t>年</w:t>
      </w:r>
      <w:r>
        <w:rPr>
          <w:rFonts w:ascii="宋体" w:hAnsi="宋体" w:cs="宋体" w:eastAsia="宋体" w:hint="default"/>
        </w:rPr>
        <w:t>9</w:t>
      </w:r>
      <w:r>
        <w:rPr/>
        <w:t>月入职深圳市卓翼科技股份有限公司，现担任公司财务负责人。 在股东单位任职情况</w:t>
      </w:r>
    </w:p>
    <w:p>
      <w:pPr>
        <w:pStyle w:val="BodyText"/>
        <w:spacing w:line="204" w:lineRule="exact"/>
        <w:ind w:right="0"/>
        <w:jc w:val="left"/>
      </w:pPr>
      <w:r>
        <w:rPr/>
        <w:t>□ 适用 √ 不适用</w:t>
      </w:r>
    </w:p>
    <w:p>
      <w:pPr>
        <w:pStyle w:val="BodyText"/>
        <w:spacing w:line="240" w:lineRule="auto" w:before="117"/>
        <w:ind w:right="0"/>
        <w:jc w:val="left"/>
      </w:pPr>
      <w:r>
        <w:rPr/>
        <w:t>在其他单位任职情况</w:t>
      </w:r>
    </w:p>
    <w:p>
      <w:pPr>
        <w:pStyle w:val="BodyText"/>
        <w:spacing w:line="240" w:lineRule="auto" w:before="116"/>
        <w:ind w:right="0"/>
        <w:jc w:val="left"/>
      </w:pPr>
      <w:r>
        <w:rPr/>
        <w:t>√ 适用 □ 不适用</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1025"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522" w:right="160" w:hanging="361"/>
              <w:jc w:val="left"/>
              <w:rPr>
                <w:rFonts w:ascii="宋体" w:hAnsi="宋体" w:cs="宋体" w:eastAsia="宋体" w:hint="default"/>
                <w:sz w:val="18"/>
                <w:szCs w:val="18"/>
              </w:rPr>
            </w:pPr>
            <w:r>
              <w:rPr>
                <w:rFonts w:ascii="宋体" w:hAnsi="宋体" w:cs="宋体" w:eastAsia="宋体" w:hint="default"/>
                <w:sz w:val="18"/>
                <w:szCs w:val="18"/>
              </w:rPr>
              <w:t>任职人员姓 名</w:t>
            </w:r>
          </w:p>
        </w:tc>
        <w:tc>
          <w:tcPr>
            <w:tcW w:w="3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1" w:right="179"/>
              <w:jc w:val="center"/>
              <w:rPr>
                <w:rFonts w:ascii="宋体" w:hAnsi="宋体" w:cs="宋体" w:eastAsia="宋体" w:hint="default"/>
                <w:sz w:val="18"/>
                <w:szCs w:val="18"/>
              </w:rPr>
            </w:pPr>
            <w:r>
              <w:rPr>
                <w:rFonts w:ascii="宋体" w:hAnsi="宋体" w:cs="宋体" w:eastAsia="宋体" w:hint="default"/>
                <w:sz w:val="18"/>
                <w:szCs w:val="18"/>
              </w:rPr>
              <w:t>在其他单 位担任的 职务</w:t>
            </w:r>
          </w:p>
        </w:tc>
        <w:tc>
          <w:tcPr>
            <w:tcW w:w="1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519" w:right="158"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13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3"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42" w:right="143"/>
              <w:jc w:val="center"/>
              <w:rPr>
                <w:rFonts w:ascii="宋体" w:hAnsi="宋体" w:cs="宋体" w:eastAsia="宋体" w:hint="default"/>
                <w:sz w:val="18"/>
                <w:szCs w:val="18"/>
              </w:rPr>
            </w:pPr>
            <w:r>
              <w:rPr>
                <w:rFonts w:ascii="宋体" w:hAnsi="宋体" w:cs="宋体" w:eastAsia="宋体" w:hint="default"/>
                <w:sz w:val="18"/>
                <w:szCs w:val="18"/>
              </w:rPr>
              <w:t>在其他单位是 否领取报酬津 贴</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昌智</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深圳市贝朗管理顾问有限公司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57"/>
              <w:jc w:val="left"/>
              <w:rPr>
                <w:rFonts w:ascii="宋体" w:hAnsi="宋体" w:cs="宋体" w:eastAsia="宋体" w:hint="default"/>
                <w:sz w:val="18"/>
                <w:szCs w:val="18"/>
              </w:rPr>
            </w:pPr>
            <w:r>
              <w:rPr>
                <w:rFonts w:ascii="宋体" w:hAnsi="宋体" w:cs="宋体" w:eastAsia="宋体" w:hint="default"/>
                <w:sz w:val="18"/>
                <w:szCs w:val="18"/>
              </w:rPr>
              <w:t>董事长兼 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昌智</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深圳市承创管理咨询有限公司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57"/>
              <w:jc w:val="left"/>
              <w:rPr>
                <w:rFonts w:ascii="宋体" w:hAnsi="宋体" w:cs="宋体" w:eastAsia="宋体" w:hint="default"/>
                <w:sz w:val="18"/>
                <w:szCs w:val="18"/>
              </w:rPr>
            </w:pPr>
            <w:r>
              <w:rPr>
                <w:rFonts w:ascii="宋体" w:hAnsi="宋体" w:cs="宋体" w:eastAsia="宋体" w:hint="default"/>
                <w:sz w:val="18"/>
                <w:szCs w:val="18"/>
              </w:rPr>
              <w:t>董事长兼 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陈新民</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深圳市卓翼智造有限公司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陈新民</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深圳市卓博机器人有限公司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57"/>
              <w:jc w:val="left"/>
              <w:rPr>
                <w:rFonts w:ascii="宋体" w:hAnsi="宋体" w:cs="宋体" w:eastAsia="宋体" w:hint="default"/>
                <w:sz w:val="18"/>
                <w:szCs w:val="18"/>
              </w:rPr>
            </w:pPr>
            <w:r>
              <w:rPr>
                <w:rFonts w:ascii="宋体" w:hAnsi="宋体" w:cs="宋体" w:eastAsia="宋体" w:hint="default"/>
                <w:sz w:val="18"/>
                <w:szCs w:val="18"/>
              </w:rPr>
              <w:t>执行董事 兼总经理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陈新民</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中广互联（厦门）信息科技有限公司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魏代英</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深圳市翼飞投资有限公司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魏代英</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深圳市聚智投资管理企业</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执行合伙</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362" w:hRule="exact"/>
        </w:trPr>
        <w:tc>
          <w:tcPr>
            <w:tcW w:w="1234" w:type="dxa"/>
            <w:tcBorders>
              <w:top w:val="single" w:sz="4" w:space="0" w:color="000000"/>
              <w:left w:val="single" w:sz="4" w:space="0" w:color="000000"/>
              <w:bottom w:val="single" w:sz="4" w:space="0" w:color="000000"/>
              <w:right w:val="single" w:sz="4" w:space="0" w:color="000000"/>
            </w:tcBorders>
          </w:tcPr>
          <w:p>
            <w:pPr/>
          </w:p>
        </w:tc>
        <w:tc>
          <w:tcPr>
            <w:tcW w:w="3276"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人</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魏代英</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深圳市聚睿投资管理企业</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7"/>
              <w:jc w:val="left"/>
              <w:rPr>
                <w:rFonts w:ascii="宋体" w:hAnsi="宋体" w:cs="宋体" w:eastAsia="宋体" w:hint="default"/>
                <w:sz w:val="18"/>
                <w:szCs w:val="18"/>
              </w:rPr>
            </w:pPr>
            <w:r>
              <w:rPr>
                <w:rFonts w:ascii="宋体" w:hAnsi="宋体" w:cs="宋体" w:eastAsia="宋体" w:hint="default"/>
                <w:sz w:val="18"/>
                <w:szCs w:val="18"/>
              </w:rPr>
              <w:t>执行合伙 人</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廖垚</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深圳市上元资本管理有限公司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廖垚</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香港上元资本管理有限公司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廖垚</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深圳市中广财富管理有限公司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77"/>
              <w:jc w:val="left"/>
              <w:rPr>
                <w:rFonts w:ascii="宋体" w:hAnsi="宋体" w:cs="宋体" w:eastAsia="宋体" w:hint="default"/>
                <w:sz w:val="18"/>
                <w:szCs w:val="18"/>
              </w:rPr>
            </w:pPr>
            <w:r>
              <w:rPr>
                <w:rFonts w:ascii="宋体" w:hAnsi="宋体" w:cs="宋体" w:eastAsia="宋体" w:hint="default"/>
                <w:sz w:val="18"/>
                <w:szCs w:val="18"/>
              </w:rPr>
              <w:t>执行董事、 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廖垚</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深圳市艺元投资有限公司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77"/>
              <w:jc w:val="left"/>
              <w:rPr>
                <w:rFonts w:ascii="宋体" w:hAnsi="宋体" w:cs="宋体" w:eastAsia="宋体" w:hint="default"/>
                <w:sz w:val="18"/>
                <w:szCs w:val="18"/>
              </w:rPr>
            </w:pPr>
            <w:r>
              <w:rPr>
                <w:rFonts w:ascii="宋体" w:hAnsi="宋体" w:cs="宋体" w:eastAsia="宋体" w:hint="default"/>
                <w:sz w:val="18"/>
                <w:szCs w:val="18"/>
              </w:rPr>
              <w:t>执行董事、 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廖垚</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深圳叁色生命科技有限公司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77"/>
              <w:jc w:val="left"/>
              <w:rPr>
                <w:rFonts w:ascii="宋体" w:hAnsi="宋体" w:cs="宋体" w:eastAsia="宋体" w:hint="default"/>
                <w:sz w:val="18"/>
                <w:szCs w:val="18"/>
              </w:rPr>
            </w:pPr>
            <w:r>
              <w:rPr>
                <w:rFonts w:ascii="宋体" w:hAnsi="宋体" w:cs="宋体" w:eastAsia="宋体" w:hint="default"/>
                <w:sz w:val="18"/>
                <w:szCs w:val="18"/>
              </w:rPr>
              <w:t>执行董事、 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廖垚</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北京上元汇企业管理有限公司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廖垚</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湖南百佳生物工程有限公司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旅业国际控股有限公司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中国罕王控股有限公司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中国天瑞集团水泥有限公司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云南恩捷新材料股份有限公司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华星集团有限公司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崇义章源钨业股份有限公司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7"/>
              <w:jc w:val="left"/>
              <w:rPr>
                <w:rFonts w:ascii="宋体" w:hAnsi="宋体" w:cs="宋体" w:eastAsia="宋体" w:hint="default"/>
                <w:sz w:val="18"/>
                <w:szCs w:val="18"/>
              </w:rPr>
            </w:pPr>
            <w:r>
              <w:rPr>
                <w:rFonts w:ascii="宋体" w:hAnsi="宋体" w:cs="宋体" w:eastAsia="宋体" w:hint="default"/>
                <w:sz w:val="18"/>
                <w:szCs w:val="18"/>
              </w:rPr>
              <w:t>非执行董 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四川川润股份有限公司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7"/>
              <w:jc w:val="left"/>
              <w:rPr>
                <w:rFonts w:ascii="宋体" w:hAnsi="宋体" w:cs="宋体" w:eastAsia="宋体" w:hint="default"/>
                <w:sz w:val="18"/>
                <w:szCs w:val="18"/>
              </w:rPr>
            </w:pPr>
            <w:r>
              <w:rPr>
                <w:rFonts w:ascii="宋体" w:hAnsi="宋体" w:cs="宋体" w:eastAsia="宋体" w:hint="default"/>
                <w:sz w:val="18"/>
                <w:szCs w:val="18"/>
              </w:rPr>
              <w:t>非执行董 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王平</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博骏教育有限公司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7"/>
              <w:jc w:val="left"/>
              <w:rPr>
                <w:rFonts w:ascii="宋体" w:hAnsi="宋体" w:cs="宋体" w:eastAsia="宋体" w:hint="default"/>
                <w:sz w:val="18"/>
                <w:szCs w:val="18"/>
              </w:rPr>
            </w:pPr>
            <w:r>
              <w:rPr>
                <w:rFonts w:ascii="宋体" w:hAnsi="宋体" w:cs="宋体" w:eastAsia="宋体" w:hint="default"/>
                <w:sz w:val="18"/>
                <w:szCs w:val="18"/>
              </w:rPr>
              <w:t>非执行董 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王艳梅</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深圳市南山科技事务所</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所长</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易庆国</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深圳市水源投资有限公司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胡爱武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深圳市卓翼智造有限公司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234"/>
        <w:gridCol w:w="3276"/>
        <w:gridCol w:w="1092"/>
        <w:gridCol w:w="123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胡爱武</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深圳市翼飞投资有限公司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陈蔚</w:t>
            </w:r>
          </w:p>
        </w:tc>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深圳市中广物联科技有限公司</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57"/>
              <w:jc w:val="left"/>
              <w:rPr>
                <w:rFonts w:ascii="宋体" w:hAnsi="宋体" w:cs="宋体" w:eastAsia="宋体" w:hint="default"/>
                <w:sz w:val="18"/>
                <w:szCs w:val="18"/>
              </w:rPr>
            </w:pPr>
            <w:r>
              <w:rPr>
                <w:rFonts w:ascii="宋体" w:hAnsi="宋体" w:cs="宋体" w:eastAsia="宋体" w:hint="default"/>
                <w:sz w:val="18"/>
                <w:szCs w:val="18"/>
              </w:rPr>
              <w:t>执行董事 兼总经理</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1"/>
        <w:ind w:right="0"/>
        <w:jc w:val="both"/>
      </w:pPr>
      <w:r>
        <w:rPr/>
        <w:t>公司现任及报告期内离任董事、监事和高级管理人员近三年证券监管机构处罚的情况</w:t>
      </w:r>
    </w:p>
    <w:p>
      <w:pPr>
        <w:pStyle w:val="BodyText"/>
        <w:spacing w:line="240" w:lineRule="auto" w:before="117"/>
        <w:ind w:right="0"/>
        <w:jc w:val="both"/>
      </w:pPr>
      <w:r>
        <w:rPr/>
        <w:t>□ 适用 √ 不适用</w:t>
      </w:r>
    </w:p>
    <w:p>
      <w:pPr>
        <w:spacing w:line="240" w:lineRule="auto" w:before="13"/>
        <w:rPr>
          <w:rFonts w:ascii="宋体" w:hAnsi="宋体" w:cs="宋体" w:eastAsia="宋体" w:hint="default"/>
          <w:sz w:val="24"/>
          <w:szCs w:val="24"/>
        </w:rPr>
      </w:pPr>
    </w:p>
    <w:p>
      <w:pPr>
        <w:pStyle w:val="Heading2"/>
        <w:spacing w:line="240" w:lineRule="auto"/>
        <w:ind w:right="0"/>
        <w:jc w:val="both"/>
        <w:rPr>
          <w:b w:val="0"/>
          <w:bCs w:val="0"/>
        </w:rPr>
      </w:pPr>
      <w:bookmarkStart w:name="四、董事、监事、高级管理人员报酬情况" w:id="128"/>
      <w:bookmarkEnd w:id="128"/>
      <w:r>
        <w:rPr>
          <w:b w:val="0"/>
          <w:bCs w:val="0"/>
        </w:rPr>
      </w:r>
      <w:r>
        <w:rPr/>
        <w:t>四、董事、监事、高级管理人员报酬情况</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514" w:right="0"/>
        <w:jc w:val="left"/>
      </w:pPr>
      <w:r>
        <w:rPr/>
        <w:t>董事、监事、高级管理人员报酬的决策程序、确定依据、实际支付情况</w:t>
      </w:r>
    </w:p>
    <w:p>
      <w:pPr>
        <w:spacing w:line="240" w:lineRule="auto" w:before="10"/>
        <w:rPr>
          <w:rFonts w:ascii="宋体" w:hAnsi="宋体" w:cs="宋体" w:eastAsia="宋体" w:hint="default"/>
          <w:sz w:val="20"/>
          <w:szCs w:val="20"/>
        </w:rPr>
      </w:pPr>
    </w:p>
    <w:p>
      <w:pPr>
        <w:pStyle w:val="BodyText"/>
        <w:spacing w:line="489" w:lineRule="auto"/>
        <w:ind w:left="514" w:right="0"/>
        <w:jc w:val="left"/>
      </w:pPr>
      <w:r>
        <w:rPr>
          <w:rFonts w:ascii="Times New Roman" w:hAnsi="Times New Roman" w:cs="Times New Roman" w:eastAsia="Times New Roman" w:hint="default"/>
        </w:rPr>
        <w:t>1</w:t>
      </w:r>
      <w:r>
        <w:rPr/>
        <w:t>、</w:t>
      </w:r>
      <w:r>
        <w:rPr>
          <w:spacing w:val="-17"/>
        </w:rPr>
        <w:t> </w:t>
      </w:r>
      <w:r>
        <w:rPr/>
        <w:t>董事、监事、高级管理人员报酬的决策程序</w:t>
      </w:r>
      <w:r>
        <w:rPr/>
        <w:t> </w:t>
      </w:r>
      <w:r>
        <w:rPr>
          <w:spacing w:val="-2"/>
        </w:rPr>
        <w:t>公司董事、监事及高级管理人员报酬情况严格按照公司制定的《董事会议事规则》和《股东大会议事规则》执行，符合</w:t>
      </w:r>
    </w:p>
    <w:p>
      <w:pPr>
        <w:pStyle w:val="BodyText"/>
        <w:spacing w:line="240" w:lineRule="auto" w:before="46"/>
        <w:ind w:right="0"/>
        <w:jc w:val="both"/>
      </w:pPr>
      <w:r>
        <w:rPr/>
        <w:t>公司《章程》及《公司法》等的有关规定。</w:t>
      </w:r>
    </w:p>
    <w:p>
      <w:pPr>
        <w:spacing w:line="240" w:lineRule="auto" w:before="10"/>
        <w:rPr>
          <w:rFonts w:ascii="宋体" w:hAnsi="宋体" w:cs="宋体" w:eastAsia="宋体" w:hint="default"/>
          <w:sz w:val="20"/>
          <w:szCs w:val="20"/>
        </w:rPr>
      </w:pPr>
    </w:p>
    <w:p>
      <w:pPr>
        <w:pStyle w:val="BodyText"/>
        <w:spacing w:line="487" w:lineRule="auto"/>
        <w:ind w:left="514" w:right="1136"/>
        <w:jc w:val="left"/>
      </w:pPr>
      <w:r>
        <w:rPr>
          <w:rFonts w:ascii="Times New Roman" w:hAnsi="Times New Roman" w:cs="Times New Roman" w:eastAsia="Times New Roman" w:hint="default"/>
        </w:rPr>
        <w:t>2</w:t>
      </w:r>
      <w:r>
        <w:rPr/>
        <w:t>、董事、监事、高级管理人员报酬的确定依据 </w:t>
      </w:r>
      <w:r>
        <w:rPr>
          <w:spacing w:val="-2"/>
        </w:rPr>
        <w:t>在公司任职的董事（不含独立董事）、监事、高级管理人员按其职务根据公司现行的薪酬制度、参与经营业绩和个人绩</w:t>
      </w:r>
    </w:p>
    <w:p>
      <w:pPr>
        <w:pStyle w:val="BodyText"/>
        <w:spacing w:line="468" w:lineRule="auto" w:before="47"/>
        <w:ind w:right="1131"/>
        <w:jc w:val="both"/>
      </w:pPr>
      <w:r>
        <w:rPr>
          <w:spacing w:val="-2"/>
        </w:rPr>
        <w:t>效的实际情况领取报酬，高级管理人员实行年薪制，年薪与年度经营业绩挂钩，同时参照所处行业、地区的薪酬水平等综合</w:t>
      </w:r>
      <w:r>
        <w:rPr>
          <w:spacing w:val="-66"/>
        </w:rPr>
        <w:t> </w:t>
      </w:r>
      <w:r>
        <w:rPr>
          <w:spacing w:val="-66"/>
        </w:rPr>
      </w:r>
      <w:r>
        <w:rPr>
          <w:spacing w:val="-2"/>
        </w:rPr>
        <w:t>因素确定，并在年终实行绩效考核，上述人员的收入均为其从事公司管理工作的工资性收入。公司外部董事、独立董事的津</w:t>
      </w:r>
      <w:r>
        <w:rPr>
          <w:spacing w:val="-66"/>
        </w:rPr>
        <w:t> </w:t>
      </w:r>
      <w:r>
        <w:rPr>
          <w:spacing w:val="-66"/>
        </w:rPr>
      </w:r>
      <w:r>
        <w:rPr>
          <w:spacing w:val="-3"/>
        </w:rPr>
        <w:t>贴在</w:t>
      </w: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7</w:t>
      </w:r>
      <w:r>
        <w:rPr>
          <w:spacing w:val="-3"/>
        </w:rPr>
        <w:t>月董事会换届选举前为</w:t>
      </w:r>
      <w:r>
        <w:rPr>
          <w:rFonts w:ascii="Times New Roman" w:hAnsi="Times New Roman" w:cs="Times New Roman" w:eastAsia="Times New Roman" w:hint="default"/>
          <w:spacing w:val="-3"/>
        </w:rPr>
        <w:t>6</w:t>
      </w:r>
      <w:r>
        <w:rPr>
          <w:spacing w:val="-3"/>
        </w:rPr>
        <w:t>万元</w:t>
      </w:r>
      <w:r>
        <w:rPr>
          <w:rFonts w:ascii="Times New Roman" w:hAnsi="Times New Roman" w:cs="Times New Roman" w:eastAsia="Times New Roman" w:hint="default"/>
          <w:spacing w:val="-3"/>
        </w:rPr>
        <w:t>/</w:t>
      </w:r>
      <w:r>
        <w:rPr>
          <w:spacing w:val="-3"/>
        </w:rPr>
        <w:t>年（含税）。结合公司实际，经公司第三届董事会第二十四次会议审议通过将第四</w:t>
      </w:r>
      <w:r>
        <w:rPr>
          <w:spacing w:val="-50"/>
        </w:rPr>
        <w:t> </w:t>
      </w:r>
      <w:r>
        <w:rPr>
          <w:spacing w:val="-50"/>
        </w:rPr>
      </w:r>
      <w:r>
        <w:rPr>
          <w:spacing w:val="-4"/>
        </w:rPr>
        <w:t>届董事会独立董事津贴调整为</w:t>
      </w:r>
      <w:r>
        <w:rPr>
          <w:rFonts w:ascii="Times New Roman" w:hAnsi="Times New Roman" w:cs="Times New Roman" w:eastAsia="Times New Roman" w:hint="default"/>
          <w:spacing w:val="-4"/>
        </w:rPr>
        <w:t>7.2</w:t>
      </w:r>
      <w:r>
        <w:rPr>
          <w:spacing w:val="-4"/>
        </w:rPr>
        <w:t>万元</w:t>
      </w:r>
      <w:r>
        <w:rPr>
          <w:rFonts w:ascii="Times New Roman" w:hAnsi="Times New Roman" w:cs="Times New Roman" w:eastAsia="Times New Roman" w:hint="default"/>
          <w:spacing w:val="-4"/>
        </w:rPr>
        <w:t>/</w:t>
      </w:r>
      <w:r>
        <w:rPr>
          <w:spacing w:val="-4"/>
        </w:rPr>
        <w:t>年（含税）。</w:t>
      </w:r>
    </w:p>
    <w:p>
      <w:pPr>
        <w:pStyle w:val="BodyText"/>
        <w:spacing w:line="451" w:lineRule="auto" w:before="29"/>
        <w:ind w:left="514" w:right="1032"/>
        <w:jc w:val="left"/>
      </w:pPr>
      <w:r>
        <w:rPr>
          <w:rFonts w:ascii="Times New Roman" w:hAnsi="Times New Roman" w:cs="Times New Roman" w:eastAsia="Times New Roman" w:hint="default"/>
        </w:rPr>
        <w:t>3</w:t>
      </w:r>
      <w:r>
        <w:rPr/>
        <w:t>、董事、监事、高级管理人员报酬的实际支付情况 公司按照劳动法及公司薪酬制度的有关规定，如期足额支付公司董事、监事及高级管理人员的薪资，其中，外部董事、</w:t>
      </w:r>
    </w:p>
    <w:p>
      <w:pPr>
        <w:pStyle w:val="BodyText"/>
        <w:spacing w:line="240" w:lineRule="auto" w:before="74"/>
        <w:ind w:right="0"/>
        <w:jc w:val="both"/>
      </w:pPr>
      <w:r>
        <w:rPr/>
        <w:t>独立董事的津贴每半年支付一次。</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pStyle w:val="BodyText"/>
        <w:spacing w:line="240" w:lineRule="auto" w:before="44"/>
        <w:ind w:right="0"/>
        <w:jc w:val="left"/>
      </w:pPr>
      <w:r>
        <w:rPr/>
        <w:t>公司报告期内董事、监事和高级管理人员报酬情况</w:t>
      </w:r>
    </w:p>
    <w:p>
      <w:pPr>
        <w:pStyle w:val="BodyText"/>
        <w:spacing w:line="240" w:lineRule="auto" w:before="117"/>
        <w:ind w:left="0" w:right="1130"/>
        <w:jc w:val="right"/>
      </w:pPr>
      <w:r>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36" w:right="138"/>
              <w:jc w:val="left"/>
              <w:rPr>
                <w:rFonts w:ascii="宋体" w:hAnsi="宋体" w:cs="宋体" w:eastAsia="宋体" w:hint="default"/>
                <w:sz w:val="18"/>
                <w:szCs w:val="18"/>
              </w:rPr>
            </w:pPr>
            <w:r>
              <w:rPr>
                <w:rFonts w:ascii="宋体" w:hAnsi="宋体" w:cs="宋体" w:eastAsia="宋体" w:hint="default"/>
                <w:sz w:val="18"/>
                <w:szCs w:val="18"/>
              </w:rPr>
              <w:t>从公司获得的 税前报酬总额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37" w:right="137"/>
              <w:jc w:val="left"/>
              <w:rPr>
                <w:rFonts w:ascii="宋体" w:hAnsi="宋体" w:cs="宋体" w:eastAsia="宋体" w:hint="default"/>
                <w:sz w:val="18"/>
                <w:szCs w:val="18"/>
              </w:rPr>
            </w:pPr>
            <w:r>
              <w:rPr>
                <w:rFonts w:ascii="宋体" w:hAnsi="宋体" w:cs="宋体" w:eastAsia="宋体" w:hint="default"/>
                <w:sz w:val="18"/>
                <w:szCs w:val="18"/>
              </w:rPr>
              <w:t>是否在公司关 联方获取报酬</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夏传武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3"/>
              <w:jc w:val="left"/>
              <w:rPr>
                <w:rFonts w:ascii="宋体" w:hAnsi="宋体" w:cs="宋体" w:eastAsia="宋体" w:hint="default"/>
                <w:sz w:val="18"/>
                <w:szCs w:val="18"/>
              </w:rPr>
            </w:pPr>
            <w:r>
              <w:rPr>
                <w:rFonts w:ascii="宋体" w:hAnsi="宋体" w:cs="宋体" w:eastAsia="宋体" w:hint="default"/>
                <w:sz w:val="18"/>
                <w:szCs w:val="18"/>
              </w:rPr>
              <w:t>原董事长、总 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昌智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28.39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陈新民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董事、总经理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45.23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魏代英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3"/>
              <w:jc w:val="left"/>
              <w:rPr>
                <w:rFonts w:ascii="宋体" w:hAnsi="宋体" w:cs="宋体" w:eastAsia="宋体" w:hint="default"/>
                <w:sz w:val="18"/>
                <w:szCs w:val="18"/>
              </w:rPr>
            </w:pPr>
            <w:r>
              <w:rPr>
                <w:rFonts w:ascii="宋体" w:hAnsi="宋体" w:cs="宋体" w:eastAsia="宋体" w:hint="default"/>
                <w:sz w:val="18"/>
                <w:szCs w:val="18"/>
              </w:rPr>
              <w:t>董事、董事会 秘书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38.89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曾兆豪</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原董事、财务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34.46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0"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362" w:hRule="exact"/>
        </w:trPr>
        <w:tc>
          <w:tcPr>
            <w:tcW w:w="1370"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负责人</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杨依明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原总经理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43.38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廖垚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王平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王艳梅</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易庆国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胡爱武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33.99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施隆红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卢和忠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原监事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32.24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叶广照</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原监事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14.14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夏艳华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职工监事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27.95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陈蔚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463.39</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t>公司董事、高级管理人员报告期内被授予的股权激励情况</w:t>
      </w:r>
    </w:p>
    <w:p>
      <w:pPr>
        <w:pStyle w:val="BodyText"/>
        <w:spacing w:line="240" w:lineRule="auto" w:before="117"/>
        <w:ind w:right="0"/>
        <w:jc w:val="left"/>
      </w:pPr>
      <w:r>
        <w:rPr/>
        <w:t>□ 适用 √ 不适用</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五、公司员工情况" w:id="129"/>
      <w:bookmarkEnd w:id="129"/>
      <w:r>
        <w:rPr>
          <w:b w:val="0"/>
          <w:bCs w:val="0"/>
        </w:rPr>
      </w:r>
      <w:r>
        <w:rPr/>
        <w:t>五、公司员工情况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员工数量、专业构成及教育程度" w:id="130"/>
      <w:bookmarkEnd w:id="130"/>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6,201</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6,851</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6,851</w:t>
            </w:r>
          </w:p>
        </w:tc>
      </w:tr>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397"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39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sz w:val="18"/>
              </w:rPr>
              <w:t>3,964</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75</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2,052</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69</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83</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管理人员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303</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305</w:t>
            </w:r>
          </w:p>
        </w:tc>
      </w:tr>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6,851</w:t>
            </w:r>
          </w:p>
        </w:tc>
      </w:tr>
      <w:tr>
        <w:trPr>
          <w:trHeight w:val="397"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bl>
    <w:p>
      <w:pPr>
        <w:spacing w:after="0" w:line="240" w:lineRule="auto"/>
        <w:jc w:val="center"/>
        <w:rPr>
          <w:rFonts w:ascii="宋体" w:hAnsi="宋体" w:cs="宋体" w:eastAsia="宋体" w:hint="default"/>
          <w:sz w:val="18"/>
          <w:szCs w:val="18"/>
        </w:rPr>
        <w:sectPr>
          <w:pgSz w:w="11910" w:h="16840"/>
          <w:pgMar w:header="0" w:footer="1019" w:top="1120" w:bottom="1200" w:left="980" w:right="0"/>
        </w:sectPr>
      </w:pPr>
    </w:p>
    <w:p>
      <w:pPr>
        <w:spacing w:line="240" w:lineRule="auto" w:before="4"/>
        <w:rPr>
          <w:rFonts w:ascii="宋体" w:hAnsi="宋体" w:cs="宋体" w:eastAsia="宋体" w:hint="default"/>
          <w:b/>
          <w:bCs/>
          <w:sz w:val="23"/>
          <w:szCs w:val="23"/>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博士及以上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硕士</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392</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551</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高中及以下</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5,887</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6,851</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薪酬政策" w:id="131"/>
      <w:bookmarkEnd w:id="131"/>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1130" w:firstLine="357"/>
        <w:jc w:val="both"/>
      </w:pPr>
      <w:r>
        <w:rPr>
          <w:spacing w:val="-2"/>
        </w:rPr>
        <w:t>本公司实行劳动合同制，按照《中华人民共和国劳动合同法》和国家及地方其他有关劳动法律、法规的规定，与员工签</w:t>
      </w:r>
      <w:r>
        <w:rPr/>
        <w:t> </w:t>
      </w:r>
      <w:r>
        <w:rPr>
          <w:spacing w:val="-2"/>
        </w:rPr>
        <w:t>订劳动合同。公司严格执行国家用工制度、劳动保护制度、社会保障制度和医疗保障制度，按照国家规定为员工缴纳医疗保</w:t>
      </w:r>
      <w:r>
        <w:rPr>
          <w:spacing w:val="-66"/>
        </w:rPr>
        <w:t> </w:t>
      </w:r>
      <w:r>
        <w:rPr>
          <w:spacing w:val="-66"/>
        </w:rPr>
      </w:r>
      <w:r>
        <w:rPr/>
        <w:t>险金、养老保险、失业保险、工伤保险、生育保险、公积金。</w:t>
      </w:r>
    </w:p>
    <w:p>
      <w:pPr>
        <w:pStyle w:val="BodyText"/>
        <w:spacing w:line="477" w:lineRule="auto" w:before="95"/>
        <w:ind w:right="1131" w:firstLine="357"/>
        <w:jc w:val="both"/>
      </w:pPr>
      <w:r>
        <w:rPr>
          <w:spacing w:val="-2"/>
        </w:rPr>
        <w:t>公司向员工提供稳定而有竞争力的薪酬，建立了一套以岗位定薪的薪酬和绩效考核体系，充分调动员工的积极性和创造</w:t>
      </w:r>
      <w:r>
        <w:rPr/>
        <w:t> </w:t>
      </w:r>
      <w:r>
        <w:rPr>
          <w:spacing w:val="-2"/>
        </w:rPr>
        <w:t>性，不断提高员工的满意度和忠诚度。同时，公司积极探索和不断完善有持久吸引力的绩效评价体系和相应的激励机制，实</w:t>
      </w:r>
      <w:r>
        <w:rPr>
          <w:spacing w:val="-66"/>
        </w:rPr>
        <w:t> </w:t>
      </w:r>
      <w:r>
        <w:rPr>
          <w:spacing w:val="-66"/>
        </w:rPr>
      </w:r>
      <w:r>
        <w:rPr/>
        <w:t>现人力资源的可持续发展，从而塑造一支高素质的人才队伍，持续增强公司的竞争实力。</w:t>
      </w:r>
    </w:p>
    <w:p>
      <w:pPr>
        <w:spacing w:line="240" w:lineRule="auto" w:before="1"/>
        <w:rPr>
          <w:rFonts w:ascii="宋体" w:hAnsi="宋体" w:cs="宋体" w:eastAsia="宋体" w:hint="default"/>
          <w:sz w:val="19"/>
          <w:szCs w:val="19"/>
        </w:rPr>
      </w:pPr>
    </w:p>
    <w:p>
      <w:pPr>
        <w:pStyle w:val="Heading3"/>
        <w:spacing w:line="240" w:lineRule="auto"/>
        <w:ind w:right="0"/>
        <w:jc w:val="left"/>
        <w:rPr>
          <w:b w:val="0"/>
          <w:bCs w:val="0"/>
        </w:rPr>
      </w:pPr>
      <w:bookmarkStart w:name="3、培训计划" w:id="132"/>
      <w:bookmarkEnd w:id="132"/>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7"/>
        <w:rPr>
          <w:rFonts w:ascii="宋体" w:hAnsi="宋体" w:cs="宋体" w:eastAsia="宋体" w:hint="default"/>
          <w:b/>
          <w:bCs/>
          <w:sz w:val="32"/>
          <w:szCs w:val="32"/>
        </w:rPr>
      </w:pPr>
    </w:p>
    <w:p>
      <w:pPr>
        <w:pStyle w:val="BodyText"/>
        <w:spacing w:line="477" w:lineRule="auto"/>
        <w:ind w:right="1032" w:firstLine="360"/>
        <w:jc w:val="left"/>
      </w:pPr>
      <w:r>
        <w:rPr/>
        <w:t>公司自上而下构建了完善的培训体系，培训内容涵盖了新员工培训、专项技术、管理技能、经验交流等多方面的内容， </w:t>
      </w:r>
      <w:r>
        <w:rPr>
          <w:spacing w:val="-2"/>
        </w:rPr>
        <w:t>积极寻求各种有效的培训资源（如高校、政府、社会培训学校及内部优秀师资挖掘与培养等），同时全年组织员工参加各类</w:t>
      </w:r>
      <w:r>
        <w:rPr>
          <w:spacing w:val="-72"/>
        </w:rPr>
        <w:t> </w:t>
      </w:r>
      <w:r>
        <w:rPr>
          <w:spacing w:val="-72"/>
        </w:rPr>
      </w:r>
      <w:r>
        <w:rPr/>
        <w:t>职业资格考试，提升员工的工作技术水平，将</w:t>
      </w:r>
      <w:r>
        <w:rPr>
          <w:rFonts w:ascii="Times New Roman" w:hAnsi="Times New Roman" w:cs="Times New Roman" w:eastAsia="Times New Roman" w:hint="default"/>
        </w:rPr>
        <w:t>“</w:t>
      </w:r>
      <w:r>
        <w:rPr/>
        <w:t>分享</w:t>
      </w:r>
      <w:r>
        <w:rPr>
          <w:rFonts w:ascii="Times New Roman" w:hAnsi="Times New Roman" w:cs="Times New Roman" w:eastAsia="Times New Roman" w:hint="default"/>
        </w:rPr>
        <w:t>”</w:t>
      </w:r>
      <w:r>
        <w:rPr/>
        <w:t>的理念贯穿于整个培训体系。</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2"/>
          <w:szCs w:val="22"/>
        </w:rPr>
      </w:pPr>
    </w:p>
    <w:p>
      <w:pPr>
        <w:pStyle w:val="Heading3"/>
        <w:spacing w:line="240" w:lineRule="auto"/>
        <w:ind w:right="0"/>
        <w:jc w:val="left"/>
        <w:rPr>
          <w:b w:val="0"/>
          <w:bCs w:val="0"/>
        </w:rPr>
      </w:pPr>
      <w:bookmarkStart w:name="4、劳务外包情况" w:id="133"/>
      <w:bookmarkEnd w:id="133"/>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0" w:footer="1019" w:top="1120" w:bottom="120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1"/>
        <w:spacing w:line="240" w:lineRule="auto"/>
        <w:ind w:right="978"/>
        <w:jc w:val="center"/>
        <w:rPr>
          <w:b w:val="0"/>
          <w:bCs w:val="0"/>
        </w:rPr>
      </w:pPr>
      <w:bookmarkStart w:name="第九节 公司治理" w:id="134"/>
      <w:bookmarkEnd w:id="134"/>
      <w:r>
        <w:rPr>
          <w:b w:val="0"/>
          <w:bCs w:val="0"/>
        </w:rPr>
      </w:r>
      <w:bookmarkStart w:name="_bookmark8" w:id="135"/>
      <w:bookmarkEnd w:id="135"/>
      <w:r>
        <w:rPr>
          <w:b w:val="0"/>
          <w:bCs w:val="0"/>
        </w:rPr>
      </w:r>
      <w:r>
        <w:rPr/>
        <w:t>第九节</w:t>
      </w:r>
      <w:r>
        <w:rPr>
          <w:spacing w:val="-5"/>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公司治理的基本状况" w:id="136"/>
      <w:bookmarkEnd w:id="136"/>
      <w:r>
        <w:rPr>
          <w:b w:val="0"/>
          <w:bCs w:val="0"/>
        </w:rPr>
      </w:r>
      <w:r>
        <w:rPr/>
        <w:t>一、公司治理的基本状况</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1131" w:firstLine="357"/>
        <w:jc w:val="both"/>
      </w:pPr>
      <w:r>
        <w:rPr>
          <w:spacing w:val="-15"/>
        </w:rPr>
        <w:t>报告期内，公司严格按照《公司法》、《证券法》、《上市公司治理准则》、《深圳证券交易所股票上市规则》、《深圳证券交</w:t>
      </w:r>
      <w:r>
        <w:rPr/>
        <w:t> </w:t>
      </w:r>
      <w:r>
        <w:rPr>
          <w:spacing w:val="-2"/>
        </w:rPr>
        <w:t>易所中小企业板上市公司规范运作指引》等法律法规的要求，积极履行信息披露义务，完善公司治理结构，健全内部管理和</w:t>
      </w:r>
      <w:r>
        <w:rPr>
          <w:spacing w:val="-66"/>
        </w:rPr>
        <w:t> </w:t>
      </w:r>
      <w:r>
        <w:rPr>
          <w:spacing w:val="-66"/>
        </w:rPr>
      </w:r>
      <w:r>
        <w:rPr/>
        <w:t>控制体系，持续深入开展公司治理活动，切实维护公司及全体股东利益，确保了公司安全、稳定、健康、持续的发展。</w:t>
      </w:r>
    </w:p>
    <w:p>
      <w:pPr>
        <w:pStyle w:val="BodyText"/>
        <w:spacing w:line="477" w:lineRule="auto" w:before="54"/>
        <w:ind w:right="0" w:firstLine="357"/>
        <w:jc w:val="left"/>
      </w:pPr>
      <w:r>
        <w:rPr>
          <w:spacing w:val="-2"/>
        </w:rPr>
        <w:t>截止报告期末，公司的法人治理结构更加完善，公司的规范运作、治理水平进一步得到提升。公司治理的情况基本符合</w:t>
      </w:r>
      <w:r>
        <w:rPr/>
        <w:t> 中国证监会发布的有关上市公司治理的规范性文件。</w:t>
      </w:r>
    </w:p>
    <w:p>
      <w:pPr>
        <w:pStyle w:val="BodyText"/>
        <w:spacing w:line="240" w:lineRule="auto" w:before="54"/>
        <w:ind w:left="511" w:right="0"/>
        <w:jc w:val="left"/>
      </w:pPr>
      <w:r>
        <w:rPr/>
        <w:t>报告期内，公司治理具体情况如下：</w:t>
      </w:r>
    </w:p>
    <w:p>
      <w:pPr>
        <w:spacing w:line="240" w:lineRule="auto" w:before="10"/>
        <w:rPr>
          <w:rFonts w:ascii="宋体" w:hAnsi="宋体" w:cs="宋体" w:eastAsia="宋体" w:hint="default"/>
          <w:sz w:val="17"/>
          <w:szCs w:val="17"/>
        </w:rPr>
      </w:pPr>
    </w:p>
    <w:p>
      <w:pPr>
        <w:pStyle w:val="BodyText"/>
        <w:spacing w:line="240" w:lineRule="auto"/>
        <w:ind w:left="511" w:right="0"/>
        <w:jc w:val="left"/>
      </w:pPr>
      <w:r>
        <w:rPr>
          <w:rFonts w:ascii="Times New Roman" w:hAnsi="Times New Roman" w:cs="Times New Roman" w:eastAsia="Times New Roman" w:hint="default"/>
        </w:rPr>
        <w:t>1</w:t>
      </w:r>
      <w:r>
        <w:rPr/>
        <w:t>、关于股东和股东大会</w:t>
      </w:r>
    </w:p>
    <w:p>
      <w:pPr>
        <w:spacing w:line="240" w:lineRule="auto" w:before="9"/>
        <w:rPr>
          <w:rFonts w:ascii="宋体" w:hAnsi="宋体" w:cs="宋体" w:eastAsia="宋体" w:hint="default"/>
          <w:sz w:val="16"/>
          <w:szCs w:val="16"/>
        </w:rPr>
      </w:pPr>
    </w:p>
    <w:p>
      <w:pPr>
        <w:pStyle w:val="BodyText"/>
        <w:spacing w:line="240" w:lineRule="auto"/>
        <w:ind w:left="511" w:right="0"/>
        <w:jc w:val="left"/>
      </w:pPr>
      <w:r>
        <w:rPr/>
        <w:t>报告期内</w:t>
      </w:r>
      <w:r>
        <w:rPr>
          <w:rFonts w:ascii="Times New Roman" w:hAnsi="Times New Roman" w:cs="Times New Roman" w:eastAsia="Times New Roman" w:hint="default"/>
        </w:rPr>
        <w:t>,  </w:t>
      </w:r>
      <w:r>
        <w:rPr/>
        <w:t>公</w:t>
      </w:r>
      <w:r>
        <w:rPr>
          <w:spacing w:val="-2"/>
        </w:rPr>
        <w:t>司</w:t>
      </w:r>
      <w:r>
        <w:rPr/>
        <w:t>认真贯彻落</w:t>
      </w:r>
      <w:r>
        <w:rPr>
          <w:spacing w:val="-11"/>
        </w:rPr>
        <w:t>实</w:t>
      </w:r>
      <w:r>
        <w:rPr/>
        <w:t>《上市公司股东大会规则</w:t>
      </w:r>
      <w:r>
        <w:rPr>
          <w:spacing w:val="-90"/>
        </w:rPr>
        <w:t>》</w:t>
      </w:r>
      <w:r>
        <w:rPr>
          <w:spacing w:val="-101"/>
        </w:rPr>
        <w:t>、</w:t>
      </w:r>
      <w:r>
        <w:rPr/>
        <w:t>《深圳证券交易所中小企业板投资者权益保护指引</w:t>
      </w:r>
      <w:r>
        <w:rPr>
          <w:spacing w:val="-11"/>
        </w:rPr>
        <w:t>》</w:t>
      </w:r>
      <w:r>
        <w:rPr/>
        <w:t>以及公司</w:t>
      </w:r>
    </w:p>
    <w:p>
      <w:pPr>
        <w:spacing w:line="240" w:lineRule="auto" w:before="9"/>
        <w:rPr>
          <w:rFonts w:ascii="宋体" w:hAnsi="宋体" w:cs="宋体" w:eastAsia="宋体" w:hint="default"/>
          <w:sz w:val="16"/>
          <w:szCs w:val="16"/>
        </w:rPr>
      </w:pPr>
    </w:p>
    <w:p>
      <w:pPr>
        <w:pStyle w:val="BodyText"/>
        <w:spacing w:line="477" w:lineRule="auto"/>
        <w:ind w:right="0"/>
        <w:jc w:val="left"/>
      </w:pPr>
      <w:r>
        <w:rPr>
          <w:spacing w:val="-4"/>
        </w:rPr>
        <w:t>《章程》、公司《股东大会议事规则》的要求，依法规范股东大会的召集、召开、表决等程序，确保所有股东享有平等地位、</w:t>
      </w:r>
      <w:r>
        <w:rPr>
          <w:spacing w:val="-49"/>
        </w:rPr>
        <w:t> </w:t>
      </w:r>
      <w:r>
        <w:rPr>
          <w:spacing w:val="-49"/>
        </w:rPr>
      </w:r>
      <w:r>
        <w:rPr>
          <w:spacing w:val="-2"/>
        </w:rPr>
        <w:t>平等权利，为股东参加股东大会提供便利（如提供网络投票等），确保所有股东特别是中小股东能充分行使其股东权利，有</w:t>
      </w:r>
      <w:r>
        <w:rPr>
          <w:spacing w:val="-65"/>
        </w:rPr>
        <w:t> </w:t>
      </w:r>
      <w:r>
        <w:rPr>
          <w:spacing w:val="-65"/>
        </w:rPr>
      </w:r>
      <w:r>
        <w:rPr/>
        <w:t>效地保证了中小股东的权益。</w:t>
      </w:r>
    </w:p>
    <w:p>
      <w:pPr>
        <w:pStyle w:val="BodyText"/>
        <w:spacing w:line="477" w:lineRule="auto" w:before="54"/>
        <w:ind w:right="0" w:firstLine="357"/>
        <w:jc w:val="left"/>
      </w:pPr>
      <w:r>
        <w:rPr>
          <w:spacing w:val="-2"/>
        </w:rPr>
        <w:t>报告期内，公司共召开</w:t>
      </w:r>
      <w:r>
        <w:rPr>
          <w:rFonts w:ascii="宋体" w:hAnsi="宋体" w:cs="宋体" w:eastAsia="宋体" w:hint="default"/>
          <w:spacing w:val="-2"/>
        </w:rPr>
        <w:t>8</w:t>
      </w:r>
      <w:r>
        <w:rPr>
          <w:spacing w:val="-2"/>
        </w:rPr>
        <w:t>次股东大会，均由董事会召集召开，并聘请律师进行现场见证，对会议的召开程序、审议事项、</w:t>
      </w:r>
      <w:r>
        <w:rPr/>
        <w:t> </w:t>
      </w:r>
      <w:r>
        <w:rPr>
          <w:spacing w:val="-2"/>
        </w:rPr>
        <w:t>出席人身份进行确认和见证，并出具法律意见书，保证了股东大会的合法有效。根据相关法律、行政法规、部门规章、规范</w:t>
      </w:r>
      <w:r>
        <w:rPr>
          <w:spacing w:val="-68"/>
        </w:rPr>
        <w:t> </w:t>
      </w:r>
      <w:r>
        <w:rPr>
          <w:spacing w:val="-68"/>
        </w:rPr>
      </w:r>
      <w:r>
        <w:rPr>
          <w:spacing w:val="-2"/>
        </w:rPr>
        <w:t>性文件及公司章程等规定应由股东大会表决的事项均按照相应的权限审批后交由股东大会审议，不存在越权审批或先实施后</w:t>
      </w:r>
      <w:r>
        <w:rPr>
          <w:spacing w:val="-63"/>
        </w:rPr>
        <w:t> </w:t>
      </w:r>
      <w:r>
        <w:rPr>
          <w:spacing w:val="-63"/>
        </w:rPr>
      </w:r>
      <w:r>
        <w:rPr/>
        <w:t>审议的情况</w:t>
      </w:r>
      <w:r>
        <w:rPr>
          <w:rFonts w:ascii="宋体" w:hAnsi="宋体" w:cs="宋体" w:eastAsia="宋体" w:hint="default"/>
        </w:rPr>
        <w:t>,</w:t>
      </w:r>
      <w:r>
        <w:rPr/>
        <w:t>确保股东对公司决策事项的参与权和表决权。</w:t>
      </w:r>
    </w:p>
    <w:p>
      <w:pPr>
        <w:pStyle w:val="BodyText"/>
        <w:spacing w:line="451" w:lineRule="auto" w:before="54"/>
        <w:ind w:left="511" w:right="0"/>
        <w:jc w:val="left"/>
      </w:pPr>
      <w:r>
        <w:rPr>
          <w:rFonts w:ascii="Times New Roman" w:hAnsi="Times New Roman" w:cs="Times New Roman" w:eastAsia="Times New Roman" w:hint="default"/>
        </w:rPr>
        <w:t>2</w:t>
      </w:r>
      <w:r>
        <w:rPr/>
        <w:t>、关于公司与控股股东 </w:t>
      </w:r>
      <w:r>
        <w:rPr>
          <w:spacing w:val="-2"/>
        </w:rPr>
        <w:t>公司拥有独立完整的业务和自主经营能力，在业务、人员、资产、机构、财务上独立于控股股东，公司董事会、监事会</w:t>
      </w:r>
    </w:p>
    <w:p>
      <w:pPr>
        <w:pStyle w:val="BodyText"/>
        <w:spacing w:line="477" w:lineRule="auto" w:before="74"/>
        <w:ind w:right="0"/>
        <w:jc w:val="left"/>
      </w:pPr>
      <w:r>
        <w:rPr>
          <w:spacing w:val="-4"/>
        </w:rPr>
        <w:t>及各职能部门均独立运作。公司的重大决策由股东大会、董事会依法做出，公司控股股东严格按照相关法律法规规定和承诺，</w:t>
      </w:r>
      <w:r>
        <w:rPr>
          <w:spacing w:val="-44"/>
        </w:rPr>
        <w:t> </w:t>
      </w:r>
      <w:r>
        <w:rPr>
          <w:spacing w:val="-44"/>
        </w:rPr>
      </w:r>
      <w:r>
        <w:rPr>
          <w:spacing w:val="-2"/>
        </w:rPr>
        <w:t>规范自己的行为，没有直接或间接干预公司的决策和经营活动。在报告期内，控股股东严格遵守相关承诺，未与公司进行关</w:t>
      </w:r>
      <w:r>
        <w:rPr>
          <w:spacing w:val="-66"/>
        </w:rPr>
        <w:t> </w:t>
      </w:r>
      <w:r>
        <w:rPr>
          <w:spacing w:val="-66"/>
        </w:rPr>
      </w:r>
      <w:r>
        <w:rPr/>
        <w:t>联交易，也不存在控股股东占用上市公司资金的现象，公司亦无为控股股东提供担保的情形。</w:t>
      </w:r>
    </w:p>
    <w:p>
      <w:pPr>
        <w:pStyle w:val="BodyText"/>
        <w:spacing w:line="451" w:lineRule="auto" w:before="54"/>
        <w:ind w:left="511" w:right="0"/>
        <w:jc w:val="left"/>
      </w:pPr>
      <w:r>
        <w:rPr>
          <w:rFonts w:ascii="Times New Roman" w:hAnsi="Times New Roman" w:cs="Times New Roman" w:eastAsia="Times New Roman" w:hint="default"/>
        </w:rPr>
        <w:t>3</w:t>
      </w:r>
      <w:r>
        <w:rPr/>
        <w:t>、关于董事与董事会 </w:t>
      </w:r>
      <w:r>
        <w:rPr>
          <w:spacing w:val="-4"/>
        </w:rPr>
        <w:t>公司董事会严格按照《公司法》和《公司章程》、《董事会议事规则》等法律法规开展工作，公司董事的选聘程序公开、</w:t>
      </w:r>
    </w:p>
    <w:p>
      <w:pPr>
        <w:pStyle w:val="BodyText"/>
        <w:spacing w:line="463" w:lineRule="auto" w:before="74"/>
        <w:ind w:right="1129"/>
        <w:jc w:val="both"/>
      </w:pPr>
      <w:r>
        <w:rPr>
          <w:spacing w:val="-2"/>
        </w:rPr>
        <w:t>公平、公正。公司董事会设董事</w:t>
      </w:r>
      <w:r>
        <w:rPr>
          <w:rFonts w:ascii="Times New Roman" w:hAnsi="Times New Roman" w:cs="Times New Roman" w:eastAsia="Times New Roman" w:hint="default"/>
          <w:spacing w:val="-2"/>
        </w:rPr>
        <w:t>8</w:t>
      </w:r>
      <w:r>
        <w:rPr>
          <w:spacing w:val="-2"/>
        </w:rPr>
        <w:t>名，其中独立董事</w:t>
      </w:r>
      <w:r>
        <w:rPr>
          <w:rFonts w:ascii="Times New Roman" w:hAnsi="Times New Roman" w:cs="Times New Roman" w:eastAsia="Times New Roman" w:hint="default"/>
          <w:spacing w:val="-2"/>
        </w:rPr>
        <w:t>3</w:t>
      </w:r>
      <w:r>
        <w:rPr>
          <w:spacing w:val="-2"/>
        </w:rPr>
        <w:t>名，占全体董事的三分之一，董事人员构成和人数符合法律、法规和公</w:t>
      </w:r>
      <w:r>
        <w:rPr>
          <w:spacing w:val="-65"/>
        </w:rPr>
        <w:t> </w:t>
      </w:r>
      <w:r>
        <w:rPr>
          <w:spacing w:val="-65"/>
        </w:rPr>
      </w:r>
      <w:r>
        <w:rPr>
          <w:spacing w:val="-2"/>
        </w:rPr>
        <w:t>司《章程》的规定。董事会下设审计委员会、薪酬与考核委员会、提名委员会三个专门委员会，并制定了各委员会相关的实</w:t>
      </w:r>
      <w:r>
        <w:rPr>
          <w:spacing w:val="-68"/>
        </w:rPr>
        <w:t> </w:t>
      </w:r>
      <w:r>
        <w:rPr>
          <w:spacing w:val="-68"/>
        </w:rPr>
      </w:r>
      <w:r>
        <w:rPr>
          <w:spacing w:val="-2"/>
        </w:rPr>
        <w:t>施细则，各尽其责，极大提高了董事会办事效率。专业委员会设立以来，均严格按照相应工作制度开展工作，已在公司的经</w:t>
      </w:r>
    </w:p>
    <w:p>
      <w:pPr>
        <w:spacing w:after="0" w:line="463" w:lineRule="auto"/>
        <w:jc w:val="both"/>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043"/>
        <w:jc w:val="both"/>
      </w:pPr>
      <w:r>
        <w:rPr>
          <w:spacing w:val="-2"/>
        </w:rPr>
        <w:t>营管理中充分发挥了其专业性作用。董事会严格按照《公司章程》和《董事会议事规则》等规定召集召开董事会会议，执行</w:t>
      </w:r>
      <w:r>
        <w:rPr>
          <w:spacing w:val="-68"/>
        </w:rPr>
        <w:t> </w:t>
      </w:r>
      <w:r>
        <w:rPr>
          <w:spacing w:val="-68"/>
        </w:rPr>
      </w:r>
      <w:r>
        <w:rPr>
          <w:spacing w:val="-2"/>
        </w:rPr>
        <w:t>股东大会决议；公司依法保障董事会的召集、召开程序，充分发挥董事特别是独立董事在公司规范运作中的作用，每位独立</w:t>
      </w:r>
      <w:r>
        <w:rPr>
          <w:spacing w:val="-66"/>
        </w:rPr>
        <w:t> </w:t>
      </w:r>
      <w:r>
        <w:rPr>
          <w:spacing w:val="-66"/>
        </w:rPr>
      </w:r>
      <w:r>
        <w:rPr>
          <w:spacing w:val="-2"/>
        </w:rPr>
        <w:t>董事均严格遵守《独立董事工作制度》，认真负责、勤勉诚信地履行各自的职责，独立董事在规范公司内部治理的过程中提</w:t>
      </w:r>
      <w:r>
        <w:rPr>
          <w:spacing w:val="-65"/>
        </w:rPr>
        <w:t> </w:t>
      </w:r>
      <w:r>
        <w:rPr>
          <w:spacing w:val="-65"/>
        </w:rPr>
      </w:r>
      <w:r>
        <w:rPr>
          <w:spacing w:val="-10"/>
        </w:rPr>
        <w:t>出了宝贵的意见与建议。全体董事能够按照《公司法》、《深圳证券交易所中小企业板上市公司董事行为指引》、公司《章程》、</w:t>
      </w:r>
    </w:p>
    <w:p>
      <w:pPr>
        <w:pStyle w:val="BodyText"/>
        <w:spacing w:line="477" w:lineRule="auto" w:before="54"/>
        <w:ind w:right="1130"/>
        <w:jc w:val="both"/>
      </w:pPr>
      <w:r>
        <w:rPr>
          <w:spacing w:val="-5"/>
        </w:rPr>
        <w:t>《董事会议事规则》、《独立董事工作制度》的要求，认真开展各项工作，按时出席董事会、股东大会等，积极参与公司经营</w:t>
      </w:r>
      <w:r>
        <w:rPr>
          <w:spacing w:val="-81"/>
        </w:rPr>
        <w:t> </w:t>
      </w:r>
      <w:r>
        <w:rPr>
          <w:spacing w:val="-81"/>
        </w:rPr>
      </w:r>
      <w:r>
        <w:rPr/>
        <w:t>决策，认真履行诚实守信、勤勉尽责的义务，切实维护公司和股东的合法权益。</w:t>
      </w:r>
    </w:p>
    <w:p>
      <w:pPr>
        <w:pStyle w:val="BodyText"/>
        <w:spacing w:line="240" w:lineRule="auto" w:before="54"/>
        <w:ind w:left="511" w:right="0"/>
        <w:jc w:val="left"/>
      </w:pPr>
      <w:r>
        <w:rPr/>
        <w:t>报告期内，公司共召开了</w:t>
      </w:r>
      <w:r>
        <w:rPr>
          <w:rFonts w:ascii="Times New Roman" w:hAnsi="Times New Roman" w:cs="Times New Roman" w:eastAsia="Times New Roman" w:hint="default"/>
        </w:rPr>
        <w:t>16</w:t>
      </w:r>
      <w:r>
        <w:rPr/>
        <w:t>次董事会，各位董事认真审议各项议案，履行了应尽的职责。</w:t>
      </w:r>
    </w:p>
    <w:p>
      <w:pPr>
        <w:spacing w:line="240" w:lineRule="auto" w:before="9"/>
        <w:rPr>
          <w:rFonts w:ascii="宋体" w:hAnsi="宋体" w:cs="宋体" w:eastAsia="宋体" w:hint="default"/>
          <w:sz w:val="16"/>
          <w:szCs w:val="16"/>
        </w:rPr>
      </w:pPr>
    </w:p>
    <w:p>
      <w:pPr>
        <w:pStyle w:val="BodyText"/>
        <w:spacing w:line="451" w:lineRule="auto"/>
        <w:ind w:left="511" w:right="0"/>
        <w:jc w:val="left"/>
      </w:pPr>
      <w:r>
        <w:rPr>
          <w:rFonts w:ascii="Times New Roman" w:hAnsi="Times New Roman" w:cs="Times New Roman" w:eastAsia="Times New Roman" w:hint="default"/>
        </w:rPr>
        <w:t>4</w:t>
      </w:r>
      <w:r>
        <w:rPr/>
        <w:t>、关于监事与监事会 </w:t>
      </w:r>
      <w:r>
        <w:rPr>
          <w:spacing w:val="-7"/>
        </w:rPr>
        <w:t>公司严格按照《公司法》、公司《章程》、《股东大会议事规则》规定的选聘程序选举监事。公司监事会设监事</w:t>
      </w:r>
      <w:r>
        <w:rPr>
          <w:rFonts w:ascii="Times New Roman" w:hAnsi="Times New Roman" w:cs="Times New Roman" w:eastAsia="Times New Roman" w:hint="default"/>
          <w:spacing w:val="-7"/>
        </w:rPr>
        <w:t>3</w:t>
      </w:r>
      <w:r>
        <w:rPr>
          <w:spacing w:val="-7"/>
        </w:rPr>
        <w:t>名，其中</w:t>
      </w:r>
    </w:p>
    <w:p>
      <w:pPr>
        <w:pStyle w:val="BodyText"/>
        <w:spacing w:line="463" w:lineRule="auto" w:before="43"/>
        <w:ind w:right="1131"/>
        <w:jc w:val="both"/>
      </w:pPr>
      <w:r>
        <w:rPr>
          <w:spacing w:val="-4"/>
        </w:rPr>
        <w:t>职工代表监事</w:t>
      </w:r>
      <w:r>
        <w:rPr>
          <w:rFonts w:ascii="Times New Roman" w:hAnsi="Times New Roman" w:cs="Times New Roman" w:eastAsia="Times New Roman" w:hint="default"/>
          <w:spacing w:val="-4"/>
        </w:rPr>
        <w:t>1</w:t>
      </w:r>
      <w:r>
        <w:rPr>
          <w:spacing w:val="-4"/>
        </w:rPr>
        <w:t>名，占全体监事的三分之一。全体监事严格依照公司《章程》、《监事会议事规则》等制度的要求，认真履行</w:t>
      </w:r>
      <w:r>
        <w:rPr>
          <w:spacing w:val="-43"/>
        </w:rPr>
        <w:t> </w:t>
      </w:r>
      <w:r>
        <w:rPr>
          <w:spacing w:val="-43"/>
        </w:rPr>
      </w:r>
      <w:r>
        <w:rPr>
          <w:spacing w:val="-2"/>
        </w:rPr>
        <w:t>自己的职责，对董事会决策程序、决议事项及公司依法运作情况实施监督，对公司财务状况、重大事项以及公司董事及高级</w:t>
      </w:r>
      <w:r>
        <w:rPr>
          <w:spacing w:val="-66"/>
        </w:rPr>
        <w:t> </w:t>
      </w:r>
      <w:r>
        <w:rPr>
          <w:spacing w:val="-66"/>
        </w:rPr>
      </w:r>
      <w:r>
        <w:rPr/>
        <w:t>管理人员履行职责的合法合规性等进行有效监督，忠实、勤勉地维护公司及股东的合法权益。</w:t>
      </w:r>
    </w:p>
    <w:p>
      <w:pPr>
        <w:pStyle w:val="BodyText"/>
        <w:spacing w:line="463" w:lineRule="auto" w:before="65"/>
        <w:ind w:left="511" w:right="0"/>
        <w:jc w:val="left"/>
      </w:pPr>
      <w:r>
        <w:rPr/>
        <w:t>报告期内，公司共召开</w:t>
      </w:r>
      <w:r>
        <w:rPr>
          <w:rFonts w:ascii="宋体" w:hAnsi="宋体" w:cs="宋体" w:eastAsia="宋体" w:hint="default"/>
        </w:rPr>
        <w:t>12</w:t>
      </w:r>
      <w:r>
        <w:rPr/>
        <w:t>次监事会，全体监事认真审议各项议案，有效维护了公司及股东的合法权益。 </w:t>
      </w:r>
      <w:r>
        <w:rPr>
          <w:rFonts w:ascii="Times New Roman" w:hAnsi="Times New Roman" w:cs="Times New Roman" w:eastAsia="Times New Roman" w:hint="default"/>
        </w:rPr>
        <w:t>5</w:t>
      </w:r>
      <w:r>
        <w:rPr/>
        <w:t>、关于绩效评价与激励约束机制 </w:t>
      </w:r>
      <w:r>
        <w:rPr>
          <w:spacing w:val="-2"/>
        </w:rPr>
        <w:t>公司已经建立较为完善公正、透明的董事、监事和高级管理人员的绩效评价标准和激励约束机制，董事和高级管理人员</w:t>
      </w:r>
    </w:p>
    <w:p>
      <w:pPr>
        <w:pStyle w:val="BodyText"/>
        <w:spacing w:line="477" w:lineRule="auto" w:before="65"/>
        <w:ind w:right="1132"/>
        <w:jc w:val="both"/>
      </w:pPr>
      <w:r>
        <w:rPr>
          <w:spacing w:val="-2"/>
        </w:rPr>
        <w:t>的绩效评价由董事会下设的薪酬与考核委员会负责组织。为进一步建立和完善公司激励机制，增强公司与管理层及核心骨干</w:t>
      </w:r>
      <w:r>
        <w:rPr>
          <w:spacing w:val="-64"/>
        </w:rPr>
        <w:t> </w:t>
      </w:r>
      <w:r>
        <w:rPr>
          <w:spacing w:val="-64"/>
        </w:rPr>
      </w:r>
      <w:r>
        <w:rPr>
          <w:spacing w:val="-2"/>
        </w:rPr>
        <w:t>员工共同持续发展的理念，公司实施了股权激励计划，强化股东与核心业务人员之间的利益共享与约束机制，确保公司的长</w:t>
      </w:r>
      <w:r>
        <w:rPr>
          <w:spacing w:val="-66"/>
        </w:rPr>
        <w:t> </w:t>
      </w:r>
      <w:r>
        <w:rPr>
          <w:spacing w:val="-66"/>
        </w:rPr>
      </w:r>
      <w:r>
        <w:rPr/>
        <w:t>期稳健发展。公司高级管理人员的聘任公开、透明，符合法律、法规和公司《章程》的规定。</w:t>
      </w:r>
    </w:p>
    <w:p>
      <w:pPr>
        <w:pStyle w:val="BodyText"/>
        <w:spacing w:line="451" w:lineRule="auto" w:before="54"/>
        <w:ind w:left="511" w:right="0"/>
        <w:jc w:val="left"/>
      </w:pPr>
      <w:r>
        <w:rPr>
          <w:rFonts w:ascii="Times New Roman" w:hAnsi="Times New Roman" w:cs="Times New Roman" w:eastAsia="Times New Roman" w:hint="default"/>
        </w:rPr>
        <w:t>6</w:t>
      </w:r>
      <w:r>
        <w:rPr/>
        <w:t>、关于相关利益者 </w:t>
      </w:r>
      <w:r>
        <w:rPr>
          <w:spacing w:val="-2"/>
        </w:rPr>
        <w:t>公司重视社会责任，充分尊重和维护相关利益者的合法权益，积极与相关利益者的沟通和交流，在经济交往中做到互惠</w:t>
      </w:r>
    </w:p>
    <w:p>
      <w:pPr>
        <w:pStyle w:val="BodyText"/>
        <w:spacing w:line="240" w:lineRule="auto" w:before="74"/>
        <w:ind w:right="0"/>
        <w:jc w:val="both"/>
      </w:pPr>
      <w:r>
        <w:rPr/>
        <w:t>互利，实现社会、股东、公司、员工等各方利益的协调平衡，共同推动公司持续、稳健发展。</w:t>
      </w:r>
    </w:p>
    <w:p>
      <w:pPr>
        <w:spacing w:line="240" w:lineRule="auto" w:before="10"/>
        <w:rPr>
          <w:rFonts w:ascii="宋体" w:hAnsi="宋体" w:cs="宋体" w:eastAsia="宋体" w:hint="default"/>
          <w:sz w:val="17"/>
          <w:szCs w:val="17"/>
        </w:rPr>
      </w:pPr>
    </w:p>
    <w:p>
      <w:pPr>
        <w:pStyle w:val="BodyText"/>
        <w:spacing w:line="451" w:lineRule="auto"/>
        <w:ind w:left="511" w:right="0"/>
        <w:jc w:val="left"/>
      </w:pPr>
      <w:r>
        <w:rPr>
          <w:rFonts w:ascii="Times New Roman" w:hAnsi="Times New Roman" w:cs="Times New Roman" w:eastAsia="Times New Roman" w:hint="default"/>
        </w:rPr>
        <w:t>7</w:t>
      </w:r>
      <w:r>
        <w:rPr/>
        <w:t>、关于信息披露与透明度 </w:t>
      </w:r>
      <w:r>
        <w:rPr>
          <w:spacing w:val="-12"/>
        </w:rPr>
        <w:t>公司严格按照《信息披露事务管理制度》、《投资者关系管理制度》、《年报信息披露重大差错责任追究制度》、《内幕信息</w:t>
      </w:r>
    </w:p>
    <w:p>
      <w:pPr>
        <w:pStyle w:val="BodyText"/>
        <w:spacing w:line="472" w:lineRule="auto" w:before="74"/>
        <w:ind w:right="1131"/>
        <w:jc w:val="both"/>
      </w:pPr>
      <w:r>
        <w:rPr/>
        <w:t>知</w:t>
      </w:r>
      <w:r>
        <w:rPr>
          <w:spacing w:val="-61"/>
        </w:rPr>
        <w:t> </w:t>
      </w:r>
      <w:r>
        <w:rPr/>
        <w:t>情</w:t>
      </w:r>
      <w:r>
        <w:rPr>
          <w:spacing w:val="-61"/>
        </w:rPr>
        <w:t> </w:t>
      </w:r>
      <w:r>
        <w:rPr/>
        <w:t>人</w:t>
      </w:r>
      <w:r>
        <w:rPr>
          <w:spacing w:val="-62"/>
        </w:rPr>
        <w:t> </w:t>
      </w:r>
      <w:r>
        <w:rPr/>
        <w:t>登</w:t>
      </w:r>
      <w:r>
        <w:rPr>
          <w:spacing w:val="-61"/>
        </w:rPr>
        <w:t> </w:t>
      </w:r>
      <w:r>
        <w:rPr/>
        <w:t>记</w:t>
      </w:r>
      <w:r>
        <w:rPr>
          <w:spacing w:val="-62"/>
        </w:rPr>
        <w:t> </w:t>
      </w:r>
      <w:r>
        <w:rPr/>
        <w:t>管</w:t>
      </w:r>
      <w:r>
        <w:rPr>
          <w:spacing w:val="-61"/>
        </w:rPr>
        <w:t> </w:t>
      </w:r>
      <w:r>
        <w:rPr/>
        <w:t>理</w:t>
      </w:r>
      <w:r>
        <w:rPr>
          <w:spacing w:val="-61"/>
        </w:rPr>
        <w:t> </w:t>
      </w:r>
      <w:r>
        <w:rPr/>
        <w:t>制</w:t>
      </w:r>
      <w:r>
        <w:rPr>
          <w:spacing w:val="-62"/>
        </w:rPr>
        <w:t> </w:t>
      </w:r>
      <w:r>
        <w:rPr/>
        <w:t>度</w:t>
      </w:r>
      <w:r>
        <w:rPr>
          <w:spacing w:val="-61"/>
        </w:rPr>
        <w:t> </w:t>
      </w:r>
      <w:r>
        <w:rPr/>
        <w:t>》</w:t>
      </w:r>
      <w:r>
        <w:rPr>
          <w:spacing w:val="-62"/>
        </w:rPr>
        <w:t> </w:t>
      </w:r>
      <w:r>
        <w:rPr/>
        <w:t>的</w:t>
      </w:r>
      <w:r>
        <w:rPr>
          <w:spacing w:val="-61"/>
        </w:rPr>
        <w:t> </w:t>
      </w:r>
      <w:r>
        <w:rPr/>
        <w:t>要</w:t>
      </w:r>
      <w:r>
        <w:rPr>
          <w:spacing w:val="-61"/>
        </w:rPr>
        <w:t> </w:t>
      </w:r>
      <w:r>
        <w:rPr/>
        <w:t>求</w:t>
      </w:r>
      <w:r>
        <w:rPr>
          <w:spacing w:val="-62"/>
        </w:rPr>
        <w:t> </w:t>
      </w:r>
      <w:r>
        <w:rPr/>
        <w:t>，</w:t>
      </w:r>
      <w:r>
        <w:rPr>
          <w:spacing w:val="-61"/>
        </w:rPr>
        <w:t> </w:t>
      </w:r>
      <w:r>
        <w:rPr/>
        <w:t>切</w:t>
      </w:r>
      <w:r>
        <w:rPr>
          <w:spacing w:val="-62"/>
        </w:rPr>
        <w:t> </w:t>
      </w:r>
      <w:r>
        <w:rPr/>
        <w:t>实</w:t>
      </w:r>
      <w:r>
        <w:rPr>
          <w:spacing w:val="-61"/>
        </w:rPr>
        <w:t> </w:t>
      </w:r>
      <w:r>
        <w:rPr/>
        <w:t>履</w:t>
      </w:r>
      <w:r>
        <w:rPr>
          <w:spacing w:val="-61"/>
        </w:rPr>
        <w:t> </w:t>
      </w:r>
      <w:r>
        <w:rPr/>
        <w:t>行</w:t>
      </w:r>
      <w:r>
        <w:rPr>
          <w:spacing w:val="-62"/>
        </w:rPr>
        <w:t> </w:t>
      </w:r>
      <w:r>
        <w:rPr/>
        <w:t>信</w:t>
      </w:r>
      <w:r>
        <w:rPr>
          <w:spacing w:val="-61"/>
        </w:rPr>
        <w:t> </w:t>
      </w:r>
      <w:r>
        <w:rPr/>
        <w:t>息</w:t>
      </w:r>
      <w:r>
        <w:rPr>
          <w:spacing w:val="-62"/>
        </w:rPr>
        <w:t> </w:t>
      </w:r>
      <w:r>
        <w:rPr/>
        <w:t>披</w:t>
      </w:r>
      <w:r>
        <w:rPr>
          <w:spacing w:val="-61"/>
        </w:rPr>
        <w:t> </w:t>
      </w:r>
      <w:r>
        <w:rPr/>
        <w:t>露</w:t>
      </w:r>
      <w:r>
        <w:rPr>
          <w:spacing w:val="-61"/>
        </w:rPr>
        <w:t> </w:t>
      </w:r>
      <w:r>
        <w:rPr/>
        <w:t>义</w:t>
      </w:r>
      <w:r>
        <w:rPr>
          <w:spacing w:val="-62"/>
        </w:rPr>
        <w:t> </w:t>
      </w:r>
      <w:r>
        <w:rPr/>
        <w:t>务</w:t>
      </w:r>
      <w:r>
        <w:rPr>
          <w:spacing w:val="-61"/>
        </w:rPr>
        <w:t> </w:t>
      </w:r>
      <w:r>
        <w:rPr/>
        <w:t>，</w:t>
      </w:r>
      <w:r>
        <w:rPr>
          <w:spacing w:val="-62"/>
        </w:rPr>
        <w:t> </w:t>
      </w:r>
      <w:r>
        <w:rPr/>
        <w:t>指</w:t>
      </w:r>
      <w:r>
        <w:rPr>
          <w:spacing w:val="-61"/>
        </w:rPr>
        <w:t> </w:t>
      </w:r>
      <w:r>
        <w:rPr/>
        <w:t>定</w:t>
      </w:r>
      <w:r>
        <w:rPr>
          <w:spacing w:val="-61"/>
        </w:rPr>
        <w:t> </w:t>
      </w:r>
      <w:r>
        <w:rPr/>
        <w:t>《</w:t>
      </w:r>
      <w:r>
        <w:rPr>
          <w:spacing w:val="-62"/>
        </w:rPr>
        <w:t> </w:t>
      </w:r>
      <w:r>
        <w:rPr/>
        <w:t>证</w:t>
      </w:r>
      <w:r>
        <w:rPr>
          <w:spacing w:val="-61"/>
        </w:rPr>
        <w:t> </w:t>
      </w:r>
      <w:r>
        <w:rPr/>
        <w:t>券</w:t>
      </w:r>
      <w:r>
        <w:rPr>
          <w:spacing w:val="-62"/>
        </w:rPr>
        <w:t> </w:t>
      </w:r>
      <w:r>
        <w:rPr/>
        <w:t>时</w:t>
      </w:r>
      <w:r>
        <w:rPr>
          <w:spacing w:val="-61"/>
        </w:rPr>
        <w:t> </w:t>
      </w:r>
      <w:r>
        <w:rPr/>
        <w:t>报</w:t>
      </w:r>
      <w:r>
        <w:rPr>
          <w:spacing w:val="-61"/>
        </w:rPr>
        <w:t> </w:t>
      </w:r>
      <w:r>
        <w:rPr>
          <w:spacing w:val="-41"/>
        </w:rPr>
        <w:t>》、《</w:t>
      </w:r>
      <w:r>
        <w:rPr>
          <w:spacing w:val="-61"/>
        </w:rPr>
        <w:t> </w:t>
      </w:r>
      <w:r>
        <w:rPr/>
        <w:t>中</w:t>
      </w:r>
      <w:r>
        <w:rPr>
          <w:spacing w:val="-62"/>
        </w:rPr>
        <w:t> </w:t>
      </w:r>
      <w:r>
        <w:rPr/>
        <w:t>国</w:t>
      </w:r>
      <w:r>
        <w:rPr>
          <w:spacing w:val="-61"/>
        </w:rPr>
        <w:t> </w:t>
      </w:r>
      <w:r>
        <w:rPr/>
        <w:t>证</w:t>
      </w:r>
      <w:r>
        <w:rPr>
          <w:spacing w:val="-61"/>
        </w:rPr>
        <w:t> </w:t>
      </w:r>
      <w:r>
        <w:rPr/>
        <w:t>券</w:t>
      </w:r>
      <w:r>
        <w:rPr>
          <w:spacing w:val="-62"/>
        </w:rPr>
        <w:t> </w:t>
      </w:r>
      <w:r>
        <w:rPr/>
        <w:t>报</w:t>
      </w:r>
      <w:r>
        <w:rPr>
          <w:spacing w:val="-61"/>
        </w:rPr>
        <w:t> </w:t>
      </w:r>
      <w:r>
        <w:rPr/>
        <w:t>》</w:t>
      </w:r>
      <w:r>
        <w:rPr>
          <w:spacing w:val="-62"/>
        </w:rPr>
        <w:t> </w:t>
      </w:r>
      <w:r>
        <w:rPr/>
        <w:t>和</w:t>
      </w:r>
      <w:r>
        <w:rPr>
          <w:spacing w:val="-61"/>
        </w:rPr>
        <w:t> </w:t>
      </w:r>
      <w:r>
        <w:rPr/>
        <w:t>巨</w:t>
      </w:r>
      <w:r>
        <w:rPr>
          <w:spacing w:val="-61"/>
        </w:rPr>
        <w:t> </w:t>
      </w:r>
      <w:r>
        <w:rPr/>
        <w:t>潮</w:t>
      </w:r>
      <w:r>
        <w:rPr>
          <w:spacing w:val="-62"/>
        </w:rPr>
        <w:t> </w:t>
      </w:r>
      <w:r>
        <w:rPr/>
        <w:t>资</w:t>
      </w:r>
      <w:r>
        <w:rPr>
          <w:spacing w:val="-61"/>
        </w:rPr>
        <w:t> </w:t>
      </w:r>
      <w:r>
        <w:rPr/>
        <w:t>讯</w:t>
      </w:r>
      <w:r>
        <w:rPr>
          <w:spacing w:val="-61"/>
        </w:rPr>
        <w:t> </w:t>
      </w:r>
      <w:r>
        <w:rPr/>
        <w:t>网</w:t>
      </w:r>
      <w:r>
        <w:rPr/>
        <w:t> </w:t>
      </w:r>
      <w:r>
        <w:rPr>
          <w:rFonts w:ascii="Times New Roman" w:hAnsi="Times New Roman" w:cs="Times New Roman" w:eastAsia="Times New Roman" w:hint="default"/>
        </w:rPr>
        <w:t>(http://www.cninfo.com.cn)</w:t>
      </w:r>
      <w:r>
        <w:rPr/>
        <w:t>为公司信息披露的报纸和网站。报告期内，公司定期组织投资者调研沟通活动，通过与投资者面</w:t>
      </w:r>
      <w:r>
        <w:rPr>
          <w:spacing w:val="-46"/>
        </w:rPr>
        <w:t> </w:t>
      </w:r>
      <w:r>
        <w:rPr>
          <w:spacing w:val="-46"/>
        </w:rPr>
      </w:r>
      <w:r>
        <w:rPr>
          <w:spacing w:val="-2"/>
        </w:rPr>
        <w:t>对面的交流以及实地介绍公司研发以及发展战略等问题，并将实地调研记录及时的在网上予以公告，保证全体投资者平等的</w:t>
      </w:r>
      <w:r>
        <w:rPr>
          <w:spacing w:val="-64"/>
        </w:rPr>
        <w:t> </w:t>
      </w:r>
      <w:r>
        <w:rPr>
          <w:spacing w:val="-64"/>
        </w:rPr>
      </w:r>
      <w:r>
        <w:rPr>
          <w:spacing w:val="-2"/>
        </w:rPr>
        <w:t>共享相关信息；公司建立了畅通的沟通渠道，通过投资者专线、投资者关系互动平台及业绩说明会等形式，与投资者保持良</w:t>
      </w:r>
      <w:r>
        <w:rPr>
          <w:spacing w:val="-66"/>
        </w:rPr>
        <w:t> </w:t>
      </w:r>
      <w:r>
        <w:rPr>
          <w:spacing w:val="-66"/>
        </w:rPr>
      </w:r>
      <w:r>
        <w:rPr>
          <w:spacing w:val="-2"/>
        </w:rPr>
        <w:t>好沟通，增强投资者对公司的认可和了解。同时，公司建立了信息披露重大差错责任追究机制，加大了对年报信息披露责任</w:t>
      </w:r>
      <w:r>
        <w:rPr>
          <w:spacing w:val="-66"/>
        </w:rPr>
        <w:t> </w:t>
      </w:r>
      <w:r>
        <w:rPr>
          <w:spacing w:val="-66"/>
        </w:rPr>
      </w:r>
      <w:r>
        <w:rPr>
          <w:spacing w:val="-2"/>
        </w:rPr>
        <w:t>人的问责力度，提高年报信息披露质量和透明度；建立了内幕信息知情人登记管理机制，明确了对内幕信息知情人的管理和</w:t>
      </w:r>
      <w:r>
        <w:rPr>
          <w:spacing w:val="-65"/>
        </w:rPr>
        <w:t> </w:t>
      </w:r>
      <w:r>
        <w:rPr>
          <w:spacing w:val="-65"/>
        </w:rPr>
      </w:r>
      <w:r>
        <w:rPr/>
        <w:t>责任追究。</w:t>
      </w:r>
    </w:p>
    <w:p>
      <w:pPr>
        <w:spacing w:after="0" w:line="472" w:lineRule="auto"/>
        <w:jc w:val="both"/>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240" w:lineRule="auto" w:before="44"/>
        <w:ind w:left="511" w:right="0"/>
        <w:jc w:val="left"/>
      </w:pPr>
      <w:r>
        <w:rPr/>
        <w:t>报告期内，公司真实、准确、完整、及时地披露信息，确保所有投资者公平的获取公司信息。</w:t>
      </w:r>
    </w:p>
    <w:p>
      <w:pPr>
        <w:spacing w:line="240" w:lineRule="auto" w:before="10"/>
        <w:rPr>
          <w:rFonts w:ascii="宋体" w:hAnsi="宋体" w:cs="宋体" w:eastAsia="宋体" w:hint="default"/>
          <w:sz w:val="17"/>
          <w:szCs w:val="17"/>
        </w:rPr>
      </w:pPr>
    </w:p>
    <w:p>
      <w:pPr>
        <w:pStyle w:val="BodyText"/>
        <w:spacing w:line="451" w:lineRule="auto"/>
        <w:ind w:left="511" w:right="0"/>
        <w:jc w:val="left"/>
      </w:pPr>
      <w:r>
        <w:rPr>
          <w:rFonts w:ascii="Times New Roman" w:hAnsi="Times New Roman" w:cs="Times New Roman" w:eastAsia="Times New Roman" w:hint="default"/>
        </w:rPr>
        <w:t>8</w:t>
      </w:r>
      <w:r>
        <w:rPr/>
        <w:t>、内部审计制度 </w:t>
      </w:r>
      <w:r>
        <w:rPr>
          <w:spacing w:val="-2"/>
        </w:rPr>
        <w:t>公司已建立并逐步完善内部审计制度，设置内部审计部门，董事会聘任内部审计负责人，对公司的日常运行、重大事项</w:t>
      </w:r>
    </w:p>
    <w:p>
      <w:pPr>
        <w:pStyle w:val="BodyText"/>
        <w:spacing w:line="477" w:lineRule="auto" w:before="74"/>
        <w:ind w:right="1130"/>
        <w:jc w:val="both"/>
      </w:pPr>
      <w:r>
        <w:rPr>
          <w:spacing w:val="-2"/>
        </w:rPr>
        <w:t>等进行有效控制。公司董事会下设审计委员会，主要负责公司内部、外部审计的沟通、监督、会议组织和核查工作。报告期</w:t>
      </w:r>
      <w:r>
        <w:rPr>
          <w:spacing w:val="-68"/>
        </w:rPr>
        <w:t> </w:t>
      </w:r>
      <w:r>
        <w:rPr>
          <w:spacing w:val="-68"/>
        </w:rPr>
      </w:r>
      <w:r>
        <w:rPr>
          <w:spacing w:val="-2"/>
        </w:rPr>
        <w:t>内，公司根据有关法律、法规的要求以及公司《内部审计制度》的规定加强对公司内部控制和风险管理、对财务信息的真实</w:t>
      </w:r>
      <w:r>
        <w:rPr>
          <w:spacing w:val="-66"/>
        </w:rPr>
        <w:t> </w:t>
      </w:r>
      <w:r>
        <w:rPr>
          <w:spacing w:val="-66"/>
        </w:rPr>
      </w:r>
      <w:r>
        <w:rPr/>
        <w:t>性和完整性以及经营活动的效率和效果等检查监督。</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25"/>
          <w:szCs w:val="25"/>
        </w:rPr>
      </w:pPr>
    </w:p>
    <w:p>
      <w:pPr>
        <w:pStyle w:val="BodyText"/>
        <w:spacing w:line="240" w:lineRule="auto"/>
        <w:ind w:right="0"/>
        <w:jc w:val="both"/>
      </w:pPr>
      <w:r>
        <w:rPr/>
        <w:t>公司治理的实际状况与中国证监会发布的有关上市公司治理的规范性文件是否存在重大差异</w:t>
      </w:r>
    </w:p>
    <w:p>
      <w:pPr>
        <w:spacing w:line="240" w:lineRule="auto" w:before="12"/>
        <w:rPr>
          <w:rFonts w:ascii="宋体" w:hAnsi="宋体" w:cs="宋体" w:eastAsia="宋体" w:hint="default"/>
          <w:sz w:val="20"/>
          <w:szCs w:val="20"/>
        </w:rPr>
      </w:pPr>
    </w:p>
    <w:p>
      <w:pPr>
        <w:pStyle w:val="BodyText"/>
        <w:spacing w:line="516" w:lineRule="auto"/>
        <w:ind w:right="3552"/>
        <w:jc w:val="left"/>
      </w:pPr>
      <w:r>
        <w:rPr/>
        <w:t>□ 是 √ 否 公司治理的实际状况与中国证监会发布的有关上市公司治理的规范性文件不存在重大差异。</w:t>
      </w:r>
    </w:p>
    <w:p>
      <w:pPr>
        <w:spacing w:line="240" w:lineRule="auto" w:before="1"/>
        <w:rPr>
          <w:rFonts w:ascii="宋体" w:hAnsi="宋体" w:cs="宋体" w:eastAsia="宋体" w:hint="default"/>
          <w:sz w:val="15"/>
          <w:szCs w:val="15"/>
        </w:rPr>
      </w:pPr>
    </w:p>
    <w:p>
      <w:pPr>
        <w:pStyle w:val="Heading2"/>
        <w:spacing w:line="240" w:lineRule="auto"/>
        <w:ind w:right="0"/>
        <w:jc w:val="both"/>
        <w:rPr>
          <w:b w:val="0"/>
          <w:bCs w:val="0"/>
        </w:rPr>
      </w:pPr>
      <w:bookmarkStart w:name="二、公司相对于控股股东在业务、人员、资产、机构、财务等方面的独立情况" w:id="137"/>
      <w:bookmarkEnd w:id="137"/>
      <w:r>
        <w:rPr>
          <w:b w:val="0"/>
          <w:bCs w:val="0"/>
        </w:rPr>
      </w:r>
      <w:r>
        <w:rPr/>
        <w:t>二、公司相对于控股股东在业务、人员、资产、机构、财务等方面的独立情况</w:t>
      </w:r>
      <w:r>
        <w:rPr>
          <w:b w:val="0"/>
          <w:bCs w:val="0"/>
        </w:rPr>
      </w:r>
    </w:p>
    <w:p>
      <w:pPr>
        <w:spacing w:line="240" w:lineRule="auto" w:before="7"/>
        <w:rPr>
          <w:rFonts w:ascii="宋体" w:hAnsi="宋体" w:cs="宋体" w:eastAsia="宋体" w:hint="default"/>
          <w:b/>
          <w:bCs/>
          <w:sz w:val="32"/>
          <w:szCs w:val="32"/>
        </w:rPr>
      </w:pPr>
    </w:p>
    <w:p>
      <w:pPr>
        <w:pStyle w:val="BodyText"/>
        <w:spacing w:line="477" w:lineRule="auto"/>
        <w:ind w:right="1129" w:firstLine="360"/>
        <w:jc w:val="both"/>
      </w:pPr>
      <w:r>
        <w:rPr>
          <w:spacing w:val="-5"/>
        </w:rPr>
        <w:t>公司自成立以来，严格按照《公司法》、《证券法》等有关法律、法规和公司《章程》的要求规范运作，建立健全公司法</w:t>
      </w:r>
      <w:r>
        <w:rPr/>
        <w:t> </w:t>
      </w:r>
      <w:r>
        <w:rPr>
          <w:spacing w:val="-2"/>
        </w:rPr>
        <w:t>人治理结构，在业务、人员、资产、机构、财务等方面均独立于控股股东、实际控制人及其控制的其他企业，具有独立、完</w:t>
      </w:r>
      <w:r>
        <w:rPr>
          <w:spacing w:val="-67"/>
        </w:rPr>
        <w:t> </w:t>
      </w:r>
      <w:r>
        <w:rPr>
          <w:spacing w:val="-67"/>
        </w:rPr>
      </w:r>
      <w:r>
        <w:rPr>
          <w:spacing w:val="-2"/>
        </w:rPr>
        <w:t>整的业务体系，具备面向市场独立自主经营的能力。报告期内，公司经营管理稳定，内部机构完善，能够独立规范运作，与</w:t>
      </w:r>
      <w:r>
        <w:rPr>
          <w:spacing w:val="-67"/>
        </w:rPr>
        <w:t> </w:t>
      </w:r>
      <w:r>
        <w:rPr>
          <w:spacing w:val="-67"/>
        </w:rPr>
      </w:r>
      <w:r>
        <w:rPr/>
        <w:t>控股股东不存在关联交易，也不存在控股股东占用上市公司资金的现象。</w:t>
      </w:r>
    </w:p>
    <w:p>
      <w:pPr>
        <w:pStyle w:val="BodyText"/>
        <w:spacing w:line="463" w:lineRule="auto" w:before="54"/>
        <w:ind w:right="0" w:firstLine="360"/>
        <w:jc w:val="left"/>
      </w:pPr>
      <w:r>
        <w:rPr>
          <w:rFonts w:ascii="Times New Roman" w:hAnsi="Times New Roman" w:cs="Times New Roman" w:eastAsia="Times New Roman" w:hint="default"/>
        </w:rPr>
        <w:t>1</w:t>
      </w:r>
      <w:r>
        <w:rPr/>
        <w:t>、业务独立：公司已经建立了符合现代企业制度要求的法人治理结构和内部组织结构，在生产经营上独立运作。独立 </w:t>
      </w:r>
      <w:r>
        <w:rPr>
          <w:spacing w:val="-4"/>
        </w:rPr>
        <w:t>作出生产经营决策，独立对外签订合同，独立承担责任与风险，形成了独立完整的业务体系，具备面向市场自主经营的能力，</w:t>
      </w:r>
      <w:r>
        <w:rPr>
          <w:spacing w:val="-45"/>
        </w:rPr>
        <w:t> </w:t>
      </w:r>
      <w:r>
        <w:rPr>
          <w:spacing w:val="-45"/>
        </w:rPr>
      </w:r>
      <w:r>
        <w:rPr/>
        <w:t>业务上不依赖于控股股东或其他任何关联方，控股股东不存在直接或间接干预公司经营运作的情形。</w:t>
      </w:r>
    </w:p>
    <w:p>
      <w:pPr>
        <w:pStyle w:val="BodyText"/>
        <w:spacing w:line="468" w:lineRule="auto" w:before="65"/>
        <w:ind w:right="0" w:firstLine="360"/>
        <w:jc w:val="left"/>
      </w:pPr>
      <w:r>
        <w:rPr>
          <w:rFonts w:ascii="Times New Roman" w:hAnsi="Times New Roman" w:cs="Times New Roman" w:eastAsia="Times New Roman" w:hint="default"/>
        </w:rPr>
        <w:t>2</w:t>
      </w:r>
      <w:r>
        <w:rPr/>
        <w:t>、人员独立：公司的人员独立于独立于控股股东、实际控制人及其控制的其他企业。公司设有人力资源部，制订了严 </w:t>
      </w:r>
      <w:r>
        <w:rPr>
          <w:spacing w:val="-2"/>
        </w:rPr>
        <w:t>格的员工聘用、考评、晋升等完整的劳动用工制度，与所有员工已签订了《劳动合同》，公司员工执行独立的劳动、人事及</w:t>
      </w:r>
      <w:r>
        <w:rPr>
          <w:spacing w:val="-72"/>
        </w:rPr>
        <w:t> </w:t>
      </w:r>
      <w:r>
        <w:rPr>
          <w:spacing w:val="-72"/>
        </w:rPr>
      </w:r>
      <w:r>
        <w:rPr>
          <w:spacing w:val="-4"/>
        </w:rPr>
        <w:t>工资管理制度。公司的董事、监事、高级管理人员的任职，均按照《公司法》及其他法律、法规、规范性文件、《公司章程》</w:t>
      </w:r>
      <w:r>
        <w:rPr>
          <w:spacing w:val="-47"/>
        </w:rPr>
        <w:t> </w:t>
      </w:r>
      <w:r>
        <w:rPr>
          <w:spacing w:val="-47"/>
        </w:rPr>
      </w:r>
      <w:r>
        <w:rPr/>
        <w:t>规定的程序进行，不存在控股股东干预公司董事会和股东大会作出人事任免决定的情况。</w:t>
      </w:r>
    </w:p>
    <w:p>
      <w:pPr>
        <w:pStyle w:val="BodyText"/>
        <w:spacing w:line="468" w:lineRule="auto" w:before="61"/>
        <w:ind w:right="1132" w:firstLine="360"/>
        <w:jc w:val="both"/>
      </w:pPr>
      <w:r>
        <w:rPr>
          <w:rFonts w:ascii="Times New Roman" w:hAnsi="Times New Roman" w:cs="Times New Roman" w:eastAsia="Times New Roman" w:hint="default"/>
        </w:rPr>
        <w:t>3</w:t>
      </w:r>
      <w:r>
        <w:rPr/>
        <w:t>、资产独立：公司与控股股东、实际控制人及其控制的其他企业产权关系明确，对所有资产拥有完全的控制支配权， </w:t>
      </w:r>
      <w:r>
        <w:rPr>
          <w:spacing w:val="-2"/>
        </w:rPr>
        <w:t>不存在资产、资金被各股东、实际控制人及其控制的其他企业违规占用而损害公司利益的情况。公司合法拥有与经营有关的</w:t>
      </w:r>
      <w:r>
        <w:rPr>
          <w:spacing w:val="-65"/>
        </w:rPr>
        <w:t> </w:t>
      </w:r>
      <w:r>
        <w:rPr>
          <w:spacing w:val="-65"/>
        </w:rPr>
      </w:r>
      <w:r>
        <w:rPr>
          <w:spacing w:val="-2"/>
        </w:rPr>
        <w:t>资产、专利技术及商标的所有权，公司的资产独立完整。公司资产与股东资产严格分开，并完全独立运营，没有依赖股东资</w:t>
      </w:r>
      <w:r>
        <w:rPr>
          <w:spacing w:val="-66"/>
        </w:rPr>
        <w:t> </w:t>
      </w:r>
      <w:r>
        <w:rPr>
          <w:spacing w:val="-66"/>
        </w:rPr>
      </w:r>
      <w:r>
        <w:rPr/>
        <w:t>产进行生产经营的情况。</w:t>
      </w:r>
    </w:p>
    <w:p>
      <w:pPr>
        <w:pStyle w:val="BodyText"/>
        <w:spacing w:line="451" w:lineRule="auto" w:before="62"/>
        <w:ind w:right="1032" w:firstLine="360"/>
        <w:jc w:val="left"/>
      </w:pPr>
      <w:r>
        <w:rPr>
          <w:rFonts w:ascii="Times New Roman" w:hAnsi="Times New Roman" w:cs="Times New Roman" w:eastAsia="Times New Roman" w:hint="default"/>
        </w:rPr>
        <w:t>4</w:t>
      </w:r>
      <w:r>
        <w:rPr/>
        <w:t>、机构独立公司拥有独立的生产经营和办公场所，与控股股东、实际控制人及其控制的其他企业间不存在混合经营的 情形。公司设立健全的组织体系，股东大会、董事会、监事会及各职能部门均独立运作，各组织机构依法行使各自的职权；</w:t>
      </w:r>
    </w:p>
    <w:p>
      <w:pPr>
        <w:spacing w:after="0" w:line="451"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032"/>
        <w:jc w:val="left"/>
      </w:pPr>
      <w:r>
        <w:rPr/>
        <w:t>公司建立了独立的、适应自身发展需要的职能部门，制订了完善的岗位职责和管理制度，各部门按照规定的职责分工协作。 公司各职能部门与控股股东及实际控制人控制的其他企业完全分开，独立运作，不受控股股东和实际控制人的干预。</w:t>
      </w:r>
    </w:p>
    <w:p>
      <w:pPr>
        <w:pStyle w:val="BodyText"/>
        <w:spacing w:line="468" w:lineRule="auto" w:before="54"/>
        <w:ind w:right="1032" w:firstLine="360"/>
        <w:jc w:val="left"/>
      </w:pPr>
      <w:r>
        <w:rPr>
          <w:rFonts w:ascii="Times New Roman" w:hAnsi="Times New Roman" w:cs="Times New Roman" w:eastAsia="Times New Roman" w:hint="default"/>
          <w:spacing w:val="-4"/>
        </w:rPr>
        <w:t>5</w:t>
      </w:r>
      <w:r>
        <w:rPr>
          <w:spacing w:val="-4"/>
        </w:rPr>
        <w:t>、财务独立：公司设立独立的财务会计部门，依据《中华人民共和国会计法》、《企业会计准则》建立了独立、完整、</w:t>
      </w:r>
      <w:r>
        <w:rPr/>
        <w:t> 规范的财务核算体系和规范的财务管理制度，并建立相应的内部控制制度，独立作出财务决策，实施严格的内部审计制度。 </w:t>
      </w:r>
      <w:r>
        <w:rPr>
          <w:spacing w:val="-2"/>
        </w:rPr>
        <w:t>公司在银行单独开立账户，拥有独立的银行账号；公司作为独立的纳税人，依法独立履行纳税义务。公司不存在为控股股东</w:t>
      </w:r>
      <w:r>
        <w:rPr>
          <w:spacing w:val="-66"/>
        </w:rPr>
        <w:t> </w:t>
      </w:r>
      <w:r>
        <w:rPr>
          <w:spacing w:val="-66"/>
        </w:rPr>
      </w:r>
      <w:r>
        <w:rPr/>
        <w:t>提供担保，也不存在资产、资金被控股股东占用或其它损害公司利益的情况。</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三、同业竞争情况" w:id="138"/>
      <w:bookmarkEnd w:id="138"/>
      <w:r>
        <w:rPr>
          <w:b w:val="0"/>
          <w:bCs w:val="0"/>
        </w:rPr>
      </w:r>
      <w:r>
        <w:rPr/>
        <w:t>三、同业竞争情况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3"/>
        <w:rPr>
          <w:rFonts w:ascii="宋体" w:hAnsi="宋体" w:cs="宋体" w:eastAsia="宋体" w:hint="default"/>
          <w:sz w:val="24"/>
          <w:szCs w:val="24"/>
        </w:rPr>
      </w:pPr>
    </w:p>
    <w:p>
      <w:pPr>
        <w:pStyle w:val="Heading2"/>
        <w:spacing w:line="240" w:lineRule="auto"/>
        <w:ind w:right="0"/>
        <w:jc w:val="left"/>
        <w:rPr>
          <w:b w:val="0"/>
          <w:bCs w:val="0"/>
        </w:rPr>
      </w:pPr>
      <w:bookmarkStart w:name="四、报告期内召开的年度股东大会和临时股东大会的有关情况" w:id="139"/>
      <w:bookmarkEnd w:id="139"/>
      <w:r>
        <w:rPr>
          <w:b w:val="0"/>
          <w:bCs w:val="0"/>
        </w:rPr>
      </w: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本报告期股东大会情况" w:id="140"/>
      <w:bookmarkEnd w:id="140"/>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31"/>
              <w:jc w:val="right"/>
              <w:rPr>
                <w:rFonts w:ascii="宋体" w:hAnsi="宋体" w:cs="宋体" w:eastAsia="宋体" w:hint="default"/>
                <w:sz w:val="18"/>
                <w:szCs w:val="18"/>
              </w:rPr>
            </w:pPr>
            <w:r>
              <w:rPr>
                <w:rFonts w:ascii="宋体" w:hAnsi="宋体" w:cs="宋体" w:eastAsia="宋体" w:hint="default"/>
                <w:sz w:val="18"/>
                <w:szCs w:val="18"/>
              </w:rPr>
              <w:t>会议类型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1"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58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1"/>
                <w:szCs w:val="21"/>
              </w:rPr>
            </w:pPr>
          </w:p>
          <w:p>
            <w:pPr>
              <w:pStyle w:val="TableParagraph"/>
              <w:spacing w:line="300" w:lineRule="auto"/>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2"/>
              <w:jc w:val="both"/>
              <w:rPr>
                <w:rFonts w:ascii="宋体" w:hAnsi="宋体" w:cs="宋体" w:eastAsia="宋体" w:hint="default"/>
                <w:sz w:val="18"/>
                <w:szCs w:val="18"/>
              </w:rPr>
            </w:pPr>
            <w:r>
              <w:rPr>
                <w:rFonts w:ascii="宋体" w:hAnsi="宋体" w:cs="宋体" w:eastAsia="宋体" w:hint="default"/>
                <w:spacing w:val="-8"/>
                <w:sz w:val="18"/>
                <w:szCs w:val="18"/>
              </w:rPr>
              <w:t>具体内容详见《证</w:t>
            </w:r>
            <w:r>
              <w:rPr>
                <w:rFonts w:ascii="宋体" w:hAnsi="宋体" w:cs="宋体" w:eastAsia="宋体" w:hint="default"/>
                <w:sz w:val="18"/>
                <w:szCs w:val="18"/>
              </w:rPr>
              <w:t> </w:t>
            </w:r>
            <w:r>
              <w:rPr>
                <w:rFonts w:ascii="宋体" w:hAnsi="宋体" w:cs="宋体" w:eastAsia="宋体" w:hint="default"/>
                <w:spacing w:val="-27"/>
                <w:sz w:val="18"/>
                <w:szCs w:val="18"/>
              </w:rPr>
              <w:t>券时报》、《中国证</w:t>
            </w:r>
            <w:r>
              <w:rPr>
                <w:rFonts w:ascii="宋体" w:hAnsi="宋体" w:cs="宋体" w:eastAsia="宋体" w:hint="default"/>
                <w:sz w:val="18"/>
                <w:szCs w:val="18"/>
              </w:rPr>
              <w:t> </w:t>
            </w:r>
            <w:r>
              <w:rPr>
                <w:rFonts w:ascii="宋体" w:hAnsi="宋体" w:cs="宋体" w:eastAsia="宋体" w:hint="default"/>
                <w:spacing w:val="-8"/>
                <w:sz w:val="18"/>
                <w:szCs w:val="18"/>
              </w:rPr>
              <w:t>券报》和巨潮资讯</w:t>
            </w:r>
            <w:r>
              <w:rPr>
                <w:rFonts w:ascii="宋体" w:hAnsi="宋体" w:cs="宋体" w:eastAsia="宋体" w:hint="default"/>
                <w:sz w:val="18"/>
                <w:szCs w:val="18"/>
              </w:rPr>
              <w:t> 网</w:t>
            </w:r>
          </w:p>
          <w:p>
            <w:pPr>
              <w:pStyle w:val="TableParagraph"/>
              <w:spacing w:line="240" w:lineRule="auto" w:before="58"/>
              <w:ind w:left="103" w:right="0"/>
              <w:jc w:val="left"/>
              <w:rPr>
                <w:rFonts w:ascii="Times New Roman" w:hAnsi="Times New Roman" w:cs="Times New Roman" w:eastAsia="Times New Roman" w:hint="default"/>
                <w:sz w:val="18"/>
                <w:szCs w:val="18"/>
              </w:rPr>
            </w:pPr>
            <w:r>
              <w:rPr>
                <w:rFonts w:ascii="Times New Roman"/>
                <w:sz w:val="18"/>
              </w:rPr>
              <w:t>(http://www.cninfo</w:t>
            </w:r>
          </w:p>
          <w:p>
            <w:pPr>
              <w:pStyle w:val="TableParagraph"/>
              <w:spacing w:line="309" w:lineRule="auto" w:before="65"/>
              <w:ind w:left="103" w:right="130"/>
              <w:jc w:val="left"/>
              <w:rPr>
                <w:rFonts w:ascii="宋体" w:hAnsi="宋体" w:cs="宋体" w:eastAsia="宋体"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披露的公 告（公告编号： </w:t>
            </w:r>
            <w:r>
              <w:rPr>
                <w:rFonts w:ascii="Times New Roman" w:hAnsi="Times New Roman" w:cs="Times New Roman" w:eastAsia="Times New Roman" w:hint="default"/>
                <w:sz w:val="18"/>
                <w:szCs w:val="18"/>
              </w:rPr>
              <w:t>2018-020</w:t>
            </w:r>
            <w:r>
              <w:rPr>
                <w:rFonts w:ascii="宋体" w:hAnsi="宋体" w:cs="宋体" w:eastAsia="宋体" w:hint="default"/>
                <w:sz w:val="18"/>
                <w:szCs w:val="18"/>
              </w:rPr>
              <w:t>）</w:t>
            </w:r>
          </w:p>
        </w:tc>
      </w:tr>
      <w:tr>
        <w:trPr>
          <w:trHeight w:val="258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300" w:lineRule="auto"/>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34.49%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2"/>
              <w:jc w:val="both"/>
              <w:rPr>
                <w:rFonts w:ascii="宋体" w:hAnsi="宋体" w:cs="宋体" w:eastAsia="宋体" w:hint="default"/>
                <w:sz w:val="18"/>
                <w:szCs w:val="18"/>
              </w:rPr>
            </w:pPr>
            <w:r>
              <w:rPr>
                <w:rFonts w:ascii="宋体" w:hAnsi="宋体" w:cs="宋体" w:eastAsia="宋体" w:hint="default"/>
                <w:spacing w:val="-8"/>
                <w:sz w:val="18"/>
                <w:szCs w:val="18"/>
              </w:rPr>
              <w:t>具体内容详见《证</w:t>
            </w:r>
            <w:r>
              <w:rPr>
                <w:rFonts w:ascii="宋体" w:hAnsi="宋体" w:cs="宋体" w:eastAsia="宋体" w:hint="default"/>
                <w:sz w:val="18"/>
                <w:szCs w:val="18"/>
              </w:rPr>
              <w:t> </w:t>
            </w:r>
            <w:r>
              <w:rPr>
                <w:rFonts w:ascii="宋体" w:hAnsi="宋体" w:cs="宋体" w:eastAsia="宋体" w:hint="default"/>
                <w:spacing w:val="-27"/>
                <w:sz w:val="18"/>
                <w:szCs w:val="18"/>
              </w:rPr>
              <w:t>券时报》、《中国证</w:t>
            </w:r>
            <w:r>
              <w:rPr>
                <w:rFonts w:ascii="宋体" w:hAnsi="宋体" w:cs="宋体" w:eastAsia="宋体" w:hint="default"/>
                <w:sz w:val="18"/>
                <w:szCs w:val="18"/>
              </w:rPr>
              <w:t> </w:t>
            </w:r>
            <w:r>
              <w:rPr>
                <w:rFonts w:ascii="宋体" w:hAnsi="宋体" w:cs="宋体" w:eastAsia="宋体" w:hint="default"/>
                <w:spacing w:val="-8"/>
                <w:sz w:val="18"/>
                <w:szCs w:val="18"/>
              </w:rPr>
              <w:t>券报》和巨潮资讯</w:t>
            </w:r>
            <w:r>
              <w:rPr>
                <w:rFonts w:ascii="宋体" w:hAnsi="宋体" w:cs="宋体" w:eastAsia="宋体" w:hint="default"/>
                <w:sz w:val="18"/>
                <w:szCs w:val="18"/>
              </w:rPr>
              <w:t> 网</w:t>
            </w:r>
          </w:p>
          <w:p>
            <w:pPr>
              <w:pStyle w:val="TableParagraph"/>
              <w:spacing w:line="240" w:lineRule="auto" w:before="58"/>
              <w:ind w:left="103" w:right="0"/>
              <w:jc w:val="left"/>
              <w:rPr>
                <w:rFonts w:ascii="Times New Roman" w:hAnsi="Times New Roman" w:cs="Times New Roman" w:eastAsia="Times New Roman" w:hint="default"/>
                <w:sz w:val="18"/>
                <w:szCs w:val="18"/>
              </w:rPr>
            </w:pPr>
            <w:r>
              <w:rPr>
                <w:rFonts w:ascii="Times New Roman"/>
                <w:sz w:val="18"/>
              </w:rPr>
              <w:t>(http://www.cninfo</w:t>
            </w:r>
          </w:p>
          <w:p>
            <w:pPr>
              <w:pStyle w:val="TableParagraph"/>
              <w:spacing w:line="309" w:lineRule="auto" w:before="65"/>
              <w:ind w:left="103" w:right="130"/>
              <w:jc w:val="left"/>
              <w:rPr>
                <w:rFonts w:ascii="宋体" w:hAnsi="宋体" w:cs="宋体" w:eastAsia="宋体"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披露的公 告（公告编号： </w:t>
            </w:r>
            <w:r>
              <w:rPr>
                <w:rFonts w:ascii="Times New Roman" w:hAnsi="Times New Roman" w:cs="Times New Roman" w:eastAsia="Times New Roman" w:hint="default"/>
                <w:sz w:val="18"/>
                <w:szCs w:val="18"/>
              </w:rPr>
              <w:t>2018-029</w:t>
            </w:r>
            <w:r>
              <w:rPr>
                <w:rFonts w:ascii="宋体" w:hAnsi="宋体" w:cs="宋体" w:eastAsia="宋体" w:hint="default"/>
                <w:sz w:val="18"/>
                <w:szCs w:val="18"/>
              </w:rPr>
              <w:t>）</w:t>
            </w:r>
          </w:p>
        </w:tc>
      </w:tr>
      <w:tr>
        <w:trPr>
          <w:trHeight w:val="223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300" w:lineRule="auto"/>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20"/>
                <w:szCs w:val="20"/>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33.09%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2"/>
              <w:jc w:val="both"/>
              <w:rPr>
                <w:rFonts w:ascii="宋体" w:hAnsi="宋体" w:cs="宋体" w:eastAsia="宋体" w:hint="default"/>
                <w:sz w:val="18"/>
                <w:szCs w:val="18"/>
              </w:rPr>
            </w:pPr>
            <w:r>
              <w:rPr>
                <w:rFonts w:ascii="宋体" w:hAnsi="宋体" w:cs="宋体" w:eastAsia="宋体" w:hint="default"/>
                <w:spacing w:val="-8"/>
                <w:sz w:val="18"/>
                <w:szCs w:val="18"/>
              </w:rPr>
              <w:t>具体内容详见《证</w:t>
            </w:r>
            <w:r>
              <w:rPr>
                <w:rFonts w:ascii="宋体" w:hAnsi="宋体" w:cs="宋体" w:eastAsia="宋体" w:hint="default"/>
                <w:sz w:val="18"/>
                <w:szCs w:val="18"/>
              </w:rPr>
              <w:t> </w:t>
            </w:r>
            <w:r>
              <w:rPr>
                <w:rFonts w:ascii="宋体" w:hAnsi="宋体" w:cs="宋体" w:eastAsia="宋体" w:hint="default"/>
                <w:spacing w:val="-27"/>
                <w:sz w:val="18"/>
                <w:szCs w:val="18"/>
              </w:rPr>
              <w:t>券时报》、《中国证</w:t>
            </w:r>
            <w:r>
              <w:rPr>
                <w:rFonts w:ascii="宋体" w:hAnsi="宋体" w:cs="宋体" w:eastAsia="宋体" w:hint="default"/>
                <w:sz w:val="18"/>
                <w:szCs w:val="18"/>
              </w:rPr>
              <w:t> </w:t>
            </w:r>
            <w:r>
              <w:rPr>
                <w:rFonts w:ascii="宋体" w:hAnsi="宋体" w:cs="宋体" w:eastAsia="宋体" w:hint="default"/>
                <w:spacing w:val="-8"/>
                <w:sz w:val="18"/>
                <w:szCs w:val="18"/>
              </w:rPr>
              <w:t>券报》和巨潮资讯</w:t>
            </w:r>
            <w:r>
              <w:rPr>
                <w:rFonts w:ascii="宋体" w:hAnsi="宋体" w:cs="宋体" w:eastAsia="宋体" w:hint="default"/>
                <w:sz w:val="18"/>
                <w:szCs w:val="18"/>
              </w:rPr>
              <w:t> 网</w:t>
            </w:r>
          </w:p>
          <w:p>
            <w:pPr>
              <w:pStyle w:val="TableParagraph"/>
              <w:spacing w:line="240" w:lineRule="auto" w:before="57"/>
              <w:ind w:left="103" w:right="0"/>
              <w:jc w:val="both"/>
              <w:rPr>
                <w:rFonts w:ascii="Times New Roman" w:hAnsi="Times New Roman" w:cs="Times New Roman" w:eastAsia="Times New Roman" w:hint="default"/>
                <w:sz w:val="18"/>
                <w:szCs w:val="18"/>
              </w:rPr>
            </w:pPr>
            <w:r>
              <w:rPr>
                <w:rFonts w:ascii="Times New Roman"/>
                <w:sz w:val="18"/>
              </w:rPr>
              <w:t>(http://www.cninfo</w:t>
            </w:r>
          </w:p>
          <w:p>
            <w:pPr>
              <w:pStyle w:val="TableParagraph"/>
              <w:spacing w:line="300" w:lineRule="auto" w:before="65"/>
              <w:ind w:left="103" w:right="130"/>
              <w:jc w:val="both"/>
              <w:rPr>
                <w:rFonts w:ascii="宋体" w:hAnsi="宋体" w:cs="宋体" w:eastAsia="宋体"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披露的公 告（公告编号：</w:t>
            </w:r>
          </w:p>
        </w:tc>
      </w:tr>
    </w:tbl>
    <w:p>
      <w:pPr>
        <w:spacing w:after="0" w:line="300" w:lineRule="auto"/>
        <w:jc w:val="both"/>
        <w:rPr>
          <w:rFonts w:ascii="宋体" w:hAnsi="宋体" w:cs="宋体" w:eastAsia="宋体"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362" w:hRule="exact"/>
        </w:trPr>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2018-035</w:t>
            </w:r>
            <w:r>
              <w:rPr>
                <w:rFonts w:ascii="宋体" w:hAnsi="宋体" w:cs="宋体" w:eastAsia="宋体" w:hint="default"/>
                <w:sz w:val="18"/>
                <w:szCs w:val="18"/>
              </w:rPr>
              <w:t>）</w:t>
            </w:r>
          </w:p>
        </w:tc>
      </w:tr>
      <w:tr>
        <w:trPr>
          <w:trHeight w:val="258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60"/>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 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1"/>
              <w:jc w:val="right"/>
              <w:rPr>
                <w:rFonts w:ascii="Times New Roman" w:hAnsi="Times New Roman" w:cs="Times New Roman" w:eastAsia="Times New Roman" w:hint="default"/>
                <w:sz w:val="18"/>
                <w:szCs w:val="18"/>
              </w:rPr>
            </w:pPr>
            <w:r>
              <w:rPr>
                <w:rFonts w:ascii="Times New Roman"/>
                <w:sz w:val="18"/>
              </w:rPr>
              <w:t>34.24%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both"/>
              <w:rPr>
                <w:rFonts w:ascii="宋体" w:hAnsi="宋体" w:cs="宋体" w:eastAsia="宋体" w:hint="default"/>
                <w:sz w:val="18"/>
                <w:szCs w:val="18"/>
              </w:rPr>
            </w:pPr>
            <w:r>
              <w:rPr>
                <w:rFonts w:ascii="宋体" w:hAnsi="宋体" w:cs="宋体" w:eastAsia="宋体" w:hint="default"/>
                <w:spacing w:val="-8"/>
                <w:sz w:val="18"/>
                <w:szCs w:val="18"/>
              </w:rPr>
              <w:t>具体内容详见《证</w:t>
            </w:r>
            <w:r>
              <w:rPr>
                <w:rFonts w:ascii="宋体" w:hAnsi="宋体" w:cs="宋体" w:eastAsia="宋体" w:hint="default"/>
                <w:sz w:val="18"/>
                <w:szCs w:val="18"/>
              </w:rPr>
              <w:t> </w:t>
            </w:r>
            <w:r>
              <w:rPr>
                <w:rFonts w:ascii="宋体" w:hAnsi="宋体" w:cs="宋体" w:eastAsia="宋体" w:hint="default"/>
                <w:spacing w:val="-27"/>
                <w:sz w:val="18"/>
                <w:szCs w:val="18"/>
              </w:rPr>
              <w:t>券时报》、《中国证</w:t>
            </w:r>
            <w:r>
              <w:rPr>
                <w:rFonts w:ascii="宋体" w:hAnsi="宋体" w:cs="宋体" w:eastAsia="宋体" w:hint="default"/>
                <w:sz w:val="18"/>
                <w:szCs w:val="18"/>
              </w:rPr>
              <w:t> </w:t>
            </w:r>
            <w:r>
              <w:rPr>
                <w:rFonts w:ascii="宋体" w:hAnsi="宋体" w:cs="宋体" w:eastAsia="宋体" w:hint="default"/>
                <w:spacing w:val="-8"/>
                <w:sz w:val="18"/>
                <w:szCs w:val="18"/>
              </w:rPr>
              <w:t>券报》和巨潮资讯</w:t>
            </w:r>
            <w:r>
              <w:rPr>
                <w:rFonts w:ascii="宋体" w:hAnsi="宋体" w:cs="宋体" w:eastAsia="宋体" w:hint="default"/>
                <w:sz w:val="18"/>
                <w:szCs w:val="18"/>
              </w:rPr>
              <w:t> 网</w:t>
            </w:r>
          </w:p>
          <w:p>
            <w:pPr>
              <w:pStyle w:val="TableParagraph"/>
              <w:spacing w:line="240" w:lineRule="auto" w:before="58"/>
              <w:ind w:left="103" w:right="0"/>
              <w:jc w:val="left"/>
              <w:rPr>
                <w:rFonts w:ascii="Times New Roman" w:hAnsi="Times New Roman" w:cs="Times New Roman" w:eastAsia="Times New Roman" w:hint="default"/>
                <w:sz w:val="18"/>
                <w:szCs w:val="18"/>
              </w:rPr>
            </w:pPr>
            <w:r>
              <w:rPr>
                <w:rFonts w:ascii="Times New Roman"/>
                <w:sz w:val="18"/>
              </w:rPr>
              <w:t>(http://www.cninfo</w:t>
            </w:r>
          </w:p>
          <w:p>
            <w:pPr>
              <w:pStyle w:val="TableParagraph"/>
              <w:spacing w:line="309" w:lineRule="auto" w:before="65"/>
              <w:ind w:left="103" w:right="130"/>
              <w:jc w:val="left"/>
              <w:rPr>
                <w:rFonts w:ascii="宋体" w:hAnsi="宋体" w:cs="宋体" w:eastAsia="宋体"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披露的公 告（公告编号： </w:t>
            </w:r>
            <w:r>
              <w:rPr>
                <w:rFonts w:ascii="Times New Roman" w:hAnsi="Times New Roman" w:cs="Times New Roman" w:eastAsia="Times New Roman" w:hint="default"/>
                <w:sz w:val="18"/>
                <w:szCs w:val="18"/>
              </w:rPr>
              <w:t>2018-052</w:t>
            </w:r>
            <w:r>
              <w:rPr>
                <w:rFonts w:ascii="宋体" w:hAnsi="宋体" w:cs="宋体" w:eastAsia="宋体" w:hint="default"/>
                <w:sz w:val="18"/>
                <w:szCs w:val="18"/>
              </w:rPr>
              <w:t>）</w:t>
            </w:r>
          </w:p>
        </w:tc>
      </w:tr>
      <w:tr>
        <w:trPr>
          <w:trHeight w:val="258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9"/>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年第四次临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1"/>
              <w:jc w:val="right"/>
              <w:rPr>
                <w:rFonts w:ascii="Times New Roman" w:hAnsi="Times New Roman" w:cs="Times New Roman" w:eastAsia="Times New Roman" w:hint="default"/>
                <w:sz w:val="18"/>
                <w:szCs w:val="18"/>
              </w:rPr>
            </w:pPr>
            <w:r>
              <w:rPr>
                <w:rFonts w:ascii="Times New Roman"/>
                <w:sz w:val="18"/>
              </w:rPr>
              <w:t>33.36%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both"/>
              <w:rPr>
                <w:rFonts w:ascii="宋体" w:hAnsi="宋体" w:cs="宋体" w:eastAsia="宋体" w:hint="default"/>
                <w:sz w:val="18"/>
                <w:szCs w:val="18"/>
              </w:rPr>
            </w:pPr>
            <w:r>
              <w:rPr>
                <w:rFonts w:ascii="宋体" w:hAnsi="宋体" w:cs="宋体" w:eastAsia="宋体" w:hint="default"/>
                <w:spacing w:val="-8"/>
                <w:sz w:val="18"/>
                <w:szCs w:val="18"/>
              </w:rPr>
              <w:t>具体内容详见《证</w:t>
            </w:r>
            <w:r>
              <w:rPr>
                <w:rFonts w:ascii="宋体" w:hAnsi="宋体" w:cs="宋体" w:eastAsia="宋体" w:hint="default"/>
                <w:sz w:val="18"/>
                <w:szCs w:val="18"/>
              </w:rPr>
              <w:t> </w:t>
            </w:r>
            <w:r>
              <w:rPr>
                <w:rFonts w:ascii="宋体" w:hAnsi="宋体" w:cs="宋体" w:eastAsia="宋体" w:hint="default"/>
                <w:spacing w:val="-27"/>
                <w:sz w:val="18"/>
                <w:szCs w:val="18"/>
              </w:rPr>
              <w:t>券时报》、《中国证</w:t>
            </w:r>
            <w:r>
              <w:rPr>
                <w:rFonts w:ascii="宋体" w:hAnsi="宋体" w:cs="宋体" w:eastAsia="宋体" w:hint="default"/>
                <w:sz w:val="18"/>
                <w:szCs w:val="18"/>
              </w:rPr>
              <w:t> </w:t>
            </w:r>
            <w:r>
              <w:rPr>
                <w:rFonts w:ascii="宋体" w:hAnsi="宋体" w:cs="宋体" w:eastAsia="宋体" w:hint="default"/>
                <w:spacing w:val="-8"/>
                <w:sz w:val="18"/>
                <w:szCs w:val="18"/>
              </w:rPr>
              <w:t>券报》和巨潮资讯</w:t>
            </w:r>
            <w:r>
              <w:rPr>
                <w:rFonts w:ascii="宋体" w:hAnsi="宋体" w:cs="宋体" w:eastAsia="宋体" w:hint="default"/>
                <w:sz w:val="18"/>
                <w:szCs w:val="18"/>
              </w:rPr>
              <w:t> 网</w:t>
            </w:r>
          </w:p>
          <w:p>
            <w:pPr>
              <w:pStyle w:val="TableParagraph"/>
              <w:spacing w:line="240" w:lineRule="auto" w:before="58"/>
              <w:ind w:left="103" w:right="0"/>
              <w:jc w:val="left"/>
              <w:rPr>
                <w:rFonts w:ascii="Times New Roman" w:hAnsi="Times New Roman" w:cs="Times New Roman" w:eastAsia="Times New Roman" w:hint="default"/>
                <w:sz w:val="18"/>
                <w:szCs w:val="18"/>
              </w:rPr>
            </w:pPr>
            <w:r>
              <w:rPr>
                <w:rFonts w:ascii="Times New Roman"/>
                <w:sz w:val="18"/>
              </w:rPr>
              <w:t>(http://www.cninfo</w:t>
            </w:r>
          </w:p>
          <w:p>
            <w:pPr>
              <w:pStyle w:val="TableParagraph"/>
              <w:spacing w:line="309" w:lineRule="auto" w:before="65"/>
              <w:ind w:left="103" w:right="130"/>
              <w:jc w:val="left"/>
              <w:rPr>
                <w:rFonts w:ascii="宋体" w:hAnsi="宋体" w:cs="宋体" w:eastAsia="宋体"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披露的公 告（公告编号： </w:t>
            </w:r>
            <w:r>
              <w:rPr>
                <w:rFonts w:ascii="Times New Roman" w:hAnsi="Times New Roman" w:cs="Times New Roman" w:eastAsia="Times New Roman" w:hint="default"/>
                <w:sz w:val="18"/>
                <w:szCs w:val="18"/>
              </w:rPr>
              <w:t>2018-071</w:t>
            </w:r>
            <w:r>
              <w:rPr>
                <w:rFonts w:ascii="宋体" w:hAnsi="宋体" w:cs="宋体" w:eastAsia="宋体" w:hint="default"/>
                <w:sz w:val="18"/>
                <w:szCs w:val="18"/>
              </w:rPr>
              <w:t>）</w:t>
            </w:r>
          </w:p>
        </w:tc>
      </w:tr>
      <w:tr>
        <w:trPr>
          <w:trHeight w:val="258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9"/>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年第五次临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1"/>
              <w:jc w:val="right"/>
              <w:rPr>
                <w:rFonts w:ascii="Times New Roman" w:hAnsi="Times New Roman" w:cs="Times New Roman" w:eastAsia="Times New Roman" w:hint="default"/>
                <w:sz w:val="18"/>
                <w:szCs w:val="18"/>
              </w:rPr>
            </w:pPr>
            <w:r>
              <w:rPr>
                <w:rFonts w:ascii="Times New Roman"/>
                <w:sz w:val="18"/>
              </w:rPr>
              <w:t>34.58%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both"/>
              <w:rPr>
                <w:rFonts w:ascii="宋体" w:hAnsi="宋体" w:cs="宋体" w:eastAsia="宋体" w:hint="default"/>
                <w:sz w:val="18"/>
                <w:szCs w:val="18"/>
              </w:rPr>
            </w:pPr>
            <w:r>
              <w:rPr>
                <w:rFonts w:ascii="宋体" w:hAnsi="宋体" w:cs="宋体" w:eastAsia="宋体" w:hint="default"/>
                <w:spacing w:val="-8"/>
                <w:sz w:val="18"/>
                <w:szCs w:val="18"/>
              </w:rPr>
              <w:t>具体内容详见《证</w:t>
            </w:r>
            <w:r>
              <w:rPr>
                <w:rFonts w:ascii="宋体" w:hAnsi="宋体" w:cs="宋体" w:eastAsia="宋体" w:hint="default"/>
                <w:sz w:val="18"/>
                <w:szCs w:val="18"/>
              </w:rPr>
              <w:t> </w:t>
            </w:r>
            <w:r>
              <w:rPr>
                <w:rFonts w:ascii="宋体" w:hAnsi="宋体" w:cs="宋体" w:eastAsia="宋体" w:hint="default"/>
                <w:spacing w:val="-27"/>
                <w:sz w:val="18"/>
                <w:szCs w:val="18"/>
              </w:rPr>
              <w:t>券时报》、《中国证</w:t>
            </w:r>
            <w:r>
              <w:rPr>
                <w:rFonts w:ascii="宋体" w:hAnsi="宋体" w:cs="宋体" w:eastAsia="宋体" w:hint="default"/>
                <w:sz w:val="18"/>
                <w:szCs w:val="18"/>
              </w:rPr>
              <w:t> </w:t>
            </w:r>
            <w:r>
              <w:rPr>
                <w:rFonts w:ascii="宋体" w:hAnsi="宋体" w:cs="宋体" w:eastAsia="宋体" w:hint="default"/>
                <w:spacing w:val="-8"/>
                <w:sz w:val="18"/>
                <w:szCs w:val="18"/>
              </w:rPr>
              <w:t>券报》和巨潮资讯</w:t>
            </w:r>
            <w:r>
              <w:rPr>
                <w:rFonts w:ascii="宋体" w:hAnsi="宋体" w:cs="宋体" w:eastAsia="宋体" w:hint="default"/>
                <w:sz w:val="18"/>
                <w:szCs w:val="18"/>
              </w:rPr>
              <w:t> 网</w:t>
            </w:r>
          </w:p>
          <w:p>
            <w:pPr>
              <w:pStyle w:val="TableParagraph"/>
              <w:spacing w:line="240" w:lineRule="auto" w:before="59"/>
              <w:ind w:left="103" w:right="0"/>
              <w:jc w:val="left"/>
              <w:rPr>
                <w:rFonts w:ascii="Times New Roman" w:hAnsi="Times New Roman" w:cs="Times New Roman" w:eastAsia="Times New Roman" w:hint="default"/>
                <w:sz w:val="18"/>
                <w:szCs w:val="18"/>
              </w:rPr>
            </w:pPr>
            <w:r>
              <w:rPr>
                <w:rFonts w:ascii="Times New Roman"/>
                <w:sz w:val="18"/>
              </w:rPr>
              <w:t>(http://www.cninfo</w:t>
            </w:r>
          </w:p>
          <w:p>
            <w:pPr>
              <w:pStyle w:val="TableParagraph"/>
              <w:spacing w:line="309" w:lineRule="auto" w:before="65"/>
              <w:ind w:left="103" w:right="130"/>
              <w:jc w:val="left"/>
              <w:rPr>
                <w:rFonts w:ascii="宋体" w:hAnsi="宋体" w:cs="宋体" w:eastAsia="宋体"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披露的公 告（公告编号： </w:t>
            </w:r>
            <w:r>
              <w:rPr>
                <w:rFonts w:ascii="Times New Roman" w:hAnsi="Times New Roman" w:cs="Times New Roman" w:eastAsia="Times New Roman" w:hint="default"/>
                <w:sz w:val="18"/>
                <w:szCs w:val="18"/>
              </w:rPr>
              <w:t>2018-088</w:t>
            </w:r>
            <w:r>
              <w:rPr>
                <w:rFonts w:ascii="宋体" w:hAnsi="宋体" w:cs="宋体" w:eastAsia="宋体" w:hint="default"/>
                <w:sz w:val="18"/>
                <w:szCs w:val="18"/>
              </w:rPr>
              <w:t>）</w:t>
            </w:r>
          </w:p>
        </w:tc>
      </w:tr>
      <w:tr>
        <w:trPr>
          <w:trHeight w:val="258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9"/>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年第六次临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1"/>
              <w:jc w:val="right"/>
              <w:rPr>
                <w:rFonts w:ascii="Times New Roman" w:hAnsi="Times New Roman" w:cs="Times New Roman" w:eastAsia="Times New Roman" w:hint="default"/>
                <w:sz w:val="18"/>
                <w:szCs w:val="18"/>
              </w:rPr>
            </w:pPr>
            <w:r>
              <w:rPr>
                <w:rFonts w:ascii="Times New Roman"/>
                <w:sz w:val="18"/>
              </w:rPr>
              <w:t>15.98%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both"/>
              <w:rPr>
                <w:rFonts w:ascii="宋体" w:hAnsi="宋体" w:cs="宋体" w:eastAsia="宋体" w:hint="default"/>
                <w:sz w:val="18"/>
                <w:szCs w:val="18"/>
              </w:rPr>
            </w:pPr>
            <w:r>
              <w:rPr>
                <w:rFonts w:ascii="宋体" w:hAnsi="宋体" w:cs="宋体" w:eastAsia="宋体" w:hint="default"/>
                <w:spacing w:val="-8"/>
                <w:sz w:val="18"/>
                <w:szCs w:val="18"/>
              </w:rPr>
              <w:t>具体内容详见《证</w:t>
            </w:r>
            <w:r>
              <w:rPr>
                <w:rFonts w:ascii="宋体" w:hAnsi="宋体" w:cs="宋体" w:eastAsia="宋体" w:hint="default"/>
                <w:sz w:val="18"/>
                <w:szCs w:val="18"/>
              </w:rPr>
              <w:t> </w:t>
            </w:r>
            <w:r>
              <w:rPr>
                <w:rFonts w:ascii="宋体" w:hAnsi="宋体" w:cs="宋体" w:eastAsia="宋体" w:hint="default"/>
                <w:spacing w:val="-27"/>
                <w:sz w:val="18"/>
                <w:szCs w:val="18"/>
              </w:rPr>
              <w:t>券时报》、《中国证</w:t>
            </w:r>
            <w:r>
              <w:rPr>
                <w:rFonts w:ascii="宋体" w:hAnsi="宋体" w:cs="宋体" w:eastAsia="宋体" w:hint="default"/>
                <w:sz w:val="18"/>
                <w:szCs w:val="18"/>
              </w:rPr>
              <w:t> </w:t>
            </w:r>
            <w:r>
              <w:rPr>
                <w:rFonts w:ascii="宋体" w:hAnsi="宋体" w:cs="宋体" w:eastAsia="宋体" w:hint="default"/>
                <w:spacing w:val="-8"/>
                <w:sz w:val="18"/>
                <w:szCs w:val="18"/>
              </w:rPr>
              <w:t>券报》和巨潮资讯</w:t>
            </w:r>
            <w:r>
              <w:rPr>
                <w:rFonts w:ascii="宋体" w:hAnsi="宋体" w:cs="宋体" w:eastAsia="宋体" w:hint="default"/>
                <w:sz w:val="18"/>
                <w:szCs w:val="18"/>
              </w:rPr>
              <w:t> 网</w:t>
            </w:r>
          </w:p>
          <w:p>
            <w:pPr>
              <w:pStyle w:val="TableParagraph"/>
              <w:spacing w:line="240" w:lineRule="auto" w:before="58"/>
              <w:ind w:left="103" w:right="0"/>
              <w:jc w:val="left"/>
              <w:rPr>
                <w:rFonts w:ascii="Times New Roman" w:hAnsi="Times New Roman" w:cs="Times New Roman" w:eastAsia="Times New Roman" w:hint="default"/>
                <w:sz w:val="18"/>
                <w:szCs w:val="18"/>
              </w:rPr>
            </w:pPr>
            <w:r>
              <w:rPr>
                <w:rFonts w:ascii="Times New Roman"/>
                <w:sz w:val="18"/>
              </w:rPr>
              <w:t>(http://www.cninfo</w:t>
            </w:r>
          </w:p>
          <w:p>
            <w:pPr>
              <w:pStyle w:val="TableParagraph"/>
              <w:spacing w:line="309" w:lineRule="auto" w:before="65"/>
              <w:ind w:left="103" w:right="130"/>
              <w:jc w:val="left"/>
              <w:rPr>
                <w:rFonts w:ascii="宋体" w:hAnsi="宋体" w:cs="宋体" w:eastAsia="宋体"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披露的公 告（公告编号： </w:t>
            </w:r>
            <w:r>
              <w:rPr>
                <w:rFonts w:ascii="Times New Roman" w:hAnsi="Times New Roman" w:cs="Times New Roman" w:eastAsia="Times New Roman" w:hint="default"/>
                <w:sz w:val="18"/>
                <w:szCs w:val="18"/>
              </w:rPr>
              <w:t>2018-104</w:t>
            </w:r>
            <w:r>
              <w:rPr>
                <w:rFonts w:ascii="宋体" w:hAnsi="宋体" w:cs="宋体" w:eastAsia="宋体" w:hint="default"/>
                <w:sz w:val="18"/>
                <w:szCs w:val="18"/>
              </w:rPr>
              <w:t>）</w:t>
            </w:r>
          </w:p>
        </w:tc>
      </w:tr>
      <w:tr>
        <w:trPr>
          <w:trHeight w:val="258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9"/>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年第七次临 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1"/>
              <w:jc w:val="right"/>
              <w:rPr>
                <w:rFonts w:ascii="Times New Roman" w:hAnsi="Times New Roman" w:cs="Times New Roman" w:eastAsia="Times New Roman" w:hint="default"/>
                <w:sz w:val="18"/>
                <w:szCs w:val="18"/>
              </w:rPr>
            </w:pPr>
            <w:r>
              <w:rPr>
                <w:rFonts w:ascii="Times New Roman"/>
                <w:sz w:val="18"/>
              </w:rPr>
              <w:t>32.15%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both"/>
              <w:rPr>
                <w:rFonts w:ascii="宋体" w:hAnsi="宋体" w:cs="宋体" w:eastAsia="宋体" w:hint="default"/>
                <w:sz w:val="18"/>
                <w:szCs w:val="18"/>
              </w:rPr>
            </w:pPr>
            <w:r>
              <w:rPr>
                <w:rFonts w:ascii="宋体" w:hAnsi="宋体" w:cs="宋体" w:eastAsia="宋体" w:hint="default"/>
                <w:spacing w:val="-8"/>
                <w:sz w:val="18"/>
                <w:szCs w:val="18"/>
              </w:rPr>
              <w:t>具体内容详见《证</w:t>
            </w:r>
            <w:r>
              <w:rPr>
                <w:rFonts w:ascii="宋体" w:hAnsi="宋体" w:cs="宋体" w:eastAsia="宋体" w:hint="default"/>
                <w:sz w:val="18"/>
                <w:szCs w:val="18"/>
              </w:rPr>
              <w:t> </w:t>
            </w:r>
            <w:r>
              <w:rPr>
                <w:rFonts w:ascii="宋体" w:hAnsi="宋体" w:cs="宋体" w:eastAsia="宋体" w:hint="default"/>
                <w:spacing w:val="-27"/>
                <w:sz w:val="18"/>
                <w:szCs w:val="18"/>
              </w:rPr>
              <w:t>券时报》、《中国证</w:t>
            </w:r>
            <w:r>
              <w:rPr>
                <w:rFonts w:ascii="宋体" w:hAnsi="宋体" w:cs="宋体" w:eastAsia="宋体" w:hint="default"/>
                <w:sz w:val="18"/>
                <w:szCs w:val="18"/>
              </w:rPr>
              <w:t> </w:t>
            </w:r>
            <w:r>
              <w:rPr>
                <w:rFonts w:ascii="宋体" w:hAnsi="宋体" w:cs="宋体" w:eastAsia="宋体" w:hint="default"/>
                <w:spacing w:val="-8"/>
                <w:sz w:val="18"/>
                <w:szCs w:val="18"/>
              </w:rPr>
              <w:t>券报》和巨潮资讯</w:t>
            </w:r>
            <w:r>
              <w:rPr>
                <w:rFonts w:ascii="宋体" w:hAnsi="宋体" w:cs="宋体" w:eastAsia="宋体" w:hint="default"/>
                <w:sz w:val="18"/>
                <w:szCs w:val="18"/>
              </w:rPr>
              <w:t> 网</w:t>
            </w:r>
          </w:p>
          <w:p>
            <w:pPr>
              <w:pStyle w:val="TableParagraph"/>
              <w:spacing w:line="240" w:lineRule="auto" w:before="58"/>
              <w:ind w:left="103" w:right="0"/>
              <w:jc w:val="left"/>
              <w:rPr>
                <w:rFonts w:ascii="Times New Roman" w:hAnsi="Times New Roman" w:cs="Times New Roman" w:eastAsia="Times New Roman" w:hint="default"/>
                <w:sz w:val="18"/>
                <w:szCs w:val="18"/>
              </w:rPr>
            </w:pPr>
            <w:r>
              <w:rPr>
                <w:rFonts w:ascii="Times New Roman"/>
                <w:sz w:val="18"/>
              </w:rPr>
              <w:t>(http://www.cninfo</w:t>
            </w:r>
          </w:p>
          <w:p>
            <w:pPr>
              <w:pStyle w:val="TableParagraph"/>
              <w:spacing w:line="309" w:lineRule="auto" w:before="65"/>
              <w:ind w:left="103" w:right="130"/>
              <w:jc w:val="left"/>
              <w:rPr>
                <w:rFonts w:ascii="宋体" w:hAnsi="宋体" w:cs="宋体" w:eastAsia="宋体"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披露的公 告（公告编号： </w:t>
            </w:r>
            <w:r>
              <w:rPr>
                <w:rFonts w:ascii="Times New Roman" w:hAnsi="Times New Roman" w:cs="Times New Roman" w:eastAsia="Times New Roman" w:hint="default"/>
                <w:sz w:val="18"/>
                <w:szCs w:val="18"/>
              </w:rPr>
              <w:t>2018-129</w:t>
            </w:r>
            <w:r>
              <w:rPr>
                <w:rFonts w:ascii="宋体" w:hAnsi="宋体" w:cs="宋体" w:eastAsia="宋体" w:hint="default"/>
                <w:sz w:val="18"/>
                <w:szCs w:val="18"/>
              </w:rPr>
              <w:t>）</w:t>
            </w:r>
          </w:p>
        </w:tc>
      </w:tr>
    </w:tbl>
    <w:p>
      <w:pPr>
        <w:spacing w:after="0" w:line="309" w:lineRule="auto"/>
        <w:jc w:val="left"/>
        <w:rPr>
          <w:rFonts w:ascii="宋体" w:hAnsi="宋体" w:cs="宋体" w:eastAsia="宋体" w:hint="default"/>
          <w:sz w:val="18"/>
          <w:szCs w:val="18"/>
        </w:rPr>
        <w:sectPr>
          <w:pgSz w:w="11910" w:h="16840"/>
          <w:pgMar w:header="0" w:footer="1019" w:top="1120" w:bottom="1200" w:left="980" w:right="0"/>
        </w:sectPr>
      </w:pPr>
    </w:p>
    <w:p>
      <w:pPr>
        <w:spacing w:line="240" w:lineRule="auto" w:before="3"/>
        <w:rPr>
          <w:rFonts w:ascii="Times New Roman" w:hAnsi="Times New Roman" w:cs="Times New Roman" w:eastAsia="Times New Roman" w:hint="default"/>
          <w:sz w:val="22"/>
          <w:szCs w:val="22"/>
        </w:rPr>
      </w:pPr>
    </w:p>
    <w:p>
      <w:pPr>
        <w:pStyle w:val="Heading3"/>
        <w:spacing w:line="240" w:lineRule="auto" w:before="35"/>
        <w:ind w:right="0"/>
        <w:jc w:val="left"/>
        <w:rPr>
          <w:b w:val="0"/>
          <w:bCs w:val="0"/>
        </w:rPr>
      </w:pPr>
      <w:bookmarkStart w:name="2、表决权恢复的优先股股东请求召开临时股东大会" w:id="141"/>
      <w:bookmarkEnd w:id="141"/>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0"/>
        <w:rPr>
          <w:rFonts w:ascii="宋体" w:hAnsi="宋体" w:cs="宋体" w:eastAsia="宋体" w:hint="default"/>
          <w:sz w:val="25"/>
          <w:szCs w:val="25"/>
        </w:rPr>
      </w:pPr>
    </w:p>
    <w:p>
      <w:pPr>
        <w:pStyle w:val="Heading2"/>
        <w:spacing w:line="240" w:lineRule="auto"/>
        <w:ind w:right="0"/>
        <w:jc w:val="left"/>
        <w:rPr>
          <w:b w:val="0"/>
          <w:bCs w:val="0"/>
        </w:rPr>
      </w:pPr>
      <w:bookmarkStart w:name="五、报告期内独立董事履行职责的情况" w:id="142"/>
      <w:bookmarkEnd w:id="142"/>
      <w:r>
        <w:rPr>
          <w:b w:val="0"/>
          <w:bCs w:val="0"/>
        </w:rPr>
      </w:r>
      <w:r>
        <w:rPr/>
        <w:t>五、报告期内独立董事履行职责的情况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独立董事出席董事会及股东大会的情况" w:id="143"/>
      <w:bookmarkEnd w:id="143"/>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427"/>
        <w:gridCol w:w="1164"/>
        <w:gridCol w:w="1164"/>
        <w:gridCol w:w="1163"/>
        <w:gridCol w:w="1164"/>
        <w:gridCol w:w="1163"/>
        <w:gridCol w:w="1163"/>
        <w:gridCol w:w="1163"/>
      </w:tblGrid>
      <w:tr>
        <w:trPr>
          <w:trHeight w:val="401" w:hRule="exact"/>
        </w:trPr>
        <w:tc>
          <w:tcPr>
            <w:tcW w:w="9571"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338"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27" w:right="125"/>
              <w:jc w:val="center"/>
              <w:rPr>
                <w:rFonts w:ascii="宋体" w:hAnsi="宋体" w:cs="宋体" w:eastAsia="宋体" w:hint="default"/>
                <w:sz w:val="18"/>
                <w:szCs w:val="18"/>
              </w:rPr>
            </w:pPr>
            <w:r>
              <w:rPr>
                <w:rFonts w:ascii="宋体" w:hAnsi="宋体" w:cs="宋体" w:eastAsia="宋体" w:hint="default"/>
                <w:sz w:val="18"/>
                <w:szCs w:val="18"/>
              </w:rPr>
              <w:t>本报告期应 参加董事会 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9"/>
              <w:ind w:left="217" w:right="125" w:hanging="90"/>
              <w:jc w:val="left"/>
              <w:rPr>
                <w:rFonts w:ascii="宋体" w:hAnsi="宋体" w:cs="宋体" w:eastAsia="宋体" w:hint="default"/>
                <w:sz w:val="18"/>
                <w:szCs w:val="18"/>
              </w:rPr>
            </w:pPr>
            <w:r>
              <w:rPr>
                <w:rFonts w:ascii="宋体" w:hAnsi="宋体" w:cs="宋体" w:eastAsia="宋体" w:hint="default"/>
                <w:sz w:val="18"/>
                <w:szCs w:val="18"/>
              </w:rPr>
              <w:t>现场出席董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25" w:right="125"/>
              <w:jc w:val="center"/>
              <w:rPr>
                <w:rFonts w:ascii="宋体" w:hAnsi="宋体" w:cs="宋体" w:eastAsia="宋体" w:hint="default"/>
                <w:sz w:val="18"/>
                <w:szCs w:val="18"/>
              </w:rPr>
            </w:pPr>
            <w:r>
              <w:rPr>
                <w:rFonts w:ascii="宋体" w:hAnsi="宋体" w:cs="宋体" w:eastAsia="宋体" w:hint="default"/>
                <w:sz w:val="18"/>
                <w:szCs w:val="18"/>
              </w:rPr>
              <w:t>以通讯方式 参加董事会 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9"/>
              <w:ind w:left="216" w:right="126" w:hanging="90"/>
              <w:jc w:val="left"/>
              <w:rPr>
                <w:rFonts w:ascii="宋体" w:hAnsi="宋体" w:cs="宋体" w:eastAsia="宋体" w:hint="default"/>
                <w:sz w:val="18"/>
                <w:szCs w:val="18"/>
              </w:rPr>
            </w:pPr>
            <w:r>
              <w:rPr>
                <w:rFonts w:ascii="宋体" w:hAnsi="宋体" w:cs="宋体" w:eastAsia="宋体" w:hint="default"/>
                <w:sz w:val="18"/>
                <w:szCs w:val="18"/>
              </w:rPr>
              <w:t>委托出席董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9"/>
              <w:ind w:left="394" w:right="126" w:hanging="270"/>
              <w:jc w:val="left"/>
              <w:rPr>
                <w:rFonts w:ascii="宋体" w:hAnsi="宋体" w:cs="宋体" w:eastAsia="宋体" w:hint="default"/>
                <w:sz w:val="18"/>
                <w:szCs w:val="18"/>
              </w:rPr>
            </w:pPr>
            <w:r>
              <w:rPr>
                <w:rFonts w:ascii="宋体" w:hAnsi="宋体" w:cs="宋体" w:eastAsia="宋体" w:hint="default"/>
                <w:sz w:val="18"/>
                <w:szCs w:val="18"/>
              </w:rPr>
              <w:t>缺席董事会 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5" w:right="125"/>
              <w:jc w:val="center"/>
              <w:rPr>
                <w:rFonts w:ascii="宋体" w:hAnsi="宋体" w:cs="宋体" w:eastAsia="宋体" w:hint="default"/>
                <w:sz w:val="18"/>
                <w:szCs w:val="18"/>
              </w:rPr>
            </w:pPr>
            <w:r>
              <w:rPr>
                <w:rFonts w:ascii="宋体" w:hAnsi="宋体" w:cs="宋体" w:eastAsia="宋体" w:hint="default"/>
                <w:sz w:val="18"/>
                <w:szCs w:val="18"/>
              </w:rPr>
              <w:t>是否连续两 次未亲自参 加董事会会 议</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9"/>
              <w:ind w:left="305" w:right="125" w:hanging="180"/>
              <w:jc w:val="left"/>
              <w:rPr>
                <w:rFonts w:ascii="宋体" w:hAnsi="宋体" w:cs="宋体" w:eastAsia="宋体" w:hint="default"/>
                <w:sz w:val="18"/>
                <w:szCs w:val="18"/>
              </w:rPr>
            </w:pPr>
            <w:r>
              <w:rPr>
                <w:rFonts w:ascii="宋体" w:hAnsi="宋体" w:cs="宋体" w:eastAsia="宋体" w:hint="default"/>
                <w:sz w:val="18"/>
                <w:szCs w:val="18"/>
              </w:rPr>
              <w:t>出席股东大 会次数</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王艳梅</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16</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13</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8</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易庆国</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16</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13</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8</w:t>
            </w:r>
          </w:p>
        </w:tc>
      </w:tr>
      <w:tr>
        <w:trPr>
          <w:trHeight w:val="403"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王平</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16</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13</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8</w:t>
            </w:r>
          </w:p>
        </w:tc>
      </w:tr>
    </w:tbl>
    <w:p>
      <w:pPr>
        <w:pStyle w:val="BodyText"/>
        <w:spacing w:line="357" w:lineRule="auto" w:before="51"/>
        <w:ind w:right="8052"/>
        <w:jc w:val="left"/>
      </w:pPr>
      <w:r>
        <w:rPr/>
        <w:t>连续两次未亲自出席董事会的说明 无</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2、独立董事对公司有关事项提出异议的情况" w:id="144"/>
      <w:bookmarkEnd w:id="144"/>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独立董事对公司有关事项是否提出异议</w:t>
      </w:r>
    </w:p>
    <w:p>
      <w:pPr>
        <w:pStyle w:val="BodyText"/>
        <w:spacing w:line="357" w:lineRule="auto" w:before="117"/>
        <w:ind w:right="6972"/>
        <w:jc w:val="left"/>
      </w:pPr>
      <w:r>
        <w:rPr/>
        <w:t>□ 是 √ 否 报告期内独立董事对公司有关事项未提出异议。</w:t>
      </w:r>
    </w:p>
    <w:p>
      <w:pPr>
        <w:spacing w:line="240" w:lineRule="auto" w:before="13"/>
        <w:rPr>
          <w:rFonts w:ascii="宋体" w:hAnsi="宋体" w:cs="宋体" w:eastAsia="宋体" w:hint="default"/>
          <w:sz w:val="19"/>
          <w:szCs w:val="19"/>
        </w:rPr>
      </w:pPr>
    </w:p>
    <w:p>
      <w:pPr>
        <w:pStyle w:val="Heading3"/>
        <w:spacing w:line="240" w:lineRule="auto"/>
        <w:ind w:right="0"/>
        <w:jc w:val="left"/>
        <w:rPr>
          <w:b w:val="0"/>
          <w:bCs w:val="0"/>
        </w:rPr>
      </w:pPr>
      <w:bookmarkStart w:name="3、独立董事履行职责的其他说明" w:id="145"/>
      <w:bookmarkEnd w:id="145"/>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独立董事对公司有关建议是否被采纳</w:t>
      </w:r>
    </w:p>
    <w:p>
      <w:pPr>
        <w:pStyle w:val="BodyText"/>
        <w:spacing w:line="360" w:lineRule="auto" w:before="116"/>
        <w:ind w:right="6792"/>
        <w:jc w:val="left"/>
      </w:pPr>
      <w:r>
        <w:rPr/>
        <w:t>√ 是 □ 否 独立董事对公司有关建议被采纳或未被采纳的说明</w:t>
      </w:r>
    </w:p>
    <w:p>
      <w:pPr>
        <w:pStyle w:val="BodyText"/>
        <w:spacing w:line="477" w:lineRule="auto" w:before="103"/>
        <w:ind w:right="0" w:firstLine="360"/>
        <w:jc w:val="left"/>
      </w:pPr>
      <w:r>
        <w:rPr>
          <w:spacing w:val="-9"/>
        </w:rPr>
        <w:t>报告期内，公司独立董事本着独立、客观和公正的原则，严格按照《公司法》、《证券法》、公司《章程》、《独立董事工</w:t>
      </w:r>
      <w:r>
        <w:rPr/>
        <w:t> </w:t>
      </w:r>
      <w:r>
        <w:rPr>
          <w:spacing w:val="-5"/>
        </w:rPr>
        <w:t>作制度》、《中小企业板上市公司规范运作指引》等有关法律法规及规章制度的要求，勤勉尽责地开展工作，积极出席公司召</w:t>
      </w:r>
      <w:r>
        <w:rPr>
          <w:spacing w:val="-78"/>
        </w:rPr>
        <w:t> </w:t>
      </w:r>
      <w:r>
        <w:rPr>
          <w:spacing w:val="-78"/>
        </w:rPr>
      </w:r>
      <w:r>
        <w:rPr>
          <w:spacing w:val="-2"/>
        </w:rPr>
        <w:t>开的董事会，认真审议公司各项议案，对公司的重大决策提供了专业性意见。各位独立董事通过实地现场考察、电话和邮件</w:t>
      </w:r>
      <w:r>
        <w:rPr>
          <w:spacing w:val="-66"/>
        </w:rPr>
        <w:t> </w:t>
      </w:r>
      <w:r>
        <w:rPr>
          <w:spacing w:val="-66"/>
        </w:rPr>
      </w:r>
      <w:r>
        <w:rPr>
          <w:spacing w:val="-4"/>
        </w:rPr>
        <w:t>等方式积极与公司其他董事、监事、高级管理人员及相关工作人员保持密切联系，了解公司经营状况和内部控制的建设情况，</w:t>
      </w:r>
      <w:r>
        <w:rPr>
          <w:spacing w:val="-44"/>
        </w:rPr>
        <w:t> </w:t>
      </w:r>
      <w:r>
        <w:rPr>
          <w:spacing w:val="-44"/>
        </w:rPr>
      </w:r>
      <w:r>
        <w:rPr>
          <w:spacing w:val="-2"/>
        </w:rPr>
        <w:t>及时提示风险，并在报告期内对公司信息披露、财务审计、重大投资决策等方面，出具了独立、公正意见，进一步推动了公</w:t>
      </w:r>
      <w:r>
        <w:rPr>
          <w:spacing w:val="-68"/>
        </w:rPr>
        <w:t> </w:t>
      </w:r>
      <w:r>
        <w:rPr>
          <w:spacing w:val="-68"/>
        </w:rPr>
      </w:r>
      <w:r>
        <w:rPr>
          <w:spacing w:val="-2"/>
        </w:rPr>
        <w:t>司的规范化治理，积极有效地履行了独立董事的职责，切实维护了公司和中小股东的合法权益。公司尊重独立董事提出的各</w:t>
      </w:r>
      <w:r>
        <w:rPr>
          <w:spacing w:val="-65"/>
        </w:rPr>
        <w:t> </w:t>
      </w:r>
      <w:r>
        <w:rPr>
          <w:spacing w:val="-65"/>
        </w:rPr>
      </w:r>
      <w:r>
        <w:rPr/>
        <w:t>项建议和意见，并予以采纳。</w:t>
      </w:r>
    </w:p>
    <w:p>
      <w:pPr>
        <w:spacing w:after="0" w:line="477" w:lineRule="auto"/>
        <w:jc w:val="left"/>
        <w:sectPr>
          <w:pgSz w:w="11910" w:h="16840"/>
          <w:pgMar w:header="0" w:footer="1019" w:top="1120" w:bottom="1200" w:left="980" w:right="0"/>
        </w:sectPr>
      </w:pPr>
    </w:p>
    <w:p>
      <w:pPr>
        <w:spacing w:line="240" w:lineRule="auto" w:before="7"/>
        <w:rPr>
          <w:rFonts w:ascii="宋体" w:hAnsi="宋体" w:cs="宋体" w:eastAsia="宋体" w:hint="default"/>
          <w:sz w:val="18"/>
          <w:szCs w:val="18"/>
        </w:rPr>
      </w:pPr>
    </w:p>
    <w:p>
      <w:pPr>
        <w:pStyle w:val="Heading2"/>
        <w:spacing w:line="240" w:lineRule="auto" w:before="26"/>
        <w:ind w:right="0"/>
        <w:jc w:val="both"/>
        <w:rPr>
          <w:b w:val="0"/>
          <w:bCs w:val="0"/>
        </w:rPr>
      </w:pPr>
      <w:bookmarkStart w:name="六、董事会下设专门委员会在报告期内履行职责情况" w:id="146"/>
      <w:bookmarkEnd w:id="146"/>
      <w:r>
        <w:rPr>
          <w:b w:val="0"/>
          <w:bCs w:val="0"/>
        </w:rPr>
      </w:r>
      <w:r>
        <w:rPr/>
        <w:t>六、董事会下设专门委员会在报告期内履行职责情况</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1131" w:firstLine="360"/>
        <w:jc w:val="both"/>
      </w:pPr>
      <w:r>
        <w:rPr>
          <w:spacing w:val="-2"/>
        </w:rPr>
        <w:t>公司董事会下设审计委员会、薪酬与考核委员会、提名委员会等等三个专门委员会，并制定了专门委员会工作细则。报</w:t>
      </w:r>
      <w:r>
        <w:rPr/>
        <w:t> </w:t>
      </w:r>
      <w:r>
        <w:rPr>
          <w:spacing w:val="-2"/>
        </w:rPr>
        <w:t>告期内，各专门委员会本着勤勉尽责的原则，按照有关法律、法规、规范性文件及公司各专门委员会工作细则的规定开展相</w:t>
      </w:r>
      <w:r>
        <w:rPr>
          <w:spacing w:val="-66"/>
        </w:rPr>
        <w:t> </w:t>
      </w:r>
      <w:r>
        <w:rPr>
          <w:spacing w:val="-66"/>
        </w:rPr>
      </w:r>
      <w:r>
        <w:rPr/>
        <w:t>关工作。报告期内，各专门委员会履职情况如下：</w:t>
      </w:r>
    </w:p>
    <w:p>
      <w:pPr>
        <w:pStyle w:val="BodyText"/>
        <w:spacing w:line="451" w:lineRule="auto" w:before="54"/>
        <w:ind w:left="514" w:right="1042"/>
        <w:jc w:val="left"/>
      </w:pPr>
      <w:r>
        <w:rPr>
          <w:rFonts w:ascii="Times New Roman" w:hAnsi="Times New Roman" w:cs="Times New Roman" w:eastAsia="Times New Roman" w:hint="default"/>
        </w:rPr>
        <w:t>1</w:t>
      </w:r>
      <w:r>
        <w:rPr/>
        <w:t>、董事会审计委员会履职情况 </w:t>
      </w:r>
      <w:r>
        <w:rPr>
          <w:spacing w:val="-10"/>
        </w:rPr>
        <w:t>报告期内，公司审计委员会严格按照《公司法》、《证券法》、《董事会审计委员会工作细则》等有关规定，积极履行职责，</w:t>
      </w:r>
    </w:p>
    <w:p>
      <w:pPr>
        <w:pStyle w:val="BodyText"/>
        <w:spacing w:line="477" w:lineRule="auto" w:before="74"/>
        <w:ind w:right="1131"/>
        <w:jc w:val="both"/>
      </w:pPr>
      <w:r>
        <w:rPr>
          <w:spacing w:val="-2"/>
        </w:rPr>
        <w:t>全面考察公司生产经营、内部控制及重大事项进展情况，指导公司内部审计工作，审阅内部审计部门提交的工作报告，督促</w:t>
      </w:r>
      <w:r>
        <w:rPr>
          <w:spacing w:val="-66"/>
        </w:rPr>
        <w:t> </w:t>
      </w:r>
      <w:r>
        <w:rPr>
          <w:spacing w:val="-66"/>
        </w:rPr>
      </w:r>
      <w:r>
        <w:rPr>
          <w:spacing w:val="-2"/>
        </w:rPr>
        <w:t>和指导公司审计部对公司财务管理运行情况定期和不定期的检查和评估。同时，在年度审计期间与审计机构及时进行工作沟</w:t>
      </w:r>
      <w:r>
        <w:rPr>
          <w:spacing w:val="-64"/>
        </w:rPr>
        <w:t> </w:t>
      </w:r>
      <w:r>
        <w:rPr>
          <w:spacing w:val="-64"/>
        </w:rPr>
      </w:r>
      <w:r>
        <w:rPr/>
        <w:t>通，对财务报表出具审核意见，对审计机构的审计工作进行客观评价，充分发挥审计委员会的专业职能和监督作用。</w:t>
      </w:r>
    </w:p>
    <w:p>
      <w:pPr>
        <w:pStyle w:val="BodyText"/>
        <w:spacing w:line="468" w:lineRule="auto" w:before="54"/>
        <w:ind w:right="1032" w:firstLine="360"/>
        <w:jc w:val="left"/>
      </w:pPr>
      <w:r>
        <w:rPr/>
        <w:t>报告期内，审计委员会共召开了</w:t>
      </w:r>
      <w:r>
        <w:rPr>
          <w:rFonts w:ascii="Times New Roman" w:hAnsi="Times New Roman" w:cs="Times New Roman" w:eastAsia="Times New Roman" w:hint="default"/>
        </w:rPr>
        <w:t>5</w:t>
      </w:r>
      <w:r>
        <w:rPr/>
        <w:t>次会议，审议公司内部审计部提交的工作总结和工作计划等事项，对内部审计部门的 工作进行了指导，制定年度审计计划并对年度审计工作进行安排，并督促会计师事务所的审计工作；审议了公司定期报告、 </w:t>
      </w:r>
      <w:r>
        <w:rPr>
          <w:spacing w:val="-2"/>
        </w:rPr>
        <w:t>审计工作报告、财务报告、内部控制自我评价报告等相关事项，审计委员会切实履行了各项职责，对公司控制风险、健康运</w:t>
      </w:r>
      <w:r>
        <w:rPr>
          <w:spacing w:val="-66"/>
        </w:rPr>
        <w:t> </w:t>
      </w:r>
      <w:r>
        <w:rPr>
          <w:spacing w:val="-66"/>
        </w:rPr>
      </w:r>
      <w:r>
        <w:rPr/>
        <w:t>作及内部监管机制的贯彻执行实施了有效监督。</w:t>
      </w:r>
    </w:p>
    <w:p>
      <w:pPr>
        <w:pStyle w:val="BodyText"/>
        <w:spacing w:line="451" w:lineRule="auto" w:before="61"/>
        <w:ind w:left="604" w:right="0"/>
        <w:jc w:val="left"/>
      </w:pPr>
      <w:r>
        <w:rPr>
          <w:rFonts w:ascii="Times New Roman" w:hAnsi="Times New Roman" w:cs="Times New Roman" w:eastAsia="Times New Roman" w:hint="default"/>
        </w:rPr>
        <w:t>2</w:t>
      </w:r>
      <w:r>
        <w:rPr/>
        <w:t>、董事会薪酬与考核委员会履职情况 </w:t>
      </w:r>
      <w:r>
        <w:rPr>
          <w:spacing w:val="-4"/>
        </w:rPr>
        <w:t>报告期内，董事会薪酬与考核委员会召开了</w:t>
      </w:r>
      <w:r>
        <w:rPr>
          <w:rFonts w:ascii="宋体" w:hAnsi="宋体" w:cs="宋体" w:eastAsia="宋体" w:hint="default"/>
          <w:spacing w:val="-4"/>
        </w:rPr>
        <w:t>2</w:t>
      </w:r>
      <w:r>
        <w:rPr>
          <w:spacing w:val="-4"/>
        </w:rPr>
        <w:t>次专门会议，董事会薪酬与考核委员会依照法律、法规以及公司《章程》、</w:t>
      </w:r>
    </w:p>
    <w:p>
      <w:pPr>
        <w:pStyle w:val="BodyText"/>
        <w:spacing w:line="477" w:lineRule="auto" w:before="74"/>
        <w:ind w:right="1032"/>
        <w:jc w:val="left"/>
      </w:pPr>
      <w:r>
        <w:rPr/>
        <w:t>《董事会薪酬与考核委员会议事规则》的规定，勤勉尽责地履行职责，组织听取公司董事、监事、高级管理人员工作汇报， </w:t>
      </w:r>
      <w:r>
        <w:rPr>
          <w:spacing w:val="-2"/>
        </w:rPr>
        <w:t>结合公司经营目标的完成情况，合理考评公司董事、监事、高级管理人员年度绩效，认真审查了公司董事、监事和高级管理</w:t>
      </w:r>
      <w:r>
        <w:rPr>
          <w:spacing w:val="-66"/>
        </w:rPr>
        <w:t> </w:t>
      </w:r>
      <w:r>
        <w:rPr>
          <w:spacing w:val="-66"/>
        </w:rPr>
      </w:r>
      <w:r>
        <w:rPr>
          <w:spacing w:val="-2"/>
        </w:rPr>
        <w:t>人员</w:t>
      </w:r>
      <w:r>
        <w:rPr>
          <w:rFonts w:ascii="宋体" w:hAnsi="宋体" w:cs="宋体" w:eastAsia="宋体" w:hint="default"/>
          <w:spacing w:val="-2"/>
        </w:rPr>
        <w:t>2018</w:t>
      </w:r>
      <w:r>
        <w:rPr>
          <w:spacing w:val="-2"/>
        </w:rPr>
        <w:t>年的薪酬与津贴，认为公司董事、监事和高级管理人员的薪酬标准符合公司薪资的规定，切实履行了薪酬与考核委</w:t>
      </w:r>
      <w:r>
        <w:rPr>
          <w:spacing w:val="-62"/>
        </w:rPr>
        <w:t> </w:t>
      </w:r>
      <w:r>
        <w:rPr>
          <w:spacing w:val="-62"/>
        </w:rPr>
      </w:r>
      <w:r>
        <w:rPr>
          <w:spacing w:val="-2"/>
        </w:rPr>
        <w:t>员会的工作职责。在公司实施</w:t>
      </w:r>
      <w:r>
        <w:rPr>
          <w:rFonts w:ascii="宋体" w:hAnsi="宋体" w:cs="宋体" w:eastAsia="宋体" w:hint="default"/>
          <w:spacing w:val="-2"/>
        </w:rPr>
        <w:t>2017</w:t>
      </w:r>
      <w:r>
        <w:rPr>
          <w:spacing w:val="-2"/>
        </w:rPr>
        <w:t>年股权激励计划工作中，薪酬与考核委员会委员审议通过了公司限制性股票的回购注销事</w:t>
      </w:r>
      <w:r>
        <w:rPr>
          <w:spacing w:val="-60"/>
        </w:rPr>
        <w:t> </w:t>
      </w:r>
      <w:r>
        <w:rPr>
          <w:spacing w:val="-60"/>
        </w:rPr>
      </w:r>
      <w:r>
        <w:rPr/>
        <w:t>宜。</w:t>
      </w:r>
    </w:p>
    <w:p>
      <w:pPr>
        <w:pStyle w:val="BodyText"/>
        <w:spacing w:line="451" w:lineRule="auto" w:before="54"/>
        <w:ind w:left="514" w:right="0"/>
        <w:jc w:val="left"/>
      </w:pPr>
      <w:r>
        <w:rPr>
          <w:rFonts w:ascii="Times New Roman" w:hAnsi="Times New Roman" w:cs="Times New Roman" w:eastAsia="Times New Roman" w:hint="default"/>
        </w:rPr>
        <w:t>3</w:t>
      </w:r>
      <w:r>
        <w:rPr/>
        <w:t>、董事会提名委员会的履职情况 </w:t>
      </w:r>
      <w:r>
        <w:rPr>
          <w:spacing w:val="-4"/>
        </w:rPr>
        <w:t>报告期内，董事会提名委员会召开了</w:t>
      </w:r>
      <w:r>
        <w:rPr>
          <w:rFonts w:ascii="宋体" w:hAnsi="宋体" w:cs="宋体" w:eastAsia="宋体" w:hint="default"/>
          <w:spacing w:val="-4"/>
        </w:rPr>
        <w:t>3</w:t>
      </w:r>
      <w:r>
        <w:rPr>
          <w:spacing w:val="-4"/>
        </w:rPr>
        <w:t>次专门会议，董事会提名委员会依照法律、法规以及公司《章程》、《董事会提名</w:t>
      </w:r>
    </w:p>
    <w:p>
      <w:pPr>
        <w:pStyle w:val="BodyText"/>
        <w:spacing w:line="477" w:lineRule="auto" w:before="74"/>
        <w:ind w:right="1132"/>
        <w:jc w:val="both"/>
      </w:pPr>
      <w:r>
        <w:rPr>
          <w:spacing w:val="-2"/>
        </w:rPr>
        <w:t>委员会议事规则》的规定，认真履行职责，对公司第四届董事会董事、高级管理人员候选人的任职资格进行了充分考察。报</w:t>
      </w:r>
      <w:r>
        <w:rPr>
          <w:spacing w:val="-66"/>
        </w:rPr>
        <w:t> </w:t>
      </w:r>
      <w:r>
        <w:rPr>
          <w:spacing w:val="-66"/>
        </w:rPr>
      </w:r>
      <w:r>
        <w:rPr>
          <w:spacing w:val="-2"/>
        </w:rPr>
        <w:t>告期内，提名委员会切实履行了各项职责，确保了公司董事、高级管理人员等产生的程序公正、合法，聘用的高级管理人员</w:t>
      </w:r>
      <w:r>
        <w:rPr>
          <w:spacing w:val="-66"/>
        </w:rPr>
        <w:t> </w:t>
      </w:r>
      <w:r>
        <w:rPr>
          <w:spacing w:val="-66"/>
        </w:rPr>
      </w:r>
      <w:r>
        <w:rPr/>
        <w:t>具备拟任职务所要求的经验。</w:t>
      </w:r>
    </w:p>
    <w:p>
      <w:pPr>
        <w:spacing w:line="240" w:lineRule="auto" w:before="7"/>
        <w:rPr>
          <w:rFonts w:ascii="宋体" w:hAnsi="宋体" w:cs="宋体" w:eastAsia="宋体" w:hint="default"/>
          <w:sz w:val="17"/>
          <w:szCs w:val="17"/>
        </w:rPr>
      </w:pPr>
    </w:p>
    <w:p>
      <w:pPr>
        <w:pStyle w:val="Heading2"/>
        <w:spacing w:line="240" w:lineRule="auto"/>
        <w:ind w:right="0"/>
        <w:jc w:val="both"/>
        <w:rPr>
          <w:b w:val="0"/>
          <w:bCs w:val="0"/>
        </w:rPr>
      </w:pPr>
      <w:bookmarkStart w:name="七、监事会工作情况" w:id="147"/>
      <w:bookmarkEnd w:id="147"/>
      <w:r>
        <w:rPr>
          <w:b w:val="0"/>
          <w:bCs w:val="0"/>
        </w:rPr>
      </w:r>
      <w:r>
        <w:rPr/>
        <w:t>七、监事会工作情况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both"/>
      </w:pPr>
      <w:r>
        <w:rPr/>
        <w:t>监事会在报告期内的监督活动中发现公司是否存在风险</w:t>
      </w:r>
    </w:p>
    <w:p>
      <w:pPr>
        <w:pStyle w:val="BodyText"/>
        <w:spacing w:line="360" w:lineRule="auto" w:before="116"/>
        <w:ind w:right="7692"/>
        <w:jc w:val="left"/>
      </w:pPr>
      <w:r>
        <w:rPr/>
        <w:t>□ 是 √ 否 监事会对报告期内的监督事项无异议。</w:t>
      </w:r>
    </w:p>
    <w:p>
      <w:pPr>
        <w:spacing w:after="0" w:line="360" w:lineRule="auto"/>
        <w:jc w:val="left"/>
        <w:sectPr>
          <w:pgSz w:w="11910" w:h="16840"/>
          <w:pgMar w:header="0" w:footer="1019" w:top="1120" w:bottom="1200" w:left="980" w:right="0"/>
        </w:sectPr>
      </w:pPr>
    </w:p>
    <w:p>
      <w:pPr>
        <w:spacing w:line="240" w:lineRule="auto" w:before="5"/>
        <w:rPr>
          <w:rFonts w:ascii="宋体" w:hAnsi="宋体" w:cs="宋体" w:eastAsia="宋体" w:hint="default"/>
          <w:sz w:val="18"/>
          <w:szCs w:val="18"/>
        </w:rPr>
      </w:pPr>
    </w:p>
    <w:p>
      <w:pPr>
        <w:pStyle w:val="Heading2"/>
        <w:spacing w:line="240" w:lineRule="auto" w:before="26"/>
        <w:ind w:right="0"/>
        <w:jc w:val="left"/>
        <w:rPr>
          <w:b w:val="0"/>
          <w:bCs w:val="0"/>
        </w:rPr>
      </w:pPr>
      <w:bookmarkStart w:name="八、高级管理人员的考评及激励情况" w:id="148"/>
      <w:bookmarkEnd w:id="148"/>
      <w:r>
        <w:rPr>
          <w:b w:val="0"/>
          <w:bCs w:val="0"/>
        </w:rPr>
      </w:r>
      <w:r>
        <w:rPr/>
        <w:t>八、高级管理人员的考评及激励情况</w:t>
      </w:r>
      <w:r>
        <w:rPr>
          <w:b w:val="0"/>
          <w:bCs w:val="0"/>
        </w:rPr>
      </w:r>
    </w:p>
    <w:p>
      <w:pPr>
        <w:spacing w:line="240" w:lineRule="auto" w:before="7"/>
        <w:rPr>
          <w:rFonts w:ascii="宋体" w:hAnsi="宋体" w:cs="宋体" w:eastAsia="宋体" w:hint="default"/>
          <w:b/>
          <w:bCs/>
          <w:sz w:val="32"/>
          <w:szCs w:val="32"/>
        </w:rPr>
      </w:pPr>
    </w:p>
    <w:p>
      <w:pPr>
        <w:pStyle w:val="BodyText"/>
        <w:spacing w:line="472" w:lineRule="auto"/>
        <w:ind w:right="1032" w:firstLine="357"/>
        <w:jc w:val="left"/>
      </w:pPr>
      <w:r>
        <w:rPr>
          <w:rFonts w:ascii="Times New Roman" w:hAnsi="Times New Roman" w:cs="Times New Roman" w:eastAsia="Times New Roman" w:hint="default"/>
          <w:spacing w:val="-2"/>
        </w:rPr>
        <w:t>1</w:t>
      </w:r>
      <w:r>
        <w:rPr>
          <w:spacing w:val="-2"/>
        </w:rPr>
        <w:t>、公司建立了完善的高级管理人员选聘、考评、激励与约束机制，以公司规范化管理以及经营效益为基础，明确责任，</w:t>
      </w:r>
      <w:r>
        <w:rPr/>
        <w:t> </w:t>
      </w:r>
      <w:r>
        <w:rPr>
          <w:spacing w:val="-2"/>
        </w:rPr>
        <w:t>实行薪酬与工作绩效挂钩的考评机制。董事会下设的薪酬与考核委员会负责制定公司董事及高级管理人员的薪酬政策及考核</w:t>
      </w:r>
      <w:r>
        <w:rPr>
          <w:spacing w:val="-64"/>
        </w:rPr>
        <w:t> </w:t>
      </w:r>
      <w:r>
        <w:rPr>
          <w:spacing w:val="-64"/>
        </w:rPr>
      </w:r>
      <w:r>
        <w:rPr>
          <w:spacing w:val="-2"/>
        </w:rPr>
        <w:t>标准，对高级管理人员的工作能力、履职情况、经营目标完成情况等进行综合考评，制定薪酬方案。报告期内，公司高级管</w:t>
      </w:r>
      <w:r>
        <w:rPr>
          <w:spacing w:val="-67"/>
        </w:rPr>
        <w:t> </w:t>
      </w:r>
      <w:r>
        <w:rPr>
          <w:spacing w:val="-67"/>
        </w:rPr>
      </w:r>
      <w:r>
        <w:rPr>
          <w:spacing w:val="-6"/>
        </w:rPr>
        <w:t>理人员能够严格按照《公司法》、</w:t>
      </w:r>
      <w:r>
        <w:rPr/>
        <w:t> 公司《章程》及相关法律法规认真履行职责，积极落实公司股东大会和董事会相关决议，</w:t>
      </w:r>
      <w:r>
        <w:rPr/>
        <w:t> </w:t>
      </w:r>
      <w:r>
        <w:rPr>
          <w:spacing w:val="-4"/>
        </w:rPr>
        <w:t>进一步完善了公司高级管理人员的考评及激励的制度建设，同时公司严格按照上述制度执行，确保公司高级管理人员的聘任、</w:t>
      </w:r>
      <w:r>
        <w:rPr>
          <w:spacing w:val="-44"/>
        </w:rPr>
        <w:t> </w:t>
      </w:r>
      <w:r>
        <w:rPr>
          <w:spacing w:val="-44"/>
        </w:rPr>
      </w:r>
      <w:r>
        <w:rPr/>
        <w:t>考评和激励标准化、程序化、制度化。</w:t>
      </w:r>
    </w:p>
    <w:p>
      <w:pPr>
        <w:pStyle w:val="BodyText"/>
        <w:spacing w:line="463" w:lineRule="auto" w:before="58"/>
        <w:ind w:right="1132" w:firstLine="357"/>
        <w:jc w:val="both"/>
      </w:pPr>
      <w:r>
        <w:rPr>
          <w:rFonts w:ascii="Times New Roman" w:hAnsi="Times New Roman" w:cs="Times New Roman" w:eastAsia="Times New Roman" w:hint="default"/>
        </w:rPr>
        <w:t>2</w:t>
      </w:r>
      <w:r>
        <w:rPr/>
        <w:t>、对高级管理人员、核心技术及业务骨干人员实施股权激励计划。公司股权激励计划的实施，进一步完善了对公司高 </w:t>
      </w:r>
      <w:r>
        <w:rPr>
          <w:spacing w:val="-2"/>
        </w:rPr>
        <w:t>级管理人员和其他骨干员工的激励和约束机制，有利于激发管理团队的工作积极性和创造性，提高经营效率，促进公司业绩</w:t>
      </w:r>
      <w:r>
        <w:rPr>
          <w:spacing w:val="-66"/>
        </w:rPr>
        <w:t> </w:t>
      </w:r>
      <w:r>
        <w:rPr>
          <w:spacing w:val="-66"/>
        </w:rPr>
      </w:r>
      <w:r>
        <w:rPr/>
        <w:t>提升。</w:t>
      </w:r>
    </w:p>
    <w:p>
      <w:pPr>
        <w:spacing w:line="240" w:lineRule="auto" w:before="4"/>
        <w:rPr>
          <w:rFonts w:ascii="宋体" w:hAnsi="宋体" w:cs="宋体" w:eastAsia="宋体" w:hint="default"/>
          <w:sz w:val="18"/>
          <w:szCs w:val="18"/>
        </w:rPr>
      </w:pPr>
    </w:p>
    <w:p>
      <w:pPr>
        <w:pStyle w:val="Heading2"/>
        <w:spacing w:line="240" w:lineRule="auto"/>
        <w:ind w:right="0"/>
        <w:jc w:val="left"/>
        <w:rPr>
          <w:b w:val="0"/>
          <w:bCs w:val="0"/>
        </w:rPr>
      </w:pPr>
      <w:bookmarkStart w:name="九、内部控制评价报告" w:id="149"/>
      <w:bookmarkEnd w:id="149"/>
      <w:r>
        <w:rPr>
          <w:b w:val="0"/>
          <w:bCs w:val="0"/>
        </w:rPr>
      </w:r>
      <w:r>
        <w:rPr/>
        <w:t>九、内部控制评价报告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报告期内发现的内部控制重大缺陷的具体情况" w:id="150"/>
      <w:bookmarkEnd w:id="150"/>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是 √ 否</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内控自我评价报告" w:id="151"/>
      <w:bookmarkEnd w:id="151"/>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5"/>
        <w:gridCol w:w="3323"/>
        <w:gridCol w:w="3051"/>
      </w:tblGrid>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Times New Roman" w:hAnsi="Times New Roman" w:cs="Times New Roman" w:eastAsia="Times New Roman" w:hint="default"/>
                <w:sz w:val="18"/>
                <w:szCs w:val="18"/>
              </w:rPr>
              <w:t>(http://www.cninfo.com.cn)</w:t>
            </w:r>
          </w:p>
        </w:tc>
      </w:tr>
      <w:tr>
        <w:trPr>
          <w:trHeight w:val="714"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201"/>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 并财务报表资产总额的比例</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100.00%</w:t>
            </w:r>
          </w:p>
        </w:tc>
      </w:tr>
      <w:tr>
        <w:trPr>
          <w:trHeight w:val="715"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201"/>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 并财务报表营业收入的比例</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956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1"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详见巨潮资讯网公告</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详见巨潮资讯网公告</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详见巨潮资讯网公告</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详见巨潮资讯网公告</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7"/>
        <w:rPr>
          <w:rFonts w:ascii="宋体" w:hAnsi="宋体" w:cs="宋体" w:eastAsia="宋体" w:hint="default"/>
          <w:b/>
          <w:bCs/>
          <w:sz w:val="18"/>
          <w:szCs w:val="18"/>
        </w:rPr>
      </w:pPr>
    </w:p>
    <w:p>
      <w:pPr>
        <w:pStyle w:val="Heading2"/>
        <w:spacing w:line="240" w:lineRule="auto" w:before="26"/>
        <w:ind w:right="0"/>
        <w:jc w:val="left"/>
        <w:rPr>
          <w:b w:val="0"/>
          <w:bCs w:val="0"/>
        </w:rPr>
      </w:pPr>
      <w:bookmarkStart w:name="十、内部控制审计报告或鉴证报告" w:id="152"/>
      <w:bookmarkEnd w:id="152"/>
      <w:r>
        <w:rPr>
          <w:b w:val="0"/>
          <w:bCs w:val="0"/>
        </w:rPr>
      </w:r>
      <w:r>
        <w:rPr/>
        <w:t>十、内部控制审计报告或鉴证报告</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不适用</w:t>
      </w:r>
    </w:p>
    <w:p>
      <w:pPr>
        <w:spacing w:after="0" w:line="240" w:lineRule="auto"/>
        <w:jc w:val="left"/>
        <w:sectPr>
          <w:pgSz w:w="11910" w:h="16840"/>
          <w:pgMar w:header="0" w:footer="1019" w:top="1120" w:bottom="120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1"/>
        <w:spacing w:line="240" w:lineRule="auto"/>
        <w:ind w:left="3126" w:right="0"/>
        <w:jc w:val="left"/>
        <w:rPr>
          <w:b w:val="0"/>
          <w:bCs w:val="0"/>
        </w:rPr>
      </w:pPr>
      <w:bookmarkStart w:name="第十节 公司债券相关情况" w:id="153"/>
      <w:bookmarkEnd w:id="153"/>
      <w:r>
        <w:rPr>
          <w:b w:val="0"/>
          <w:bCs w:val="0"/>
        </w:rPr>
      </w:r>
      <w:bookmarkStart w:name="_bookmark9" w:id="154"/>
      <w:bookmarkEnd w:id="154"/>
      <w:r>
        <w:rPr>
          <w:b w:val="0"/>
          <w:bCs w:val="0"/>
        </w:rPr>
      </w:r>
      <w:r>
        <w:rPr/>
        <w:t>第十节</w:t>
      </w:r>
      <w:r>
        <w:rPr>
          <w:spacing w:val="-9"/>
        </w:rPr>
        <w:t> </w:t>
      </w:r>
      <w:r>
        <w:rPr/>
        <w:t>公司债券相关情况</w:t>
      </w:r>
      <w:r>
        <w:rPr>
          <w:b w:val="0"/>
          <w:bCs w:val="0"/>
        </w:rPr>
      </w:r>
    </w:p>
    <w:p>
      <w:pPr>
        <w:spacing w:line="240" w:lineRule="auto" w:before="8"/>
        <w:rPr>
          <w:rFonts w:ascii="宋体" w:hAnsi="宋体" w:cs="宋体" w:eastAsia="宋体" w:hint="default"/>
          <w:b/>
          <w:bCs/>
          <w:sz w:val="42"/>
          <w:szCs w:val="42"/>
        </w:rPr>
      </w:pPr>
    </w:p>
    <w:p>
      <w:pPr>
        <w:pStyle w:val="BodyText"/>
        <w:spacing w:line="357" w:lineRule="auto"/>
        <w:ind w:right="2112"/>
        <w:jc w:val="left"/>
      </w:pPr>
      <w:r>
        <w:rPr/>
        <w:t>公司是否存在公开发行并在证券交易所上市，且在年度报告批准报出日未到期或到期未能全额兑付的公司债券 否</w:t>
      </w:r>
    </w:p>
    <w:p>
      <w:pPr>
        <w:spacing w:after="0" w:line="357" w:lineRule="auto"/>
        <w:jc w:val="left"/>
        <w:sectPr>
          <w:pgSz w:w="11910" w:h="16840"/>
          <w:pgMar w:header="0" w:footer="1019" w:top="1120" w:bottom="120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1"/>
        <w:spacing w:line="240" w:lineRule="auto"/>
        <w:ind w:left="3608" w:right="0"/>
        <w:jc w:val="left"/>
        <w:rPr>
          <w:b w:val="0"/>
          <w:bCs w:val="0"/>
        </w:rPr>
      </w:pPr>
      <w:bookmarkStart w:name="第十一节 财务报告" w:id="155"/>
      <w:bookmarkEnd w:id="155"/>
      <w:r>
        <w:rPr>
          <w:b w:val="0"/>
          <w:bCs w:val="0"/>
        </w:rPr>
      </w:r>
      <w:bookmarkStart w:name="_bookmark10" w:id="156"/>
      <w:bookmarkEnd w:id="156"/>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审计报告" w:id="157"/>
      <w:bookmarkEnd w:id="157"/>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亚太（集团）会计师事务所（特殊普通合伙）</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亚会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审字（</w:t>
            </w:r>
            <w:r>
              <w:rPr>
                <w:rFonts w:ascii="Times New Roman" w:hAnsi="Times New Roman" w:cs="Times New Roman" w:eastAsia="Times New Roman" w:hint="default"/>
                <w:sz w:val="18"/>
                <w:szCs w:val="18"/>
              </w:rPr>
              <w:t>2019</w:t>
            </w:r>
            <w:r>
              <w:rPr>
                <w:rFonts w:ascii="宋体" w:hAnsi="宋体" w:cs="宋体" w:eastAsia="宋体" w:hint="default"/>
                <w:sz w:val="18"/>
                <w:szCs w:val="18"/>
              </w:rPr>
              <w:t>）</w:t>
            </w:r>
            <w:r>
              <w:rPr>
                <w:rFonts w:ascii="Times New Roman" w:hAnsi="Times New Roman" w:cs="Times New Roman" w:eastAsia="Times New Roman" w:hint="default"/>
                <w:sz w:val="18"/>
                <w:szCs w:val="18"/>
              </w:rPr>
              <w:t>0058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周英、林丹妮</w:t>
            </w:r>
          </w:p>
        </w:tc>
      </w:tr>
    </w:tbl>
    <w:p>
      <w:pPr>
        <w:pStyle w:val="BodyText"/>
        <w:spacing w:line="240" w:lineRule="auto" w:before="51"/>
        <w:ind w:left="0" w:right="976"/>
        <w:jc w:val="center"/>
      </w:pPr>
      <w:r>
        <w:rPr/>
        <w:t>审计报告正文</w:t>
      </w:r>
    </w:p>
    <w:p>
      <w:pPr>
        <w:spacing w:line="240" w:lineRule="auto" w:before="4"/>
        <w:rPr>
          <w:rFonts w:ascii="宋体" w:hAnsi="宋体" w:cs="宋体" w:eastAsia="宋体" w:hint="default"/>
          <w:sz w:val="11"/>
          <w:szCs w:val="11"/>
        </w:rPr>
      </w:pPr>
    </w:p>
    <w:p>
      <w:pPr>
        <w:spacing w:line="477" w:lineRule="auto" w:before="44"/>
        <w:ind w:left="514" w:right="7139" w:hanging="360"/>
        <w:jc w:val="left"/>
        <w:rPr>
          <w:rFonts w:ascii="宋体" w:hAnsi="宋体" w:cs="宋体" w:eastAsia="宋体" w:hint="default"/>
          <w:sz w:val="18"/>
          <w:szCs w:val="18"/>
        </w:rPr>
      </w:pPr>
      <w:r>
        <w:rPr>
          <w:rFonts w:ascii="宋体" w:hAnsi="宋体" w:cs="宋体" w:eastAsia="宋体" w:hint="default"/>
          <w:b/>
          <w:bCs/>
          <w:sz w:val="18"/>
          <w:szCs w:val="18"/>
        </w:rPr>
        <w:t>深圳市卓翼科技股份有限公司全体股东：</w:t>
      </w:r>
      <w:r>
        <w:rPr>
          <w:rFonts w:ascii="宋体" w:hAnsi="宋体" w:cs="宋体" w:eastAsia="宋体" w:hint="default"/>
          <w:b/>
          <w:bCs/>
          <w:w w:val="99"/>
          <w:sz w:val="18"/>
          <w:szCs w:val="18"/>
        </w:rPr>
        <w:t> </w:t>
      </w:r>
      <w:r>
        <w:rPr>
          <w:rFonts w:ascii="宋体" w:hAnsi="宋体" w:cs="宋体" w:eastAsia="宋体" w:hint="default"/>
          <w:sz w:val="18"/>
          <w:szCs w:val="18"/>
        </w:rPr>
        <w:t>一、审计意见</w:t>
      </w:r>
    </w:p>
    <w:p>
      <w:pPr>
        <w:pStyle w:val="BodyText"/>
        <w:spacing w:line="477" w:lineRule="auto" w:before="54"/>
        <w:ind w:right="1129" w:firstLine="360"/>
        <w:jc w:val="both"/>
      </w:pPr>
      <w:r>
        <w:rPr>
          <w:spacing w:val="-2"/>
        </w:rPr>
        <w:t>我们审计了后附的深圳市卓翼科技股份有限公司（以下简称“卓翼科技公司”）财务报表，包括</w:t>
      </w: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日的合并</w:t>
      </w:r>
      <w:r>
        <w:rPr/>
        <w:t> </w:t>
      </w:r>
      <w:r>
        <w:rPr>
          <w:spacing w:val="-2"/>
        </w:rPr>
        <w:t>及母公司资产负债表，</w:t>
      </w:r>
      <w:r>
        <w:rPr>
          <w:rFonts w:ascii="宋体" w:hAnsi="宋体" w:cs="宋体" w:eastAsia="宋体" w:hint="default"/>
          <w:spacing w:val="-2"/>
        </w:rPr>
        <w:t>2018</w:t>
      </w:r>
      <w:r>
        <w:rPr>
          <w:spacing w:val="-2"/>
        </w:rPr>
        <w:t>年度合并及母公司利润表、合并及母公司现金流量表、合并及母公司股东权益变动表，以及财务</w:t>
      </w:r>
      <w:r>
        <w:rPr>
          <w:spacing w:val="-61"/>
        </w:rPr>
        <w:t> </w:t>
      </w:r>
      <w:r>
        <w:rPr>
          <w:spacing w:val="-61"/>
        </w:rPr>
      </w:r>
      <w:r>
        <w:rPr/>
        <w:t>报表附注。</w:t>
      </w:r>
    </w:p>
    <w:p>
      <w:pPr>
        <w:pStyle w:val="BodyText"/>
        <w:spacing w:line="477" w:lineRule="auto" w:before="54"/>
        <w:ind w:right="1130" w:firstLine="360"/>
        <w:jc w:val="both"/>
      </w:pPr>
      <w:r>
        <w:rPr>
          <w:spacing w:val="-2"/>
        </w:rPr>
        <w:t>我们认为，上述财务报表在所有重大方面按照企业会计准则的规定编制，公允反映了卓翼科技公司</w:t>
      </w: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日的合</w:t>
      </w:r>
      <w:r>
        <w:rPr/>
        <w:t> 并及母公司财务状况以及</w:t>
      </w:r>
      <w:r>
        <w:rPr>
          <w:rFonts w:ascii="宋体" w:hAnsi="宋体" w:cs="宋体" w:eastAsia="宋体" w:hint="default"/>
        </w:rPr>
        <w:t>2018</w:t>
      </w:r>
      <w:r>
        <w:rPr/>
        <w:t>年度的合并及母公司经营成果和现金流量。</w:t>
      </w:r>
    </w:p>
    <w:p>
      <w:pPr>
        <w:pStyle w:val="BodyText"/>
        <w:spacing w:line="477" w:lineRule="auto" w:before="54"/>
        <w:ind w:left="514" w:right="0"/>
        <w:jc w:val="left"/>
      </w:pPr>
      <w:r>
        <w:rPr/>
        <w:t>二、形成审计意见的基础 </w:t>
      </w:r>
      <w:r>
        <w:rPr>
          <w:spacing w:val="-2"/>
        </w:rPr>
        <w:t>我们按照中国注册会计师审计准则的规定执行了审计工作。审计报告的“注册会计师对财务报表审计的责任”部分进一</w:t>
      </w:r>
    </w:p>
    <w:p>
      <w:pPr>
        <w:pStyle w:val="BodyText"/>
        <w:spacing w:line="477" w:lineRule="auto" w:before="54"/>
        <w:ind w:right="0"/>
        <w:jc w:val="left"/>
      </w:pPr>
      <w:r>
        <w:rPr>
          <w:spacing w:val="-2"/>
        </w:rPr>
        <w:t>步阐述了我们在这些准则下的责任。按照中国注册会计师职业道德守则，我们独立于卓翼科技公司，并履行了职业道德方面</w:t>
      </w:r>
      <w:r>
        <w:rPr>
          <w:spacing w:val="-66"/>
        </w:rPr>
        <w:t> </w:t>
      </w:r>
      <w:r>
        <w:rPr>
          <w:spacing w:val="-66"/>
        </w:rPr>
      </w:r>
      <w:r>
        <w:rPr/>
        <w:t>的其他责任。我们相信，我们获取的审计证据是充分、适当的，为发表审计意见提供了基础。</w:t>
      </w:r>
    </w:p>
    <w:p>
      <w:pPr>
        <w:pStyle w:val="BodyText"/>
        <w:spacing w:line="477" w:lineRule="auto" w:before="54"/>
        <w:ind w:left="514" w:right="0"/>
        <w:jc w:val="left"/>
      </w:pPr>
      <w:r>
        <w:rPr/>
        <w:t>三、关键审计事项 </w:t>
      </w:r>
      <w:r>
        <w:rPr>
          <w:spacing w:val="-2"/>
        </w:rPr>
        <w:t>关键审计事项是我们根据职业判断，认为对本期合并财务报表审计最为重要的事项。这些事项的应对以对合并财务报表</w:t>
      </w:r>
    </w:p>
    <w:p>
      <w:pPr>
        <w:pStyle w:val="BodyText"/>
        <w:spacing w:line="477" w:lineRule="auto" w:before="54"/>
        <w:ind w:right="1118"/>
        <w:jc w:val="left"/>
      </w:pPr>
      <w:r>
        <w:rPr>
          <w:spacing w:val="-2"/>
        </w:rPr>
        <w:t>整体进行审计并形成审计意见为背景，我们不对这些事项单独发表意见。我们确定下列事项是需要在审计报告中沟通的关键</w:t>
      </w:r>
      <w:r>
        <w:rPr>
          <w:spacing w:val="-64"/>
        </w:rPr>
        <w:t> </w:t>
      </w:r>
      <w:r>
        <w:rPr>
          <w:spacing w:val="-64"/>
        </w:rPr>
      </w:r>
      <w:r>
        <w:rPr/>
        <w:t>审计事项。</w:t>
      </w:r>
    </w:p>
    <w:p>
      <w:pPr>
        <w:pStyle w:val="BodyText"/>
        <w:spacing w:line="477" w:lineRule="auto" w:before="54"/>
        <w:ind w:left="514" w:right="8772"/>
        <w:jc w:val="left"/>
      </w:pPr>
      <w:r>
        <w:rPr/>
        <w:t>（一）存货跌价准备 </w:t>
      </w:r>
      <w:r>
        <w:rPr>
          <w:rFonts w:ascii="宋体" w:hAnsi="宋体" w:cs="宋体" w:eastAsia="宋体" w:hint="default"/>
        </w:rPr>
        <w:t>1</w:t>
      </w:r>
      <w:r>
        <w:rPr/>
        <w:t>、事项描述</w:t>
      </w:r>
    </w:p>
    <w:p>
      <w:pPr>
        <w:pStyle w:val="BodyText"/>
        <w:spacing w:line="477" w:lineRule="auto" w:before="54"/>
        <w:ind w:right="1131" w:firstLine="360"/>
        <w:jc w:val="both"/>
      </w:pPr>
      <w:r>
        <w:rPr>
          <w:spacing w:val="-2"/>
        </w:rPr>
        <w:t>卓翼科技公司主要从事网络通讯、消费电子以及智能终端等电子产品的生产制造与销售服务。截至</w:t>
      </w: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日，合</w:t>
      </w:r>
      <w:r>
        <w:rPr/>
        <w:t> 并资产负债表中存货账面余额为</w:t>
      </w:r>
      <w:r>
        <w:rPr>
          <w:rFonts w:ascii="宋体" w:hAnsi="宋体" w:cs="宋体" w:eastAsia="宋体" w:hint="default"/>
        </w:rPr>
        <w:t>456,615,300.05</w:t>
      </w:r>
      <w:r>
        <w:rPr/>
        <w:t>元，存货跌价准备为</w:t>
      </w:r>
      <w:r>
        <w:rPr>
          <w:rFonts w:ascii="宋体" w:hAnsi="宋体" w:cs="宋体" w:eastAsia="宋体" w:hint="default"/>
        </w:rPr>
        <w:t>65,505,926.51</w:t>
      </w:r>
      <w:r>
        <w:rPr/>
        <w:t>元，由于存货可变现净值的确认涉及管</w:t>
      </w:r>
      <w:r>
        <w:rPr>
          <w:spacing w:val="-85"/>
        </w:rPr>
        <w:t> </w:t>
      </w:r>
      <w:r>
        <w:rPr>
          <w:spacing w:val="-85"/>
        </w:rPr>
      </w:r>
      <w:r>
        <w:rPr/>
        <w:t>理层运用重大会计估计和判断，且金额重大，因此我们确定存货跌价准备的计提为关键审计事项。</w:t>
      </w:r>
    </w:p>
    <w:p>
      <w:pPr>
        <w:spacing w:after="0" w:line="477" w:lineRule="auto"/>
        <w:jc w:val="both"/>
        <w:sectPr>
          <w:footerReference w:type="default" r:id="rId43"/>
          <w:pgSz w:w="11910" w:h="16840"/>
          <w:pgMar w:footer="1019" w:header="0"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22" w:firstLine="360"/>
        <w:jc w:val="left"/>
      </w:pPr>
      <w:r>
        <w:rPr/>
        <w:t>关于存货的会计政策、重大会计估计和判断的披露，请参阅财务报表附注五、</w:t>
      </w:r>
      <w:r>
        <w:rPr>
          <w:rFonts w:ascii="宋体" w:hAnsi="宋体" w:cs="宋体" w:eastAsia="宋体" w:hint="default"/>
        </w:rPr>
        <w:t>12</w:t>
      </w:r>
      <w:r>
        <w:rPr/>
        <w:t>、存货和合并财务报表附注七、</w:t>
      </w:r>
      <w:r>
        <w:rPr>
          <w:rFonts w:ascii="宋体" w:hAnsi="宋体" w:cs="宋体" w:eastAsia="宋体" w:hint="default"/>
        </w:rPr>
        <w:t>7</w:t>
      </w:r>
      <w:r>
        <w:rPr/>
        <w:t>、存 货。</w:t>
      </w:r>
    </w:p>
    <w:p>
      <w:pPr>
        <w:pStyle w:val="BodyText"/>
        <w:spacing w:line="477" w:lineRule="auto" w:before="54"/>
        <w:ind w:left="514" w:right="5712"/>
        <w:jc w:val="left"/>
      </w:pPr>
      <w:r>
        <w:rPr>
          <w:rFonts w:ascii="宋体" w:hAnsi="宋体" w:cs="宋体" w:eastAsia="宋体" w:hint="default"/>
        </w:rPr>
        <w:t>2</w:t>
      </w:r>
      <w:r>
        <w:rPr/>
        <w:t>、审计应对 我们针对存货跌价准备问题执行的审计程序包括但不限于：</w:t>
      </w:r>
    </w:p>
    <w:p>
      <w:pPr>
        <w:pStyle w:val="BodyText"/>
        <w:spacing w:line="240" w:lineRule="auto" w:before="54"/>
        <w:ind w:left="514" w:right="0"/>
        <w:jc w:val="left"/>
      </w:pPr>
      <w:r>
        <w:rPr/>
        <w:t>（</w:t>
      </w:r>
      <w:r>
        <w:rPr>
          <w:rFonts w:ascii="宋体" w:hAnsi="宋体" w:cs="宋体" w:eastAsia="宋体" w:hint="default"/>
        </w:rPr>
        <w:t>1</w:t>
      </w:r>
      <w:r>
        <w:rPr/>
        <w:t>）评估管理层所采用的存货核算会计政策是否符合企业会计准则的规定。</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t>（</w:t>
      </w:r>
      <w:r>
        <w:rPr>
          <w:rFonts w:ascii="宋体" w:hAnsi="宋体" w:cs="宋体" w:eastAsia="宋体" w:hint="default"/>
        </w:rPr>
        <w:t>2</w:t>
      </w:r>
      <w:r>
        <w:rPr/>
        <w:t>）询问生产与仓储环节的关键管理人员，对卓翼科技公司存货跌价准备相关的内部控制的设计与执行进行了评估。</w:t>
      </w:r>
    </w:p>
    <w:p>
      <w:pPr>
        <w:spacing w:line="240" w:lineRule="auto" w:before="10"/>
        <w:rPr>
          <w:rFonts w:ascii="宋体" w:hAnsi="宋体" w:cs="宋体" w:eastAsia="宋体" w:hint="default"/>
          <w:sz w:val="17"/>
          <w:szCs w:val="17"/>
        </w:rPr>
      </w:pPr>
    </w:p>
    <w:p>
      <w:pPr>
        <w:pStyle w:val="BodyText"/>
        <w:spacing w:line="477" w:lineRule="auto"/>
        <w:ind w:right="1122" w:firstLine="360"/>
        <w:jc w:val="left"/>
      </w:pPr>
      <w:r>
        <w:rPr/>
        <w:t>（</w:t>
      </w:r>
      <w:r>
        <w:rPr>
          <w:rFonts w:ascii="宋体" w:hAnsi="宋体" w:cs="宋体" w:eastAsia="宋体" w:hint="default"/>
        </w:rPr>
        <w:t>3</w:t>
      </w:r>
      <w:r>
        <w:rPr/>
        <w:t>）获取存货清单，对存货执行监盘程序，检查存货的数量、状况和库龄等情况，对管理层认定的存在减值迹象判断 的合理性进行分析。</w:t>
      </w:r>
    </w:p>
    <w:p>
      <w:pPr>
        <w:pStyle w:val="BodyText"/>
        <w:spacing w:line="240" w:lineRule="auto" w:before="54"/>
        <w:ind w:left="514" w:right="0"/>
        <w:jc w:val="left"/>
      </w:pPr>
      <w:r>
        <w:rPr/>
        <w:t>（</w:t>
      </w:r>
      <w:r>
        <w:rPr>
          <w:rFonts w:ascii="宋体" w:hAnsi="宋体" w:cs="宋体" w:eastAsia="宋体" w:hint="default"/>
        </w:rPr>
        <w:t>4</w:t>
      </w:r>
      <w:r>
        <w:rPr/>
        <w:t>）获取卓翼科技公司的存货跌价准备计算表，执行存货减值测试，分析并复核其存货跌价准备计提是否充分、合理。</w:t>
      </w:r>
    </w:p>
    <w:p>
      <w:pPr>
        <w:spacing w:line="240" w:lineRule="auto" w:before="10"/>
        <w:rPr>
          <w:rFonts w:ascii="宋体" w:hAnsi="宋体" w:cs="宋体" w:eastAsia="宋体" w:hint="default"/>
          <w:sz w:val="17"/>
          <w:szCs w:val="17"/>
        </w:rPr>
      </w:pPr>
    </w:p>
    <w:p>
      <w:pPr>
        <w:pStyle w:val="BodyText"/>
        <w:spacing w:line="477" w:lineRule="auto"/>
        <w:ind w:right="1122" w:firstLine="360"/>
        <w:jc w:val="left"/>
      </w:pPr>
      <w:r>
        <w:rPr/>
        <w:t>（</w:t>
      </w:r>
      <w:r>
        <w:rPr>
          <w:rFonts w:ascii="宋体" w:hAnsi="宋体" w:cs="宋体" w:eastAsia="宋体" w:hint="default"/>
        </w:rPr>
        <w:t>5</w:t>
      </w:r>
      <w:r>
        <w:rPr/>
        <w:t>）选择样本，对管理层确认可变现净值时的估计售价等数据与最近售价或期后的实际售价进行比较，评价管理层在 确定存货可变现净值时做出的判断是否合理。</w:t>
      </w:r>
    </w:p>
    <w:p>
      <w:pPr>
        <w:pStyle w:val="BodyText"/>
        <w:spacing w:line="477" w:lineRule="auto" w:before="54"/>
        <w:ind w:left="514" w:right="9132"/>
        <w:jc w:val="left"/>
      </w:pPr>
      <w:r>
        <w:rPr/>
        <w:t>（二）收入确认 </w:t>
      </w:r>
      <w:r>
        <w:rPr>
          <w:rFonts w:ascii="宋体" w:hAnsi="宋体" w:cs="宋体" w:eastAsia="宋体" w:hint="default"/>
        </w:rPr>
        <w:t>1</w:t>
      </w:r>
      <w:r>
        <w:rPr/>
        <w:t>、事项描述</w:t>
      </w:r>
    </w:p>
    <w:p>
      <w:pPr>
        <w:pStyle w:val="BodyText"/>
        <w:spacing w:line="477" w:lineRule="auto" w:before="54"/>
        <w:ind w:right="0" w:firstLine="360"/>
        <w:jc w:val="left"/>
      </w:pPr>
      <w:r>
        <w:rPr>
          <w:spacing w:val="-2"/>
        </w:rPr>
        <w:t>卓翼科技公司</w:t>
      </w:r>
      <w:r>
        <w:rPr>
          <w:rFonts w:ascii="宋体" w:hAnsi="宋体" w:cs="宋体" w:eastAsia="宋体" w:hint="default"/>
          <w:spacing w:val="-2"/>
        </w:rPr>
        <w:t>2018</w:t>
      </w:r>
      <w:r>
        <w:rPr>
          <w:spacing w:val="-2"/>
        </w:rPr>
        <w:t>年度合并利润表中营业总收入</w:t>
      </w:r>
      <w:r>
        <w:rPr>
          <w:rFonts w:ascii="宋体" w:hAnsi="宋体" w:cs="宋体" w:eastAsia="宋体" w:hint="default"/>
          <w:spacing w:val="-2"/>
        </w:rPr>
        <w:t>3,144,616,237.11</w:t>
      </w:r>
      <w:r>
        <w:rPr>
          <w:spacing w:val="-2"/>
        </w:rPr>
        <w:t>元，为合并利润表重要组成部分，鉴于营业收入是卓</w:t>
      </w:r>
      <w:r>
        <w:rPr/>
        <w:t> 翼科技公司的关键绩效指标之一，为此我们确定营业总收入的真实性及截止性为关键审计事项。</w:t>
      </w:r>
    </w:p>
    <w:p>
      <w:pPr>
        <w:pStyle w:val="BodyText"/>
        <w:spacing w:line="477" w:lineRule="auto" w:before="54"/>
        <w:ind w:right="0" w:firstLine="360"/>
        <w:jc w:val="left"/>
      </w:pPr>
      <w:r>
        <w:rPr>
          <w:spacing w:val="-2"/>
        </w:rPr>
        <w:t>关于收入确认的会计政策、重大会计估计和判断的披露，以及其他详细信息，请参阅财务报表附注五、</w:t>
      </w:r>
      <w:r>
        <w:rPr>
          <w:rFonts w:ascii="宋体" w:hAnsi="宋体" w:cs="宋体" w:eastAsia="宋体" w:hint="default"/>
          <w:spacing w:val="-2"/>
        </w:rPr>
        <w:t>28</w:t>
      </w:r>
      <w:r>
        <w:rPr>
          <w:spacing w:val="-2"/>
        </w:rPr>
        <w:t>、收入和合并</w:t>
      </w:r>
      <w:r>
        <w:rPr/>
        <w:t> 财务报表附注七、</w:t>
      </w:r>
      <w:r>
        <w:rPr>
          <w:rFonts w:ascii="宋体" w:hAnsi="宋体" w:cs="宋体" w:eastAsia="宋体" w:hint="default"/>
        </w:rPr>
        <w:t>52</w:t>
      </w:r>
      <w:r>
        <w:rPr/>
        <w:t>、营业收入和营业成本。</w:t>
      </w:r>
    </w:p>
    <w:p>
      <w:pPr>
        <w:pStyle w:val="BodyText"/>
        <w:spacing w:line="477" w:lineRule="auto" w:before="54"/>
        <w:ind w:left="514" w:right="5532"/>
        <w:jc w:val="left"/>
      </w:pPr>
      <w:r>
        <w:rPr>
          <w:rFonts w:ascii="宋体" w:hAnsi="宋体" w:cs="宋体" w:eastAsia="宋体" w:hint="default"/>
        </w:rPr>
        <w:t>2</w:t>
      </w:r>
      <w:r>
        <w:rPr/>
        <w:t>、审计应对 我们针对收入确认和计量问题执行的审计程序包括但不限于：</w:t>
      </w:r>
    </w:p>
    <w:p>
      <w:pPr>
        <w:pStyle w:val="BodyText"/>
        <w:spacing w:line="240" w:lineRule="auto" w:before="54"/>
        <w:ind w:left="514" w:right="0"/>
        <w:jc w:val="left"/>
      </w:pPr>
      <w:r>
        <w:rPr/>
        <w:t>（</w:t>
      </w:r>
      <w:r>
        <w:rPr>
          <w:rFonts w:ascii="宋体" w:hAnsi="宋体" w:cs="宋体" w:eastAsia="宋体" w:hint="default"/>
        </w:rPr>
        <w:t>1</w:t>
      </w:r>
      <w:r>
        <w:rPr/>
        <w:t>）我们通过审阅销售合同与管理层的访谈，了解和评估了卓翼科技公司的收入确认政策。</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t>（</w:t>
      </w:r>
      <w:r>
        <w:rPr>
          <w:rFonts w:ascii="宋体" w:hAnsi="宋体" w:cs="宋体" w:eastAsia="宋体" w:hint="default"/>
        </w:rPr>
        <w:t>2</w:t>
      </w:r>
      <w:r>
        <w:rPr/>
        <w:t>）我们向管理层、治理层进行询问，评价管理层诚信及舞弊风险。</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t>（</w:t>
      </w:r>
      <w:r>
        <w:rPr>
          <w:rFonts w:ascii="宋体" w:hAnsi="宋体" w:cs="宋体" w:eastAsia="宋体" w:hint="default"/>
        </w:rPr>
        <w:t>3</w:t>
      </w:r>
      <w:r>
        <w:rPr/>
        <w:t>）我们了解并测试了与收入相关的内部控制，确定其可依赖。</w:t>
      </w:r>
    </w:p>
    <w:p>
      <w:pPr>
        <w:spacing w:line="240" w:lineRule="auto" w:before="10"/>
        <w:rPr>
          <w:rFonts w:ascii="宋体" w:hAnsi="宋体" w:cs="宋体" w:eastAsia="宋体" w:hint="default"/>
          <w:sz w:val="17"/>
          <w:szCs w:val="17"/>
        </w:rPr>
      </w:pPr>
    </w:p>
    <w:p>
      <w:pPr>
        <w:pStyle w:val="BodyText"/>
        <w:spacing w:line="477" w:lineRule="auto"/>
        <w:ind w:right="1122" w:firstLine="360"/>
        <w:jc w:val="left"/>
      </w:pPr>
      <w:r>
        <w:rPr/>
        <w:t>（</w:t>
      </w:r>
      <w:r>
        <w:rPr>
          <w:rFonts w:ascii="宋体" w:hAnsi="宋体" w:cs="宋体" w:eastAsia="宋体" w:hint="default"/>
        </w:rPr>
        <w:t>4</w:t>
      </w:r>
      <w:r>
        <w:rPr/>
        <w:t>）对收入和成本执行分析程序，包括：本期各月度收入、成本、毛利波动分析，主要产品本期收入、成本、毛利率 与上期比较分析等分析程序。</w:t>
      </w:r>
    </w:p>
    <w:p>
      <w:pPr>
        <w:pStyle w:val="BodyText"/>
        <w:spacing w:line="240" w:lineRule="auto" w:before="54"/>
        <w:ind w:left="514" w:right="0"/>
        <w:jc w:val="left"/>
      </w:pPr>
      <w:r>
        <w:rPr/>
        <w:t>（</w:t>
      </w:r>
      <w:r>
        <w:rPr>
          <w:rFonts w:ascii="宋体" w:hAnsi="宋体" w:cs="宋体" w:eastAsia="宋体" w:hint="default"/>
        </w:rPr>
        <w:t>5</w:t>
      </w:r>
      <w:r>
        <w:rPr/>
        <w:t>）结合应收账款审计，对重要客户销售收入实施函证程序。</w:t>
      </w:r>
    </w:p>
    <w:p>
      <w:pPr>
        <w:spacing w:line="240" w:lineRule="auto" w:before="10"/>
        <w:rPr>
          <w:rFonts w:ascii="宋体" w:hAnsi="宋体" w:cs="宋体" w:eastAsia="宋体" w:hint="default"/>
          <w:sz w:val="17"/>
          <w:szCs w:val="17"/>
        </w:rPr>
      </w:pPr>
    </w:p>
    <w:p>
      <w:pPr>
        <w:pStyle w:val="BodyText"/>
        <w:spacing w:line="477" w:lineRule="auto"/>
        <w:ind w:right="1122" w:firstLine="360"/>
        <w:jc w:val="left"/>
      </w:pPr>
      <w:r>
        <w:rPr/>
        <w:t>（</w:t>
      </w:r>
      <w:r>
        <w:rPr>
          <w:rFonts w:ascii="宋体" w:hAnsi="宋体" w:cs="宋体" w:eastAsia="宋体" w:hint="default"/>
        </w:rPr>
        <w:t>6</w:t>
      </w:r>
      <w:r>
        <w:rPr/>
        <w:t>）按照抽样原则选择样本，对营业收入执行发生及完整性测试，检查其业务合同、入账记录、客户签收记录与对账 记录，验证其真实性与完整性，并检查卓翼科技公司收入确认是否与披露的会计政策一致；</w:t>
      </w:r>
    </w:p>
    <w:p>
      <w:pPr>
        <w:pStyle w:val="BodyText"/>
        <w:spacing w:line="477" w:lineRule="auto" w:before="54"/>
        <w:ind w:right="1130" w:firstLine="360"/>
        <w:jc w:val="both"/>
      </w:pPr>
      <w:r>
        <w:rPr/>
        <w:t>（</w:t>
      </w:r>
      <w:r>
        <w:rPr>
          <w:rFonts w:ascii="宋体" w:hAnsi="宋体" w:cs="宋体" w:eastAsia="宋体" w:hint="default"/>
        </w:rPr>
        <w:t>7</w:t>
      </w:r>
      <w:r>
        <w:rPr/>
        <w:t>）针对可能出现的完整性风险，我们实施了具有针对性的审计程序，包括但不限于：在增加收入完整性测试样本的 </w:t>
      </w:r>
      <w:r>
        <w:rPr>
          <w:spacing w:val="-2"/>
        </w:rPr>
        <w:t>基础上，针对资产负债表日前后确认的销售收入执行截止性测试，核对产成品的发出到客户验收的单证相关时间节点，以评</w:t>
      </w:r>
      <w:r>
        <w:rPr>
          <w:spacing w:val="-66"/>
        </w:rPr>
        <w:t> </w:t>
      </w:r>
      <w:r>
        <w:rPr>
          <w:spacing w:val="-66"/>
        </w:rPr>
      </w:r>
      <w:r>
        <w:rPr/>
        <w:t>估销售收入是否记录于恰当的期间，是否存在跨期问题。</w:t>
      </w:r>
    </w:p>
    <w:p>
      <w:pPr>
        <w:spacing w:after="0" w:line="477" w:lineRule="auto"/>
        <w:jc w:val="both"/>
        <w:sectPr>
          <w:footerReference w:type="default" r:id="rId44"/>
          <w:pgSz w:w="11910" w:h="16840"/>
          <w:pgMar w:footer="1019" w:header="0" w:top="1120" w:bottom="1200" w:left="980" w:right="0"/>
          <w:pgNumType w:start="101"/>
        </w:sectPr>
      </w:pPr>
    </w:p>
    <w:p>
      <w:pPr>
        <w:spacing w:line="240" w:lineRule="auto" w:before="9"/>
        <w:rPr>
          <w:rFonts w:ascii="宋体" w:hAnsi="宋体" w:cs="宋体" w:eastAsia="宋体" w:hint="default"/>
          <w:sz w:val="26"/>
          <w:szCs w:val="26"/>
        </w:rPr>
      </w:pPr>
    </w:p>
    <w:p>
      <w:pPr>
        <w:pStyle w:val="BodyText"/>
        <w:spacing w:line="477" w:lineRule="auto" w:before="44"/>
        <w:ind w:left="514" w:right="1118"/>
        <w:jc w:val="left"/>
      </w:pPr>
      <w:r>
        <w:rPr/>
        <w:t>四、其他信息 </w:t>
      </w:r>
      <w:r>
        <w:rPr>
          <w:spacing w:val="-2"/>
        </w:rPr>
        <w:t>卓翼科技公司管理层（以下简称管理层）对其他信息负责。其他信息包括年度报告中涵盖的信息，但不包括财务报表和</w:t>
      </w:r>
    </w:p>
    <w:p>
      <w:pPr>
        <w:pStyle w:val="BodyText"/>
        <w:spacing w:line="477" w:lineRule="auto" w:before="54"/>
        <w:ind w:left="514" w:right="2652" w:hanging="360"/>
        <w:jc w:val="left"/>
      </w:pPr>
      <w:r>
        <w:rPr/>
        <w:t>我们的审计报告。 我们对财务报表发表的审计意见不涵盖其他信息，我们也不对其他信息发表任何形式的鉴证结论。</w:t>
      </w:r>
    </w:p>
    <w:p>
      <w:pPr>
        <w:pStyle w:val="BodyText"/>
        <w:spacing w:line="477" w:lineRule="auto" w:before="54"/>
        <w:ind w:right="0" w:firstLine="360"/>
        <w:jc w:val="left"/>
      </w:pPr>
      <w:r>
        <w:rPr>
          <w:spacing w:val="-2"/>
        </w:rPr>
        <w:t>结合我们对财务报表的审计，我们的责任是阅读其他信息，在此过程中，考虑其他信息是否与财务报表或我们在审计过</w:t>
      </w:r>
      <w:r>
        <w:rPr/>
        <w:t> 程中了解到的情况存在重大不一致或者存在重大错报。</w:t>
      </w:r>
    </w:p>
    <w:p>
      <w:pPr>
        <w:pStyle w:val="BodyText"/>
        <w:spacing w:line="477" w:lineRule="auto" w:before="54"/>
        <w:ind w:right="1118" w:firstLine="360"/>
        <w:jc w:val="left"/>
      </w:pPr>
      <w:r>
        <w:rPr>
          <w:spacing w:val="-2"/>
        </w:rPr>
        <w:t>基于我们已执行的工作，如果我们确定其他信息存在重大错报，我们应当报告该事实。在这方面，我们无任何事项需要</w:t>
      </w:r>
      <w:r>
        <w:rPr/>
        <w:t> 报告。</w:t>
      </w:r>
    </w:p>
    <w:p>
      <w:pPr>
        <w:pStyle w:val="BodyText"/>
        <w:spacing w:line="477" w:lineRule="auto" w:before="54"/>
        <w:ind w:left="514" w:right="0"/>
        <w:jc w:val="left"/>
      </w:pPr>
      <w:r>
        <w:rPr/>
        <w:t>五、管理层和治理层对财务报表的责任 </w:t>
      </w:r>
      <w:r>
        <w:rPr>
          <w:spacing w:val="-2"/>
        </w:rPr>
        <w:t>卓翼科技公司管理层（以下简称管理层）负责按照企业会计准则的规定编制财务报表，使其实现公允反映，并设计、执</w:t>
      </w:r>
    </w:p>
    <w:p>
      <w:pPr>
        <w:pStyle w:val="BodyText"/>
        <w:spacing w:line="477" w:lineRule="auto" w:before="54"/>
        <w:ind w:left="514" w:right="0" w:hanging="360"/>
        <w:jc w:val="left"/>
      </w:pPr>
      <w:r>
        <w:rPr/>
        <w:t>行和维护必要的内部控制，以使财务报表不存在由于舞弊或错误导致的重大错报。 </w:t>
      </w:r>
      <w:r>
        <w:rPr>
          <w:spacing w:val="-4"/>
        </w:rPr>
        <w:t>在编制财务报表时，管理层负责评估卓翼科技公司的持续经营能力，披露与持续经营相关的事项，并运用持续经营假设，</w:t>
      </w:r>
    </w:p>
    <w:p>
      <w:pPr>
        <w:pStyle w:val="BodyText"/>
        <w:spacing w:line="477" w:lineRule="auto" w:before="54"/>
        <w:ind w:left="514" w:right="5172" w:hanging="360"/>
        <w:jc w:val="left"/>
      </w:pPr>
      <w:r>
        <w:rPr/>
        <w:t>除非管理层计划清算卓翼科技公司、终止运营或别无其他现实的选择。 治理层负责监督卓翼科技公司的财务报告过程。 六、注册会计师对财务报表审计的责任</w:t>
      </w:r>
    </w:p>
    <w:p>
      <w:pPr>
        <w:pStyle w:val="BodyText"/>
        <w:spacing w:line="477" w:lineRule="auto" w:before="54"/>
        <w:ind w:right="1131" w:firstLine="360"/>
        <w:jc w:val="both"/>
      </w:pPr>
      <w:r>
        <w:rPr>
          <w:spacing w:val="-2"/>
        </w:rPr>
        <w:t>我们的目标是对财务报表整体是否不存在由于舞弊或错误导致的重大错报获取合理保证，并出具包含审计意见的审计报</w:t>
      </w:r>
      <w:r>
        <w:rPr/>
        <w:t> </w:t>
      </w:r>
      <w:r>
        <w:rPr>
          <w:spacing w:val="-2"/>
        </w:rPr>
        <w:t>告。合理保证是高水平的保证，但并不能保证按照审计准则执行的审计在某一重大错报存在时总能发现。错报可能由于舞弊</w:t>
      </w:r>
      <w:r>
        <w:rPr>
          <w:spacing w:val="-66"/>
        </w:rPr>
        <w:t> </w:t>
      </w:r>
      <w:r>
        <w:rPr>
          <w:spacing w:val="-66"/>
        </w:rPr>
      </w:r>
      <w:r>
        <w:rPr>
          <w:spacing w:val="-2"/>
        </w:rPr>
        <w:t>或错误导致，如果合理预期错报单独或汇总起来可能影响财务报表使用者依据合并财务报表作出的经济决策，则通常认为错</w:t>
      </w:r>
      <w:r>
        <w:rPr>
          <w:spacing w:val="-64"/>
        </w:rPr>
        <w:t> </w:t>
      </w:r>
      <w:r>
        <w:rPr>
          <w:spacing w:val="-64"/>
        </w:rPr>
      </w:r>
      <w:r>
        <w:rPr/>
        <w:t>报是重大的。</w:t>
      </w:r>
    </w:p>
    <w:p>
      <w:pPr>
        <w:pStyle w:val="BodyText"/>
        <w:spacing w:line="240" w:lineRule="auto" w:before="54"/>
        <w:ind w:left="514" w:right="0"/>
        <w:jc w:val="left"/>
      </w:pPr>
      <w:r>
        <w:rPr/>
        <w:t>在按照审计准则执行审计工作的过程中，我们运用职业判断，并保持职业怀疑。同时，我们也执行以下工作：</w:t>
      </w:r>
    </w:p>
    <w:p>
      <w:pPr>
        <w:spacing w:line="240" w:lineRule="auto" w:before="10"/>
        <w:rPr>
          <w:rFonts w:ascii="宋体" w:hAnsi="宋体" w:cs="宋体" w:eastAsia="宋体" w:hint="default"/>
          <w:sz w:val="17"/>
          <w:szCs w:val="17"/>
        </w:rPr>
      </w:pPr>
    </w:p>
    <w:p>
      <w:pPr>
        <w:pStyle w:val="BodyText"/>
        <w:spacing w:line="477" w:lineRule="auto"/>
        <w:ind w:right="1032" w:firstLine="360"/>
        <w:jc w:val="left"/>
      </w:pPr>
      <w:r>
        <w:rPr/>
        <w:t>（</w:t>
      </w:r>
      <w:r>
        <w:rPr>
          <w:rFonts w:ascii="宋体" w:hAnsi="宋体" w:cs="宋体" w:eastAsia="宋体" w:hint="default"/>
        </w:rPr>
        <w:t>1</w:t>
      </w:r>
      <w:r>
        <w:rPr/>
        <w:t>）识别和评估由于舞弊或错误导致的财务报表重大错报风险，设计和实施审计程序以应对这些风险，并获取充分、 适当的审计证据，作为发表审计意见的基础。由于舞弊可能涉及串通、伪造、故意遗漏、虚假陈述或凌驾于内部控制之上， 未能发现由于舞弊导致的重大错报的风险高于未能发现由于错误导致的重大错报的风险。</w:t>
      </w:r>
    </w:p>
    <w:p>
      <w:pPr>
        <w:pStyle w:val="BodyText"/>
        <w:spacing w:line="240" w:lineRule="auto" w:before="54"/>
        <w:ind w:left="514" w:right="0"/>
        <w:jc w:val="left"/>
      </w:pPr>
      <w:r>
        <w:rPr/>
        <w:t>（</w:t>
      </w:r>
      <w:r>
        <w:rPr>
          <w:rFonts w:ascii="宋体" w:hAnsi="宋体" w:cs="宋体" w:eastAsia="宋体" w:hint="default"/>
        </w:rPr>
        <w:t>2</w:t>
      </w:r>
      <w:r>
        <w:rPr/>
        <w:t>）了解与审计相关的内部控制，以设计恰当的审计程序，但目的并非对内部控制的有效性发表意见。</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t>（</w:t>
      </w:r>
      <w:r>
        <w:rPr>
          <w:rFonts w:ascii="宋体" w:hAnsi="宋体" w:cs="宋体" w:eastAsia="宋体" w:hint="default"/>
        </w:rPr>
        <w:t>3</w:t>
      </w:r>
      <w:r>
        <w:rPr/>
        <w:t>）评价管理层选用会计政策的恰当性和作出会计估计及相关披露的合理性。</w:t>
      </w:r>
    </w:p>
    <w:p>
      <w:pPr>
        <w:spacing w:line="240" w:lineRule="auto" w:before="10"/>
        <w:rPr>
          <w:rFonts w:ascii="宋体" w:hAnsi="宋体" w:cs="宋体" w:eastAsia="宋体" w:hint="default"/>
          <w:sz w:val="17"/>
          <w:szCs w:val="17"/>
        </w:rPr>
      </w:pPr>
    </w:p>
    <w:p>
      <w:pPr>
        <w:pStyle w:val="BodyText"/>
        <w:spacing w:line="477" w:lineRule="auto"/>
        <w:ind w:right="1131" w:firstLine="360"/>
        <w:jc w:val="both"/>
      </w:pPr>
      <w:r>
        <w:rPr/>
        <w:t>（</w:t>
      </w:r>
      <w:r>
        <w:rPr>
          <w:rFonts w:ascii="宋体" w:hAnsi="宋体" w:cs="宋体" w:eastAsia="宋体" w:hint="default"/>
        </w:rPr>
        <w:t>4</w:t>
      </w:r>
      <w:r>
        <w:rPr/>
        <w:t>）对管理层使用持续经营假设的恰当性得出结论。同时，根据获取的审计证据，就可能导致对卓翼科技公司持续经 </w:t>
      </w:r>
      <w:r>
        <w:rPr>
          <w:spacing w:val="-2"/>
        </w:rPr>
        <w:t>营能力产生重大疑虑的事项或情况是否存在重大不确定性得出结论。如果我们得出结论认为存在重大不确定性，审计准则要</w:t>
      </w:r>
      <w:r>
        <w:rPr>
          <w:spacing w:val="-64"/>
        </w:rPr>
        <w:t> </w:t>
      </w:r>
      <w:r>
        <w:rPr>
          <w:spacing w:val="-64"/>
        </w:rPr>
      </w:r>
      <w:r>
        <w:rPr>
          <w:spacing w:val="-2"/>
        </w:rPr>
        <w:t>求我们在审计报告中提请报表使用者注意财务报表中的相关披露；如果披露不充分，我们应当发表非无保留意见。我们的结</w:t>
      </w:r>
      <w:r>
        <w:rPr>
          <w:spacing w:val="-66"/>
        </w:rPr>
        <w:t> </w:t>
      </w:r>
      <w:r>
        <w:rPr>
          <w:spacing w:val="-66"/>
        </w:rPr>
      </w:r>
      <w:r>
        <w:rPr/>
        <w:t>论基于截至审计报告日可获得的信息。然而，未来的事项或情况可能导致卓翼科技公司不能持续经营。</w:t>
      </w:r>
    </w:p>
    <w:p>
      <w:pPr>
        <w:pStyle w:val="BodyText"/>
        <w:spacing w:line="240" w:lineRule="auto" w:before="54"/>
        <w:ind w:left="514" w:right="0"/>
        <w:jc w:val="left"/>
      </w:pPr>
      <w:r>
        <w:rPr/>
        <w:t>（</w:t>
      </w:r>
      <w:r>
        <w:rPr>
          <w:rFonts w:ascii="宋体" w:hAnsi="宋体" w:cs="宋体" w:eastAsia="宋体" w:hint="default"/>
        </w:rPr>
        <w:t>5</w:t>
      </w:r>
      <w:r>
        <w:rPr/>
        <w:t>）评价财务报表的总体列报、结构和内容（包括披露</w:t>
      </w:r>
      <w:r>
        <w:rPr>
          <w:spacing w:val="-90"/>
        </w:rPr>
        <w:t>）</w:t>
      </w:r>
      <w:r>
        <w:rPr/>
        <w:t>，并评价财务报表是否公允反映相关交易和事项。</w:t>
      </w:r>
    </w:p>
    <w:p>
      <w:pPr>
        <w:spacing w:after="0" w:line="240" w:lineRule="auto"/>
        <w:jc w:val="left"/>
        <w:sectPr>
          <w:pgSz w:w="11910" w:h="16840"/>
          <w:pgMar w:header="0"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31" w:firstLine="360"/>
        <w:jc w:val="both"/>
      </w:pPr>
      <w:r>
        <w:rPr/>
        <w:t>（</w:t>
      </w:r>
      <w:r>
        <w:rPr>
          <w:rFonts w:ascii="宋体" w:hAnsi="宋体" w:cs="宋体" w:eastAsia="宋体" w:hint="default"/>
        </w:rPr>
        <w:t>6</w:t>
      </w:r>
      <w:r>
        <w:rPr/>
        <w:t>）就卓翼科技公司中实体或业务活动的财务信息获取充分、适当的审计证据，以对财务报表发表审计意见。我们负 责指导、监督和执行集团审计，并对审计意见承担全部责任。</w:t>
      </w:r>
    </w:p>
    <w:p>
      <w:pPr>
        <w:pStyle w:val="BodyText"/>
        <w:spacing w:line="477" w:lineRule="auto" w:before="54"/>
        <w:ind w:right="1132" w:firstLine="360"/>
        <w:jc w:val="both"/>
      </w:pPr>
      <w:r>
        <w:rPr>
          <w:spacing w:val="-2"/>
        </w:rPr>
        <w:t>我们与治理层就计划的审计范围、时间安排和重大审计发现等事项进行沟通，包括沟通我们在审计中识别出的值得关注</w:t>
      </w:r>
      <w:r>
        <w:rPr/>
        <w:t> 的内部控制缺陷。</w:t>
      </w:r>
    </w:p>
    <w:p>
      <w:pPr>
        <w:pStyle w:val="BodyText"/>
        <w:spacing w:line="477" w:lineRule="auto" w:before="54"/>
        <w:ind w:right="1131" w:firstLine="360"/>
        <w:jc w:val="both"/>
      </w:pPr>
      <w:r>
        <w:rPr>
          <w:spacing w:val="-2"/>
        </w:rPr>
        <w:t>我们还就已遵守与独立性相关的职业道德要求向治理层提供声明，并与治理层沟通可能被合理认为影响我们独立性的所</w:t>
      </w:r>
      <w:r>
        <w:rPr/>
        <w:t> 有关系和其他事项，以及相关的防范措施。</w:t>
      </w:r>
    </w:p>
    <w:p>
      <w:pPr>
        <w:pStyle w:val="BodyText"/>
        <w:spacing w:line="477" w:lineRule="auto" w:before="54"/>
        <w:ind w:right="1131" w:firstLine="360"/>
        <w:jc w:val="both"/>
      </w:pPr>
      <w:r>
        <w:rPr>
          <w:spacing w:val="-2"/>
        </w:rPr>
        <w:t>从与治理层沟通过的事项中，我们确定哪些事项对本期财务报表审计最为重要，因而构成关键审计事项。我们在审计报</w:t>
      </w:r>
      <w:r>
        <w:rPr/>
        <w:t> </w:t>
      </w:r>
      <w:r>
        <w:rPr>
          <w:spacing w:val="-2"/>
        </w:rPr>
        <w:t>告中描述这些事项，除非法律法规禁止公开披露这些事项，或在极少数情形下，如果合理预期在审计报告中沟通某事项造成</w:t>
      </w:r>
      <w:r>
        <w:rPr>
          <w:spacing w:val="-66"/>
        </w:rPr>
        <w:t> </w:t>
      </w:r>
      <w:r>
        <w:rPr>
          <w:spacing w:val="-66"/>
        </w:rPr>
      </w:r>
      <w:r>
        <w:rPr/>
        <w:t>的负面后果超过在公众利益方面产生的益处，我们确定不应在审计报告中沟通该事项。</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1"/>
          <w:szCs w:val="21"/>
        </w:rPr>
      </w:pPr>
    </w:p>
    <w:p>
      <w:pPr>
        <w:pStyle w:val="BodyText"/>
        <w:spacing w:line="240" w:lineRule="auto"/>
        <w:ind w:left="0" w:right="1319"/>
        <w:jc w:val="right"/>
      </w:pPr>
      <w:r>
        <w:rPr/>
        <w:t>二〇一九年四月二十日</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8"/>
          <w:szCs w:val="18"/>
        </w:rPr>
      </w:pPr>
    </w:p>
    <w:p>
      <w:pPr>
        <w:pStyle w:val="Heading2"/>
        <w:spacing w:line="240" w:lineRule="auto"/>
        <w:ind w:right="0"/>
        <w:jc w:val="left"/>
        <w:rPr>
          <w:b w:val="0"/>
          <w:bCs w:val="0"/>
        </w:rPr>
      </w:pPr>
      <w:bookmarkStart w:name="二、财务报表" w:id="158"/>
      <w:bookmarkEnd w:id="158"/>
      <w:r>
        <w:rPr>
          <w:b w:val="0"/>
          <w:bCs w:val="0"/>
        </w:rPr>
      </w:r>
      <w:r>
        <w:rPr/>
        <w:t>二、财务报表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财务附注中报表的单位为：人民币元</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1、合并资产负债表" w:id="159"/>
      <w:bookmarkEnd w:id="159"/>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0" w:footer="1019" w:top="1120" w:bottom="1200" w:left="980" w:right="0"/>
        </w:sectPr>
      </w:pPr>
    </w:p>
    <w:p>
      <w:pPr>
        <w:pStyle w:val="BodyText"/>
        <w:spacing w:line="240" w:lineRule="auto" w:before="44"/>
        <w:ind w:right="-20"/>
        <w:jc w:val="left"/>
      </w:pPr>
      <w:r>
        <w:rPr/>
        <w:t>编制单位：深圳市卓翼科技股份有限公司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60"/>
        <w:ind w:left="153" w:right="-16"/>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53" w:right="0"/>
        <w:jc w:val="left"/>
      </w:pPr>
      <w:r>
        <w:rPr/>
        <w:t>单位：元</w:t>
      </w:r>
    </w:p>
    <w:p>
      <w:pPr>
        <w:spacing w:after="0" w:line="240" w:lineRule="auto"/>
        <w:jc w:val="left"/>
        <w:sectPr>
          <w:type w:val="continuous"/>
          <w:pgSz w:w="11910" w:h="16840"/>
          <w:pgMar w:top="1100" w:bottom="1200" w:left="980" w:right="0"/>
          <w:cols w:num="3" w:equalWidth="0">
            <w:col w:w="3395" w:space="683"/>
            <w:col w:w="1639" w:space="3203"/>
            <w:col w:w="201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5"/>
        <w:gridCol w:w="3406"/>
        <w:gridCol w:w="2968"/>
      </w:tblGrid>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435,537,315.04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507,948,890.35</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0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699,036,961.21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786,352,089.64</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7,045,503.53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489,549,253.77</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7"/>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691,991,457.68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296,802,835.87</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3,540,371.56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39,665,146.88</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3195"/>
        <w:gridCol w:w="3406"/>
        <w:gridCol w:w="2968"/>
      </w:tblGrid>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36,364,360.85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28,108,390.70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324,236.89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325,694.44</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7"/>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391,109,373.54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678,127,057.44</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15,671,551.19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263,901,410.36</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1,581,259,933.39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2,304,102,985.37</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98,344,148.68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72,012,500.00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2,400,087.79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116,644,739.73</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180,524,359.39</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1,234,307,153.03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1,033,044,877.92</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165,595,023.06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378,545,016.60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56,457,089.60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55,435,593.30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79,231,272.35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43,097,105.12</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46,275,418.00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10,821,090.91</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25,156,060.87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57,715,983.58</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1,888,290,612.77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1,767,316,907.16</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3,469,550,546.16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4,071,419,892.53</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264,781,903.60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490,021,636.02</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3195"/>
        <w:gridCol w:w="3406"/>
        <w:gridCol w:w="2968"/>
      </w:tblGrid>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0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917,669,360.03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1,164,004,777.67</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20,758,008.89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20,712,900.53</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39,410,254.80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39,078,584.95</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42,573,634.10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25,349,046.95</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45,368,521.24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47,925,487.37</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2,868,509.53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862,375.80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7"/>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11,000,000.00</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1,341,561,682.66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1,787,092,433.49</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120,000,000.00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140,000,000.00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77"/>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25,992,907.90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21,899,260.38</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145,992,907.90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161,899,260.38</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1,487,554,590.56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1,948,991,693.87</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3195"/>
        <w:gridCol w:w="3406"/>
        <w:gridCol w:w="2968"/>
      </w:tblGrid>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579,971,704.00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581,039,204.00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77"/>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1,302,061,405.04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1,305,445,163.41</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13,994,925.00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18,916,100.00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-35,142.49</w:t>
            </w:r>
            <w:r>
              <w:rPr>
                <w:rFonts w:ascii="Times New Roman"/>
                <w:sz w:val="18"/>
              </w:rPr>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100,174.77</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73,608,812.41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70,566,466.32</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43,483,948.89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184,193,290.16</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1,985,095,802.85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2,122,428,198.66</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-3,099,847.25</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1,981,995,955.60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2,122,428,198.66</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3,469,550,546.16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4,071,419,892.53</w:t>
            </w:r>
          </w:p>
        </w:tc>
      </w:tr>
    </w:tbl>
    <w:p>
      <w:pPr>
        <w:spacing w:line="240" w:lineRule="auto" w:before="3"/>
        <w:rPr>
          <w:rFonts w:ascii="Times New Roman" w:hAnsi="Times New Roman" w:cs="Times New Roman" w:eastAsia="Times New Roman" w:hint="default"/>
          <w:sz w:val="23"/>
          <w:szCs w:val="23"/>
        </w:rPr>
      </w:pPr>
    </w:p>
    <w:p>
      <w:pPr>
        <w:pStyle w:val="BodyText"/>
        <w:tabs>
          <w:tab w:pos="3420" w:val="left" w:leader="none"/>
          <w:tab w:pos="7741" w:val="left" w:leader="none"/>
        </w:tabs>
        <w:spacing w:line="240" w:lineRule="auto" w:before="44"/>
        <w:ind w:left="0" w:right="1229"/>
        <w:jc w:val="right"/>
      </w:pPr>
      <w:r>
        <w:rPr/>
        <w:t>法定代表人：昌智</w:t>
        <w:tab/>
        <w:t>主管会计工作负责人：谢从雄</w:t>
        <w:tab/>
        <w:t>会计机构负责人：韦彪</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母公司资产负债表" w:id="160"/>
      <w:bookmarkEnd w:id="160"/>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02"/>
        <w:gridCol w:w="3302"/>
        <w:gridCol w:w="296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219,184,561.75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122,143,565.00</w:t>
            </w:r>
          </w:p>
        </w:tc>
      </w:tr>
      <w:tr>
        <w:trPr>
          <w:trHeight w:val="714"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26"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528,641,149.86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241,544,941.50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2"/>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528,641,149.86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241,544,941.50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363,374.80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30,934,944.66</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935,280,870.41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941,391,507.42</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324,236.89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325,694.44</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2"/>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76,963,250.64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67,213,830.37</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3302"/>
        <w:gridCol w:w="3302"/>
        <w:gridCol w:w="296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3,111,822.07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208,863,089.13</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1,763,545,029.53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1,612,091,878.08</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28,331,648.68</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929,904,823.29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945,832,557.42</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332,159,153.73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328,830,681.93</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22,569,202.67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16,131,892.11</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15,837,918.71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11,009,754.86</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4,511,772.84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5,440,229.07</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1,185,308.87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57,373,983.58</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1,334,499,828.79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1,364,619,098.97</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3,098,044,858.32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2,976,710,977.05</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189,500,000.00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303,000,000.00</w:t>
            </w:r>
          </w:p>
        </w:tc>
      </w:tr>
      <w:tr>
        <w:trPr>
          <w:trHeight w:val="714"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26"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471,354,747.03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288,950,186.60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4,091,438.57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5,315,307.81</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6,933,100.26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5,799,412.03</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8,601,709.04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781,386.38</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78,636,536.08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23,121,875.18</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2,606,829.48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349,087.50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2"/>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3302"/>
        <w:gridCol w:w="3302"/>
        <w:gridCol w:w="296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759,117,530.98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626,968,168.00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82"/>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8,631,803.04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10,982,768.36</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8,631,803.04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10,982,768.36</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767,749,334.02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637,950,936.36</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579,971,704.00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581,039,204.00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82"/>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1,297,492,952.36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1,305,431,783.00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13,994,925.00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18,916,100.00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5"/>
                <w:sz w:val="18"/>
              </w:rPr>
              <w:t>-59,509.42</w:t>
            </w:r>
            <w:r>
              <w:rPr>
                <w:rFonts w:ascii="Times New Roman"/>
                <w:sz w:val="18"/>
              </w:rPr>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73,608,812.41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70,566,466.32</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393,216,980.53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400,698,196.79</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2,330,295,524.30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2,338,760,040.69</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3,098,044,858.32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2,976,710,977.05</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3、合并利润表" w:id="161"/>
      <w:bookmarkEnd w:id="161"/>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3,144,616,237.11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2,763,249,181.84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3,144,616,237.11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2,763,249,181.84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利息收入</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已赚保费</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2"/>
              <w:jc w:val="righ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3,324,469,864.28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2,765,927,391.04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2,910,042,686.80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2,487,863,993.42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利息支出</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2"/>
              <w:jc w:val="righ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8"/>
              <w:jc w:val="center"/>
              <w:rPr>
                <w:rFonts w:ascii="宋体" w:hAnsi="宋体" w:cs="宋体" w:eastAsia="宋体" w:hint="default"/>
                <w:sz w:val="18"/>
                <w:szCs w:val="18"/>
              </w:rPr>
            </w:pPr>
            <w:r>
              <w:rPr>
                <w:rFonts w:ascii="宋体" w:hAnsi="宋体" w:cs="宋体" w:eastAsia="宋体" w:hint="default"/>
                <w:sz w:val="18"/>
                <w:szCs w:val="18"/>
              </w:rPr>
              <w:t>退保金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宋体" w:hAnsi="宋体" w:cs="宋体" w:eastAsia="宋体" w:hint="default"/>
                <w:sz w:val="18"/>
                <w:szCs w:val="18"/>
              </w:rPr>
              <w:t>提取保险合同准备金净</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分保费用</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8"/>
              <w:jc w:val="center"/>
              <w:rPr>
                <w:rFonts w:ascii="宋体" w:hAnsi="宋体" w:cs="宋体" w:eastAsia="宋体" w:hint="default"/>
                <w:sz w:val="18"/>
                <w:szCs w:val="18"/>
              </w:rPr>
            </w:pPr>
            <w:r>
              <w:rPr>
                <w:rFonts w:ascii="宋体" w:hAnsi="宋体" w:cs="宋体" w:eastAsia="宋体" w:hint="default"/>
                <w:sz w:val="18"/>
                <w:szCs w:val="18"/>
              </w:rPr>
              <w:t>税金及附加</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19,207,202.88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9,865,171.78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销售费用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42,564,558.85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50,185,356.81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管理费用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161,399,861.30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106,034,890.80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研发费用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105,363,180.20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98,893,572.55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财务费用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29,921,500.20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21,692,588.42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2"/>
              <w:jc w:val="right"/>
              <w:rPr>
                <w:rFonts w:ascii="宋体" w:hAnsi="宋体" w:cs="宋体" w:eastAsia="宋体" w:hint="default"/>
                <w:sz w:val="18"/>
                <w:szCs w:val="18"/>
              </w:rPr>
            </w:pPr>
            <w:r>
              <w:rPr>
                <w:rFonts w:ascii="宋体" w:hAnsi="宋体" w:cs="宋体" w:eastAsia="宋体" w:hint="default"/>
                <w:sz w:val="18"/>
                <w:szCs w:val="18"/>
              </w:rPr>
              <w:t>其中：利息费用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28,877,813.98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18,308,140.48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2"/>
              <w:jc w:val="right"/>
              <w:rPr>
                <w:rFonts w:ascii="宋体" w:hAnsi="宋体" w:cs="宋体" w:eastAsia="宋体" w:hint="default"/>
                <w:sz w:val="18"/>
                <w:szCs w:val="18"/>
              </w:rPr>
            </w:pPr>
            <w:r>
              <w:rPr>
                <w:rFonts w:ascii="宋体" w:hAnsi="宋体" w:cs="宋体" w:eastAsia="宋体" w:hint="default"/>
                <w:sz w:val="18"/>
                <w:szCs w:val="18"/>
              </w:rPr>
              <w:t>利息收入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3,818,492.77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8,085,186.23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55,970,874.05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-8,608,182.74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11,436,385.96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11,565,381.71</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21,744,937.38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6,689,618.72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 企业的投资收益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20,488,141.71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9,648,011.73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720"/>
              <w:jc w:val="left"/>
              <w:rPr>
                <w:rFonts w:ascii="宋体" w:hAnsi="宋体" w:cs="宋体" w:eastAsia="宋体" w:hint="default"/>
                <w:sz w:val="18"/>
                <w:szCs w:val="18"/>
              </w:rPr>
            </w:pPr>
            <w:r>
              <w:rPr>
                <w:rFonts w:ascii="宋体" w:hAnsi="宋体" w:cs="宋体" w:eastAsia="宋体" w:hint="default"/>
                <w:sz w:val="18"/>
                <w:szCs w:val="18"/>
              </w:rPr>
              <w:t>公允价值变动收益（损失 以“－”号填列）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pacing w:val="-8"/>
                <w:sz w:val="18"/>
                <w:szCs w:val="18"/>
              </w:rPr>
              <w:t>资产处置收益（损失以“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-213,668.28</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-342,411.61</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三、营业利润（亏损以“－”号填 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-146,885,972.11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15,234,379.62</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5,022,979.82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8,230,360.65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1,432,218.53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994,426.00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四、利润总额（亏损总额以“－” 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-143,295,210.82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22,470,314.27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-35,390,699.50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10,600,257.05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五、净利润（净亏损以“－”号填 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-107,904,511.32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11,870,057.22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 损以“－”号填列）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-107,904,511.32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20,490,737.56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 损以“－”号填列）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-8,620,680.34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-102,804,664.07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20,490,737.56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-5,099,847.25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-8,620,680.34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-135,317.26</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3,621,591.67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 益的税后净额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-135,317.26</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3,621,591.67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 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划变动额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 的其他综合收益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 综合收益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-135,317.26</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3,621,591.67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 其他综合收益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-135,317.26</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-78,888.41</w:t>
            </w:r>
            <w:r>
              <w:rPr>
                <w:rFonts w:ascii="Times New Roman"/>
                <w:sz w:val="18"/>
              </w:rPr>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 允价值变动损益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 类为可供出售金融资产损益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有效部分</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3,700,480.08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55"/>
              <w:jc w:val="center"/>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 的税后净额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-108,039,828.58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15,491,648.89</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2968"/>
        <w:gridCol w:w="3300"/>
        <w:gridCol w:w="3300"/>
      </w:tblGrid>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 益总额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-102,939,981.33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24,112,329.23</w:t>
            </w: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-5,099,847.25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-8,620,680.34</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873"/>
              <w:jc w:val="right"/>
              <w:rPr>
                <w:rFonts w:ascii="宋体" w:hAnsi="宋体" w:cs="宋体" w:eastAsia="宋体" w:hint="default"/>
                <w:sz w:val="18"/>
                <w:szCs w:val="18"/>
              </w:rPr>
            </w:pPr>
            <w:r>
              <w:rPr>
                <w:rFonts w:ascii="宋体" w:hAnsi="宋体" w:cs="宋体" w:eastAsia="宋体" w:hint="default"/>
                <w:sz w:val="18"/>
                <w:szCs w:val="18"/>
              </w:rPr>
              <w:t>（一）基本每股收益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-0.18</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0.04</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872"/>
              <w:jc w:val="right"/>
              <w:rPr>
                <w:rFonts w:ascii="宋体" w:hAnsi="宋体" w:cs="宋体" w:eastAsia="宋体" w:hint="default"/>
                <w:sz w:val="18"/>
                <w:szCs w:val="18"/>
              </w:rPr>
            </w:pPr>
            <w:r>
              <w:rPr>
                <w:rFonts w:ascii="宋体" w:hAnsi="宋体" w:cs="宋体" w:eastAsia="宋体" w:hint="default"/>
                <w:sz w:val="18"/>
                <w:szCs w:val="18"/>
              </w:rPr>
              <w:t>（二）稀释每股收益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-0.18</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0.04</w:t>
            </w:r>
          </w:p>
        </w:tc>
      </w:tr>
    </w:tbl>
    <w:p>
      <w:pPr>
        <w:pStyle w:val="BodyText"/>
        <w:tabs>
          <w:tab w:pos="3574" w:val="left" w:leader="none"/>
          <w:tab w:pos="7895" w:val="left" w:leader="none"/>
        </w:tabs>
        <w:spacing w:line="592" w:lineRule="auto" w:before="51"/>
        <w:ind w:right="1229"/>
        <w:jc w:val="both"/>
        <w:rPr>
          <w:rFonts w:ascii="宋体" w:hAnsi="宋体" w:cs="宋体" w:eastAsia="宋体" w:hint="default"/>
          <w:sz w:val="21"/>
          <w:szCs w:val="21"/>
        </w:rPr>
      </w:pPr>
      <w:r>
        <w:rPr/>
        <w:t>本期发生同一控制下企业合并的，被合并方在合并前实现的净利润为：</w:t>
      </w:r>
      <w:r>
        <w:rPr>
          <w:rFonts w:ascii="Times New Roman" w:hAnsi="Times New Roman" w:cs="Times New Roman" w:eastAsia="Times New Roman" w:hint="default"/>
        </w:rPr>
        <w:t>0.00 </w:t>
      </w:r>
      <w:r>
        <w:rPr/>
        <w:t>元，上期被合并方实现的净利润为：</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法定代表人：昌智</w:t>
        <w:tab/>
        <w:t>主管会计工作负责人：谢从雄</w:t>
        <w:tab/>
        <w:t>会计机构负责人：韦彪 </w:t>
      </w:r>
      <w:bookmarkStart w:name="4、母公司利润表" w:id="162"/>
      <w:bookmarkEnd w:id="162"/>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pStyle w:val="BodyText"/>
        <w:spacing w:line="240" w:lineRule="auto" w:before="7"/>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1,051,886,680.00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1,025,801,038.13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914,161,841.65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918,704,765.60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2,984,217.34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526,895.30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18,064,848.96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18,753,287.60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49,778,199.60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33,782,501.76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49,995,253.72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50,217,800.39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11,561,444.93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14,991,556.98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91"/>
              <w:jc w:val="right"/>
              <w:rPr>
                <w:rFonts w:ascii="宋体" w:hAnsi="宋体" w:cs="宋体" w:eastAsia="宋体" w:hint="default"/>
                <w:sz w:val="18"/>
                <w:szCs w:val="18"/>
              </w:rPr>
            </w:pPr>
            <w:r>
              <w:rPr>
                <w:rFonts w:ascii="宋体" w:hAnsi="宋体" w:cs="宋体" w:eastAsia="宋体" w:hint="default"/>
                <w:sz w:val="18"/>
                <w:szCs w:val="18"/>
              </w:rPr>
              <w:t>其中：利息费用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13,477,117.01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13,858,247.33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91"/>
              <w:jc w:val="right"/>
              <w:rPr>
                <w:rFonts w:ascii="宋体" w:hAnsi="宋体" w:cs="宋体" w:eastAsia="宋体" w:hint="default"/>
                <w:sz w:val="18"/>
                <w:szCs w:val="18"/>
              </w:rPr>
            </w:pPr>
            <w:r>
              <w:rPr>
                <w:rFonts w:ascii="宋体" w:hAnsi="宋体" w:cs="宋体" w:eastAsia="宋体" w:hint="default"/>
                <w:sz w:val="18"/>
                <w:szCs w:val="18"/>
              </w:rPr>
              <w:t>利息收入</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2,084,111.80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6,809,413.08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7,125,466.25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893,644.78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2,872,058.87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2,529,539.60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28,824,538.73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14,409,177.15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1"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 企业的投资收益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27,816,291.01</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1" w:firstLine="720"/>
              <w:jc w:val="left"/>
              <w:rPr>
                <w:rFonts w:ascii="宋体" w:hAnsi="宋体" w:cs="宋体" w:eastAsia="宋体" w:hint="default"/>
                <w:sz w:val="18"/>
                <w:szCs w:val="18"/>
              </w:rPr>
            </w:pPr>
            <w:r>
              <w:rPr>
                <w:rFonts w:ascii="宋体" w:hAnsi="宋体" w:cs="宋体" w:eastAsia="宋体" w:hint="default"/>
                <w:sz w:val="18"/>
                <w:szCs w:val="18"/>
              </w:rPr>
              <w:t>公允价值变动收益（损失 以“－”号填列）</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pacing w:val="-8"/>
                <w:sz w:val="18"/>
                <w:szCs w:val="18"/>
              </w:rPr>
              <w:t>资产处置收益（损失以“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-59,681.46</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-346,621.53</w:t>
            </w:r>
            <w:r>
              <w:rPr>
                <w:rFonts w:ascii="Times New Roman"/>
                <w:sz w:val="18"/>
              </w:rPr>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1"/>
              <w:jc w:val="left"/>
              <w:rPr>
                <w:rFonts w:ascii="宋体" w:hAnsi="宋体" w:cs="宋体" w:eastAsia="宋体" w:hint="default"/>
                <w:sz w:val="18"/>
                <w:szCs w:val="18"/>
              </w:rPr>
            </w:pPr>
            <w:r>
              <w:rPr>
                <w:rFonts w:ascii="宋体" w:hAnsi="宋体" w:cs="宋体" w:eastAsia="宋体" w:hint="default"/>
                <w:sz w:val="18"/>
                <w:szCs w:val="18"/>
              </w:rPr>
              <w:t>二、营业利润（亏损以“－”号填 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29,852,323.69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4,522,680.94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2,097,244.61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1,480,927.77</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597,651.13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435,354.36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1"/>
              <w:jc w:val="left"/>
              <w:rPr>
                <w:rFonts w:ascii="宋体" w:hAnsi="宋体" w:cs="宋体" w:eastAsia="宋体" w:hint="default"/>
                <w:sz w:val="18"/>
                <w:szCs w:val="18"/>
              </w:rPr>
            </w:pPr>
            <w:r>
              <w:rPr>
                <w:rFonts w:ascii="宋体" w:hAnsi="宋体" w:cs="宋体" w:eastAsia="宋体" w:hint="default"/>
                <w:sz w:val="18"/>
                <w:szCs w:val="18"/>
              </w:rPr>
              <w:t>三、利润总额（亏损总额以“－” 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31,351,917.17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5,568,254.35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928,456.23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-4,578,217.59</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1"/>
              <w:jc w:val="left"/>
              <w:rPr>
                <w:rFonts w:ascii="宋体" w:hAnsi="宋体" w:cs="宋体" w:eastAsia="宋体" w:hint="default"/>
                <w:sz w:val="18"/>
                <w:szCs w:val="18"/>
              </w:rPr>
            </w:pPr>
            <w:r>
              <w:rPr>
                <w:rFonts w:ascii="宋体" w:hAnsi="宋体" w:cs="宋体" w:eastAsia="宋体" w:hint="default"/>
                <w:sz w:val="18"/>
                <w:szCs w:val="18"/>
              </w:rPr>
              <w:t>四、净利润（净亏损以“－”号填 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30,423,460.94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10,146,471.94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 损以“－”号填列）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30,423,460.94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10,146,471.94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 损以“－”号填列）</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59,509.42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-238,572.60</w:t>
            </w:r>
            <w:r>
              <w:rPr>
                <w:rFonts w:ascii="Times New Roman"/>
                <w:sz w:val="18"/>
              </w:rPr>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 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划变动额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 的其他综合收益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 综合收益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59,509.42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-238,572.60</w:t>
            </w:r>
            <w:r>
              <w:rPr>
                <w:rFonts w:ascii="Times New Roman"/>
                <w:sz w:val="18"/>
              </w:rPr>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 其他综合收益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59,509.42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-238,572.60</w:t>
            </w:r>
            <w:r>
              <w:rPr>
                <w:rFonts w:ascii="Times New Roman"/>
                <w:sz w:val="18"/>
              </w:rPr>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 允价值变动损益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 类为可供出售金融资产损益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有效部分</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54"/>
              <w:jc w:val="center"/>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30,482,970.36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9,907,899.34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5、合并现金流量表" w:id="163"/>
      <w:bookmarkEnd w:id="163"/>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after="0" w:line="240" w:lineRule="auto"/>
        <w:jc w:val="right"/>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w:t>
            </w:r>
          </w:p>
          <w:p>
            <w:pPr>
              <w:pStyle w:val="TableParagraph"/>
              <w:spacing w:line="240" w:lineRule="auto" w:before="78"/>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3,728,790,082.63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3,453,418,172.31</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客户存款和同业存放款项净增 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向其他金融机构拆入资金净增 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 计入当期损益的金融资产净增加额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34,589,835.33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92,450,492.83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63,179,682.51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419,777,507.08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3,826,559,600.47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3,965,646,172.22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2,852,138,261.16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2,754,594,482.58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存放中央银行和同业款项净增 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支付给职工以及为职工支付的 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653,725,403.41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559,986,779.38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92,652,494.01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63,785,626.27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143,546,986.33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543,799,292.85</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36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3,742,063,144.91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3,922,166,181.08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84,496,455.56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43,479,991.14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98,280,000.00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8,473,942.16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3,089,712.97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 他长期资产收回的现金净额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6,082,582.16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9,733,831.66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 到的现金净额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205,668.00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375,248,547.95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488,085,072.27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113,029,212.63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 他长期资产支付的现金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252,738,340.45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471,257,394.33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68,012,500.00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 付的现金净额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155,000,000.00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336,689,560.00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407,738,340.45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875,959,454.33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80,346,731.82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-762,930,241.70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777,488,017.20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 资收到的现金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11,295,000.00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385,281,903.60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673,262,482.61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102,293,704.71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106,067,691.30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489,575,608.31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1,556,818,191.11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532,300,000.00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483,609,000.00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 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61,736,877.98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18,111,716.01</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 的股利、利润</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151,914,408.61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143,839,730.05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745,951,286.59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645,560,446.06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-256,375,678.28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911,257,745.05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 的影响</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-511,503.80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-10,633,569.02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-92,043,994.70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181,173,925.47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446,841,974.12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265,668,048.65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354,797,979.42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446,841,974.12</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6、母公司现金流量表" w:id="164"/>
      <w:bookmarkEnd w:id="164"/>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783,263,391.33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1,131,089,977.70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33,177,419.61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88,205,743.16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795,086,043.29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593,985,947.31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1,611,526,854.23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1,813,281,668.17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744,411,603.24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976,034,044.84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1" w:firstLine="360"/>
              <w:jc w:val="left"/>
              <w:rPr>
                <w:rFonts w:ascii="宋体" w:hAnsi="宋体" w:cs="宋体" w:eastAsia="宋体" w:hint="default"/>
                <w:sz w:val="18"/>
                <w:szCs w:val="18"/>
              </w:rPr>
            </w:pPr>
            <w:r>
              <w:rPr>
                <w:rFonts w:ascii="宋体" w:hAnsi="宋体" w:cs="宋体" w:eastAsia="宋体" w:hint="default"/>
                <w:sz w:val="18"/>
                <w:szCs w:val="18"/>
              </w:rPr>
              <w:t>支付给职工以及为职工支付的 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94,652,083.33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77,096,301.10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5,228,278.96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3,848,441.69</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704,167,951.37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1,031,636,361.37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1,548,459,916.90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2,088,615,149.00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63,066,937.33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-275,333,480.83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98,280,000.00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8,473,942.16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2,100,123.93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 他长期资产收回的现金净额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1,786,665.96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9,729,621.74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46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36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到的现金净额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330,000,000.00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438,540,608.12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11,829,745.67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 他长期资产支付的现金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16,837,642.11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67,522,711.01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95,000,000.00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197,800,000.00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 付的现金净额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190,000,000.00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251,837,642.11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455,322,711.01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186,702,966.01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-443,492,965.34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766,193,017.20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306,809,000.00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99,244,094.40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63,414,890.33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289,244,094.40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1,136,416,907.53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260,500,000.00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241,809,000.00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 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46,084,572.76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13,794,199.62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150,424,142.71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89,231,370.90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457,008,715.47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344,834,570.52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-167,764,621.07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791,582,337.01</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 的影响</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293,965.86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-7,738,096.13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82,299,248.13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65,017,794.71</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96,014,122.32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30,996,327.61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178,313,370.45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96,014,122.32</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7、合并所有者权益变动表" w:id="165"/>
      <w:bookmarkEnd w:id="165"/>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本期金额</w:t>
      </w:r>
    </w:p>
    <w:p>
      <w:pPr>
        <w:spacing w:after="0" w:line="240" w:lineRule="auto"/>
        <w:jc w:val="left"/>
        <w:sectPr>
          <w:pgSz w:w="11910" w:h="16840"/>
          <w:pgMar w:header="0" w:footer="1019" w:top="1120" w:bottom="1200" w:left="980" w:right="0"/>
        </w:sectPr>
      </w:pPr>
    </w:p>
    <w:p>
      <w:pPr>
        <w:pStyle w:val="BodyText"/>
        <w:spacing w:line="240" w:lineRule="auto" w:before="51"/>
        <w:ind w:left="0" w:right="336"/>
        <w:jc w:val="right"/>
      </w:pPr>
      <w:r>
        <w:rPr/>
        <w:pict>
          <v:shape style="position:absolute;margin-left:589.234558pt;margin-top:570.43042pt;width:42.067787pt;height:18.946561pt;mso-position-horizontal-relative:page;mso-position-vertical-relative:page;z-index:1552" type="#_x0000_t75" stroked="false">
            <v:imagedata r:id="rId26" o:title=""/>
          </v:shape>
        </w:pict>
      </w:r>
      <w:r>
        <w:rPr/>
        <w:t>单位：元</w:t>
      </w:r>
    </w:p>
    <w:p>
      <w:pPr>
        <w:spacing w:line="240" w:lineRule="auto" w:before="13"/>
        <w:rPr>
          <w:rFonts w:ascii="宋体" w:hAnsi="宋体" w:cs="宋体" w:eastAsia="宋体" w:hint="default"/>
          <w:sz w:val="7"/>
          <w:szCs w:val="7"/>
        </w:rPr>
      </w:pPr>
    </w:p>
    <w:tbl>
      <w:tblPr>
        <w:tblW w:w="0" w:type="auto"/>
        <w:jc w:val="left"/>
        <w:tblInd w:w="415" w:type="dxa"/>
        <w:tblLayout w:type="fixed"/>
        <w:tblCellMar>
          <w:top w:w="0" w:type="dxa"/>
          <w:left w:w="0" w:type="dxa"/>
          <w:bottom w:w="0" w:type="dxa"/>
          <w:right w:w="0" w:type="dxa"/>
        </w:tblCellMar>
        <w:tblLook w:val="01E0"/>
      </w:tblPr>
      <w:tblGrid>
        <w:gridCol w:w="1273"/>
        <w:gridCol w:w="1341"/>
        <w:gridCol w:w="454"/>
        <w:gridCol w:w="452"/>
        <w:gridCol w:w="426"/>
        <w:gridCol w:w="1476"/>
        <w:gridCol w:w="1250"/>
        <w:gridCol w:w="1120"/>
        <w:gridCol w:w="481"/>
        <w:gridCol w:w="1252"/>
        <w:gridCol w:w="539"/>
        <w:gridCol w:w="1400"/>
        <w:gridCol w:w="1234"/>
        <w:gridCol w:w="1477"/>
      </w:tblGrid>
      <w:tr>
        <w:trPr>
          <w:trHeight w:val="402" w:hRule="exact"/>
        </w:trPr>
        <w:tc>
          <w:tcPr>
            <w:tcW w:w="127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290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1273" w:type="dxa"/>
            <w:vMerge/>
            <w:tcBorders>
              <w:left w:val="single" w:sz="4" w:space="0" w:color="000000"/>
              <w:right w:val="single" w:sz="4" w:space="0" w:color="000000"/>
            </w:tcBorders>
            <w:shd w:val="clear" w:color="auto" w:fill="D2D2D2"/>
          </w:tcPr>
          <w:p>
            <w:pPr/>
          </w:p>
        </w:tc>
        <w:tc>
          <w:tcPr>
            <w:tcW w:w="1019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316" w:lineRule="auto"/>
              <w:ind w:left="522" w:right="160"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4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402" w:hRule="exact"/>
        </w:trPr>
        <w:tc>
          <w:tcPr>
            <w:tcW w:w="1273" w:type="dxa"/>
            <w:vMerge/>
            <w:tcBorders>
              <w:left w:val="single" w:sz="4" w:space="0" w:color="000000"/>
              <w:right w:val="single" w:sz="4" w:space="0" w:color="000000"/>
            </w:tcBorders>
            <w:shd w:val="clear" w:color="auto" w:fill="D2D2D2"/>
          </w:tcPr>
          <w:p>
            <w:pPr/>
          </w:p>
        </w:tc>
        <w:tc>
          <w:tcPr>
            <w:tcW w:w="134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33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9"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69"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2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464" w:right="105" w:hanging="361"/>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4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45" w:right="144"/>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25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6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539"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73" w:right="173"/>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4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4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34" w:type="dxa"/>
            <w:vMerge/>
            <w:tcBorders>
              <w:left w:val="single" w:sz="4" w:space="0" w:color="000000"/>
              <w:right w:val="single" w:sz="4" w:space="0" w:color="000000"/>
            </w:tcBorders>
            <w:shd w:val="clear" w:color="auto" w:fill="D2D2D2"/>
          </w:tcPr>
          <w:p>
            <w:pPr/>
          </w:p>
        </w:tc>
        <w:tc>
          <w:tcPr>
            <w:tcW w:w="1477" w:type="dxa"/>
            <w:vMerge/>
            <w:tcBorders>
              <w:left w:val="single" w:sz="4" w:space="0" w:color="000000"/>
              <w:right w:val="single" w:sz="4" w:space="0" w:color="000000"/>
            </w:tcBorders>
            <w:shd w:val="clear" w:color="auto" w:fill="D2D2D2"/>
          </w:tcPr>
          <w:p>
            <w:pPr/>
          </w:p>
        </w:tc>
      </w:tr>
      <w:tr>
        <w:trPr>
          <w:trHeight w:val="1560" w:hRule="exact"/>
        </w:trPr>
        <w:tc>
          <w:tcPr>
            <w:tcW w:w="1273" w:type="dxa"/>
            <w:vMerge/>
            <w:tcBorders>
              <w:left w:val="single" w:sz="4" w:space="0" w:color="000000"/>
              <w:bottom w:val="single" w:sz="4" w:space="0" w:color="000000"/>
              <w:right w:val="single" w:sz="4" w:space="0" w:color="000000"/>
            </w:tcBorders>
            <w:shd w:val="clear" w:color="auto" w:fill="D2D2D2"/>
          </w:tcPr>
          <w:p>
            <w:pPr/>
          </w:p>
        </w:tc>
        <w:tc>
          <w:tcPr>
            <w:tcW w:w="1341" w:type="dxa"/>
            <w:vMerge/>
            <w:tcBorders>
              <w:left w:val="single" w:sz="4" w:space="0" w:color="000000"/>
              <w:bottom w:val="single" w:sz="4" w:space="0" w:color="000000"/>
              <w:right w:val="single" w:sz="4" w:space="0" w:color="000000"/>
            </w:tcBorders>
            <w:shd w:val="clear" w:color="auto" w:fill="D2D2D2"/>
          </w:tcPr>
          <w:p>
            <w:pPr/>
          </w:p>
        </w:tc>
        <w:tc>
          <w:tcPr>
            <w:tcW w:w="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4"/>
                <w:szCs w:val="24"/>
              </w:rPr>
            </w:pPr>
          </w:p>
          <w:p>
            <w:pPr>
              <w:pStyle w:val="TableParagraph"/>
              <w:spacing w:line="316" w:lineRule="auto"/>
              <w:ind w:left="131" w:right="131"/>
              <w:jc w:val="both"/>
              <w:rPr>
                <w:rFonts w:ascii="宋体" w:hAnsi="宋体" w:cs="宋体" w:eastAsia="宋体" w:hint="default"/>
                <w:sz w:val="18"/>
                <w:szCs w:val="18"/>
              </w:rPr>
            </w:pPr>
            <w:r>
              <w:rPr>
                <w:rFonts w:ascii="宋体" w:hAnsi="宋体" w:cs="宋体" w:eastAsia="宋体" w:hint="default"/>
                <w:sz w:val="18"/>
                <w:szCs w:val="18"/>
              </w:rPr>
              <w:t>优 先 股</w:t>
            </w:r>
          </w:p>
        </w:tc>
        <w:tc>
          <w:tcPr>
            <w:tcW w:w="4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4"/>
                <w:szCs w:val="24"/>
              </w:rPr>
            </w:pPr>
          </w:p>
          <w:p>
            <w:pPr>
              <w:pStyle w:val="TableParagraph"/>
              <w:spacing w:line="316" w:lineRule="auto"/>
              <w:ind w:left="131" w:right="128"/>
              <w:jc w:val="both"/>
              <w:rPr>
                <w:rFonts w:ascii="宋体" w:hAnsi="宋体" w:cs="宋体" w:eastAsia="宋体" w:hint="default"/>
                <w:sz w:val="18"/>
                <w:szCs w:val="18"/>
              </w:rPr>
            </w:pPr>
            <w:r>
              <w:rPr>
                <w:rFonts w:ascii="宋体" w:hAnsi="宋体" w:cs="宋体" w:eastAsia="宋体" w:hint="default"/>
                <w:sz w:val="18"/>
                <w:szCs w:val="18"/>
              </w:rPr>
              <w:t>永 续 债</w:t>
            </w:r>
          </w:p>
        </w:tc>
        <w:tc>
          <w:tcPr>
            <w:tcW w:w="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316" w:lineRule="auto"/>
              <w:ind w:left="117" w:right="116"/>
              <w:jc w:val="left"/>
              <w:rPr>
                <w:rFonts w:ascii="宋体" w:hAnsi="宋体" w:cs="宋体" w:eastAsia="宋体" w:hint="default"/>
                <w:sz w:val="18"/>
                <w:szCs w:val="18"/>
              </w:rPr>
            </w:pPr>
            <w:r>
              <w:rPr>
                <w:rFonts w:ascii="宋体" w:hAnsi="宋体" w:cs="宋体" w:eastAsia="宋体" w:hint="default"/>
                <w:sz w:val="18"/>
                <w:szCs w:val="18"/>
              </w:rPr>
              <w:t>其 他</w:t>
            </w:r>
          </w:p>
        </w:tc>
        <w:tc>
          <w:tcPr>
            <w:tcW w:w="1476" w:type="dxa"/>
            <w:vMerge/>
            <w:tcBorders>
              <w:left w:val="single" w:sz="4" w:space="0" w:color="000000"/>
              <w:bottom w:val="single" w:sz="4" w:space="0" w:color="000000"/>
              <w:right w:val="single" w:sz="4" w:space="0" w:color="000000"/>
            </w:tcBorders>
            <w:shd w:val="clear" w:color="auto" w:fill="D2D2D2"/>
          </w:tcPr>
          <w:p>
            <w:pPr/>
          </w:p>
        </w:tc>
        <w:tc>
          <w:tcPr>
            <w:tcW w:w="1250" w:type="dxa"/>
            <w:vMerge/>
            <w:tcBorders>
              <w:left w:val="single" w:sz="4" w:space="0" w:color="000000"/>
              <w:bottom w:val="single" w:sz="4" w:space="0" w:color="000000"/>
              <w:right w:val="single" w:sz="4" w:space="0" w:color="000000"/>
            </w:tcBorders>
            <w:shd w:val="clear" w:color="auto" w:fill="D2D2D2"/>
          </w:tcPr>
          <w:p>
            <w:pPr/>
          </w:p>
        </w:tc>
        <w:tc>
          <w:tcPr>
            <w:tcW w:w="1120" w:type="dxa"/>
            <w:vMerge/>
            <w:tcBorders>
              <w:left w:val="single" w:sz="4" w:space="0" w:color="000000"/>
              <w:bottom w:val="single" w:sz="4" w:space="0" w:color="000000"/>
              <w:right w:val="single" w:sz="4" w:space="0" w:color="000000"/>
            </w:tcBorders>
            <w:shd w:val="clear" w:color="auto" w:fill="D2D2D2"/>
          </w:tcPr>
          <w:p>
            <w:pPr/>
          </w:p>
        </w:tc>
        <w:tc>
          <w:tcPr>
            <w:tcW w:w="481" w:type="dxa"/>
            <w:vMerge/>
            <w:tcBorders>
              <w:left w:val="single" w:sz="4" w:space="0" w:color="000000"/>
              <w:bottom w:val="single" w:sz="4" w:space="0" w:color="000000"/>
              <w:right w:val="single" w:sz="4" w:space="0" w:color="000000"/>
            </w:tcBorders>
            <w:shd w:val="clear" w:color="auto" w:fill="D2D2D2"/>
          </w:tcPr>
          <w:p>
            <w:pPr/>
          </w:p>
        </w:tc>
        <w:tc>
          <w:tcPr>
            <w:tcW w:w="1252" w:type="dxa"/>
            <w:vMerge/>
            <w:tcBorders>
              <w:left w:val="single" w:sz="4" w:space="0" w:color="000000"/>
              <w:bottom w:val="single" w:sz="4" w:space="0" w:color="000000"/>
              <w:right w:val="single" w:sz="4" w:space="0" w:color="000000"/>
            </w:tcBorders>
            <w:shd w:val="clear" w:color="auto" w:fill="D2D2D2"/>
          </w:tcPr>
          <w:p>
            <w:pPr/>
          </w:p>
        </w:tc>
        <w:tc>
          <w:tcPr>
            <w:tcW w:w="539" w:type="dxa"/>
            <w:vMerge/>
            <w:tcBorders>
              <w:left w:val="single" w:sz="4" w:space="0" w:color="000000"/>
              <w:bottom w:val="single" w:sz="4" w:space="0" w:color="000000"/>
              <w:right w:val="single" w:sz="4" w:space="0" w:color="000000"/>
            </w:tcBorders>
            <w:shd w:val="clear" w:color="auto" w:fill="D2D2D2"/>
          </w:tcPr>
          <w:p>
            <w:pPr/>
          </w:p>
        </w:tc>
        <w:tc>
          <w:tcPr>
            <w:tcW w:w="1400" w:type="dxa"/>
            <w:vMerge/>
            <w:tcBorders>
              <w:left w:val="single" w:sz="4" w:space="0" w:color="000000"/>
              <w:bottom w:val="single" w:sz="4" w:space="0" w:color="000000"/>
              <w:right w:val="single" w:sz="4" w:space="0" w:color="000000"/>
            </w:tcBorders>
            <w:shd w:val="clear" w:color="auto" w:fill="D2D2D2"/>
          </w:tcPr>
          <w:p>
            <w:pPr/>
          </w:p>
        </w:tc>
        <w:tc>
          <w:tcPr>
            <w:tcW w:w="1234" w:type="dxa"/>
            <w:vMerge/>
            <w:tcBorders>
              <w:left w:val="single" w:sz="4" w:space="0" w:color="000000"/>
              <w:bottom w:val="single" w:sz="4" w:space="0" w:color="000000"/>
              <w:right w:val="single" w:sz="4" w:space="0" w:color="000000"/>
            </w:tcBorders>
            <w:shd w:val="clear" w:color="auto" w:fill="D2D2D2"/>
          </w:tcPr>
          <w:p>
            <w:pPr/>
          </w:p>
        </w:tc>
        <w:tc>
          <w:tcPr>
            <w:tcW w:w="1477"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01"/>
              <w:jc w:val="left"/>
              <w:rPr>
                <w:rFonts w:ascii="宋体" w:hAnsi="宋体" w:cs="宋体" w:eastAsia="宋体" w:hint="default"/>
                <w:sz w:val="18"/>
                <w:szCs w:val="18"/>
              </w:rPr>
            </w:pPr>
            <w:r>
              <w:rPr>
                <w:rFonts w:ascii="宋体" w:hAnsi="宋体" w:cs="宋体" w:eastAsia="宋体" w:hint="default"/>
                <w:spacing w:val="-4"/>
                <w:sz w:val="18"/>
                <w:szCs w:val="18"/>
              </w:rPr>
              <w:t>一、上年期末</w:t>
            </w:r>
            <w:r>
              <w:rPr>
                <w:rFonts w:ascii="宋体" w:hAnsi="宋体" w:cs="宋体" w:eastAsia="宋体" w:hint="default"/>
                <w:sz w:val="18"/>
                <w:szCs w:val="18"/>
              </w:rPr>
              <w:t> 余额</w:t>
            </w:r>
          </w:p>
        </w:tc>
        <w:tc>
          <w:tcPr>
            <w:tcW w:w="1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581,039,204.00</w:t>
            </w: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1,305,445,163.41</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18,916,100.00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100,174.77</w:t>
            </w: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70,566,466.32</w:t>
            </w: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184,193,290.16</w:t>
            </w: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2,122,428,198.66</w:t>
            </w:r>
          </w:p>
        </w:tc>
      </w:tr>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01" w:firstLine="360"/>
              <w:jc w:val="left"/>
              <w:rPr>
                <w:rFonts w:ascii="宋体" w:hAnsi="宋体" w:cs="宋体" w:eastAsia="宋体" w:hint="default"/>
                <w:sz w:val="18"/>
                <w:szCs w:val="18"/>
              </w:rPr>
            </w:pPr>
            <w:r>
              <w:rPr>
                <w:rFonts w:ascii="宋体" w:hAnsi="宋体" w:cs="宋体" w:eastAsia="宋体" w:hint="default"/>
                <w:spacing w:val="-6"/>
                <w:sz w:val="18"/>
                <w:szCs w:val="18"/>
              </w:rPr>
              <w:t>加：会计</w:t>
            </w:r>
            <w:r>
              <w:rPr>
                <w:rFonts w:ascii="宋体" w:hAnsi="宋体" w:cs="宋体" w:eastAsia="宋体" w:hint="default"/>
                <w:sz w:val="18"/>
                <w:szCs w:val="18"/>
              </w:rPr>
              <w:t> 政策变更</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58" w:firstLine="720"/>
              <w:jc w:val="left"/>
              <w:rPr>
                <w:rFonts w:ascii="宋体" w:hAnsi="宋体" w:cs="宋体" w:eastAsia="宋体" w:hint="default"/>
                <w:sz w:val="18"/>
                <w:szCs w:val="18"/>
              </w:rPr>
            </w:pPr>
            <w:r>
              <w:rPr>
                <w:rFonts w:ascii="宋体" w:hAnsi="宋体" w:cs="宋体" w:eastAsia="宋体" w:hint="default"/>
                <w:sz w:val="18"/>
                <w:szCs w:val="18"/>
              </w:rPr>
              <w:t>前 期差错更正</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58" w:firstLine="720"/>
              <w:jc w:val="both"/>
              <w:rPr>
                <w:rFonts w:ascii="宋体" w:hAnsi="宋体" w:cs="宋体" w:eastAsia="宋体" w:hint="default"/>
                <w:sz w:val="18"/>
                <w:szCs w:val="18"/>
              </w:rPr>
            </w:pPr>
            <w:r>
              <w:rPr>
                <w:rFonts w:ascii="宋体" w:hAnsi="宋体" w:cs="宋体" w:eastAsia="宋体" w:hint="default"/>
                <w:sz w:val="18"/>
                <w:szCs w:val="18"/>
              </w:rPr>
              <w:t>同 一控制下企 业合并</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01"/>
              <w:jc w:val="left"/>
              <w:rPr>
                <w:rFonts w:ascii="宋体" w:hAnsi="宋体" w:cs="宋体" w:eastAsia="宋体" w:hint="default"/>
                <w:sz w:val="18"/>
                <w:szCs w:val="18"/>
              </w:rPr>
            </w:pPr>
            <w:r>
              <w:rPr>
                <w:rFonts w:ascii="宋体" w:hAnsi="宋体" w:cs="宋体" w:eastAsia="宋体" w:hint="default"/>
                <w:spacing w:val="-4"/>
                <w:sz w:val="18"/>
                <w:szCs w:val="18"/>
              </w:rPr>
              <w:t>二、本年期初</w:t>
            </w:r>
            <w:r>
              <w:rPr>
                <w:rFonts w:ascii="宋体" w:hAnsi="宋体" w:cs="宋体" w:eastAsia="宋体" w:hint="default"/>
                <w:sz w:val="18"/>
                <w:szCs w:val="18"/>
              </w:rPr>
              <w:t> 余额</w:t>
            </w:r>
          </w:p>
        </w:tc>
        <w:tc>
          <w:tcPr>
            <w:tcW w:w="1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581,039,204.00</w:t>
            </w: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1,305,445,163.41</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18,916,100.00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100,174.77</w:t>
            </w: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70,566,466.32</w:t>
            </w: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184,193,290.16</w:t>
            </w: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2,122,428,198.66</w:t>
            </w:r>
          </w:p>
        </w:tc>
      </w:tr>
      <w:tr>
        <w:trPr>
          <w:trHeight w:val="1338"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01"/>
              <w:jc w:val="both"/>
              <w:rPr>
                <w:rFonts w:ascii="宋体" w:hAnsi="宋体" w:cs="宋体" w:eastAsia="宋体" w:hint="default"/>
                <w:sz w:val="18"/>
                <w:szCs w:val="18"/>
              </w:rPr>
            </w:pPr>
            <w:r>
              <w:rPr>
                <w:rFonts w:ascii="宋体" w:hAnsi="宋体" w:cs="宋体" w:eastAsia="宋体" w:hint="default"/>
                <w:spacing w:val="-4"/>
                <w:sz w:val="18"/>
                <w:szCs w:val="18"/>
              </w:rPr>
              <w:t>三、本期增减</w:t>
            </w:r>
            <w:r>
              <w:rPr>
                <w:rFonts w:ascii="宋体" w:hAnsi="宋体" w:cs="宋体" w:eastAsia="宋体" w:hint="default"/>
                <w:sz w:val="18"/>
                <w:szCs w:val="18"/>
              </w:rPr>
              <w:t> </w:t>
            </w:r>
            <w:r>
              <w:rPr>
                <w:rFonts w:ascii="宋体" w:hAnsi="宋体" w:cs="宋体" w:eastAsia="宋体" w:hint="default"/>
                <w:spacing w:val="-4"/>
                <w:sz w:val="18"/>
                <w:szCs w:val="18"/>
              </w:rPr>
              <w:t>变动金额（减</w:t>
            </w:r>
            <w:r>
              <w:rPr>
                <w:rFonts w:ascii="宋体" w:hAnsi="宋体" w:cs="宋体" w:eastAsia="宋体" w:hint="default"/>
                <w:sz w:val="18"/>
                <w:szCs w:val="18"/>
              </w:rPr>
              <w:t> </w:t>
            </w:r>
            <w:r>
              <w:rPr>
                <w:rFonts w:ascii="宋体" w:hAnsi="宋体" w:cs="宋体" w:eastAsia="宋体" w:hint="default"/>
                <w:spacing w:val="-4"/>
                <w:sz w:val="18"/>
                <w:szCs w:val="18"/>
              </w:rPr>
              <w:t>少以“－”号</w:t>
            </w:r>
            <w:r>
              <w:rPr>
                <w:rFonts w:ascii="宋体" w:hAnsi="宋体" w:cs="宋体" w:eastAsia="宋体" w:hint="default"/>
                <w:sz w:val="18"/>
                <w:szCs w:val="18"/>
              </w:rPr>
              <w:t> 填列）</w:t>
            </w:r>
          </w:p>
        </w:tc>
        <w:tc>
          <w:tcPr>
            <w:tcW w:w="1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-1,067,500.00</w:t>
            </w: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-3,383,758.37</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0" w:right="0"/>
              <w:jc w:val="center"/>
              <w:rPr>
                <w:rFonts w:ascii="Times New Roman" w:hAnsi="Times New Roman" w:cs="Times New Roman" w:eastAsia="Times New Roman" w:hint="default"/>
                <w:sz w:val="18"/>
                <w:szCs w:val="18"/>
              </w:rPr>
            </w:pPr>
            <w:r>
              <w:rPr>
                <w:rFonts w:ascii="Times New Roman"/>
                <w:sz w:val="18"/>
              </w:rPr>
              <w:t>-4,921,175.00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-135,317.26</w:t>
            </w:r>
            <w:r>
              <w:rPr>
                <w:rFonts w:ascii="Times New Roman"/>
                <w:sz w:val="18"/>
              </w:rPr>
            </w: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3,042,346.09</w:t>
            </w: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-140,709,341.27</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-3,099,847.25</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7" w:right="0"/>
              <w:jc w:val="center"/>
              <w:rPr>
                <w:rFonts w:ascii="Times New Roman" w:hAnsi="Times New Roman" w:cs="Times New Roman" w:eastAsia="Times New Roman" w:hint="default"/>
                <w:sz w:val="18"/>
                <w:szCs w:val="18"/>
              </w:rPr>
            </w:pPr>
            <w:r>
              <w:rPr>
                <w:rFonts w:ascii="Times New Roman"/>
                <w:sz w:val="18"/>
              </w:rPr>
              <w:t>-140,432,243.06</w:t>
            </w:r>
          </w:p>
        </w:tc>
      </w:tr>
    </w:tbl>
    <w:p>
      <w:pPr>
        <w:spacing w:after="0" w:line="240" w:lineRule="auto"/>
        <w:jc w:val="center"/>
        <w:rPr>
          <w:rFonts w:ascii="Times New Roman" w:hAnsi="Times New Roman" w:cs="Times New Roman" w:eastAsia="Times New Roman" w:hint="default"/>
          <w:sz w:val="18"/>
          <w:szCs w:val="18"/>
        </w:rPr>
        <w:sectPr>
          <w:headerReference w:type="default" r:id="rId45"/>
          <w:footerReference w:type="default" r:id="rId46"/>
          <w:pgSz w:w="16840" w:h="11910" w:orient="landscape"/>
          <w:pgMar w:header="917" w:footer="1019" w:top="1120" w:bottom="1200" w:left="1020" w:right="1100"/>
        </w:sectPr>
      </w:pPr>
    </w:p>
    <w:tbl>
      <w:tblPr>
        <w:tblW w:w="0" w:type="auto"/>
        <w:jc w:val="left"/>
        <w:tblInd w:w="135" w:type="dxa"/>
        <w:tblLayout w:type="fixed"/>
        <w:tblCellMar>
          <w:top w:w="0" w:type="dxa"/>
          <w:left w:w="0" w:type="dxa"/>
          <w:bottom w:w="0" w:type="dxa"/>
          <w:right w:w="0" w:type="dxa"/>
        </w:tblCellMar>
        <w:tblLook w:val="01E0"/>
      </w:tblPr>
      <w:tblGrid>
        <w:gridCol w:w="1273"/>
        <w:gridCol w:w="1341"/>
        <w:gridCol w:w="454"/>
        <w:gridCol w:w="452"/>
        <w:gridCol w:w="426"/>
        <w:gridCol w:w="1476"/>
        <w:gridCol w:w="1250"/>
        <w:gridCol w:w="1120"/>
        <w:gridCol w:w="481"/>
        <w:gridCol w:w="1252"/>
        <w:gridCol w:w="539"/>
        <w:gridCol w:w="1400"/>
        <w:gridCol w:w="1234"/>
        <w:gridCol w:w="1477"/>
      </w:tblGrid>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01"/>
              <w:jc w:val="left"/>
              <w:rPr>
                <w:rFonts w:ascii="宋体" w:hAnsi="宋体" w:cs="宋体" w:eastAsia="宋体" w:hint="default"/>
                <w:sz w:val="18"/>
                <w:szCs w:val="18"/>
              </w:rPr>
            </w:pPr>
            <w:r>
              <w:rPr>
                <w:rFonts w:ascii="宋体" w:hAnsi="宋体" w:cs="宋体" w:eastAsia="宋体" w:hint="default"/>
                <w:spacing w:val="-4"/>
                <w:sz w:val="18"/>
                <w:szCs w:val="18"/>
              </w:rPr>
              <w:t>（一）综合收</w:t>
            </w:r>
            <w:r>
              <w:rPr>
                <w:rFonts w:ascii="宋体" w:hAnsi="宋体" w:cs="宋体" w:eastAsia="宋体" w:hint="default"/>
                <w:sz w:val="18"/>
                <w:szCs w:val="18"/>
              </w:rPr>
              <w:t> 益总额</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5" w:right="0"/>
              <w:jc w:val="left"/>
              <w:rPr>
                <w:rFonts w:ascii="Times New Roman" w:hAnsi="Times New Roman" w:cs="Times New Roman" w:eastAsia="Times New Roman" w:hint="default"/>
                <w:sz w:val="18"/>
                <w:szCs w:val="18"/>
              </w:rPr>
            </w:pPr>
            <w:r>
              <w:rPr>
                <w:rFonts w:ascii="Times New Roman"/>
                <w:sz w:val="18"/>
              </w:rPr>
              <w:t>-135,317.26</w:t>
            </w: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-102,804,664.07</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-5,099,847.25</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-108,039,828.58</w:t>
            </w:r>
          </w:p>
        </w:tc>
      </w:tr>
      <w:tr>
        <w:trPr>
          <w:trHeight w:val="1026"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4"/>
                <w:sz w:val="18"/>
                <w:szCs w:val="18"/>
              </w:rPr>
              <w:t>（二）所有者</w:t>
            </w:r>
            <w:r>
              <w:rPr>
                <w:rFonts w:ascii="宋体" w:hAnsi="宋体" w:cs="宋体" w:eastAsia="宋体" w:hint="default"/>
                <w:sz w:val="18"/>
                <w:szCs w:val="18"/>
              </w:rPr>
              <w:t> 投入和减少 资本</w:t>
            </w:r>
          </w:p>
        </w:tc>
        <w:tc>
          <w:tcPr>
            <w:tcW w:w="1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-1,067,500.00</w:t>
            </w: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-2,418,830.66</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-4,921,175.00</w:t>
            </w: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3" w:right="0"/>
              <w:jc w:val="center"/>
              <w:rPr>
                <w:rFonts w:ascii="Times New Roman" w:hAnsi="Times New Roman" w:cs="Times New Roman" w:eastAsia="Times New Roman" w:hint="default"/>
                <w:sz w:val="18"/>
                <w:szCs w:val="18"/>
              </w:rPr>
            </w:pPr>
            <w:r>
              <w:rPr>
                <w:rFonts w:ascii="Times New Roman"/>
                <w:sz w:val="18"/>
              </w:rPr>
              <w:t>2,000,000.00</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3,434,844.34</w:t>
            </w:r>
          </w:p>
        </w:tc>
      </w:tr>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6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 入的普通股</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3" w:right="0"/>
              <w:jc w:val="center"/>
              <w:rPr>
                <w:rFonts w:ascii="Times New Roman" w:hAnsi="Times New Roman" w:cs="Times New Roman" w:eastAsia="Times New Roman" w:hint="default"/>
                <w:sz w:val="18"/>
                <w:szCs w:val="18"/>
              </w:rPr>
            </w:pPr>
            <w:r>
              <w:rPr>
                <w:rFonts w:ascii="Times New Roman"/>
                <w:sz w:val="18"/>
              </w:rPr>
              <w:t>2,000,000.00</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1026"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6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 工具持有者 投入资本</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6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 计入所有者 权益的金额</w:t>
            </w:r>
          </w:p>
        </w:tc>
        <w:tc>
          <w:tcPr>
            <w:tcW w:w="1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-1,067,500.00</w:t>
            </w: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-2,418,830.66</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-4,921,175.00</w:t>
            </w: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1,434,844.34</w:t>
            </w:r>
          </w:p>
        </w:tc>
      </w:tr>
      <w:tr>
        <w:trPr>
          <w:trHeight w:val="402"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4"/>
                <w:sz w:val="18"/>
                <w:szCs w:val="18"/>
              </w:rPr>
              <w:t>（三）利润分</w:t>
            </w:r>
            <w:r>
              <w:rPr>
                <w:rFonts w:ascii="宋体" w:hAnsi="宋体" w:cs="宋体" w:eastAsia="宋体" w:hint="default"/>
                <w:sz w:val="18"/>
                <w:szCs w:val="18"/>
              </w:rPr>
              <w:t> 配</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3,042,346.09</w:t>
            </w: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2" w:right="0"/>
              <w:jc w:val="center"/>
              <w:rPr>
                <w:rFonts w:ascii="Times New Roman" w:hAnsi="Times New Roman" w:cs="Times New Roman" w:eastAsia="Times New Roman" w:hint="default"/>
                <w:sz w:val="18"/>
                <w:szCs w:val="18"/>
              </w:rPr>
            </w:pPr>
            <w:r>
              <w:rPr>
                <w:rFonts w:ascii="Times New Roman"/>
                <w:sz w:val="18"/>
              </w:rPr>
              <w:t>-37,904,677.20</w:t>
            </w: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-34,862,331.11</w:t>
            </w:r>
          </w:p>
        </w:tc>
      </w:tr>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6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 公积</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3,042,346.09</w:t>
            </w: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2" w:right="0"/>
              <w:jc w:val="center"/>
              <w:rPr>
                <w:rFonts w:ascii="Times New Roman" w:hAnsi="Times New Roman" w:cs="Times New Roman" w:eastAsia="Times New Roman" w:hint="default"/>
                <w:sz w:val="18"/>
                <w:szCs w:val="18"/>
              </w:rPr>
            </w:pPr>
            <w:r>
              <w:rPr>
                <w:rFonts w:ascii="Times New Roman"/>
                <w:sz w:val="18"/>
              </w:rPr>
              <w:t>-3,042,346.09</w:t>
            </w: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6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 风险准备</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19" w:lineRule="auto" w:before="61"/>
              <w:ind w:left="103" w:right="101"/>
              <w:jc w:val="left"/>
              <w:rPr>
                <w:rFonts w:ascii="宋体" w:hAnsi="宋体" w:cs="宋体" w:eastAsia="宋体" w:hint="default"/>
                <w:sz w:val="18"/>
                <w:szCs w:val="18"/>
              </w:rPr>
            </w:pPr>
            <w:r>
              <w:rPr>
                <w:rFonts w:ascii="宋体" w:hAnsi="宋体" w:cs="宋体" w:eastAsia="宋体" w:hint="default"/>
                <w:spacing w:val="-4"/>
                <w:sz w:val="18"/>
                <w:szCs w:val="18"/>
              </w:rPr>
              <w:t>（或股东）的</w:t>
            </w:r>
            <w:r>
              <w:rPr>
                <w:rFonts w:ascii="宋体" w:hAnsi="宋体" w:cs="宋体" w:eastAsia="宋体" w:hint="default"/>
                <w:sz w:val="18"/>
                <w:szCs w:val="18"/>
              </w:rPr>
              <w:t> 分配</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7" w:right="0"/>
              <w:jc w:val="center"/>
              <w:rPr>
                <w:rFonts w:ascii="Times New Roman" w:hAnsi="Times New Roman" w:cs="Times New Roman" w:eastAsia="Times New Roman" w:hint="default"/>
                <w:sz w:val="18"/>
                <w:szCs w:val="18"/>
              </w:rPr>
            </w:pPr>
            <w:r>
              <w:rPr>
                <w:rFonts w:ascii="Times New Roman"/>
                <w:sz w:val="18"/>
              </w:rPr>
              <w:t>-34,862,331.11</w:t>
            </w: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-34,862,331.11</w:t>
            </w:r>
          </w:p>
        </w:tc>
      </w:tr>
      <w:tr>
        <w:trPr>
          <w:trHeight w:val="402"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67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4"/>
                <w:sz w:val="18"/>
                <w:szCs w:val="18"/>
              </w:rPr>
              <w:t>（四）所有者</w:t>
            </w:r>
            <w:r>
              <w:rPr>
                <w:rFonts w:ascii="宋体" w:hAnsi="宋体" w:cs="宋体" w:eastAsia="宋体" w:hint="default"/>
                <w:sz w:val="18"/>
                <w:szCs w:val="18"/>
              </w:rPr>
              <w:t> 权益内部结</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47"/>
          <w:pgSz w:w="16840" w:h="11910" w:orient="landscape"/>
          <w:pgMar w:footer="1019" w:header="917" w:top="1160" w:bottom="1200" w:left="1300" w:right="1100"/>
          <w:pgNumType w:start="118"/>
        </w:sectPr>
      </w:pPr>
    </w:p>
    <w:tbl>
      <w:tblPr>
        <w:tblW w:w="0" w:type="auto"/>
        <w:jc w:val="left"/>
        <w:tblInd w:w="135" w:type="dxa"/>
        <w:tblLayout w:type="fixed"/>
        <w:tblCellMar>
          <w:top w:w="0" w:type="dxa"/>
          <w:left w:w="0" w:type="dxa"/>
          <w:bottom w:w="0" w:type="dxa"/>
          <w:right w:w="0" w:type="dxa"/>
        </w:tblCellMar>
        <w:tblLook w:val="01E0"/>
      </w:tblPr>
      <w:tblGrid>
        <w:gridCol w:w="1273"/>
        <w:gridCol w:w="1341"/>
        <w:gridCol w:w="454"/>
        <w:gridCol w:w="452"/>
        <w:gridCol w:w="426"/>
        <w:gridCol w:w="1476"/>
        <w:gridCol w:w="1250"/>
        <w:gridCol w:w="1120"/>
        <w:gridCol w:w="481"/>
        <w:gridCol w:w="1252"/>
        <w:gridCol w:w="539"/>
        <w:gridCol w:w="1400"/>
        <w:gridCol w:w="1234"/>
        <w:gridCol w:w="1477"/>
      </w:tblGrid>
      <w:tr>
        <w:trPr>
          <w:trHeight w:val="361"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转</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 </w:t>
            </w:r>
            <w:r>
              <w:rPr>
                <w:rFonts w:ascii="宋体" w:hAnsi="宋体" w:cs="宋体" w:eastAsia="宋体" w:hint="default"/>
                <w:spacing w:val="-4"/>
                <w:sz w:val="18"/>
                <w:szCs w:val="18"/>
              </w:rPr>
              <w:t>转增资本（或</w:t>
            </w:r>
            <w:r>
              <w:rPr>
                <w:rFonts w:ascii="宋体" w:hAnsi="宋体" w:cs="宋体" w:eastAsia="宋体" w:hint="default"/>
                <w:sz w:val="18"/>
                <w:szCs w:val="18"/>
              </w:rPr>
              <w:t> 股本）</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 </w:t>
            </w:r>
            <w:r>
              <w:rPr>
                <w:rFonts w:ascii="宋体" w:hAnsi="宋体" w:cs="宋体" w:eastAsia="宋体" w:hint="default"/>
                <w:spacing w:val="-4"/>
                <w:sz w:val="18"/>
                <w:szCs w:val="18"/>
              </w:rPr>
              <w:t>转增资本（或</w:t>
            </w:r>
            <w:r>
              <w:rPr>
                <w:rFonts w:ascii="宋体" w:hAnsi="宋体" w:cs="宋体" w:eastAsia="宋体" w:hint="default"/>
                <w:sz w:val="18"/>
                <w:szCs w:val="18"/>
              </w:rPr>
              <w:t> 股本）</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16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 弥补亏损</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2"/>
              <w:ind w:left="103" w:right="168"/>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 计划变动额 结转留存收 益</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01"/>
              <w:jc w:val="left"/>
              <w:rPr>
                <w:rFonts w:ascii="宋体" w:hAnsi="宋体" w:cs="宋体" w:eastAsia="宋体" w:hint="default"/>
                <w:sz w:val="18"/>
                <w:szCs w:val="18"/>
              </w:rPr>
            </w:pPr>
            <w:r>
              <w:rPr>
                <w:rFonts w:ascii="宋体" w:hAnsi="宋体" w:cs="宋体" w:eastAsia="宋体" w:hint="default"/>
                <w:spacing w:val="-4"/>
                <w:sz w:val="18"/>
                <w:szCs w:val="18"/>
              </w:rPr>
              <w:t>（五）专项储</w:t>
            </w:r>
            <w:r>
              <w:rPr>
                <w:rFonts w:ascii="宋体" w:hAnsi="宋体" w:cs="宋体" w:eastAsia="宋体" w:hint="default"/>
                <w:sz w:val="18"/>
                <w:szCs w:val="18"/>
              </w:rPr>
              <w:t> 备</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41" w:type="dxa"/>
            <w:tcBorders>
              <w:top w:val="single" w:sz="4" w:space="0" w:color="000000"/>
              <w:left w:val="single" w:sz="4" w:space="0" w:color="000000"/>
              <w:bottom w:val="single" w:sz="4" w:space="0" w:color="000000"/>
              <w:right w:val="single" w:sz="4" w:space="0" w:color="000000"/>
            </w:tcBorders>
          </w:tcPr>
          <w:p>
            <w:pP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-964,927.71</w:t>
            </w:r>
            <w:r>
              <w:rPr>
                <w:rFonts w:ascii="Times New Roman"/>
                <w:sz w:val="18"/>
              </w:rPr>
            </w:r>
          </w:p>
        </w:tc>
        <w:tc>
          <w:tcPr>
            <w:tcW w:w="1250" w:type="dxa"/>
            <w:tcBorders>
              <w:top w:val="single" w:sz="4" w:space="0" w:color="000000"/>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23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w w:val="95"/>
                <w:sz w:val="18"/>
              </w:rPr>
              <w:t>-964,927.71</w:t>
            </w:r>
            <w:r>
              <w:rPr>
                <w:rFonts w:ascii="Times New Roman"/>
                <w:sz w:val="18"/>
              </w:rPr>
            </w:r>
          </w:p>
        </w:tc>
      </w:tr>
      <w:tr>
        <w:trPr>
          <w:trHeight w:val="716" w:hRule="exact"/>
        </w:trPr>
        <w:tc>
          <w:tcPr>
            <w:tcW w:w="1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3" w:right="101"/>
              <w:jc w:val="left"/>
              <w:rPr>
                <w:rFonts w:ascii="宋体" w:hAnsi="宋体" w:cs="宋体" w:eastAsia="宋体" w:hint="default"/>
                <w:sz w:val="18"/>
                <w:szCs w:val="18"/>
              </w:rPr>
            </w:pPr>
            <w:r>
              <w:rPr>
                <w:rFonts w:ascii="宋体" w:hAnsi="宋体" w:cs="宋体" w:eastAsia="宋体" w:hint="default"/>
                <w:spacing w:val="-4"/>
                <w:sz w:val="18"/>
                <w:szCs w:val="18"/>
              </w:rPr>
              <w:t>四、本期期末</w:t>
            </w:r>
            <w:r>
              <w:rPr>
                <w:rFonts w:ascii="宋体" w:hAnsi="宋体" w:cs="宋体" w:eastAsia="宋体" w:hint="default"/>
                <w:sz w:val="18"/>
                <w:szCs w:val="18"/>
              </w:rPr>
              <w:t> 余额</w:t>
            </w:r>
          </w:p>
        </w:tc>
        <w:tc>
          <w:tcPr>
            <w:tcW w:w="1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579,971,704.00</w:t>
            </w:r>
          </w:p>
        </w:tc>
        <w:tc>
          <w:tcPr>
            <w:tcW w:w="454"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1,302,061,405.04</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13,994,925.00</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225" w:right="0"/>
              <w:jc w:val="left"/>
              <w:rPr>
                <w:rFonts w:ascii="Times New Roman" w:hAnsi="Times New Roman" w:cs="Times New Roman" w:eastAsia="Times New Roman" w:hint="default"/>
                <w:sz w:val="18"/>
                <w:szCs w:val="18"/>
              </w:rPr>
            </w:pPr>
            <w:r>
              <w:rPr>
                <w:rFonts w:ascii="Times New Roman"/>
                <w:sz w:val="18"/>
              </w:rPr>
              <w:t>-35,142.49</w:t>
            </w:r>
          </w:p>
        </w:tc>
        <w:tc>
          <w:tcPr>
            <w:tcW w:w="481"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73,608,812.41</w:t>
            </w:r>
          </w:p>
        </w:tc>
        <w:tc>
          <w:tcPr>
            <w:tcW w:w="53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254" w:right="0"/>
              <w:jc w:val="left"/>
              <w:rPr>
                <w:rFonts w:ascii="Times New Roman" w:hAnsi="Times New Roman" w:cs="Times New Roman" w:eastAsia="Times New Roman" w:hint="default"/>
                <w:sz w:val="18"/>
                <w:szCs w:val="18"/>
              </w:rPr>
            </w:pPr>
            <w:r>
              <w:rPr>
                <w:rFonts w:ascii="Times New Roman"/>
                <w:sz w:val="18"/>
              </w:rPr>
              <w:t>43,483,948.89</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-3,099,847.25</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1,981,995,955.60</w:t>
            </w:r>
          </w:p>
        </w:tc>
      </w:tr>
    </w:tbl>
    <w:p>
      <w:pPr>
        <w:pStyle w:val="BodyText"/>
        <w:spacing w:line="240" w:lineRule="auto" w:before="51"/>
        <w:ind w:left="140" w:right="0"/>
        <w:jc w:val="left"/>
      </w:pPr>
      <w:r>
        <w:rPr/>
        <w:t>上期金额</w:t>
      </w:r>
    </w:p>
    <w:p>
      <w:pPr>
        <w:pStyle w:val="BodyText"/>
        <w:spacing w:line="240" w:lineRule="auto" w:before="116"/>
        <w:ind w:left="0" w:right="336"/>
        <w:jc w:val="right"/>
      </w:pPr>
      <w:r>
        <w:rPr/>
        <w:t>单位：元</w:t>
      </w:r>
    </w:p>
    <w:p>
      <w:pPr>
        <w:spacing w:line="240" w:lineRule="auto" w:before="1"/>
        <w:rPr>
          <w:rFonts w:ascii="宋体" w:hAnsi="宋体" w:cs="宋体" w:eastAsia="宋体" w:hint="default"/>
          <w:sz w:val="8"/>
          <w:szCs w:val="8"/>
        </w:rPr>
      </w:pPr>
    </w:p>
    <w:tbl>
      <w:tblPr>
        <w:tblW w:w="0" w:type="auto"/>
        <w:jc w:val="left"/>
        <w:tblInd w:w="135" w:type="dxa"/>
        <w:tblLayout w:type="fixed"/>
        <w:tblCellMar>
          <w:top w:w="0" w:type="dxa"/>
          <w:left w:w="0" w:type="dxa"/>
          <w:bottom w:w="0" w:type="dxa"/>
          <w:right w:w="0" w:type="dxa"/>
        </w:tblCellMar>
        <w:tblLook w:val="01E0"/>
      </w:tblPr>
      <w:tblGrid>
        <w:gridCol w:w="1242"/>
        <w:gridCol w:w="10224"/>
        <w:gridCol w:w="1233"/>
        <w:gridCol w:w="1477"/>
      </w:tblGrid>
      <w:tr>
        <w:trPr>
          <w:trHeight w:val="402" w:hRule="exact"/>
        </w:trPr>
        <w:tc>
          <w:tcPr>
            <w:tcW w:w="12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293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1242" w:type="dxa"/>
            <w:vMerge/>
            <w:tcBorders>
              <w:left w:val="single" w:sz="4" w:space="0" w:color="000000"/>
              <w:bottom w:val="single" w:sz="4" w:space="0" w:color="000000"/>
              <w:right w:val="single" w:sz="4" w:space="0" w:color="000000"/>
            </w:tcBorders>
            <w:shd w:val="clear" w:color="auto" w:fill="D2D2D2"/>
          </w:tcPr>
          <w:p>
            <w:pPr/>
          </w:p>
        </w:tc>
        <w:tc>
          <w:tcPr>
            <w:tcW w:w="102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60" w:right="0"/>
              <w:jc w:val="left"/>
              <w:rPr>
                <w:rFonts w:ascii="宋体" w:hAnsi="宋体" w:cs="宋体" w:eastAsia="宋体" w:hint="default"/>
                <w:sz w:val="18"/>
                <w:szCs w:val="18"/>
              </w:rPr>
            </w:pPr>
            <w:r>
              <w:rPr>
                <w:rFonts w:ascii="宋体" w:hAnsi="宋体" w:cs="宋体" w:eastAsia="宋体" w:hint="default"/>
                <w:sz w:val="18"/>
                <w:szCs w:val="18"/>
              </w:rPr>
              <w:t>少数股东权</w:t>
            </w:r>
          </w:p>
        </w:tc>
        <w:tc>
          <w:tcPr>
            <w:tcW w:w="1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bl>
    <w:p>
      <w:pPr>
        <w:spacing w:after="0" w:line="240" w:lineRule="auto"/>
        <w:jc w:val="left"/>
        <w:rPr>
          <w:rFonts w:ascii="宋体" w:hAnsi="宋体" w:cs="宋体" w:eastAsia="宋体" w:hint="default"/>
          <w:sz w:val="18"/>
          <w:szCs w:val="18"/>
        </w:rPr>
        <w:sectPr>
          <w:pgSz w:w="16840" w:h="11910" w:orient="landscape"/>
          <w:pgMar w:header="917" w:footer="1019" w:top="1160" w:bottom="1200" w:left="1300" w:right="1100"/>
        </w:sectPr>
      </w:pPr>
    </w:p>
    <w:tbl>
      <w:tblPr>
        <w:tblW w:w="0" w:type="auto"/>
        <w:jc w:val="left"/>
        <w:tblInd w:w="135" w:type="dxa"/>
        <w:tblLayout w:type="fixed"/>
        <w:tblCellMar>
          <w:top w:w="0" w:type="dxa"/>
          <w:left w:w="0" w:type="dxa"/>
          <w:bottom w:w="0" w:type="dxa"/>
          <w:right w:w="0" w:type="dxa"/>
        </w:tblCellMar>
        <w:tblLook w:val="01E0"/>
      </w:tblPr>
      <w:tblGrid>
        <w:gridCol w:w="1242"/>
        <w:gridCol w:w="1342"/>
        <w:gridCol w:w="450"/>
        <w:gridCol w:w="450"/>
        <w:gridCol w:w="422"/>
        <w:gridCol w:w="1476"/>
        <w:gridCol w:w="1252"/>
        <w:gridCol w:w="1232"/>
        <w:gridCol w:w="478"/>
        <w:gridCol w:w="1250"/>
        <w:gridCol w:w="532"/>
        <w:gridCol w:w="1340"/>
        <w:gridCol w:w="1233"/>
        <w:gridCol w:w="1477"/>
      </w:tblGrid>
      <w:tr>
        <w:trPr>
          <w:trHeight w:val="402" w:hRule="exact"/>
        </w:trPr>
        <w:tc>
          <w:tcPr>
            <w:tcW w:w="1242" w:type="dxa"/>
            <w:vMerge w:val="restart"/>
            <w:tcBorders>
              <w:top w:val="single" w:sz="4" w:space="0" w:color="000000"/>
              <w:left w:val="single" w:sz="4" w:space="0" w:color="000000"/>
              <w:right w:val="single" w:sz="4" w:space="0" w:color="000000"/>
            </w:tcBorders>
            <w:shd w:val="clear" w:color="auto" w:fill="D2D2D2"/>
          </w:tcPr>
          <w:p>
            <w:pPr/>
          </w:p>
        </w:tc>
        <w:tc>
          <w:tcPr>
            <w:tcW w:w="13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32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1"/>
              <w:ind w:left="115"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3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5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2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316" w:lineRule="auto"/>
              <w:ind w:left="519" w:right="160" w:hanging="361"/>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47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18"/>
              <w:ind w:left="143" w:right="143"/>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2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26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1"/>
              <w:ind w:left="170" w:right="169"/>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3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33" w:type="dxa"/>
            <w:vMerge w:val="restart"/>
            <w:tcBorders>
              <w:top w:val="single" w:sz="4" w:space="0" w:color="000000"/>
              <w:left w:val="single" w:sz="4" w:space="0" w:color="000000"/>
              <w:right w:val="single" w:sz="4" w:space="0" w:color="000000"/>
            </w:tcBorders>
          </w:tcPr>
          <w:p>
            <w:pPr>
              <w:pStyle w:val="TableParagraph"/>
              <w:spacing w:line="240" w:lineRule="auto" w:before="2"/>
              <w:ind w:right="1"/>
              <w:jc w:val="center"/>
              <w:rPr>
                <w:rFonts w:ascii="宋体" w:hAnsi="宋体" w:cs="宋体" w:eastAsia="宋体" w:hint="default"/>
                <w:sz w:val="18"/>
                <w:szCs w:val="18"/>
              </w:rPr>
            </w:pPr>
            <w:r>
              <w:rPr>
                <w:rFonts w:ascii="宋体" w:hAnsi="宋体" w:cs="宋体" w:eastAsia="宋体" w:hint="default"/>
                <w:sz w:val="18"/>
                <w:szCs w:val="18"/>
              </w:rPr>
              <w:t>益</w:t>
            </w:r>
          </w:p>
        </w:tc>
        <w:tc>
          <w:tcPr>
            <w:tcW w:w="1477" w:type="dxa"/>
            <w:vMerge w:val="restart"/>
            <w:tcBorders>
              <w:top w:val="single" w:sz="4" w:space="0" w:color="000000"/>
              <w:left w:val="single" w:sz="4" w:space="0" w:color="000000"/>
              <w:right w:val="single" w:sz="4" w:space="0" w:color="000000"/>
            </w:tcBorders>
            <w:shd w:val="clear" w:color="auto" w:fill="D2D2D2"/>
          </w:tcPr>
          <w:p>
            <w:pPr/>
          </w:p>
        </w:tc>
      </w:tr>
      <w:tr>
        <w:trPr>
          <w:trHeight w:val="1560" w:hRule="exact"/>
        </w:trPr>
        <w:tc>
          <w:tcPr>
            <w:tcW w:w="1242" w:type="dxa"/>
            <w:vMerge/>
            <w:tcBorders>
              <w:left w:val="single" w:sz="4" w:space="0" w:color="000000"/>
              <w:bottom w:val="single" w:sz="4" w:space="0" w:color="000000"/>
              <w:right w:val="single" w:sz="4" w:space="0" w:color="000000"/>
            </w:tcBorders>
            <w:shd w:val="clear" w:color="auto" w:fill="D2D2D2"/>
          </w:tcPr>
          <w:p>
            <w:pPr/>
          </w:p>
        </w:tc>
        <w:tc>
          <w:tcPr>
            <w:tcW w:w="1342" w:type="dxa"/>
            <w:vMerge/>
            <w:tcBorders>
              <w:left w:val="single" w:sz="4" w:space="0" w:color="000000"/>
              <w:bottom w:val="single" w:sz="4" w:space="0" w:color="000000"/>
              <w:right w:val="single" w:sz="4" w:space="0" w:color="000000"/>
            </w:tcBorders>
            <w:shd w:val="clear" w:color="auto" w:fill="D2D2D2"/>
          </w:tcPr>
          <w:p>
            <w:pPr/>
          </w:p>
        </w:tc>
        <w:tc>
          <w:tcPr>
            <w:tcW w:w="4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3"/>
                <w:szCs w:val="23"/>
              </w:rPr>
            </w:pPr>
          </w:p>
          <w:p>
            <w:pPr>
              <w:pStyle w:val="TableParagraph"/>
              <w:spacing w:line="316" w:lineRule="auto"/>
              <w:ind w:left="128" w:right="131"/>
              <w:jc w:val="both"/>
              <w:rPr>
                <w:rFonts w:ascii="宋体" w:hAnsi="宋体" w:cs="宋体" w:eastAsia="宋体" w:hint="default"/>
                <w:sz w:val="18"/>
                <w:szCs w:val="18"/>
              </w:rPr>
            </w:pPr>
            <w:r>
              <w:rPr>
                <w:rFonts w:ascii="宋体" w:hAnsi="宋体" w:cs="宋体" w:eastAsia="宋体" w:hint="default"/>
                <w:sz w:val="18"/>
                <w:szCs w:val="18"/>
              </w:rPr>
              <w:t>优 先 股</w:t>
            </w:r>
          </w:p>
        </w:tc>
        <w:tc>
          <w:tcPr>
            <w:tcW w:w="4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3"/>
                <w:szCs w:val="23"/>
              </w:rPr>
            </w:pPr>
          </w:p>
          <w:p>
            <w:pPr>
              <w:pStyle w:val="TableParagraph"/>
              <w:spacing w:line="316" w:lineRule="auto"/>
              <w:ind w:left="128" w:right="131"/>
              <w:jc w:val="both"/>
              <w:rPr>
                <w:rFonts w:ascii="宋体" w:hAnsi="宋体" w:cs="宋体" w:eastAsia="宋体" w:hint="default"/>
                <w:sz w:val="18"/>
                <w:szCs w:val="18"/>
              </w:rPr>
            </w:pPr>
            <w:r>
              <w:rPr>
                <w:rFonts w:ascii="宋体" w:hAnsi="宋体" w:cs="宋体" w:eastAsia="宋体" w:hint="default"/>
                <w:sz w:val="18"/>
                <w:szCs w:val="18"/>
              </w:rPr>
              <w:t>永 续 债</w:t>
            </w:r>
          </w:p>
        </w:tc>
        <w:tc>
          <w:tcPr>
            <w:tcW w:w="4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316" w:lineRule="auto"/>
              <w:ind w:left="115" w:right="115"/>
              <w:jc w:val="left"/>
              <w:rPr>
                <w:rFonts w:ascii="宋体" w:hAnsi="宋体" w:cs="宋体" w:eastAsia="宋体" w:hint="default"/>
                <w:sz w:val="18"/>
                <w:szCs w:val="18"/>
              </w:rPr>
            </w:pPr>
            <w:r>
              <w:rPr>
                <w:rFonts w:ascii="宋体" w:hAnsi="宋体" w:cs="宋体" w:eastAsia="宋体" w:hint="default"/>
                <w:sz w:val="18"/>
                <w:szCs w:val="18"/>
              </w:rPr>
              <w:t>其 他</w:t>
            </w:r>
          </w:p>
        </w:tc>
        <w:tc>
          <w:tcPr>
            <w:tcW w:w="1476" w:type="dxa"/>
            <w:vMerge/>
            <w:tcBorders>
              <w:left w:val="single" w:sz="4" w:space="0" w:color="000000"/>
              <w:bottom w:val="single" w:sz="4" w:space="0" w:color="000000"/>
              <w:right w:val="single" w:sz="4" w:space="0" w:color="000000"/>
            </w:tcBorders>
            <w:shd w:val="clear" w:color="auto" w:fill="D2D2D2"/>
          </w:tcPr>
          <w:p>
            <w:pPr/>
          </w:p>
        </w:tc>
        <w:tc>
          <w:tcPr>
            <w:tcW w:w="1252" w:type="dxa"/>
            <w:vMerge/>
            <w:tcBorders>
              <w:left w:val="single" w:sz="4" w:space="0" w:color="000000"/>
              <w:bottom w:val="single" w:sz="4" w:space="0" w:color="000000"/>
              <w:right w:val="single" w:sz="4" w:space="0" w:color="000000"/>
            </w:tcBorders>
            <w:shd w:val="clear" w:color="auto" w:fill="D2D2D2"/>
          </w:tcPr>
          <w:p>
            <w:pPr/>
          </w:p>
        </w:tc>
        <w:tc>
          <w:tcPr>
            <w:tcW w:w="1232" w:type="dxa"/>
            <w:vMerge/>
            <w:tcBorders>
              <w:left w:val="single" w:sz="4" w:space="0" w:color="000000"/>
              <w:bottom w:val="single" w:sz="4" w:space="0" w:color="000000"/>
              <w:right w:val="single" w:sz="4" w:space="0" w:color="000000"/>
            </w:tcBorders>
            <w:shd w:val="clear" w:color="auto" w:fill="D2D2D2"/>
          </w:tcPr>
          <w:p>
            <w:pPr/>
          </w:p>
        </w:tc>
        <w:tc>
          <w:tcPr>
            <w:tcW w:w="478" w:type="dxa"/>
            <w:vMerge/>
            <w:tcBorders>
              <w:left w:val="single" w:sz="4" w:space="0" w:color="000000"/>
              <w:bottom w:val="single" w:sz="4" w:space="0" w:color="000000"/>
              <w:right w:val="single" w:sz="4" w:space="0" w:color="000000"/>
            </w:tcBorders>
            <w:shd w:val="clear" w:color="auto" w:fill="D2D2D2"/>
          </w:tcPr>
          <w:p>
            <w:pPr/>
          </w:p>
        </w:tc>
        <w:tc>
          <w:tcPr>
            <w:tcW w:w="125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1340" w:type="dxa"/>
            <w:vMerge/>
            <w:tcBorders>
              <w:left w:val="single" w:sz="4" w:space="0" w:color="000000"/>
              <w:bottom w:val="single" w:sz="4" w:space="0" w:color="000000"/>
              <w:right w:val="single" w:sz="4" w:space="0" w:color="000000"/>
            </w:tcBorders>
            <w:shd w:val="clear" w:color="auto" w:fill="D2D2D2"/>
          </w:tcPr>
          <w:p>
            <w:pPr/>
          </w:p>
        </w:tc>
        <w:tc>
          <w:tcPr>
            <w:tcW w:w="1233" w:type="dxa"/>
            <w:vMerge/>
            <w:tcBorders>
              <w:left w:val="single" w:sz="4" w:space="0" w:color="000000"/>
              <w:bottom w:val="single" w:sz="4" w:space="0" w:color="000000"/>
              <w:right w:val="single" w:sz="4" w:space="0" w:color="000000"/>
            </w:tcBorders>
          </w:tcPr>
          <w:p>
            <w:pPr/>
          </w:p>
        </w:tc>
        <w:tc>
          <w:tcPr>
            <w:tcW w:w="1477"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1"/>
              <w:ind w:left="103" w:right="101"/>
              <w:jc w:val="left"/>
              <w:rPr>
                <w:rFonts w:ascii="宋体" w:hAnsi="宋体" w:cs="宋体" w:eastAsia="宋体" w:hint="default"/>
                <w:sz w:val="18"/>
                <w:szCs w:val="18"/>
              </w:rPr>
            </w:pPr>
            <w:r>
              <w:rPr>
                <w:rFonts w:ascii="宋体" w:hAnsi="宋体" w:cs="宋体" w:eastAsia="宋体" w:hint="default"/>
                <w:spacing w:val="-9"/>
                <w:sz w:val="18"/>
                <w:szCs w:val="18"/>
              </w:rPr>
              <w:t>一、上年期末</w:t>
            </w:r>
            <w:r>
              <w:rPr>
                <w:rFonts w:ascii="宋体" w:hAnsi="宋体" w:cs="宋体" w:eastAsia="宋体" w:hint="default"/>
                <w:sz w:val="18"/>
                <w:szCs w:val="18"/>
              </w:rPr>
              <w:t> 余额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483,913,350.00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648,847,616.27</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15,066,397.50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 w:right="0"/>
              <w:jc w:val="center"/>
              <w:rPr>
                <w:rFonts w:ascii="Times New Roman" w:hAnsi="Times New Roman" w:cs="Times New Roman" w:eastAsia="Times New Roman" w:hint="default"/>
                <w:sz w:val="18"/>
                <w:szCs w:val="18"/>
              </w:rPr>
            </w:pPr>
            <w:r>
              <w:rPr>
                <w:rFonts w:ascii="Times New Roman"/>
                <w:sz w:val="18"/>
              </w:rPr>
              <w:t>-3,521,416.90</w:t>
            </w: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69,551,819.13</w:t>
            </w: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164,717,199.79</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2,054,694.18</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1,350,496,864.97</w:t>
            </w: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1"/>
              <w:ind w:left="103" w:right="101" w:firstLine="360"/>
              <w:jc w:val="left"/>
              <w:rPr>
                <w:rFonts w:ascii="宋体" w:hAnsi="宋体" w:cs="宋体" w:eastAsia="宋体" w:hint="default"/>
                <w:sz w:val="18"/>
                <w:szCs w:val="18"/>
              </w:rPr>
            </w:pPr>
            <w:r>
              <w:rPr>
                <w:rFonts w:ascii="宋体" w:hAnsi="宋体" w:cs="宋体" w:eastAsia="宋体" w:hint="default"/>
                <w:spacing w:val="-14"/>
                <w:sz w:val="18"/>
                <w:szCs w:val="18"/>
              </w:rPr>
              <w:t>加：会计</w:t>
            </w:r>
            <w:r>
              <w:rPr>
                <w:rFonts w:ascii="宋体" w:hAnsi="宋体" w:cs="宋体" w:eastAsia="宋体" w:hint="default"/>
                <w:sz w:val="18"/>
                <w:szCs w:val="18"/>
              </w:rPr>
              <w:t> 政策变更</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1"/>
              <w:ind w:left="103" w:right="227" w:firstLine="720"/>
              <w:jc w:val="left"/>
              <w:rPr>
                <w:rFonts w:ascii="宋体" w:hAnsi="宋体" w:cs="宋体" w:eastAsia="宋体" w:hint="default"/>
                <w:sz w:val="18"/>
                <w:szCs w:val="18"/>
              </w:rPr>
            </w:pPr>
            <w:r>
              <w:rPr>
                <w:rFonts w:ascii="宋体" w:hAnsi="宋体" w:cs="宋体" w:eastAsia="宋体" w:hint="default"/>
                <w:sz w:val="18"/>
                <w:szCs w:val="18"/>
              </w:rPr>
              <w:t>前 期差错更正</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1"/>
              <w:ind w:left="103" w:right="227" w:firstLine="720"/>
              <w:jc w:val="both"/>
              <w:rPr>
                <w:rFonts w:ascii="宋体" w:hAnsi="宋体" w:cs="宋体" w:eastAsia="宋体" w:hint="default"/>
                <w:sz w:val="18"/>
                <w:szCs w:val="18"/>
              </w:rPr>
            </w:pPr>
            <w:r>
              <w:rPr>
                <w:rFonts w:ascii="宋体" w:hAnsi="宋体" w:cs="宋体" w:eastAsia="宋体" w:hint="default"/>
                <w:sz w:val="18"/>
                <w:szCs w:val="18"/>
              </w:rPr>
              <w:t>同 一控制下企 业合并</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1"/>
              <w:ind w:right="227"/>
              <w:jc w:val="righ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1"/>
              <w:ind w:left="103" w:right="101"/>
              <w:jc w:val="left"/>
              <w:rPr>
                <w:rFonts w:ascii="宋体" w:hAnsi="宋体" w:cs="宋体" w:eastAsia="宋体" w:hint="default"/>
                <w:sz w:val="18"/>
                <w:szCs w:val="18"/>
              </w:rPr>
            </w:pPr>
            <w:r>
              <w:rPr>
                <w:rFonts w:ascii="宋体" w:hAnsi="宋体" w:cs="宋体" w:eastAsia="宋体" w:hint="default"/>
                <w:spacing w:val="-9"/>
                <w:sz w:val="18"/>
                <w:szCs w:val="18"/>
              </w:rPr>
              <w:t>二、本年期初</w:t>
            </w:r>
            <w:r>
              <w:rPr>
                <w:rFonts w:ascii="宋体" w:hAnsi="宋体" w:cs="宋体" w:eastAsia="宋体" w:hint="default"/>
                <w:sz w:val="18"/>
                <w:szCs w:val="18"/>
              </w:rPr>
              <w:t> 余额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483,913,350.00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648,847,616.27</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15,066,397.50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 w:right="0"/>
              <w:jc w:val="center"/>
              <w:rPr>
                <w:rFonts w:ascii="Times New Roman" w:hAnsi="Times New Roman" w:cs="Times New Roman" w:eastAsia="Times New Roman" w:hint="default"/>
                <w:sz w:val="18"/>
                <w:szCs w:val="18"/>
              </w:rPr>
            </w:pPr>
            <w:r>
              <w:rPr>
                <w:rFonts w:ascii="Times New Roman"/>
                <w:sz w:val="18"/>
              </w:rPr>
              <w:t>-3,521,416.90</w:t>
            </w: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69,551,819.13</w:t>
            </w: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164,717,199.79</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2,054,694.18</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1,350,496,864.97</w:t>
            </w:r>
          </w:p>
        </w:tc>
      </w:tr>
      <w:tr>
        <w:trPr>
          <w:trHeight w:val="1338"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1"/>
              <w:ind w:left="103" w:right="101"/>
              <w:jc w:val="both"/>
              <w:rPr>
                <w:rFonts w:ascii="宋体" w:hAnsi="宋体" w:cs="宋体" w:eastAsia="宋体" w:hint="default"/>
                <w:sz w:val="18"/>
                <w:szCs w:val="18"/>
              </w:rPr>
            </w:pPr>
            <w:r>
              <w:rPr>
                <w:rFonts w:ascii="宋体" w:hAnsi="宋体" w:cs="宋体" w:eastAsia="宋体" w:hint="default"/>
                <w:spacing w:val="-9"/>
                <w:sz w:val="18"/>
                <w:szCs w:val="18"/>
              </w:rPr>
              <w:t>三、本期增减</w:t>
            </w:r>
            <w:r>
              <w:rPr>
                <w:rFonts w:ascii="宋体" w:hAnsi="宋体" w:cs="宋体" w:eastAsia="宋体" w:hint="default"/>
                <w:sz w:val="18"/>
                <w:szCs w:val="18"/>
              </w:rPr>
              <w:t> </w:t>
            </w:r>
            <w:r>
              <w:rPr>
                <w:rFonts w:ascii="宋体" w:hAnsi="宋体" w:cs="宋体" w:eastAsia="宋体" w:hint="default"/>
                <w:spacing w:val="-9"/>
                <w:sz w:val="18"/>
                <w:szCs w:val="18"/>
              </w:rPr>
              <w:t>变动金额（减</w:t>
            </w:r>
            <w:r>
              <w:rPr>
                <w:rFonts w:ascii="宋体" w:hAnsi="宋体" w:cs="宋体" w:eastAsia="宋体" w:hint="default"/>
                <w:sz w:val="18"/>
                <w:szCs w:val="18"/>
              </w:rPr>
              <w:t> </w:t>
            </w:r>
            <w:r>
              <w:rPr>
                <w:rFonts w:ascii="宋体" w:hAnsi="宋体" w:cs="宋体" w:eastAsia="宋体" w:hint="default"/>
                <w:spacing w:val="-10"/>
                <w:sz w:val="18"/>
                <w:szCs w:val="18"/>
              </w:rPr>
              <w:t>少以“－”号</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填列）</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left="92" w:right="0"/>
              <w:jc w:val="center"/>
              <w:rPr>
                <w:rFonts w:ascii="Times New Roman" w:hAnsi="Times New Roman" w:cs="Times New Roman" w:eastAsia="Times New Roman" w:hint="default"/>
                <w:sz w:val="18"/>
                <w:szCs w:val="18"/>
              </w:rPr>
            </w:pPr>
            <w:r>
              <w:rPr>
                <w:rFonts w:ascii="Times New Roman"/>
                <w:sz w:val="18"/>
              </w:rPr>
              <w:t>97,125,854.00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656,597,547.14</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3,849,702.50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3,621,591.67</w:t>
            </w: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1,014,647.19</w:t>
            </w: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19,476,090.37</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-2,054,694.18</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771,931,333.69</w:t>
            </w: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1"/>
              <w:ind w:left="103" w:right="101"/>
              <w:jc w:val="left"/>
              <w:rPr>
                <w:rFonts w:ascii="宋体" w:hAnsi="宋体" w:cs="宋体" w:eastAsia="宋体" w:hint="default"/>
                <w:sz w:val="18"/>
                <w:szCs w:val="18"/>
              </w:rPr>
            </w:pPr>
            <w:r>
              <w:rPr>
                <w:rFonts w:ascii="宋体" w:hAnsi="宋体" w:cs="宋体" w:eastAsia="宋体" w:hint="default"/>
                <w:spacing w:val="-9"/>
                <w:sz w:val="18"/>
                <w:szCs w:val="18"/>
              </w:rPr>
              <w:t>（一）综合收</w:t>
            </w:r>
            <w:r>
              <w:rPr>
                <w:rFonts w:ascii="宋体" w:hAnsi="宋体" w:cs="宋体" w:eastAsia="宋体" w:hint="default"/>
                <w:sz w:val="18"/>
                <w:szCs w:val="18"/>
              </w:rPr>
              <w:t> 益总额</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3,621,591.67</w:t>
            </w: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20,490,737.56</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-8,620,680.34</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15,491,648.89</w:t>
            </w:r>
          </w:p>
        </w:tc>
      </w:tr>
      <w:tr>
        <w:trPr>
          <w:trHeight w:val="67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1"/>
              <w:ind w:left="103" w:right="101"/>
              <w:jc w:val="left"/>
              <w:rPr>
                <w:rFonts w:ascii="宋体" w:hAnsi="宋体" w:cs="宋体" w:eastAsia="宋体" w:hint="default"/>
                <w:sz w:val="18"/>
                <w:szCs w:val="18"/>
              </w:rPr>
            </w:pPr>
            <w:r>
              <w:rPr>
                <w:rFonts w:ascii="宋体" w:hAnsi="宋体" w:cs="宋体" w:eastAsia="宋体" w:hint="default"/>
                <w:spacing w:val="-9"/>
                <w:sz w:val="18"/>
                <w:szCs w:val="18"/>
              </w:rPr>
              <w:t>（二）所有者</w:t>
            </w:r>
            <w:r>
              <w:rPr>
                <w:rFonts w:ascii="宋体" w:hAnsi="宋体" w:cs="宋体" w:eastAsia="宋体" w:hint="default"/>
                <w:sz w:val="18"/>
                <w:szCs w:val="18"/>
              </w:rPr>
              <w:t> 投入和减少</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92" w:right="0"/>
              <w:jc w:val="center"/>
              <w:rPr>
                <w:rFonts w:ascii="Times New Roman" w:hAnsi="Times New Roman" w:cs="Times New Roman" w:eastAsia="Times New Roman" w:hint="default"/>
                <w:sz w:val="18"/>
                <w:szCs w:val="18"/>
              </w:rPr>
            </w:pPr>
            <w:r>
              <w:rPr>
                <w:rFonts w:ascii="Times New Roman"/>
                <w:sz w:val="18"/>
              </w:rPr>
              <w:t>97,125,854.00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658,227,111.47</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3,849,702.50</w:t>
            </w: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751,503,262.97</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917" w:footer="1019" w:top="1180" w:bottom="1200" w:left="1300" w:right="1100"/>
        </w:sectPr>
      </w:pPr>
    </w:p>
    <w:tbl>
      <w:tblPr>
        <w:tblW w:w="0" w:type="auto"/>
        <w:jc w:val="left"/>
        <w:tblInd w:w="135" w:type="dxa"/>
        <w:tblLayout w:type="fixed"/>
        <w:tblCellMar>
          <w:top w:w="0" w:type="dxa"/>
          <w:left w:w="0" w:type="dxa"/>
          <w:bottom w:w="0" w:type="dxa"/>
          <w:right w:w="0" w:type="dxa"/>
        </w:tblCellMar>
        <w:tblLook w:val="01E0"/>
      </w:tblPr>
      <w:tblGrid>
        <w:gridCol w:w="1242"/>
        <w:gridCol w:w="1342"/>
        <w:gridCol w:w="450"/>
        <w:gridCol w:w="450"/>
        <w:gridCol w:w="422"/>
        <w:gridCol w:w="1476"/>
        <w:gridCol w:w="1252"/>
        <w:gridCol w:w="1232"/>
        <w:gridCol w:w="478"/>
        <w:gridCol w:w="1250"/>
        <w:gridCol w:w="532"/>
        <w:gridCol w:w="1340"/>
        <w:gridCol w:w="1233"/>
        <w:gridCol w:w="1477"/>
      </w:tblGrid>
      <w:tr>
        <w:trPr>
          <w:trHeight w:val="361"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3"/>
              <w:ind w:left="103" w:right="13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 入的普通股</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96,769,204.00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650,507,713.20</w:t>
            </w: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747,276,917.20</w:t>
            </w:r>
          </w:p>
        </w:tc>
      </w:tr>
      <w:tr>
        <w:trPr>
          <w:trHeight w:val="1026"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03" w:right="13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 工具持有者 投入资本</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03" w:right="13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 计入所有者 权益的金额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356,650.00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7,719,398.27</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94" w:right="0"/>
              <w:jc w:val="left"/>
              <w:rPr>
                <w:rFonts w:ascii="Times New Roman" w:hAnsi="Times New Roman" w:cs="Times New Roman" w:eastAsia="Times New Roman" w:hint="default"/>
                <w:sz w:val="18"/>
                <w:szCs w:val="18"/>
              </w:rPr>
            </w:pPr>
            <w:r>
              <w:rPr>
                <w:rFonts w:ascii="Times New Roman"/>
                <w:sz w:val="18"/>
              </w:rPr>
              <w:t>3,849,702.50</w:t>
            </w: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4,226,345.77</w:t>
            </w:r>
          </w:p>
        </w:tc>
      </w:tr>
      <w:tr>
        <w:trPr>
          <w:trHeight w:val="402"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3" w:right="101"/>
              <w:jc w:val="left"/>
              <w:rPr>
                <w:rFonts w:ascii="宋体" w:hAnsi="宋体" w:cs="宋体" w:eastAsia="宋体" w:hint="default"/>
                <w:sz w:val="18"/>
                <w:szCs w:val="18"/>
              </w:rPr>
            </w:pPr>
            <w:r>
              <w:rPr>
                <w:rFonts w:ascii="宋体" w:hAnsi="宋体" w:cs="宋体" w:eastAsia="宋体" w:hint="default"/>
                <w:spacing w:val="-9"/>
                <w:sz w:val="18"/>
                <w:szCs w:val="18"/>
              </w:rPr>
              <w:t>（三）利润分</w:t>
            </w:r>
            <w:r>
              <w:rPr>
                <w:rFonts w:ascii="宋体" w:hAnsi="宋体" w:cs="宋体" w:eastAsia="宋体" w:hint="default"/>
                <w:sz w:val="18"/>
                <w:szCs w:val="18"/>
              </w:rPr>
              <w:t> 配</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1,014,647.19</w:t>
            </w: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-1,014,647.19</w:t>
            </w: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13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 公积</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1,014,647.19</w:t>
            </w: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-1,014,647.19</w:t>
            </w: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13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 风险准备</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19" w:lineRule="auto" w:before="61"/>
              <w:ind w:left="103" w:right="101"/>
              <w:jc w:val="left"/>
              <w:rPr>
                <w:rFonts w:ascii="宋体" w:hAnsi="宋体" w:cs="宋体" w:eastAsia="宋体" w:hint="default"/>
                <w:sz w:val="18"/>
                <w:szCs w:val="18"/>
              </w:rPr>
            </w:pPr>
            <w:r>
              <w:rPr>
                <w:rFonts w:ascii="宋体" w:hAnsi="宋体" w:cs="宋体" w:eastAsia="宋体" w:hint="default"/>
                <w:spacing w:val="-9"/>
                <w:sz w:val="18"/>
                <w:szCs w:val="18"/>
              </w:rPr>
              <w:t>（或股东）的</w:t>
            </w:r>
            <w:r>
              <w:rPr>
                <w:rFonts w:ascii="宋体" w:hAnsi="宋体" w:cs="宋体" w:eastAsia="宋体" w:hint="default"/>
                <w:sz w:val="18"/>
                <w:szCs w:val="18"/>
              </w:rPr>
              <w:t> 分配</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01"/>
              <w:jc w:val="left"/>
              <w:rPr>
                <w:rFonts w:ascii="宋体" w:hAnsi="宋体" w:cs="宋体" w:eastAsia="宋体" w:hint="default"/>
                <w:sz w:val="18"/>
                <w:szCs w:val="18"/>
              </w:rPr>
            </w:pPr>
            <w:r>
              <w:rPr>
                <w:rFonts w:ascii="宋体" w:hAnsi="宋体" w:cs="宋体" w:eastAsia="宋体" w:hint="default"/>
                <w:spacing w:val="-9"/>
                <w:sz w:val="18"/>
                <w:szCs w:val="18"/>
              </w:rPr>
              <w:t>（四）所有者</w:t>
            </w:r>
            <w:r>
              <w:rPr>
                <w:rFonts w:ascii="宋体" w:hAnsi="宋体" w:cs="宋体" w:eastAsia="宋体" w:hint="default"/>
                <w:sz w:val="18"/>
                <w:szCs w:val="18"/>
              </w:rPr>
              <w:t> 权益内部结 转</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03" w:right="101"/>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 </w:t>
            </w:r>
            <w:r>
              <w:rPr>
                <w:rFonts w:ascii="宋体" w:hAnsi="宋体" w:cs="宋体" w:eastAsia="宋体" w:hint="default"/>
                <w:spacing w:val="-9"/>
                <w:sz w:val="18"/>
                <w:szCs w:val="18"/>
              </w:rPr>
              <w:t>转增资本（或</w:t>
            </w:r>
            <w:r>
              <w:rPr>
                <w:rFonts w:ascii="宋体" w:hAnsi="宋体" w:cs="宋体" w:eastAsia="宋体" w:hint="default"/>
                <w:sz w:val="18"/>
                <w:szCs w:val="18"/>
              </w:rPr>
              <w:t> 股本）</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917" w:footer="1019" w:top="1160" w:bottom="1200" w:left="1300" w:right="1100"/>
        </w:sectPr>
      </w:pPr>
    </w:p>
    <w:tbl>
      <w:tblPr>
        <w:tblW w:w="0" w:type="auto"/>
        <w:jc w:val="left"/>
        <w:tblInd w:w="135" w:type="dxa"/>
        <w:tblLayout w:type="fixed"/>
        <w:tblCellMar>
          <w:top w:w="0" w:type="dxa"/>
          <w:left w:w="0" w:type="dxa"/>
          <w:bottom w:w="0" w:type="dxa"/>
          <w:right w:w="0" w:type="dxa"/>
        </w:tblCellMar>
        <w:tblLook w:val="01E0"/>
      </w:tblPr>
      <w:tblGrid>
        <w:gridCol w:w="1242"/>
        <w:gridCol w:w="1342"/>
        <w:gridCol w:w="450"/>
        <w:gridCol w:w="450"/>
        <w:gridCol w:w="422"/>
        <w:gridCol w:w="1476"/>
        <w:gridCol w:w="1252"/>
        <w:gridCol w:w="1232"/>
        <w:gridCol w:w="478"/>
        <w:gridCol w:w="1250"/>
        <w:gridCol w:w="532"/>
        <w:gridCol w:w="1340"/>
        <w:gridCol w:w="1233"/>
        <w:gridCol w:w="1477"/>
      </w:tblGrid>
      <w:tr>
        <w:trPr>
          <w:trHeight w:val="1026"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01"/>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 </w:t>
            </w:r>
            <w:r>
              <w:rPr>
                <w:rFonts w:ascii="宋体" w:hAnsi="宋体" w:cs="宋体" w:eastAsia="宋体" w:hint="default"/>
                <w:spacing w:val="-9"/>
                <w:sz w:val="18"/>
                <w:szCs w:val="18"/>
              </w:rPr>
              <w:t>转增资本（或</w:t>
            </w:r>
            <w:r>
              <w:rPr>
                <w:rFonts w:ascii="宋体" w:hAnsi="宋体" w:cs="宋体" w:eastAsia="宋体" w:hint="default"/>
                <w:sz w:val="18"/>
                <w:szCs w:val="18"/>
              </w:rPr>
              <w:t> 股本）</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3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 弥补亏损</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51"/>
              <w:ind w:left="103" w:right="13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 计划变动额 结转留存收 益</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9"/>
                <w:sz w:val="18"/>
                <w:szCs w:val="18"/>
              </w:rPr>
              <w:t>（五）专项储</w:t>
            </w:r>
            <w:r>
              <w:rPr>
                <w:rFonts w:ascii="宋体" w:hAnsi="宋体" w:cs="宋体" w:eastAsia="宋体" w:hint="default"/>
                <w:sz w:val="18"/>
                <w:szCs w:val="18"/>
              </w:rPr>
              <w:t> 备</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-1,629,564.33</w:t>
            </w:r>
          </w:p>
        </w:tc>
        <w:tc>
          <w:tcPr>
            <w:tcW w:w="1252"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5" w:right="0"/>
              <w:jc w:val="left"/>
              <w:rPr>
                <w:rFonts w:ascii="Times New Roman" w:hAnsi="Times New Roman" w:cs="Times New Roman" w:eastAsia="Times New Roman" w:hint="default"/>
                <w:sz w:val="18"/>
                <w:szCs w:val="18"/>
              </w:rPr>
            </w:pPr>
            <w:r>
              <w:rPr>
                <w:rFonts w:ascii="Times New Roman"/>
                <w:sz w:val="18"/>
              </w:rPr>
              <w:t>6,565,986.16</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4,936,421.83</w:t>
            </w:r>
          </w:p>
        </w:tc>
      </w:tr>
      <w:tr>
        <w:trPr>
          <w:trHeight w:val="714" w:hRule="exact"/>
        </w:trPr>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9"/>
                <w:sz w:val="18"/>
                <w:szCs w:val="18"/>
              </w:rPr>
              <w:t>四、本期期末</w:t>
            </w:r>
            <w:r>
              <w:rPr>
                <w:rFonts w:ascii="宋体" w:hAnsi="宋体" w:cs="宋体" w:eastAsia="宋体" w:hint="default"/>
                <w:sz w:val="18"/>
                <w:szCs w:val="18"/>
              </w:rPr>
              <w:t> 余额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581,039,204.00</w:t>
            </w:r>
          </w:p>
        </w:tc>
        <w:tc>
          <w:tcPr>
            <w:tcW w:w="450" w:type="dxa"/>
            <w:tcBorders>
              <w:top w:val="single" w:sz="4" w:space="0" w:color="000000"/>
              <w:left w:val="single" w:sz="4" w:space="0" w:color="000000"/>
              <w:bottom w:val="single" w:sz="4" w:space="0" w:color="000000"/>
              <w:right w:val="single" w:sz="4" w:space="0" w:color="000000"/>
            </w:tcBorders>
          </w:tcPr>
          <w:p>
            <w:pPr/>
          </w:p>
        </w:tc>
        <w:tc>
          <w:tcPr>
            <w:tcW w:w="450" w:type="dxa"/>
            <w:tcBorders>
              <w:top w:val="single" w:sz="4" w:space="0" w:color="000000"/>
              <w:left w:val="single" w:sz="4" w:space="0" w:color="000000"/>
              <w:bottom w:val="single" w:sz="4" w:space="0" w:color="000000"/>
              <w:right w:val="single" w:sz="4" w:space="0" w:color="000000"/>
            </w:tcBorders>
          </w:tcPr>
          <w:p>
            <w:pPr/>
          </w:p>
        </w:tc>
        <w:tc>
          <w:tcPr>
            <w:tcW w:w="42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1,305,445,163.41</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18,916,100.00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08" w:right="0"/>
              <w:jc w:val="left"/>
              <w:rPr>
                <w:rFonts w:ascii="Times New Roman" w:hAnsi="Times New Roman" w:cs="Times New Roman" w:eastAsia="Times New Roman" w:hint="default"/>
                <w:sz w:val="18"/>
                <w:szCs w:val="18"/>
              </w:rPr>
            </w:pPr>
            <w:r>
              <w:rPr>
                <w:rFonts w:ascii="Times New Roman"/>
                <w:sz w:val="18"/>
              </w:rPr>
              <w:t>100,174.77</w:t>
            </w:r>
          </w:p>
        </w:tc>
        <w:tc>
          <w:tcPr>
            <w:tcW w:w="47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70,566,466.32</w:t>
            </w:r>
          </w:p>
        </w:tc>
        <w:tc>
          <w:tcPr>
            <w:tcW w:w="532"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184,193,290.16</w:t>
            </w:r>
          </w:p>
        </w:tc>
        <w:tc>
          <w:tcPr>
            <w:tcW w:w="1233"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2,122,428,198.66</w:t>
            </w:r>
          </w:p>
        </w:tc>
      </w:tr>
    </w:tbl>
    <w:p>
      <w:pPr>
        <w:spacing w:line="240" w:lineRule="auto" w:before="2"/>
        <w:rPr>
          <w:rFonts w:ascii="宋体" w:hAnsi="宋体" w:cs="宋体" w:eastAsia="宋体" w:hint="default"/>
          <w:sz w:val="19"/>
          <w:szCs w:val="19"/>
        </w:rPr>
      </w:pPr>
    </w:p>
    <w:p>
      <w:pPr>
        <w:pStyle w:val="Heading3"/>
        <w:spacing w:line="240" w:lineRule="auto" w:before="35"/>
        <w:ind w:left="140" w:right="0"/>
        <w:jc w:val="left"/>
        <w:rPr>
          <w:b w:val="0"/>
          <w:bCs w:val="0"/>
        </w:rPr>
      </w:pPr>
      <w:bookmarkStart w:name="8、母公司所有者权益变动表" w:id="166"/>
      <w:bookmarkEnd w:id="166"/>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40" w:right="0"/>
        <w:jc w:val="left"/>
      </w:pPr>
      <w:r>
        <w:rPr/>
        <w:t>本期金额</w:t>
      </w:r>
    </w:p>
    <w:p>
      <w:pPr>
        <w:pStyle w:val="BodyText"/>
        <w:spacing w:line="240" w:lineRule="auto" w:before="116"/>
        <w:ind w:left="0" w:right="336"/>
        <w:jc w:val="right"/>
      </w:pPr>
      <w:r>
        <w:rPr/>
        <w:t>单位：元</w:t>
      </w:r>
    </w:p>
    <w:p>
      <w:pPr>
        <w:spacing w:line="240" w:lineRule="auto" w:before="1"/>
        <w:rPr>
          <w:rFonts w:ascii="宋体" w:hAnsi="宋体" w:cs="宋体" w:eastAsia="宋体" w:hint="default"/>
          <w:sz w:val="8"/>
          <w:szCs w:val="8"/>
        </w:rPr>
      </w:pPr>
    </w:p>
    <w:tbl>
      <w:tblPr>
        <w:tblW w:w="0" w:type="auto"/>
        <w:jc w:val="left"/>
        <w:tblInd w:w="135" w:type="dxa"/>
        <w:tblLayout w:type="fixed"/>
        <w:tblCellMar>
          <w:top w:w="0" w:type="dxa"/>
          <w:left w:w="0" w:type="dxa"/>
          <w:bottom w:w="0" w:type="dxa"/>
          <w:right w:w="0" w:type="dxa"/>
        </w:tblCellMar>
        <w:tblLook w:val="01E0"/>
      </w:tblPr>
      <w:tblGrid>
        <w:gridCol w:w="2514"/>
        <w:gridCol w:w="1342"/>
        <w:gridCol w:w="590"/>
        <w:gridCol w:w="592"/>
        <w:gridCol w:w="493"/>
        <w:gridCol w:w="1476"/>
        <w:gridCol w:w="1252"/>
        <w:gridCol w:w="1159"/>
        <w:gridCol w:w="689"/>
        <w:gridCol w:w="1250"/>
        <w:gridCol w:w="1342"/>
        <w:gridCol w:w="1478"/>
      </w:tblGrid>
      <w:tr>
        <w:trPr>
          <w:trHeight w:val="402" w:hRule="exact"/>
        </w:trPr>
        <w:tc>
          <w:tcPr>
            <w:tcW w:w="25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166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2514" w:type="dxa"/>
            <w:vMerge/>
            <w:tcBorders>
              <w:left w:val="single" w:sz="4" w:space="0" w:color="000000"/>
              <w:right w:val="single" w:sz="4" w:space="0" w:color="000000"/>
            </w:tcBorders>
            <w:shd w:val="clear" w:color="auto" w:fill="D2D2D2"/>
          </w:tcPr>
          <w:p>
            <w:pPr/>
          </w:p>
        </w:tc>
        <w:tc>
          <w:tcPr>
            <w:tcW w:w="13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67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5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5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484" w:right="122" w:hanging="360"/>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6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59" w:right="157"/>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2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6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3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7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714" w:hRule="exact"/>
        </w:trPr>
        <w:tc>
          <w:tcPr>
            <w:tcW w:w="2514" w:type="dxa"/>
            <w:vMerge/>
            <w:tcBorders>
              <w:left w:val="single" w:sz="4" w:space="0" w:color="000000"/>
              <w:bottom w:val="single" w:sz="4" w:space="0" w:color="000000"/>
              <w:right w:val="single" w:sz="4" w:space="0" w:color="000000"/>
            </w:tcBorders>
            <w:shd w:val="clear" w:color="auto" w:fill="D2D2D2"/>
          </w:tcPr>
          <w:p>
            <w:pPr/>
          </w:p>
        </w:tc>
        <w:tc>
          <w:tcPr>
            <w:tcW w:w="1342" w:type="dxa"/>
            <w:vMerge/>
            <w:tcBorders>
              <w:left w:val="single" w:sz="4" w:space="0" w:color="000000"/>
              <w:bottom w:val="single" w:sz="4" w:space="0" w:color="000000"/>
              <w:right w:val="single" w:sz="4" w:space="0" w:color="000000"/>
            </w:tcBorders>
            <w:shd w:val="clear" w:color="auto" w:fill="D2D2D2"/>
          </w:tcPr>
          <w:p>
            <w:pPr/>
          </w:p>
        </w:tc>
        <w:tc>
          <w:tcPr>
            <w:tcW w:w="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99" w:right="109"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00" w:right="109"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52" w:right="149"/>
              <w:jc w:val="left"/>
              <w:rPr>
                <w:rFonts w:ascii="宋体" w:hAnsi="宋体" w:cs="宋体" w:eastAsia="宋体" w:hint="default"/>
                <w:sz w:val="18"/>
                <w:szCs w:val="18"/>
              </w:rPr>
            </w:pPr>
            <w:r>
              <w:rPr>
                <w:rFonts w:ascii="宋体" w:hAnsi="宋体" w:cs="宋体" w:eastAsia="宋体" w:hint="default"/>
                <w:sz w:val="18"/>
                <w:szCs w:val="18"/>
              </w:rPr>
              <w:t>其 他</w:t>
            </w:r>
          </w:p>
        </w:tc>
        <w:tc>
          <w:tcPr>
            <w:tcW w:w="1476" w:type="dxa"/>
            <w:vMerge/>
            <w:tcBorders>
              <w:left w:val="single" w:sz="4" w:space="0" w:color="000000"/>
              <w:bottom w:val="single" w:sz="4" w:space="0" w:color="000000"/>
              <w:right w:val="single" w:sz="4" w:space="0" w:color="000000"/>
            </w:tcBorders>
            <w:shd w:val="clear" w:color="auto" w:fill="D2D2D2"/>
          </w:tcPr>
          <w:p>
            <w:pPr/>
          </w:p>
        </w:tc>
        <w:tc>
          <w:tcPr>
            <w:tcW w:w="1252" w:type="dxa"/>
            <w:vMerge/>
            <w:tcBorders>
              <w:left w:val="single" w:sz="4" w:space="0" w:color="000000"/>
              <w:bottom w:val="single" w:sz="4" w:space="0" w:color="000000"/>
              <w:right w:val="single" w:sz="4" w:space="0" w:color="000000"/>
            </w:tcBorders>
            <w:shd w:val="clear" w:color="auto" w:fill="D2D2D2"/>
          </w:tcPr>
          <w:p>
            <w:pPr/>
          </w:p>
        </w:tc>
        <w:tc>
          <w:tcPr>
            <w:tcW w:w="1159" w:type="dxa"/>
            <w:vMerge/>
            <w:tcBorders>
              <w:left w:val="single" w:sz="4" w:space="0" w:color="000000"/>
              <w:bottom w:val="single" w:sz="4" w:space="0" w:color="000000"/>
              <w:right w:val="single" w:sz="4" w:space="0" w:color="000000"/>
            </w:tcBorders>
            <w:shd w:val="clear" w:color="auto" w:fill="D2D2D2"/>
          </w:tcPr>
          <w:p>
            <w:pPr/>
          </w:p>
        </w:tc>
        <w:tc>
          <w:tcPr>
            <w:tcW w:w="689" w:type="dxa"/>
            <w:vMerge/>
            <w:tcBorders>
              <w:left w:val="single" w:sz="4" w:space="0" w:color="000000"/>
              <w:bottom w:val="single" w:sz="4" w:space="0" w:color="000000"/>
              <w:right w:val="single" w:sz="4" w:space="0" w:color="000000"/>
            </w:tcBorders>
            <w:shd w:val="clear" w:color="auto" w:fill="D2D2D2"/>
          </w:tcPr>
          <w:p>
            <w:pPr/>
          </w:p>
        </w:tc>
        <w:tc>
          <w:tcPr>
            <w:tcW w:w="1250" w:type="dxa"/>
            <w:vMerge/>
            <w:tcBorders>
              <w:left w:val="single" w:sz="4" w:space="0" w:color="000000"/>
              <w:bottom w:val="single" w:sz="4" w:space="0" w:color="000000"/>
              <w:right w:val="single" w:sz="4" w:space="0" w:color="000000"/>
            </w:tcBorders>
            <w:shd w:val="clear" w:color="auto" w:fill="D2D2D2"/>
          </w:tcPr>
          <w:p>
            <w:pPr/>
          </w:p>
        </w:tc>
        <w:tc>
          <w:tcPr>
            <w:tcW w:w="1342" w:type="dxa"/>
            <w:vMerge/>
            <w:tcBorders>
              <w:left w:val="single" w:sz="4" w:space="0" w:color="000000"/>
              <w:bottom w:val="single" w:sz="4" w:space="0" w:color="000000"/>
              <w:right w:val="single" w:sz="4" w:space="0" w:color="000000"/>
            </w:tcBorders>
            <w:shd w:val="clear" w:color="auto" w:fill="D2D2D2"/>
          </w:tcPr>
          <w:p>
            <w:pPr/>
          </w:p>
        </w:tc>
        <w:tc>
          <w:tcPr>
            <w:tcW w:w="1478"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6840" w:h="11910" w:orient="landscape"/>
          <w:pgMar w:header="917" w:footer="1019" w:top="1160" w:bottom="1200" w:left="1300" w:right="1100"/>
        </w:sectPr>
      </w:pPr>
    </w:p>
    <w:tbl>
      <w:tblPr>
        <w:tblW w:w="0" w:type="auto"/>
        <w:jc w:val="left"/>
        <w:tblInd w:w="135" w:type="dxa"/>
        <w:tblLayout w:type="fixed"/>
        <w:tblCellMar>
          <w:top w:w="0" w:type="dxa"/>
          <w:left w:w="0" w:type="dxa"/>
          <w:bottom w:w="0" w:type="dxa"/>
          <w:right w:w="0" w:type="dxa"/>
        </w:tblCellMar>
        <w:tblLook w:val="01E0"/>
      </w:tblPr>
      <w:tblGrid>
        <w:gridCol w:w="2514"/>
        <w:gridCol w:w="1342"/>
        <w:gridCol w:w="590"/>
        <w:gridCol w:w="592"/>
        <w:gridCol w:w="493"/>
        <w:gridCol w:w="1476"/>
        <w:gridCol w:w="1252"/>
        <w:gridCol w:w="1159"/>
        <w:gridCol w:w="689"/>
        <w:gridCol w:w="1250"/>
        <w:gridCol w:w="1342"/>
        <w:gridCol w:w="1476"/>
      </w:tblGrid>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581,039,204.00</w:t>
            </w: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1,305,431,783.00</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18,916,100.00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-59,509.42</w:t>
            </w:r>
            <w:r>
              <w:rPr>
                <w:rFonts w:ascii="Times New Roman"/>
                <w:sz w:val="18"/>
              </w:rPr>
            </w: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70,566,466.32</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400,698,196.79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2,338,760,040.69</w:t>
            </w: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581,039,204.00</w:t>
            </w: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1,305,431,783.00</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18,916,100.00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-59,509.42</w:t>
            </w:r>
            <w:r>
              <w:rPr>
                <w:rFonts w:ascii="Times New Roman"/>
                <w:sz w:val="18"/>
              </w:rPr>
            </w: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70,566,466.32</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400,698,196.79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2,338,760,040.69</w:t>
            </w:r>
          </w:p>
        </w:tc>
      </w:tr>
      <w:tr>
        <w:trPr>
          <w:trHeight w:val="714"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pacing w:val="-4"/>
                <w:sz w:val="18"/>
                <w:szCs w:val="18"/>
              </w:rPr>
              <w:t>三、本期增减变动金额（减少</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以“－”号填列）</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-1,067,500.00</w:t>
            </w: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-7,938,830.64</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-4,921,175.00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59,509.42</w:t>
            </w: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3,042,346.09</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-7,481,216.26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-8,464,516.39</w:t>
            </w: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59,509.42</w:t>
            </w: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30,423,460.94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30,482,970.36</w:t>
            </w: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pacing w:val="-4"/>
                <w:sz w:val="18"/>
                <w:szCs w:val="18"/>
              </w:rPr>
              <w:t>（二）所有者投入和减少资本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-1,067,500.00</w:t>
            </w: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-2,418,830.64</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center"/>
              <w:rPr>
                <w:rFonts w:ascii="Times New Roman" w:hAnsi="Times New Roman" w:cs="Times New Roman" w:eastAsia="Times New Roman" w:hint="default"/>
                <w:sz w:val="18"/>
                <w:szCs w:val="18"/>
              </w:rPr>
            </w:pPr>
            <w:r>
              <w:rPr>
                <w:rFonts w:ascii="Times New Roman"/>
                <w:sz w:val="18"/>
              </w:rPr>
              <w:t>-4,921,175.00</w:t>
            </w: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1,434,844.36</w:t>
            </w: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．所有者投入的普通股</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4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．其他权益工具持有者投入 资本</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4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．股份支付计入所有者权益 的金额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-1,067,500.00</w:t>
            </w: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-2,418,830.64</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-4,921,175.00</w:t>
            </w: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1,434,844.36</w:t>
            </w: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3,042,346.09</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-37,904,677.20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-34,862,331.11</w:t>
            </w: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3,042,346.09</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-3,042,346.09</w:t>
            </w: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4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．对所有者（或股东）的分 配</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-34,862,331.11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-34,862,331.11</w:t>
            </w: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4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 本）</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917" w:footer="1019" w:top="1160" w:bottom="1200" w:left="1300" w:right="1100"/>
        </w:sectPr>
      </w:pPr>
    </w:p>
    <w:p>
      <w:pPr>
        <w:spacing w:line="240" w:lineRule="auto" w:before="0"/>
        <w:rPr>
          <w:rFonts w:ascii="宋体" w:hAnsi="宋体" w:cs="宋体" w:eastAsia="宋体" w:hint="default"/>
          <w:sz w:val="3"/>
          <w:szCs w:val="3"/>
        </w:rPr>
      </w:pPr>
    </w:p>
    <w:tbl>
      <w:tblPr>
        <w:tblW w:w="0" w:type="auto"/>
        <w:jc w:val="left"/>
        <w:tblInd w:w="135" w:type="dxa"/>
        <w:tblLayout w:type="fixed"/>
        <w:tblCellMar>
          <w:top w:w="0" w:type="dxa"/>
          <w:left w:w="0" w:type="dxa"/>
          <w:bottom w:w="0" w:type="dxa"/>
          <w:right w:w="0" w:type="dxa"/>
        </w:tblCellMar>
        <w:tblLook w:val="01E0"/>
      </w:tblPr>
      <w:tblGrid>
        <w:gridCol w:w="2514"/>
        <w:gridCol w:w="1342"/>
        <w:gridCol w:w="590"/>
        <w:gridCol w:w="592"/>
        <w:gridCol w:w="493"/>
        <w:gridCol w:w="1476"/>
        <w:gridCol w:w="1252"/>
        <w:gridCol w:w="1159"/>
        <w:gridCol w:w="689"/>
        <w:gridCol w:w="1250"/>
        <w:gridCol w:w="1342"/>
        <w:gridCol w:w="1476"/>
      </w:tblGrid>
      <w:tr>
        <w:trPr>
          <w:trHeight w:val="361"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149"/>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．设定受益计划变动额结转 留存收益</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-5,520,000.00</w:t>
            </w:r>
          </w:p>
        </w:tc>
        <w:tc>
          <w:tcPr>
            <w:tcW w:w="1252" w:type="dxa"/>
            <w:tcBorders>
              <w:top w:val="single" w:sz="4" w:space="0" w:color="000000"/>
              <w:left w:val="single" w:sz="4" w:space="0" w:color="000000"/>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-5,520,000.00</w:t>
            </w:r>
          </w:p>
        </w:tc>
      </w:tr>
      <w:tr>
        <w:trPr>
          <w:trHeight w:val="404" w:hRule="exact"/>
        </w:trPr>
        <w:tc>
          <w:tcPr>
            <w:tcW w:w="2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Times New Roman" w:hAnsi="Times New Roman" w:cs="Times New Roman" w:eastAsia="Times New Roman" w:hint="default"/>
                <w:sz w:val="18"/>
                <w:szCs w:val="18"/>
              </w:rPr>
            </w:pPr>
            <w:r>
              <w:rPr>
                <w:rFonts w:ascii="Times New Roman"/>
                <w:sz w:val="18"/>
              </w:rPr>
              <w:t>579,971,704.00</w:t>
            </w:r>
          </w:p>
        </w:tc>
        <w:tc>
          <w:tcPr>
            <w:tcW w:w="590" w:type="dxa"/>
            <w:tcBorders>
              <w:top w:val="single" w:sz="4" w:space="0" w:color="000000"/>
              <w:left w:val="single" w:sz="4" w:space="0" w:color="000000"/>
              <w:bottom w:val="single" w:sz="4" w:space="0" w:color="000000"/>
              <w:right w:val="single" w:sz="4" w:space="0" w:color="000000"/>
            </w:tcBorders>
          </w:tcPr>
          <w:p>
            <w:pPr/>
          </w:p>
        </w:tc>
        <w:tc>
          <w:tcPr>
            <w:tcW w:w="592"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1,297,492,952.36</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Times New Roman" w:hAnsi="Times New Roman" w:cs="Times New Roman" w:eastAsia="Times New Roman" w:hint="default"/>
                <w:sz w:val="18"/>
                <w:szCs w:val="18"/>
              </w:rPr>
            </w:pPr>
            <w:r>
              <w:rPr>
                <w:rFonts w:ascii="Times New Roman"/>
                <w:sz w:val="18"/>
              </w:rPr>
              <w:t>13,994,925.00</w:t>
            </w:r>
          </w:p>
        </w:tc>
        <w:tc>
          <w:tcPr>
            <w:tcW w:w="1159" w:type="dxa"/>
            <w:tcBorders>
              <w:top w:val="single" w:sz="4" w:space="0" w:color="000000"/>
              <w:left w:val="single" w:sz="4" w:space="0" w:color="000000"/>
              <w:bottom w:val="single" w:sz="4" w:space="0" w:color="000000"/>
              <w:right w:val="single" w:sz="4" w:space="0" w:color="000000"/>
            </w:tcBorders>
          </w:tcPr>
          <w:p>
            <w:pPr/>
          </w:p>
        </w:tc>
        <w:tc>
          <w:tcPr>
            <w:tcW w:w="68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Times New Roman" w:hAnsi="Times New Roman" w:cs="Times New Roman" w:eastAsia="Times New Roman" w:hint="default"/>
                <w:sz w:val="18"/>
                <w:szCs w:val="18"/>
              </w:rPr>
            </w:pPr>
            <w:r>
              <w:rPr>
                <w:rFonts w:ascii="Times New Roman"/>
                <w:sz w:val="18"/>
              </w:rPr>
              <w:t>73,608,812.41</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Times New Roman" w:hAnsi="Times New Roman" w:cs="Times New Roman" w:eastAsia="Times New Roman" w:hint="default"/>
                <w:sz w:val="18"/>
                <w:szCs w:val="18"/>
              </w:rPr>
            </w:pPr>
            <w:r>
              <w:rPr>
                <w:rFonts w:ascii="Times New Roman"/>
                <w:sz w:val="18"/>
              </w:rPr>
              <w:t>393,216,980.53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2,330,295,524.30</w:t>
            </w:r>
          </w:p>
        </w:tc>
      </w:tr>
    </w:tbl>
    <w:p>
      <w:pPr>
        <w:pStyle w:val="BodyText"/>
        <w:spacing w:line="240" w:lineRule="auto" w:before="51"/>
        <w:ind w:left="140" w:right="0"/>
        <w:jc w:val="left"/>
      </w:pPr>
      <w:r>
        <w:rPr/>
        <w:t>上期金额</w:t>
      </w:r>
    </w:p>
    <w:p>
      <w:pPr>
        <w:pStyle w:val="BodyText"/>
        <w:spacing w:line="240" w:lineRule="auto" w:before="116"/>
        <w:ind w:left="0" w:right="336"/>
        <w:jc w:val="right"/>
      </w:pPr>
      <w:r>
        <w:rPr/>
        <w:t>单位：元</w:t>
      </w:r>
    </w:p>
    <w:p>
      <w:pPr>
        <w:spacing w:line="240" w:lineRule="auto" w:before="1"/>
        <w:rPr>
          <w:rFonts w:ascii="宋体" w:hAnsi="宋体" w:cs="宋体" w:eastAsia="宋体" w:hint="default"/>
          <w:sz w:val="8"/>
          <w:szCs w:val="8"/>
        </w:rPr>
      </w:pPr>
    </w:p>
    <w:tbl>
      <w:tblPr>
        <w:tblW w:w="0" w:type="auto"/>
        <w:jc w:val="left"/>
        <w:tblInd w:w="135" w:type="dxa"/>
        <w:tblLayout w:type="fixed"/>
        <w:tblCellMar>
          <w:top w:w="0" w:type="dxa"/>
          <w:left w:w="0" w:type="dxa"/>
          <w:bottom w:w="0" w:type="dxa"/>
          <w:right w:w="0" w:type="dxa"/>
        </w:tblCellMar>
        <w:tblLook w:val="01E0"/>
      </w:tblPr>
      <w:tblGrid>
        <w:gridCol w:w="2488"/>
        <w:gridCol w:w="1340"/>
        <w:gridCol w:w="588"/>
        <w:gridCol w:w="588"/>
        <w:gridCol w:w="492"/>
        <w:gridCol w:w="1476"/>
        <w:gridCol w:w="1252"/>
        <w:gridCol w:w="1198"/>
        <w:gridCol w:w="684"/>
        <w:gridCol w:w="1250"/>
        <w:gridCol w:w="1342"/>
        <w:gridCol w:w="1477"/>
      </w:tblGrid>
      <w:tr>
        <w:trPr>
          <w:trHeight w:val="402" w:hRule="exact"/>
        </w:trPr>
        <w:tc>
          <w:tcPr>
            <w:tcW w:w="24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1688"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2488" w:type="dxa"/>
            <w:vMerge/>
            <w:tcBorders>
              <w:left w:val="single" w:sz="4" w:space="0" w:color="000000"/>
              <w:right w:val="single" w:sz="4" w:space="0" w:color="000000"/>
            </w:tcBorders>
            <w:shd w:val="clear" w:color="auto" w:fill="D2D2D2"/>
          </w:tcPr>
          <w:p>
            <w:pPr/>
          </w:p>
        </w:tc>
        <w:tc>
          <w:tcPr>
            <w:tcW w:w="13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66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9"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3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5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9" w:lineRule="auto"/>
              <w:ind w:left="502" w:right="143" w:hanging="360"/>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6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9" w:lineRule="auto"/>
              <w:ind w:left="157" w:right="155"/>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2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6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3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714" w:hRule="exact"/>
        </w:trPr>
        <w:tc>
          <w:tcPr>
            <w:tcW w:w="2488" w:type="dxa"/>
            <w:vMerge/>
            <w:tcBorders>
              <w:left w:val="single" w:sz="4" w:space="0" w:color="000000"/>
              <w:bottom w:val="single" w:sz="4" w:space="0" w:color="000000"/>
              <w:right w:val="single" w:sz="4" w:space="0" w:color="000000"/>
            </w:tcBorders>
            <w:shd w:val="clear" w:color="auto" w:fill="D2D2D2"/>
          </w:tcPr>
          <w:p>
            <w:pPr/>
          </w:p>
        </w:tc>
        <w:tc>
          <w:tcPr>
            <w:tcW w:w="1340" w:type="dxa"/>
            <w:vMerge/>
            <w:tcBorders>
              <w:left w:val="single" w:sz="4" w:space="0" w:color="000000"/>
              <w:bottom w:val="single" w:sz="4" w:space="0" w:color="000000"/>
              <w:right w:val="single" w:sz="4" w:space="0" w:color="000000"/>
            </w:tcBorders>
            <w:shd w:val="clear" w:color="auto" w:fill="D2D2D2"/>
          </w:tcPr>
          <w:p>
            <w:pPr/>
          </w:p>
        </w:tc>
        <w:tc>
          <w:tcPr>
            <w:tcW w:w="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99" w:right="107"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99" w:right="107"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51" w:right="149"/>
              <w:jc w:val="left"/>
              <w:rPr>
                <w:rFonts w:ascii="宋体" w:hAnsi="宋体" w:cs="宋体" w:eastAsia="宋体" w:hint="default"/>
                <w:sz w:val="18"/>
                <w:szCs w:val="18"/>
              </w:rPr>
            </w:pPr>
            <w:r>
              <w:rPr>
                <w:rFonts w:ascii="宋体" w:hAnsi="宋体" w:cs="宋体" w:eastAsia="宋体" w:hint="default"/>
                <w:sz w:val="18"/>
                <w:szCs w:val="18"/>
              </w:rPr>
              <w:t>其 他</w:t>
            </w:r>
          </w:p>
        </w:tc>
        <w:tc>
          <w:tcPr>
            <w:tcW w:w="1476" w:type="dxa"/>
            <w:vMerge/>
            <w:tcBorders>
              <w:left w:val="single" w:sz="4" w:space="0" w:color="000000"/>
              <w:bottom w:val="single" w:sz="4" w:space="0" w:color="000000"/>
              <w:right w:val="single" w:sz="4" w:space="0" w:color="000000"/>
            </w:tcBorders>
            <w:shd w:val="clear" w:color="auto" w:fill="D2D2D2"/>
          </w:tcPr>
          <w:p>
            <w:pPr/>
          </w:p>
        </w:tc>
        <w:tc>
          <w:tcPr>
            <w:tcW w:w="1252" w:type="dxa"/>
            <w:vMerge/>
            <w:tcBorders>
              <w:left w:val="single" w:sz="4" w:space="0" w:color="000000"/>
              <w:bottom w:val="single" w:sz="4" w:space="0" w:color="000000"/>
              <w:right w:val="single" w:sz="4" w:space="0" w:color="000000"/>
            </w:tcBorders>
            <w:shd w:val="clear" w:color="auto" w:fill="D2D2D2"/>
          </w:tcPr>
          <w:p>
            <w:pPr/>
          </w:p>
        </w:tc>
        <w:tc>
          <w:tcPr>
            <w:tcW w:w="1198" w:type="dxa"/>
            <w:vMerge/>
            <w:tcBorders>
              <w:left w:val="single" w:sz="4" w:space="0" w:color="000000"/>
              <w:bottom w:val="single" w:sz="4" w:space="0" w:color="000000"/>
              <w:right w:val="single" w:sz="4" w:space="0" w:color="000000"/>
            </w:tcBorders>
            <w:shd w:val="clear" w:color="auto" w:fill="D2D2D2"/>
          </w:tcPr>
          <w:p>
            <w:pPr/>
          </w:p>
        </w:tc>
        <w:tc>
          <w:tcPr>
            <w:tcW w:w="684" w:type="dxa"/>
            <w:vMerge/>
            <w:tcBorders>
              <w:left w:val="single" w:sz="4" w:space="0" w:color="000000"/>
              <w:bottom w:val="single" w:sz="4" w:space="0" w:color="000000"/>
              <w:right w:val="single" w:sz="4" w:space="0" w:color="000000"/>
            </w:tcBorders>
            <w:shd w:val="clear" w:color="auto" w:fill="D2D2D2"/>
          </w:tcPr>
          <w:p>
            <w:pPr/>
          </w:p>
        </w:tc>
        <w:tc>
          <w:tcPr>
            <w:tcW w:w="1250" w:type="dxa"/>
            <w:vMerge/>
            <w:tcBorders>
              <w:left w:val="single" w:sz="4" w:space="0" w:color="000000"/>
              <w:bottom w:val="single" w:sz="4" w:space="0" w:color="000000"/>
              <w:right w:val="single" w:sz="4" w:space="0" w:color="000000"/>
            </w:tcBorders>
            <w:shd w:val="clear" w:color="auto" w:fill="D2D2D2"/>
          </w:tcPr>
          <w:p>
            <w:pPr/>
          </w:p>
        </w:tc>
        <w:tc>
          <w:tcPr>
            <w:tcW w:w="1342" w:type="dxa"/>
            <w:vMerge/>
            <w:tcBorders>
              <w:left w:val="single" w:sz="4" w:space="0" w:color="000000"/>
              <w:bottom w:val="single" w:sz="4" w:space="0" w:color="000000"/>
              <w:right w:val="single" w:sz="4" w:space="0" w:color="000000"/>
            </w:tcBorders>
            <w:shd w:val="clear" w:color="auto" w:fill="D2D2D2"/>
          </w:tcPr>
          <w:p>
            <w:pPr/>
          </w:p>
        </w:tc>
        <w:tc>
          <w:tcPr>
            <w:tcW w:w="147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483,913,350.00</w:t>
            </w: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648,834,235.84</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15,066,397.50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179,063.18</w:t>
            </w: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69,551,819.13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391,566,372.04</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1,578,978,442.69</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73"/>
              <w:jc w:val="right"/>
              <w:rPr>
                <w:rFonts w:ascii="宋体" w:hAnsi="宋体" w:cs="宋体" w:eastAsia="宋体" w:hint="default"/>
                <w:sz w:val="18"/>
                <w:szCs w:val="18"/>
              </w:rPr>
            </w:pPr>
            <w:r>
              <w:rPr>
                <w:rFonts w:ascii="宋体" w:hAnsi="宋体" w:cs="宋体" w:eastAsia="宋体" w:hint="default"/>
                <w:sz w:val="18"/>
                <w:szCs w:val="18"/>
              </w:rPr>
              <w:t>加：会计政策变更</w:t>
            </w:r>
          </w:p>
        </w:tc>
        <w:tc>
          <w:tcPr>
            <w:tcW w:w="1340"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73"/>
              <w:jc w:val="right"/>
              <w:rPr>
                <w:rFonts w:ascii="宋体" w:hAnsi="宋体" w:cs="宋体" w:eastAsia="宋体" w:hint="default"/>
                <w:sz w:val="18"/>
                <w:szCs w:val="18"/>
              </w:rPr>
            </w:pPr>
            <w:r>
              <w:rPr>
                <w:rFonts w:ascii="宋体" w:hAnsi="宋体" w:cs="宋体" w:eastAsia="宋体" w:hint="default"/>
                <w:sz w:val="18"/>
                <w:szCs w:val="18"/>
              </w:rPr>
              <w:t>前期差错更正</w:t>
            </w:r>
          </w:p>
        </w:tc>
        <w:tc>
          <w:tcPr>
            <w:tcW w:w="1340"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40"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483,913,350.00</w:t>
            </w: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648,834,235.84</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15,066,397.50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179,063.18</w:t>
            </w: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69,551,819.13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391,566,372.04</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1,578,978,442.69</w:t>
            </w:r>
          </w:p>
        </w:tc>
      </w:tr>
      <w:tr>
        <w:trPr>
          <w:trHeight w:val="714"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pacing w:val="-6"/>
                <w:sz w:val="18"/>
                <w:szCs w:val="18"/>
              </w:rPr>
              <w:t>三、本期增减变动金额（减少</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以“－”号填列）</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97,125,854.00</w:t>
            </w: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656,597,547.16</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3,849,702.50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-238,572.60</w:t>
            </w:r>
            <w:r>
              <w:rPr>
                <w:rFonts w:ascii="Times New Roman"/>
                <w:sz w:val="18"/>
              </w:rPr>
            </w: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1,014,647.19</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9,131,824.75</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759,781,598.00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340"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-238,572.60</w:t>
            </w:r>
            <w:r>
              <w:rPr>
                <w:rFonts w:ascii="Times New Roman"/>
                <w:sz w:val="18"/>
              </w:rPr>
            </w: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10,146,471.94</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9,907,899.34</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917" w:footer="1019" w:top="1120" w:bottom="1200" w:left="1300" w:right="1100"/>
        </w:sectPr>
      </w:pPr>
    </w:p>
    <w:tbl>
      <w:tblPr>
        <w:tblW w:w="0" w:type="auto"/>
        <w:jc w:val="left"/>
        <w:tblInd w:w="135" w:type="dxa"/>
        <w:tblLayout w:type="fixed"/>
        <w:tblCellMar>
          <w:top w:w="0" w:type="dxa"/>
          <w:left w:w="0" w:type="dxa"/>
          <w:bottom w:w="0" w:type="dxa"/>
          <w:right w:w="0" w:type="dxa"/>
        </w:tblCellMar>
        <w:tblLook w:val="01E0"/>
      </w:tblPr>
      <w:tblGrid>
        <w:gridCol w:w="2487"/>
        <w:gridCol w:w="1341"/>
        <w:gridCol w:w="588"/>
        <w:gridCol w:w="588"/>
        <w:gridCol w:w="492"/>
        <w:gridCol w:w="1476"/>
        <w:gridCol w:w="1252"/>
        <w:gridCol w:w="1198"/>
        <w:gridCol w:w="684"/>
        <w:gridCol w:w="1250"/>
        <w:gridCol w:w="1342"/>
        <w:gridCol w:w="1477"/>
      </w:tblGrid>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pacing w:val="-6"/>
                <w:sz w:val="18"/>
                <w:szCs w:val="18"/>
              </w:rPr>
              <w:t>（二）所有者投入和减少资本</w:t>
            </w:r>
          </w:p>
        </w:tc>
        <w:tc>
          <w:tcPr>
            <w:tcW w:w="1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97,125,854.00</w:t>
            </w: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658,227,111.49</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3,849,702.50</w:t>
            </w: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751,503,262.99</w:t>
            </w: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．所有者投入的普通股</w:t>
            </w:r>
          </w:p>
        </w:tc>
        <w:tc>
          <w:tcPr>
            <w:tcW w:w="1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96,769,204.00</w:t>
            </w: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650,507,713.20</w:t>
            </w: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747,276,917.20</w:t>
            </w:r>
          </w:p>
        </w:tc>
      </w:tr>
      <w:tr>
        <w:trPr>
          <w:trHeight w:val="714"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2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．其他权益工具持有者投入 资本</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2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．股份支付计入所有者权益 的金额</w:t>
            </w:r>
          </w:p>
        </w:tc>
        <w:tc>
          <w:tcPr>
            <w:tcW w:w="1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356,650.00</w:t>
            </w: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7,719,398.29</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3,849,702.50</w:t>
            </w: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4,226,345.79</w:t>
            </w: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1,014,647.19</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-1,014,647.19</w:t>
            </w: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1,014,647.19</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-1,014,647.19</w:t>
            </w: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2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．对所有者（或股东）的分 配</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2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 本）</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2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 本）</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22"/>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．设定受益计划变动额结转 留存收益</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917" w:footer="1019" w:top="1160" w:bottom="1200" w:left="1300" w:right="1100"/>
        </w:sectPr>
      </w:pPr>
    </w:p>
    <w:p>
      <w:pPr>
        <w:spacing w:line="240" w:lineRule="auto" w:before="5"/>
        <w:rPr>
          <w:rFonts w:ascii="Times New Roman" w:hAnsi="Times New Roman" w:cs="Times New Roman" w:eastAsia="Times New Roman" w:hint="default"/>
          <w:sz w:val="3"/>
          <w:szCs w:val="3"/>
        </w:rPr>
      </w:pPr>
    </w:p>
    <w:tbl>
      <w:tblPr>
        <w:tblW w:w="0" w:type="auto"/>
        <w:jc w:val="left"/>
        <w:tblInd w:w="135" w:type="dxa"/>
        <w:tblLayout w:type="fixed"/>
        <w:tblCellMar>
          <w:top w:w="0" w:type="dxa"/>
          <w:left w:w="0" w:type="dxa"/>
          <w:bottom w:w="0" w:type="dxa"/>
          <w:right w:w="0" w:type="dxa"/>
        </w:tblCellMar>
        <w:tblLook w:val="01E0"/>
      </w:tblPr>
      <w:tblGrid>
        <w:gridCol w:w="2487"/>
        <w:gridCol w:w="1341"/>
        <w:gridCol w:w="588"/>
        <w:gridCol w:w="588"/>
        <w:gridCol w:w="492"/>
        <w:gridCol w:w="1476"/>
        <w:gridCol w:w="1252"/>
        <w:gridCol w:w="1198"/>
        <w:gridCol w:w="684"/>
        <w:gridCol w:w="1250"/>
        <w:gridCol w:w="1342"/>
        <w:gridCol w:w="1477"/>
      </w:tblGrid>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41"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-1,629,564.33</w:t>
            </w:r>
          </w:p>
        </w:tc>
        <w:tc>
          <w:tcPr>
            <w:tcW w:w="1252"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-1,629,564.33</w:t>
            </w:r>
          </w:p>
        </w:tc>
      </w:tr>
      <w:tr>
        <w:trPr>
          <w:trHeight w:val="402" w:hRule="exact"/>
        </w:trPr>
        <w:tc>
          <w:tcPr>
            <w:tcW w:w="2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581,039,204.00</w:t>
            </w:r>
          </w:p>
        </w:tc>
        <w:tc>
          <w:tcPr>
            <w:tcW w:w="588" w:type="dxa"/>
            <w:tcBorders>
              <w:top w:val="single" w:sz="4" w:space="0" w:color="000000"/>
              <w:left w:val="single" w:sz="4" w:space="0" w:color="000000"/>
              <w:bottom w:val="single" w:sz="4" w:space="0" w:color="000000"/>
              <w:right w:val="single" w:sz="4" w:space="0" w:color="000000"/>
            </w:tcBorders>
          </w:tcPr>
          <w:p>
            <w:pPr/>
          </w:p>
        </w:tc>
        <w:tc>
          <w:tcPr>
            <w:tcW w:w="588" w:type="dxa"/>
            <w:tcBorders>
              <w:top w:val="single" w:sz="4" w:space="0" w:color="000000"/>
              <w:left w:val="single" w:sz="4" w:space="0" w:color="000000"/>
              <w:bottom w:val="single" w:sz="4" w:space="0" w:color="000000"/>
              <w:right w:val="single" w:sz="4" w:space="0" w:color="000000"/>
            </w:tcBorders>
          </w:tcPr>
          <w:p>
            <w:pPr/>
          </w:p>
        </w:tc>
        <w:tc>
          <w:tcPr>
            <w:tcW w:w="49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1,305,431,783.00</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18,916,100.00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3" w:right="0"/>
              <w:jc w:val="left"/>
              <w:rPr>
                <w:rFonts w:ascii="Times New Roman" w:hAnsi="Times New Roman" w:cs="Times New Roman" w:eastAsia="Times New Roman" w:hint="default"/>
                <w:sz w:val="18"/>
                <w:szCs w:val="18"/>
              </w:rPr>
            </w:pPr>
            <w:r>
              <w:rPr>
                <w:rFonts w:ascii="Times New Roman"/>
                <w:sz w:val="18"/>
              </w:rPr>
              <w:t>-59,509.42</w:t>
            </w:r>
          </w:p>
        </w:tc>
        <w:tc>
          <w:tcPr>
            <w:tcW w:w="684"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70,566,466.32</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400,698,196.79</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2,338,760,040.69</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917" w:footer="1019" w:top="1120" w:bottom="1200" w:left="1300" w:right="1100"/>
        </w:sectPr>
      </w:pPr>
    </w:p>
    <w:p>
      <w:pPr>
        <w:spacing w:line="240" w:lineRule="auto" w:before="1"/>
        <w:rPr>
          <w:rFonts w:ascii="Times New Roman" w:hAnsi="Times New Roman" w:cs="Times New Roman" w:eastAsia="Times New Roman" w:hint="default"/>
          <w:sz w:val="21"/>
          <w:szCs w:val="21"/>
        </w:rPr>
      </w:pPr>
      <w:r>
        <w:rPr/>
        <w:pict>
          <v:shape style="position:absolute;margin-left:535.634705pt;margin-top:806.72052pt;width:59.493346pt;height:26.794713pt;mso-position-horizontal-relative:page;mso-position-vertical-relative:page;z-index:1576" type="#_x0000_t75" stroked="false">
            <v:imagedata r:id="rId26" o:title=""/>
          </v:shape>
        </w:pict>
      </w:r>
    </w:p>
    <w:p>
      <w:pPr>
        <w:pStyle w:val="Heading2"/>
        <w:spacing w:line="240" w:lineRule="auto" w:before="26"/>
        <w:ind w:right="0"/>
        <w:jc w:val="left"/>
        <w:rPr>
          <w:b w:val="0"/>
          <w:bCs w:val="0"/>
        </w:rPr>
      </w:pPr>
      <w:bookmarkStart w:name="三、公司基本情况" w:id="167"/>
      <w:bookmarkEnd w:id="167"/>
      <w:r>
        <w:rPr>
          <w:b w:val="0"/>
          <w:bCs w:val="0"/>
        </w:rPr>
      </w:r>
      <w:r>
        <w:rPr/>
        <w:t>三、公司基本情况</w:t>
      </w:r>
      <w:r>
        <w:rPr>
          <w:b w:val="0"/>
          <w:bCs w:val="0"/>
        </w:rPr>
      </w:r>
    </w:p>
    <w:p>
      <w:pPr>
        <w:spacing w:line="240" w:lineRule="auto" w:before="6"/>
        <w:rPr>
          <w:rFonts w:ascii="宋体" w:hAnsi="宋体" w:cs="宋体" w:eastAsia="宋体" w:hint="default"/>
          <w:b/>
          <w:bCs/>
          <w:sz w:val="32"/>
          <w:szCs w:val="32"/>
        </w:rPr>
      </w:pPr>
    </w:p>
    <w:p>
      <w:pPr>
        <w:spacing w:line="477" w:lineRule="auto" w:before="0"/>
        <w:ind w:left="874" w:right="1122" w:firstLine="1"/>
        <w:jc w:val="left"/>
        <w:rPr>
          <w:rFonts w:ascii="宋体" w:hAnsi="宋体" w:cs="宋体" w:eastAsia="宋体" w:hint="default"/>
          <w:sz w:val="18"/>
          <w:szCs w:val="18"/>
        </w:rPr>
      </w:pPr>
      <w:r>
        <w:rPr>
          <w:rFonts w:ascii="宋体" w:hAnsi="宋体" w:cs="宋体" w:eastAsia="宋体" w:hint="default"/>
          <w:b/>
          <w:bCs/>
          <w:sz w:val="18"/>
          <w:szCs w:val="18"/>
        </w:rPr>
        <w:t>公司注册地、组织形式和总部地址</w:t>
      </w:r>
      <w:r>
        <w:rPr>
          <w:rFonts w:ascii="宋体" w:hAnsi="宋体" w:cs="宋体" w:eastAsia="宋体" w:hint="default"/>
          <w:b/>
          <w:bCs/>
          <w:w w:val="99"/>
          <w:sz w:val="18"/>
          <w:szCs w:val="18"/>
        </w:rPr>
        <w:t> </w:t>
      </w:r>
      <w:r>
        <w:rPr>
          <w:rFonts w:ascii="宋体" w:hAnsi="宋体" w:cs="宋体" w:eastAsia="宋体" w:hint="default"/>
          <w:spacing w:val="-5"/>
          <w:sz w:val="18"/>
          <w:szCs w:val="18"/>
        </w:rPr>
        <w:t>深圳市卓翼科技股份有限公司</w:t>
      </w:r>
      <w:r>
        <w:rPr>
          <w:rFonts w:ascii="宋体" w:hAnsi="宋体" w:cs="宋体" w:eastAsia="宋体" w:hint="default"/>
          <w:spacing w:val="-5"/>
          <w:sz w:val="18"/>
          <w:szCs w:val="18"/>
        </w:rPr>
        <w:t>(</w:t>
      </w:r>
      <w:r>
        <w:rPr>
          <w:rFonts w:ascii="宋体" w:hAnsi="宋体" w:cs="宋体" w:eastAsia="宋体" w:hint="default"/>
          <w:spacing w:val="-5"/>
          <w:sz w:val="18"/>
          <w:szCs w:val="18"/>
        </w:rPr>
        <w:t>以下简称“公司”或“本公司”</w:t>
      </w:r>
      <w:r>
        <w:rPr>
          <w:rFonts w:ascii="宋体" w:hAnsi="宋体" w:cs="宋体" w:eastAsia="宋体" w:hint="default"/>
          <w:spacing w:val="-5"/>
          <w:sz w:val="18"/>
          <w:szCs w:val="18"/>
        </w:rPr>
        <w:t>)</w:t>
      </w:r>
      <w:r>
        <w:rPr>
          <w:rFonts w:ascii="宋体" w:hAnsi="宋体" w:cs="宋体" w:eastAsia="宋体" w:hint="default"/>
          <w:spacing w:val="-5"/>
          <w:sz w:val="18"/>
          <w:szCs w:val="18"/>
        </w:rPr>
        <w:t>的前身为深圳市卓翼科技发展有限公司，成立于</w:t>
      </w:r>
      <w:r>
        <w:rPr>
          <w:rFonts w:ascii="宋体" w:hAnsi="宋体" w:cs="宋体" w:eastAsia="宋体" w:hint="default"/>
          <w:spacing w:val="-5"/>
          <w:sz w:val="18"/>
          <w:szCs w:val="18"/>
        </w:rPr>
        <w:t>2004</w:t>
      </w:r>
    </w:p>
    <w:p>
      <w:pPr>
        <w:pStyle w:val="BodyText"/>
        <w:spacing w:line="477" w:lineRule="auto" w:before="54"/>
        <w:ind w:left="514" w:right="1122"/>
        <w:jc w:val="left"/>
      </w:pPr>
      <w:r>
        <w:rPr/>
        <w:t>年</w:t>
      </w:r>
      <w:r>
        <w:rPr>
          <w:rFonts w:ascii="宋体" w:hAnsi="宋体" w:cs="宋体" w:eastAsia="宋体" w:hint="default"/>
        </w:rPr>
        <w:t>2</w:t>
      </w:r>
      <w:r>
        <w:rPr/>
        <w:t>月</w:t>
      </w:r>
      <w:r>
        <w:rPr>
          <w:rFonts w:ascii="宋体" w:hAnsi="宋体" w:cs="宋体" w:eastAsia="宋体" w:hint="default"/>
        </w:rPr>
        <w:t>26</w:t>
      </w:r>
      <w:r>
        <w:rPr/>
        <w:t>日。根据</w:t>
      </w:r>
      <w:r>
        <w:rPr>
          <w:rFonts w:ascii="宋体" w:hAnsi="宋体" w:cs="宋体" w:eastAsia="宋体" w:hint="default"/>
        </w:rPr>
        <w:t>2007</w:t>
      </w:r>
      <w:r>
        <w:rPr/>
        <w:t>年</w:t>
      </w:r>
      <w:r>
        <w:rPr>
          <w:rFonts w:ascii="宋体" w:hAnsi="宋体" w:cs="宋体" w:eastAsia="宋体" w:hint="default"/>
        </w:rPr>
        <w:t>6</w:t>
      </w:r>
      <w:r>
        <w:rPr/>
        <w:t>月</w:t>
      </w:r>
      <w:r>
        <w:rPr>
          <w:rFonts w:ascii="宋体" w:hAnsi="宋体" w:cs="宋体" w:eastAsia="宋体" w:hint="default"/>
        </w:rPr>
        <w:t>30</w:t>
      </w:r>
      <w:r>
        <w:rPr/>
        <w:t>日董事会决议及</w:t>
      </w:r>
      <w:r>
        <w:rPr>
          <w:rFonts w:ascii="宋体" w:hAnsi="宋体" w:cs="宋体" w:eastAsia="宋体" w:hint="default"/>
        </w:rPr>
        <w:t>2007</w:t>
      </w:r>
      <w:r>
        <w:rPr/>
        <w:t>年</w:t>
      </w:r>
      <w:r>
        <w:rPr>
          <w:rFonts w:ascii="宋体" w:hAnsi="宋体" w:cs="宋体" w:eastAsia="宋体" w:hint="default"/>
        </w:rPr>
        <w:t>7</w:t>
      </w:r>
      <w:r>
        <w:rPr/>
        <w:t>月</w:t>
      </w:r>
      <w:r>
        <w:rPr>
          <w:rFonts w:ascii="宋体" w:hAnsi="宋体" w:cs="宋体" w:eastAsia="宋体" w:hint="default"/>
        </w:rPr>
        <w:t>15</w:t>
      </w:r>
      <w:r>
        <w:rPr/>
        <w:t>日发起人协议的规定，本公司由有限责任公司整体变更为股 份有限公司，变更后注册资本为人民币</w:t>
      </w:r>
      <w:r>
        <w:rPr>
          <w:rFonts w:ascii="宋体" w:hAnsi="宋体" w:cs="宋体" w:eastAsia="宋体" w:hint="default"/>
        </w:rPr>
        <w:t>6,937.50</w:t>
      </w:r>
      <w:r>
        <w:rPr/>
        <w:t>万元，股本为人民币</w:t>
      </w:r>
      <w:r>
        <w:rPr>
          <w:rFonts w:ascii="宋体" w:hAnsi="宋体" w:cs="宋体" w:eastAsia="宋体" w:hint="default"/>
        </w:rPr>
        <w:t>6,937.50</w:t>
      </w:r>
      <w:r>
        <w:rPr/>
        <w:t>万元。</w:t>
      </w:r>
    </w:p>
    <w:p>
      <w:pPr>
        <w:pStyle w:val="BodyText"/>
        <w:spacing w:line="477" w:lineRule="auto" w:before="54"/>
        <w:ind w:left="514" w:right="1139" w:firstLine="360"/>
        <w:jc w:val="both"/>
      </w:pPr>
      <w:r>
        <w:rPr>
          <w:rFonts w:ascii="宋体" w:hAnsi="宋体" w:cs="宋体" w:eastAsia="宋体" w:hint="default"/>
        </w:rPr>
        <w:t>2007</w:t>
      </w:r>
      <w:r>
        <w:rPr/>
        <w:t>年</w:t>
      </w:r>
      <w:r>
        <w:rPr>
          <w:rFonts w:ascii="宋体" w:hAnsi="宋体" w:cs="宋体" w:eastAsia="宋体" w:hint="default"/>
        </w:rPr>
        <w:t>8</w:t>
      </w:r>
      <w:r>
        <w:rPr/>
        <w:t>月</w:t>
      </w:r>
      <w:r>
        <w:rPr>
          <w:rFonts w:ascii="宋体" w:hAnsi="宋体" w:cs="宋体" w:eastAsia="宋体" w:hint="default"/>
        </w:rPr>
        <w:t>30</w:t>
      </w:r>
      <w:r>
        <w:rPr/>
        <w:t>日，经公司第一次临时股东大会决议和修改后公司章程的规定，增加注册资本人民币</w:t>
      </w:r>
      <w:r>
        <w:rPr>
          <w:rFonts w:ascii="宋体" w:hAnsi="宋体" w:cs="宋体" w:eastAsia="宋体" w:hint="default"/>
        </w:rPr>
        <w:t>562.50</w:t>
      </w:r>
      <w:r>
        <w:rPr/>
        <w:t>万元，由 袁军等</w:t>
      </w:r>
      <w:r>
        <w:rPr>
          <w:rFonts w:ascii="宋体" w:hAnsi="宋体" w:cs="宋体" w:eastAsia="宋体" w:hint="default"/>
        </w:rPr>
        <w:t>6</w:t>
      </w:r>
      <w:r>
        <w:rPr/>
        <w:t>位自然人新股东认缴，变更后的注册资本为人民币</w:t>
      </w:r>
      <w:r>
        <w:rPr>
          <w:rFonts w:ascii="宋体" w:hAnsi="宋体" w:cs="宋体" w:eastAsia="宋体" w:hint="default"/>
        </w:rPr>
        <w:t>7,500.00</w:t>
      </w:r>
      <w:r>
        <w:rPr/>
        <w:t>万元。</w:t>
      </w:r>
    </w:p>
    <w:p>
      <w:pPr>
        <w:pStyle w:val="BodyText"/>
        <w:spacing w:line="477" w:lineRule="auto" w:before="54"/>
        <w:ind w:left="514" w:right="1131" w:firstLine="360"/>
        <w:jc w:val="both"/>
      </w:pPr>
      <w:r>
        <w:rPr>
          <w:rFonts w:ascii="宋体" w:hAnsi="宋体" w:cs="宋体" w:eastAsia="宋体" w:hint="default"/>
          <w:spacing w:val="-2"/>
        </w:rPr>
        <w:t>2010</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27</w:t>
      </w:r>
      <w:r>
        <w:rPr>
          <w:spacing w:val="-2"/>
        </w:rPr>
        <w:t>日，经中国证券监督管理委员会证监许可</w:t>
      </w:r>
      <w:r>
        <w:rPr>
          <w:rFonts w:ascii="宋体" w:hAnsi="宋体" w:cs="宋体" w:eastAsia="宋体" w:hint="default"/>
          <w:spacing w:val="-2"/>
        </w:rPr>
        <w:t>[2010]118</w:t>
      </w:r>
      <w:r>
        <w:rPr>
          <w:spacing w:val="-2"/>
        </w:rPr>
        <w:t>号文《关于核准深圳市卓翼科技股份有限公司首次</w:t>
      </w:r>
      <w:r>
        <w:rPr/>
        <w:t> 公开发行股票的批复》的核准，本公司于</w:t>
      </w:r>
      <w:r>
        <w:rPr>
          <w:rFonts w:ascii="宋体" w:hAnsi="宋体" w:cs="宋体" w:eastAsia="宋体" w:hint="default"/>
        </w:rPr>
        <w:t>2010</w:t>
      </w:r>
      <w:r>
        <w:rPr/>
        <w:t>年</w:t>
      </w:r>
      <w:r>
        <w:rPr>
          <w:rFonts w:ascii="宋体" w:hAnsi="宋体" w:cs="宋体" w:eastAsia="宋体" w:hint="default"/>
        </w:rPr>
        <w:t>3</w:t>
      </w:r>
      <w:r>
        <w:rPr/>
        <w:t>月</w:t>
      </w:r>
      <w:r>
        <w:rPr>
          <w:rFonts w:ascii="宋体" w:hAnsi="宋体" w:cs="宋体" w:eastAsia="宋体" w:hint="default"/>
        </w:rPr>
        <w:t>3</w:t>
      </w:r>
      <w:r>
        <w:rPr/>
        <w:t>日向社会公众投资者公开发行人民币普通股</w:t>
      </w:r>
      <w:r>
        <w:rPr>
          <w:rFonts w:ascii="宋体" w:hAnsi="宋体" w:cs="宋体" w:eastAsia="宋体" w:hint="default"/>
        </w:rPr>
        <w:t>(A</w:t>
      </w:r>
      <w:r>
        <w:rPr/>
        <w:t>股</w:t>
      </w:r>
      <w:r>
        <w:rPr>
          <w:rFonts w:ascii="宋体" w:hAnsi="宋体" w:cs="宋体" w:eastAsia="宋体" w:hint="default"/>
        </w:rPr>
        <w:t>)2,500.00</w:t>
      </w:r>
      <w:r>
        <w:rPr/>
        <w:t>万股， 每股面值人民币</w:t>
      </w:r>
      <w:r>
        <w:rPr>
          <w:rFonts w:ascii="宋体" w:hAnsi="宋体" w:cs="宋体" w:eastAsia="宋体" w:hint="default"/>
        </w:rPr>
        <w:t>1.00</w:t>
      </w:r>
      <w:r>
        <w:rPr/>
        <w:t>元，发行后本公司注册资本变更为人民币</w:t>
      </w:r>
      <w:r>
        <w:rPr>
          <w:rFonts w:ascii="宋体" w:hAnsi="宋体" w:cs="宋体" w:eastAsia="宋体" w:hint="default"/>
        </w:rPr>
        <w:t>10,000.00</w:t>
      </w:r>
      <w:r>
        <w:rPr/>
        <w:t>万元。</w:t>
      </w:r>
    </w:p>
    <w:p>
      <w:pPr>
        <w:pStyle w:val="BodyText"/>
        <w:spacing w:line="477" w:lineRule="auto" w:before="54"/>
        <w:ind w:left="514" w:right="1122" w:firstLine="360"/>
        <w:jc w:val="left"/>
      </w:pPr>
      <w:r>
        <w:rPr/>
        <w:t>根据</w:t>
      </w:r>
      <w:r>
        <w:rPr>
          <w:rFonts w:ascii="宋体" w:hAnsi="宋体" w:cs="宋体" w:eastAsia="宋体" w:hint="default"/>
        </w:rPr>
        <w:t>2011</w:t>
      </w:r>
      <w:r>
        <w:rPr/>
        <w:t>年</w:t>
      </w:r>
      <w:r>
        <w:rPr>
          <w:rFonts w:ascii="宋体" w:hAnsi="宋体" w:cs="宋体" w:eastAsia="宋体" w:hint="default"/>
        </w:rPr>
        <w:t>4</w:t>
      </w:r>
      <w:r>
        <w:rPr/>
        <w:t>月</w:t>
      </w:r>
      <w:r>
        <w:rPr>
          <w:rFonts w:ascii="宋体" w:hAnsi="宋体" w:cs="宋体" w:eastAsia="宋体" w:hint="default"/>
        </w:rPr>
        <w:t>11</w:t>
      </w:r>
      <w:r>
        <w:rPr/>
        <w:t>日第二届董事会第四次会议、</w:t>
      </w:r>
      <w:r>
        <w:rPr>
          <w:rFonts w:ascii="宋体" w:hAnsi="宋体" w:cs="宋体" w:eastAsia="宋体" w:hint="default"/>
        </w:rPr>
        <w:t>2011</w:t>
      </w:r>
      <w:r>
        <w:rPr/>
        <w:t>年</w:t>
      </w:r>
      <w:r>
        <w:rPr>
          <w:rFonts w:ascii="宋体" w:hAnsi="宋体" w:cs="宋体" w:eastAsia="宋体" w:hint="default"/>
        </w:rPr>
        <w:t>5</w:t>
      </w:r>
      <w:r>
        <w:rPr/>
        <w:t>月</w:t>
      </w:r>
      <w:r>
        <w:rPr>
          <w:rFonts w:ascii="宋体" w:hAnsi="宋体" w:cs="宋体" w:eastAsia="宋体" w:hint="default"/>
        </w:rPr>
        <w:t>6</w:t>
      </w:r>
      <w:r>
        <w:rPr/>
        <w:t>日召开的</w:t>
      </w:r>
      <w:r>
        <w:rPr>
          <w:rFonts w:ascii="宋体" w:hAnsi="宋体" w:cs="宋体" w:eastAsia="宋体" w:hint="default"/>
        </w:rPr>
        <w:t>2010</w:t>
      </w:r>
      <w:r>
        <w:rPr/>
        <w:t>年年度股东大会决议和修改后公司章程的 规定，本公司于</w:t>
      </w:r>
      <w:r>
        <w:rPr>
          <w:rFonts w:ascii="宋体" w:hAnsi="宋体" w:cs="宋体" w:eastAsia="宋体" w:hint="default"/>
        </w:rPr>
        <w:t>2011</w:t>
      </w:r>
      <w:r>
        <w:rPr/>
        <w:t>年</w:t>
      </w:r>
      <w:r>
        <w:rPr>
          <w:rFonts w:ascii="宋体" w:hAnsi="宋体" w:cs="宋体" w:eastAsia="宋体" w:hint="default"/>
        </w:rPr>
        <w:t>5</w:t>
      </w:r>
      <w:r>
        <w:rPr/>
        <w:t>月</w:t>
      </w:r>
      <w:r>
        <w:rPr>
          <w:rFonts w:ascii="宋体" w:hAnsi="宋体" w:cs="宋体" w:eastAsia="宋体" w:hint="default"/>
        </w:rPr>
        <w:t>17</w:t>
      </w:r>
      <w:r>
        <w:rPr/>
        <w:t>日以资本公积按每</w:t>
      </w:r>
      <w:r>
        <w:rPr>
          <w:rFonts w:ascii="宋体" w:hAnsi="宋体" w:cs="宋体" w:eastAsia="宋体" w:hint="default"/>
        </w:rPr>
        <w:t>10</w:t>
      </w:r>
      <w:r>
        <w:rPr/>
        <w:t>股转增</w:t>
      </w:r>
      <w:r>
        <w:rPr>
          <w:rFonts w:ascii="宋体" w:hAnsi="宋体" w:cs="宋体" w:eastAsia="宋体" w:hint="default"/>
        </w:rPr>
        <w:t>10</w:t>
      </w:r>
      <w:r>
        <w:rPr/>
        <w:t>股的比例转增股本，本次转增后，注册资本变更为人民币 </w:t>
      </w:r>
      <w:r>
        <w:rPr>
          <w:rFonts w:ascii="宋体" w:hAnsi="宋体" w:cs="宋体" w:eastAsia="宋体" w:hint="default"/>
        </w:rPr>
        <w:t>20,000.00</w:t>
      </w:r>
      <w:r>
        <w:rPr/>
        <w:t>万元。</w:t>
      </w:r>
    </w:p>
    <w:p>
      <w:pPr>
        <w:pStyle w:val="BodyText"/>
        <w:spacing w:line="477" w:lineRule="auto" w:before="54"/>
        <w:ind w:left="514" w:right="1131" w:firstLine="360"/>
        <w:jc w:val="both"/>
      </w:pPr>
      <w:r>
        <w:rPr>
          <w:rFonts w:ascii="宋体" w:hAnsi="宋体" w:cs="宋体" w:eastAsia="宋体" w:hint="default"/>
          <w:spacing w:val="-2"/>
        </w:rPr>
        <w:t>2012</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1</w:t>
      </w:r>
      <w:r>
        <w:rPr>
          <w:spacing w:val="-2"/>
        </w:rPr>
        <w:t>日，经中国证券监督管理委员会证监许可</w:t>
      </w:r>
      <w:r>
        <w:rPr>
          <w:rFonts w:ascii="宋体" w:hAnsi="宋体" w:cs="宋体" w:eastAsia="宋体" w:hint="default"/>
          <w:spacing w:val="-2"/>
        </w:rPr>
        <w:t>[2012]1019</w:t>
      </w:r>
      <w:r>
        <w:rPr>
          <w:spacing w:val="-2"/>
        </w:rPr>
        <w:t>号文《关于核准深圳市卓翼科技股份有限公司非公</w:t>
      </w:r>
      <w:r>
        <w:rPr/>
        <w:t> </w:t>
      </w:r>
      <w:r>
        <w:rPr>
          <w:spacing w:val="-2"/>
        </w:rPr>
        <w:t>开发行股票的批复》的核准，本公司于</w:t>
      </w:r>
      <w:r>
        <w:rPr>
          <w:rFonts w:ascii="宋体" w:hAnsi="宋体" w:cs="宋体" w:eastAsia="宋体" w:hint="default"/>
          <w:spacing w:val="-2"/>
        </w:rPr>
        <w:t>2012</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19</w:t>
      </w:r>
      <w:r>
        <w:rPr>
          <w:spacing w:val="-2"/>
        </w:rPr>
        <w:t>日向特定对象非公开发行人民币普通股</w:t>
      </w:r>
      <w:r>
        <w:rPr>
          <w:rFonts w:ascii="宋体" w:hAnsi="宋体" w:cs="宋体" w:eastAsia="宋体" w:hint="default"/>
          <w:spacing w:val="-2"/>
        </w:rPr>
        <w:t>(A</w:t>
      </w:r>
      <w:r>
        <w:rPr>
          <w:spacing w:val="-2"/>
        </w:rPr>
        <w:t>股</w:t>
      </w:r>
      <w:r>
        <w:rPr>
          <w:rFonts w:ascii="宋体" w:hAnsi="宋体" w:cs="宋体" w:eastAsia="宋体" w:hint="default"/>
          <w:spacing w:val="-2"/>
        </w:rPr>
        <w:t>)4,000.00</w:t>
      </w:r>
      <w:r>
        <w:rPr>
          <w:spacing w:val="-2"/>
        </w:rPr>
        <w:t>万股，每股面</w:t>
      </w:r>
      <w:r>
        <w:rPr>
          <w:spacing w:val="-52"/>
        </w:rPr>
        <w:t> </w:t>
      </w:r>
      <w:r>
        <w:rPr>
          <w:spacing w:val="-52"/>
        </w:rPr>
      </w:r>
      <w:r>
        <w:rPr/>
        <w:t>值人民币</w:t>
      </w:r>
      <w:r>
        <w:rPr>
          <w:rFonts w:ascii="宋体" w:hAnsi="宋体" w:cs="宋体" w:eastAsia="宋体" w:hint="default"/>
        </w:rPr>
        <w:t>1.00</w:t>
      </w:r>
      <w:r>
        <w:rPr/>
        <w:t>元，发行后本公司注册资本变更为人民币</w:t>
      </w:r>
      <w:r>
        <w:rPr>
          <w:rFonts w:ascii="宋体" w:hAnsi="宋体" w:cs="宋体" w:eastAsia="宋体" w:hint="default"/>
        </w:rPr>
        <w:t>24,000.00</w:t>
      </w:r>
      <w:r>
        <w:rPr/>
        <w:t>万元。</w:t>
      </w:r>
    </w:p>
    <w:p>
      <w:pPr>
        <w:pStyle w:val="BodyText"/>
        <w:spacing w:line="477" w:lineRule="auto" w:before="54"/>
        <w:ind w:left="514" w:right="1131" w:firstLine="360"/>
        <w:jc w:val="both"/>
      </w:pPr>
      <w:r>
        <w:rPr>
          <w:rFonts w:ascii="宋体" w:hAnsi="宋体" w:cs="宋体" w:eastAsia="宋体" w:hint="default"/>
          <w:spacing w:val="-5"/>
        </w:rPr>
        <w:t>2014</w:t>
      </w:r>
      <w:r>
        <w:rPr>
          <w:spacing w:val="-5"/>
        </w:rPr>
        <w:t>年</w:t>
      </w:r>
      <w:r>
        <w:rPr>
          <w:rFonts w:ascii="宋体" w:hAnsi="宋体" w:cs="宋体" w:eastAsia="宋体" w:hint="default"/>
          <w:spacing w:val="-5"/>
        </w:rPr>
        <w:t>5</w:t>
      </w:r>
      <w:r>
        <w:rPr>
          <w:spacing w:val="-5"/>
        </w:rPr>
        <w:t>月</w:t>
      </w:r>
      <w:r>
        <w:rPr>
          <w:rFonts w:ascii="宋体" w:hAnsi="宋体" w:cs="宋体" w:eastAsia="宋体" w:hint="default"/>
          <w:spacing w:val="-5"/>
        </w:rPr>
        <w:t>6</w:t>
      </w:r>
      <w:r>
        <w:rPr>
          <w:spacing w:val="-5"/>
        </w:rPr>
        <w:t>日，本公司</w:t>
      </w:r>
      <w:r>
        <w:rPr>
          <w:rFonts w:ascii="宋体" w:hAnsi="宋体" w:cs="宋体" w:eastAsia="宋体" w:hint="default"/>
          <w:spacing w:val="-5"/>
        </w:rPr>
        <w:t>2013</w:t>
      </w:r>
      <w:r>
        <w:rPr>
          <w:spacing w:val="-5"/>
        </w:rPr>
        <w:t>年年度股东大会审议通过了《</w:t>
      </w:r>
      <w:r>
        <w:rPr>
          <w:rFonts w:ascii="宋体" w:hAnsi="宋体" w:cs="宋体" w:eastAsia="宋体" w:hint="default"/>
          <w:spacing w:val="-5"/>
        </w:rPr>
        <w:t>2013</w:t>
      </w:r>
      <w:r>
        <w:rPr>
          <w:spacing w:val="-5"/>
        </w:rPr>
        <w:t>年度利润分配及资本公积金转增股本的议案》，以</w:t>
      </w:r>
      <w:r>
        <w:rPr>
          <w:rFonts w:ascii="宋体" w:hAnsi="宋体" w:cs="宋体" w:eastAsia="宋体" w:hint="default"/>
          <w:spacing w:val="-5"/>
        </w:rPr>
        <w:t>2013</w:t>
      </w:r>
      <w:r>
        <w:rPr>
          <w:rFonts w:ascii="宋体" w:hAnsi="宋体" w:cs="宋体" w:eastAsia="宋体" w:hint="default"/>
        </w:rPr>
        <w:t> </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日总股本</w:t>
      </w:r>
      <w:r>
        <w:rPr>
          <w:rFonts w:ascii="宋体" w:hAnsi="宋体" w:cs="宋体" w:eastAsia="宋体" w:hint="default"/>
          <w:spacing w:val="-2"/>
        </w:rPr>
        <w:t>240,000,000</w:t>
      </w:r>
      <w:r>
        <w:rPr>
          <w:spacing w:val="-2"/>
        </w:rPr>
        <w:t>股为基数，以资本公积向全体股东每</w:t>
      </w:r>
      <w:r>
        <w:rPr>
          <w:rFonts w:ascii="宋体" w:hAnsi="宋体" w:cs="宋体" w:eastAsia="宋体" w:hint="default"/>
          <w:spacing w:val="-2"/>
        </w:rPr>
        <w:t>10</w:t>
      </w:r>
      <w:r>
        <w:rPr>
          <w:spacing w:val="-2"/>
        </w:rPr>
        <w:t>股转增</w:t>
      </w:r>
      <w:r>
        <w:rPr>
          <w:rFonts w:ascii="宋体" w:hAnsi="宋体" w:cs="宋体" w:eastAsia="宋体" w:hint="default"/>
          <w:spacing w:val="-2"/>
        </w:rPr>
        <w:t>10</w:t>
      </w:r>
      <w:r>
        <w:rPr>
          <w:spacing w:val="-2"/>
        </w:rPr>
        <w:t>股，合计转增股本</w:t>
      </w:r>
      <w:r>
        <w:rPr>
          <w:rFonts w:ascii="宋体" w:hAnsi="宋体" w:cs="宋体" w:eastAsia="宋体" w:hint="default"/>
          <w:spacing w:val="-2"/>
        </w:rPr>
        <w:t>240,000,000</w:t>
      </w:r>
      <w:r>
        <w:rPr>
          <w:spacing w:val="-2"/>
        </w:rPr>
        <w:t>股，转增</w:t>
      </w:r>
      <w:r>
        <w:rPr>
          <w:spacing w:val="-40"/>
        </w:rPr>
        <w:t> </w:t>
      </w:r>
      <w:r>
        <w:rPr>
          <w:spacing w:val="-40"/>
        </w:rPr>
      </w:r>
      <w:r>
        <w:rPr/>
        <w:t>后总股本为</w:t>
      </w:r>
      <w:r>
        <w:rPr>
          <w:rFonts w:ascii="宋体" w:hAnsi="宋体" w:cs="宋体" w:eastAsia="宋体" w:hint="default"/>
        </w:rPr>
        <w:t>480,000,000</w:t>
      </w:r>
      <w:r>
        <w:rPr/>
        <w:t>股，注册资本变更为</w:t>
      </w:r>
      <w:r>
        <w:rPr>
          <w:rFonts w:ascii="宋体" w:hAnsi="宋体" w:cs="宋体" w:eastAsia="宋体" w:hint="default"/>
        </w:rPr>
        <w:t>480,000,000.00</w:t>
      </w:r>
      <w:r>
        <w:rPr/>
        <w:t>元。</w:t>
      </w:r>
    </w:p>
    <w:p>
      <w:pPr>
        <w:pStyle w:val="BodyText"/>
        <w:spacing w:line="477" w:lineRule="auto" w:before="54"/>
        <w:ind w:left="514" w:right="1130" w:firstLine="360"/>
        <w:jc w:val="both"/>
      </w:pPr>
      <w:r>
        <w:rPr/>
        <w:t>根据</w:t>
      </w:r>
      <w:r>
        <w:rPr>
          <w:rFonts w:ascii="宋体" w:hAnsi="宋体" w:cs="宋体" w:eastAsia="宋体" w:hint="default"/>
        </w:rPr>
        <w:t>2014</w:t>
      </w:r>
      <w:r>
        <w:rPr/>
        <w:t>年</w:t>
      </w:r>
      <w:r>
        <w:rPr>
          <w:rFonts w:ascii="宋体" w:hAnsi="宋体" w:cs="宋体" w:eastAsia="宋体" w:hint="default"/>
        </w:rPr>
        <w:t>5</w:t>
      </w:r>
      <w:r>
        <w:rPr/>
        <w:t>月</w:t>
      </w:r>
      <w:r>
        <w:rPr>
          <w:rFonts w:ascii="宋体" w:hAnsi="宋体" w:cs="宋体" w:eastAsia="宋体" w:hint="default"/>
        </w:rPr>
        <w:t>19</w:t>
      </w:r>
      <w:r>
        <w:rPr/>
        <w:t>日召开的</w:t>
      </w:r>
      <w:r>
        <w:rPr>
          <w:rFonts w:ascii="宋体" w:hAnsi="宋体" w:cs="宋体" w:eastAsia="宋体" w:hint="default"/>
        </w:rPr>
        <w:t>2014</w:t>
      </w:r>
      <w:r>
        <w:rPr/>
        <w:t>年第一次临时股东大会决议审议通过的《关于〈深圳市卓翼科技股份有限公司限制 </w:t>
      </w:r>
      <w:r>
        <w:rPr>
          <w:spacing w:val="-4"/>
        </w:rPr>
        <w:t>性股票激励计划（草案修订稿）〉及其摘要的议案》和</w:t>
      </w:r>
      <w:r>
        <w:rPr>
          <w:rFonts w:ascii="宋体" w:hAnsi="宋体" w:cs="宋体" w:eastAsia="宋体" w:hint="default"/>
          <w:spacing w:val="-4"/>
        </w:rPr>
        <w:t>2014</w:t>
      </w:r>
      <w:r>
        <w:rPr>
          <w:spacing w:val="-4"/>
        </w:rPr>
        <w:t>年</w:t>
      </w:r>
      <w:r>
        <w:rPr>
          <w:rFonts w:ascii="宋体" w:hAnsi="宋体" w:cs="宋体" w:eastAsia="宋体" w:hint="default"/>
          <w:spacing w:val="-4"/>
        </w:rPr>
        <w:t>5</w:t>
      </w:r>
      <w:r>
        <w:rPr>
          <w:spacing w:val="-4"/>
        </w:rPr>
        <w:t>月</w:t>
      </w:r>
      <w:r>
        <w:rPr>
          <w:rFonts w:ascii="宋体" w:hAnsi="宋体" w:cs="宋体" w:eastAsia="宋体" w:hint="default"/>
          <w:spacing w:val="-4"/>
        </w:rPr>
        <w:t>28</w:t>
      </w:r>
      <w:r>
        <w:rPr>
          <w:spacing w:val="-4"/>
        </w:rPr>
        <w:t>日召开的第三届董事会第八次会议审议通过的《关于</w:t>
      </w:r>
      <w:r>
        <w:rPr>
          <w:spacing w:val="-40"/>
        </w:rPr>
        <w:t> </w:t>
      </w:r>
      <w:r>
        <w:rPr>
          <w:spacing w:val="-40"/>
        </w:rPr>
      </w:r>
      <w:r>
        <w:rPr>
          <w:spacing w:val="-7"/>
        </w:rPr>
        <w:t>对</w:t>
      </w:r>
      <w:r>
        <w:rPr>
          <w:rFonts w:ascii="宋体" w:hAnsi="宋体" w:cs="宋体" w:eastAsia="宋体" w:hint="default"/>
          <w:spacing w:val="-7"/>
        </w:rPr>
        <w:t>&lt;</w:t>
      </w:r>
      <w:r>
        <w:rPr>
          <w:spacing w:val="-7"/>
        </w:rPr>
        <w:t>深圳市卓翼科技股份有限公司限制性股票激励计划（草案修订稿）〉及其摘要激进行调整的议案》、《关于向激励对象</w:t>
      </w:r>
      <w:r>
        <w:rPr>
          <w:spacing w:val="-66"/>
        </w:rPr>
        <w:t> </w:t>
      </w:r>
      <w:r>
        <w:rPr>
          <w:spacing w:val="-66"/>
        </w:rPr>
      </w:r>
      <w:r>
        <w:rPr>
          <w:spacing w:val="-2"/>
        </w:rPr>
        <w:t>授予限制性股票的议案》，首次授予的激励对象人数由</w:t>
      </w:r>
      <w:r>
        <w:rPr>
          <w:rFonts w:ascii="宋体" w:hAnsi="宋体" w:cs="宋体" w:eastAsia="宋体" w:hint="default"/>
          <w:spacing w:val="-2"/>
        </w:rPr>
        <w:t>122</w:t>
      </w:r>
      <w:r>
        <w:rPr>
          <w:spacing w:val="-2"/>
        </w:rPr>
        <w:t>人调整为</w:t>
      </w:r>
      <w:r>
        <w:rPr>
          <w:rFonts w:ascii="宋体" w:hAnsi="宋体" w:cs="宋体" w:eastAsia="宋体" w:hint="default"/>
          <w:spacing w:val="-2"/>
        </w:rPr>
        <w:t>104</w:t>
      </w:r>
      <w:r>
        <w:rPr>
          <w:spacing w:val="-2"/>
        </w:rPr>
        <w:t>人，本次激励计划授予数量由</w:t>
      </w:r>
      <w:r>
        <w:rPr>
          <w:rFonts w:ascii="宋体" w:hAnsi="宋体" w:cs="宋体" w:eastAsia="宋体" w:hint="default"/>
          <w:spacing w:val="-2"/>
        </w:rPr>
        <w:t>1,477.80</w:t>
      </w:r>
      <w:r>
        <w:rPr>
          <w:spacing w:val="-2"/>
        </w:rPr>
        <w:t>万股调整</w:t>
      </w:r>
      <w:r>
        <w:rPr>
          <w:spacing w:val="-62"/>
        </w:rPr>
        <w:t> </w:t>
      </w:r>
      <w:r>
        <w:rPr>
          <w:spacing w:val="-2"/>
        </w:rPr>
        <w:t>为</w:t>
      </w:r>
      <w:r>
        <w:rPr>
          <w:rFonts w:ascii="宋体" w:hAnsi="宋体" w:cs="宋体" w:eastAsia="宋体" w:hint="default"/>
          <w:spacing w:val="-2"/>
        </w:rPr>
        <w:t>1,344.10</w:t>
      </w:r>
      <w:r>
        <w:rPr>
          <w:spacing w:val="-2"/>
        </w:rPr>
        <w:t>万股，其中首次授予股票数量为</w:t>
      </w:r>
      <w:r>
        <w:rPr>
          <w:rFonts w:ascii="宋体" w:hAnsi="宋体" w:cs="宋体" w:eastAsia="宋体" w:hint="default"/>
          <w:spacing w:val="-2"/>
        </w:rPr>
        <w:t>1,198.10</w:t>
      </w:r>
      <w:r>
        <w:rPr>
          <w:spacing w:val="-2"/>
        </w:rPr>
        <w:t>万股，预留部分为</w:t>
      </w:r>
      <w:r>
        <w:rPr>
          <w:rFonts w:ascii="宋体" w:hAnsi="宋体" w:cs="宋体" w:eastAsia="宋体" w:hint="default"/>
          <w:spacing w:val="-2"/>
        </w:rPr>
        <w:t>146</w:t>
      </w:r>
      <w:r>
        <w:rPr>
          <w:spacing w:val="-2"/>
        </w:rPr>
        <w:t>万股，最终向周诗红等</w:t>
      </w:r>
      <w:r>
        <w:rPr>
          <w:rFonts w:ascii="宋体" w:hAnsi="宋体" w:cs="宋体" w:eastAsia="宋体" w:hint="default"/>
          <w:spacing w:val="-2"/>
        </w:rPr>
        <w:t>104</w:t>
      </w:r>
      <w:r>
        <w:rPr>
          <w:spacing w:val="-2"/>
        </w:rPr>
        <w:t>位激励对象定向发</w:t>
      </w:r>
      <w:r>
        <w:rPr>
          <w:spacing w:val="-49"/>
        </w:rPr>
        <w:t> </w:t>
      </w:r>
      <w:r>
        <w:rPr>
          <w:spacing w:val="-2"/>
        </w:rPr>
        <w:t>行限制性股票共计</w:t>
      </w:r>
      <w:r>
        <w:rPr>
          <w:rFonts w:ascii="宋体" w:hAnsi="宋体" w:cs="宋体" w:eastAsia="宋体" w:hint="default"/>
          <w:spacing w:val="-2"/>
        </w:rPr>
        <w:t>1,198.10</w:t>
      </w:r>
      <w:r>
        <w:rPr>
          <w:spacing w:val="-2"/>
        </w:rPr>
        <w:t>万股，由激励对象以</w:t>
      </w:r>
      <w:r>
        <w:rPr>
          <w:rFonts w:ascii="宋体" w:hAnsi="宋体" w:cs="宋体" w:eastAsia="宋体" w:hint="default"/>
          <w:spacing w:val="-2"/>
        </w:rPr>
        <w:t>3.85</w:t>
      </w:r>
      <w:r>
        <w:rPr>
          <w:spacing w:val="-2"/>
        </w:rPr>
        <w:t>元</w:t>
      </w:r>
      <w:r>
        <w:rPr>
          <w:rFonts w:ascii="宋体" w:hAnsi="宋体" w:cs="宋体" w:eastAsia="宋体" w:hint="default"/>
          <w:spacing w:val="-2"/>
        </w:rPr>
        <w:t>/</w:t>
      </w:r>
      <w:r>
        <w:rPr>
          <w:spacing w:val="-2"/>
        </w:rPr>
        <w:t>股的价格认购，增加股本人民币</w:t>
      </w:r>
      <w:r>
        <w:rPr>
          <w:rFonts w:ascii="宋体" w:hAnsi="宋体" w:cs="宋体" w:eastAsia="宋体" w:hint="default"/>
          <w:spacing w:val="-2"/>
        </w:rPr>
        <w:t>11,981,000.00</w:t>
      </w:r>
      <w:r>
        <w:rPr>
          <w:spacing w:val="-2"/>
        </w:rPr>
        <w:t>元，变更后的注</w:t>
      </w:r>
      <w:r>
        <w:rPr>
          <w:spacing w:val="-44"/>
        </w:rPr>
        <w:t> </w:t>
      </w:r>
      <w:r>
        <w:rPr>
          <w:spacing w:val="-44"/>
        </w:rPr>
      </w:r>
      <w:r>
        <w:rPr/>
        <w:t>册资本为人民币</w:t>
      </w:r>
      <w:r>
        <w:rPr>
          <w:rFonts w:ascii="宋体" w:hAnsi="宋体" w:cs="宋体" w:eastAsia="宋体" w:hint="default"/>
        </w:rPr>
        <w:t>491,981,000.00</w:t>
      </w:r>
      <w:r>
        <w:rPr/>
        <w:t>元。</w:t>
      </w:r>
    </w:p>
    <w:p>
      <w:pPr>
        <w:pStyle w:val="BodyText"/>
        <w:spacing w:line="477" w:lineRule="auto" w:before="54"/>
        <w:ind w:left="514" w:right="1118" w:firstLine="360"/>
        <w:jc w:val="left"/>
      </w:pPr>
      <w:r>
        <w:rPr>
          <w:spacing w:val="-2"/>
        </w:rPr>
        <w:t>根据</w:t>
      </w:r>
      <w:r>
        <w:rPr>
          <w:rFonts w:ascii="宋体" w:hAnsi="宋体" w:cs="宋体" w:eastAsia="宋体" w:hint="default"/>
          <w:spacing w:val="-2"/>
        </w:rPr>
        <w:t>2015</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8</w:t>
      </w:r>
      <w:r>
        <w:rPr>
          <w:spacing w:val="-2"/>
        </w:rPr>
        <w:t>日第三届董事会第十二次会议决议，同意本公司回购注销未达到第一期解锁条件及部分已不符合激</w:t>
      </w:r>
      <w:r>
        <w:rPr/>
        <w:t> 励条件的激励对象已获授但未解锁的限制性股票</w:t>
      </w:r>
      <w:r>
        <w:rPr>
          <w:rFonts w:ascii="宋体" w:hAnsi="宋体" w:cs="宋体" w:eastAsia="宋体" w:hint="default"/>
        </w:rPr>
        <w:t>3,032,750</w:t>
      </w:r>
      <w:r>
        <w:rPr/>
        <w:t>股，变更后的股本</w:t>
      </w:r>
      <w:r>
        <w:rPr>
          <w:rFonts w:ascii="宋体" w:hAnsi="宋体" w:cs="宋体" w:eastAsia="宋体" w:hint="default"/>
        </w:rPr>
        <w:t>488,948,250.00</w:t>
      </w:r>
      <w:r>
        <w:rPr/>
        <w:t>元，注册资本为 </w:t>
      </w:r>
      <w:r>
        <w:rPr>
          <w:rFonts w:ascii="宋体" w:hAnsi="宋体" w:cs="宋体" w:eastAsia="宋体" w:hint="default"/>
        </w:rPr>
        <w:t>488,948,250.00</w:t>
      </w:r>
      <w:r>
        <w:rPr/>
        <w:t>元。</w:t>
      </w:r>
    </w:p>
    <w:p>
      <w:pPr>
        <w:spacing w:after="0" w:line="477" w:lineRule="auto"/>
        <w:jc w:val="left"/>
        <w:sectPr>
          <w:headerReference w:type="default" r:id="rId48"/>
          <w:footerReference w:type="default" r:id="rId49"/>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left="514" w:right="1122" w:firstLine="360"/>
        <w:jc w:val="left"/>
      </w:pPr>
      <w:r>
        <w:rPr/>
        <w:t>根据</w:t>
      </w:r>
      <w:r>
        <w:rPr>
          <w:rFonts w:ascii="宋体" w:hAnsi="宋体" w:cs="宋体" w:eastAsia="宋体" w:hint="default"/>
        </w:rPr>
        <w:t>2015</w:t>
      </w:r>
      <w:r>
        <w:rPr/>
        <w:t>年</w:t>
      </w:r>
      <w:r>
        <w:rPr>
          <w:rFonts w:ascii="宋体" w:hAnsi="宋体" w:cs="宋体" w:eastAsia="宋体" w:hint="default"/>
        </w:rPr>
        <w:t>8</w:t>
      </w:r>
      <w:r>
        <w:rPr/>
        <w:t>月</w:t>
      </w:r>
      <w:r>
        <w:rPr>
          <w:rFonts w:ascii="宋体" w:hAnsi="宋体" w:cs="宋体" w:eastAsia="宋体" w:hint="default"/>
        </w:rPr>
        <w:t>27</w:t>
      </w:r>
      <w:r>
        <w:rPr/>
        <w:t>日第三届董事会第十六次会议决议，同意本公司回购注销已不符合激励条件的激励对象已获授但 未解锁的限制性股票</w:t>
      </w:r>
      <w:r>
        <w:rPr>
          <w:rFonts w:ascii="宋体" w:hAnsi="宋体" w:cs="宋体" w:eastAsia="宋体" w:hint="default"/>
        </w:rPr>
        <w:t>310,500</w:t>
      </w:r>
      <w:r>
        <w:rPr/>
        <w:t>股，变更后的股本</w:t>
      </w:r>
      <w:r>
        <w:rPr>
          <w:rFonts w:ascii="宋体" w:hAnsi="宋体" w:cs="宋体" w:eastAsia="宋体" w:hint="default"/>
        </w:rPr>
        <w:t>488,637,750.00</w:t>
      </w:r>
      <w:r>
        <w:rPr/>
        <w:t>元，注册资本为</w:t>
      </w:r>
      <w:r>
        <w:rPr>
          <w:rFonts w:ascii="宋体" w:hAnsi="宋体" w:cs="宋体" w:eastAsia="宋体" w:hint="default"/>
        </w:rPr>
        <w:t>488,637,750.00</w:t>
      </w:r>
      <w:r>
        <w:rPr/>
        <w:t>元。</w:t>
      </w:r>
    </w:p>
    <w:p>
      <w:pPr>
        <w:pStyle w:val="BodyText"/>
        <w:spacing w:line="477" w:lineRule="auto" w:before="54"/>
        <w:ind w:left="514" w:right="1122" w:firstLine="360"/>
        <w:jc w:val="left"/>
      </w:pPr>
      <w:r>
        <w:rPr/>
        <w:t>根据</w:t>
      </w:r>
      <w:r>
        <w:rPr>
          <w:rFonts w:ascii="宋体" w:hAnsi="宋体" w:cs="宋体" w:eastAsia="宋体" w:hint="default"/>
        </w:rPr>
        <w:t>2016</w:t>
      </w:r>
      <w:r>
        <w:rPr/>
        <w:t>年</w:t>
      </w:r>
      <w:r>
        <w:rPr>
          <w:rFonts w:ascii="宋体" w:hAnsi="宋体" w:cs="宋体" w:eastAsia="宋体" w:hint="default"/>
        </w:rPr>
        <w:t>3</w:t>
      </w:r>
      <w:r>
        <w:rPr/>
        <w:t>月</w:t>
      </w:r>
      <w:r>
        <w:rPr>
          <w:rFonts w:ascii="宋体" w:hAnsi="宋体" w:cs="宋体" w:eastAsia="宋体" w:hint="default"/>
        </w:rPr>
        <w:t>29</w:t>
      </w:r>
      <w:r>
        <w:rPr/>
        <w:t>日第三届董事会第二十一次会议决议，同意本公司回购注销已不符合激励条件的激励对象已获授 但未解锁的限制性股票</w:t>
      </w:r>
      <w:r>
        <w:rPr>
          <w:rFonts w:ascii="宋体" w:hAnsi="宋体" w:cs="宋体" w:eastAsia="宋体" w:hint="default"/>
        </w:rPr>
        <w:t>4,634,800</w:t>
      </w:r>
      <w:r>
        <w:rPr/>
        <w:t>股，变更后的股本</w:t>
      </w:r>
      <w:r>
        <w:rPr>
          <w:rFonts w:ascii="宋体" w:hAnsi="宋体" w:cs="宋体" w:eastAsia="宋体" w:hint="default"/>
        </w:rPr>
        <w:t>484,002,950.00</w:t>
      </w:r>
      <w:r>
        <w:rPr/>
        <w:t>元，注册资本为</w:t>
      </w:r>
      <w:r>
        <w:rPr>
          <w:rFonts w:ascii="宋体" w:hAnsi="宋体" w:cs="宋体" w:eastAsia="宋体" w:hint="default"/>
        </w:rPr>
        <w:t>484,002,950.00</w:t>
      </w:r>
      <w:r>
        <w:rPr/>
        <w:t>元。</w:t>
      </w:r>
    </w:p>
    <w:p>
      <w:pPr>
        <w:pStyle w:val="BodyText"/>
        <w:spacing w:line="477" w:lineRule="auto" w:before="54"/>
        <w:ind w:left="514" w:right="0" w:firstLine="360"/>
        <w:jc w:val="left"/>
      </w:pPr>
      <w:r>
        <w:rPr>
          <w:spacing w:val="-2"/>
        </w:rPr>
        <w:t>根据</w:t>
      </w:r>
      <w:r>
        <w:rPr>
          <w:rFonts w:ascii="宋体" w:hAnsi="宋体" w:cs="宋体" w:eastAsia="宋体" w:hint="default"/>
          <w:spacing w:val="-2"/>
        </w:rPr>
        <w:t>2016</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26</w:t>
      </w:r>
      <w:r>
        <w:rPr>
          <w:spacing w:val="-2"/>
        </w:rPr>
        <w:t>日第四届董事会第五次会议决议，同意本公司回购注销已不符合激励条件的激励对象已获授但未</w:t>
      </w:r>
      <w:r>
        <w:rPr/>
        <w:t> 解锁的限制性股票</w:t>
      </w:r>
      <w:r>
        <w:rPr>
          <w:rFonts w:ascii="宋体" w:hAnsi="宋体" w:cs="宋体" w:eastAsia="宋体" w:hint="default"/>
        </w:rPr>
        <w:t>89,600</w:t>
      </w:r>
      <w:r>
        <w:rPr/>
        <w:t>股，变更后的股本</w:t>
      </w:r>
      <w:r>
        <w:rPr>
          <w:rFonts w:ascii="宋体" w:hAnsi="宋体" w:cs="宋体" w:eastAsia="宋体" w:hint="default"/>
        </w:rPr>
        <w:t>483,913,350.00</w:t>
      </w:r>
      <w:r>
        <w:rPr/>
        <w:t>元，注册资本为</w:t>
      </w:r>
      <w:r>
        <w:rPr>
          <w:rFonts w:ascii="宋体" w:hAnsi="宋体" w:cs="宋体" w:eastAsia="宋体" w:hint="default"/>
        </w:rPr>
        <w:t>483,913,350.00</w:t>
      </w:r>
      <w:r>
        <w:rPr/>
        <w:t>元。</w:t>
      </w:r>
    </w:p>
    <w:p>
      <w:pPr>
        <w:pStyle w:val="BodyText"/>
        <w:spacing w:line="463" w:lineRule="auto" w:before="54"/>
        <w:ind w:left="514" w:right="0" w:firstLine="360"/>
        <w:jc w:val="left"/>
      </w:pPr>
      <w:r>
        <w:rPr>
          <w:spacing w:val="-2"/>
        </w:rPr>
        <w:t>根据中国证券监督管理委员会（以下简称</w:t>
      </w:r>
      <w:r>
        <w:rPr>
          <w:rFonts w:ascii="Times New Roman" w:hAnsi="Times New Roman" w:cs="Times New Roman" w:eastAsia="Times New Roman" w:hint="default"/>
          <w:spacing w:val="-2"/>
        </w:rPr>
        <w:t>“</w:t>
      </w:r>
      <w:r>
        <w:rPr>
          <w:spacing w:val="-2"/>
        </w:rPr>
        <w:t>中国证监会</w:t>
      </w:r>
      <w:r>
        <w:rPr>
          <w:rFonts w:ascii="Times New Roman" w:hAnsi="Times New Roman" w:cs="Times New Roman" w:eastAsia="Times New Roman" w:hint="default"/>
          <w:spacing w:val="-2"/>
        </w:rPr>
        <w:t>”</w:t>
      </w:r>
      <w:r>
        <w:rPr>
          <w:spacing w:val="-2"/>
        </w:rPr>
        <w:t>）出具的《关于核准深圳市卓翼科技股份有限公司非公开发</w:t>
      </w:r>
      <w:r>
        <w:rPr/>
        <w:t> </w:t>
      </w:r>
      <w:r>
        <w:rPr>
          <w:spacing w:val="-3"/>
        </w:rPr>
        <w:t>行股票的批复》（证监许可【</w:t>
      </w:r>
      <w:r>
        <w:rPr>
          <w:rFonts w:ascii="宋体" w:hAnsi="宋体" w:cs="宋体" w:eastAsia="宋体" w:hint="default"/>
          <w:spacing w:val="-3"/>
        </w:rPr>
        <w:t>2016</w:t>
      </w:r>
      <w:r>
        <w:rPr>
          <w:spacing w:val="-3"/>
        </w:rPr>
        <w:t>】</w:t>
      </w:r>
      <w:r>
        <w:rPr>
          <w:rFonts w:ascii="宋体" w:hAnsi="宋体" w:cs="宋体" w:eastAsia="宋体" w:hint="default"/>
          <w:spacing w:val="-3"/>
        </w:rPr>
        <w:t>3213</w:t>
      </w:r>
      <w:r>
        <w:rPr>
          <w:spacing w:val="-3"/>
        </w:rPr>
        <w:t>号），本公司于</w:t>
      </w:r>
      <w:r>
        <w:rPr>
          <w:rFonts w:ascii="宋体" w:hAnsi="宋体" w:cs="宋体" w:eastAsia="宋体" w:hint="default"/>
          <w:spacing w:val="-3"/>
        </w:rPr>
        <w:t>2017</w:t>
      </w:r>
      <w:r>
        <w:rPr>
          <w:spacing w:val="-3"/>
        </w:rPr>
        <w:t>年</w:t>
      </w:r>
      <w:r>
        <w:rPr>
          <w:rFonts w:ascii="宋体" w:hAnsi="宋体" w:cs="宋体" w:eastAsia="宋体" w:hint="default"/>
          <w:spacing w:val="-3"/>
        </w:rPr>
        <w:t>2</w:t>
      </w:r>
      <w:r>
        <w:rPr>
          <w:spacing w:val="-3"/>
        </w:rPr>
        <w:t>月</w:t>
      </w:r>
      <w:r>
        <w:rPr>
          <w:rFonts w:ascii="宋体" w:hAnsi="宋体" w:cs="宋体" w:eastAsia="宋体" w:hint="default"/>
          <w:spacing w:val="-3"/>
        </w:rPr>
        <w:t>24</w:t>
      </w:r>
      <w:r>
        <w:rPr>
          <w:spacing w:val="-3"/>
        </w:rPr>
        <w:t>日非公开发行</w:t>
      </w:r>
      <w:r>
        <w:rPr>
          <w:rFonts w:ascii="宋体" w:hAnsi="宋体" w:cs="宋体" w:eastAsia="宋体" w:hint="default"/>
          <w:spacing w:val="-3"/>
        </w:rPr>
        <w:t>96,769,204</w:t>
      </w:r>
      <w:r>
        <w:rPr>
          <w:spacing w:val="-3"/>
        </w:rPr>
        <w:t>股新股，变更后的股本</w:t>
      </w:r>
      <w:r>
        <w:rPr>
          <w:spacing w:val="-78"/>
        </w:rPr>
        <w:t> </w:t>
      </w:r>
      <w:r>
        <w:rPr>
          <w:rFonts w:ascii="宋体" w:hAnsi="宋体" w:cs="宋体" w:eastAsia="宋体" w:hint="default"/>
        </w:rPr>
        <w:t>58</w:t>
      </w:r>
      <w:r>
        <w:rPr>
          <w:rFonts w:ascii="Times New Roman" w:hAnsi="Times New Roman" w:cs="Times New Roman" w:eastAsia="Times New Roman" w:hint="default"/>
        </w:rPr>
        <w:t>0,</w:t>
      </w:r>
      <w:r>
        <w:rPr>
          <w:rFonts w:ascii="宋体" w:hAnsi="宋体" w:cs="宋体" w:eastAsia="宋体" w:hint="default"/>
        </w:rPr>
        <w:t>682,554</w:t>
      </w:r>
      <w:r>
        <w:rPr>
          <w:rFonts w:ascii="Times New Roman" w:hAnsi="Times New Roman" w:cs="Times New Roman" w:eastAsia="Times New Roman" w:hint="default"/>
        </w:rPr>
        <w:t>.00</w:t>
      </w:r>
      <w:r>
        <w:rPr/>
        <w:t>元，注册资本为</w:t>
      </w:r>
      <w:r>
        <w:rPr>
          <w:rFonts w:ascii="宋体" w:hAnsi="宋体" w:cs="宋体" w:eastAsia="宋体" w:hint="default"/>
        </w:rPr>
        <w:t>58</w:t>
      </w:r>
      <w:r>
        <w:rPr>
          <w:rFonts w:ascii="Times New Roman" w:hAnsi="Times New Roman" w:cs="Times New Roman" w:eastAsia="Times New Roman" w:hint="default"/>
        </w:rPr>
        <w:t>0,</w:t>
      </w:r>
      <w:r>
        <w:rPr>
          <w:rFonts w:ascii="宋体" w:hAnsi="宋体" w:cs="宋体" w:eastAsia="宋体" w:hint="default"/>
        </w:rPr>
        <w:t>682,554</w:t>
      </w:r>
      <w:r>
        <w:rPr>
          <w:rFonts w:ascii="Times New Roman" w:hAnsi="Times New Roman" w:cs="Times New Roman" w:eastAsia="Times New Roman" w:hint="default"/>
        </w:rPr>
        <w:t>.00</w:t>
      </w:r>
      <w:r>
        <w:rPr/>
        <w:t>元。</w:t>
      </w:r>
    </w:p>
    <w:p>
      <w:pPr>
        <w:pStyle w:val="BodyText"/>
        <w:spacing w:line="477" w:lineRule="auto" w:before="33"/>
        <w:ind w:left="514" w:right="1141" w:firstLine="360"/>
        <w:jc w:val="both"/>
      </w:pPr>
      <w:r>
        <w:rPr/>
        <w:t>根据</w:t>
      </w:r>
      <w:r>
        <w:rPr>
          <w:rFonts w:ascii="宋体" w:hAnsi="宋体" w:cs="宋体" w:eastAsia="宋体" w:hint="default"/>
        </w:rPr>
        <w:t>2017</w:t>
      </w:r>
      <w:r>
        <w:rPr/>
        <w:t>年</w:t>
      </w:r>
      <w:r>
        <w:rPr>
          <w:rFonts w:ascii="宋体" w:hAnsi="宋体" w:cs="宋体" w:eastAsia="宋体" w:hint="default"/>
        </w:rPr>
        <w:t>3</w:t>
      </w:r>
      <w:r>
        <w:rPr/>
        <w:t>月</w:t>
      </w:r>
      <w:r>
        <w:rPr>
          <w:rFonts w:ascii="宋体" w:hAnsi="宋体" w:cs="宋体" w:eastAsia="宋体" w:hint="default"/>
        </w:rPr>
        <w:t>29</w:t>
      </w:r>
      <w:r>
        <w:rPr/>
        <w:t>日第四届董事会第七次会议，审议通过了《关于回购注销未达到第三期解锁条件的激励对象已获 </w:t>
      </w:r>
      <w:r>
        <w:rPr>
          <w:spacing w:val="-2"/>
        </w:rPr>
        <w:t>授权但尚未解锁的限制性股票的议案》，公司决定回购注销未达到第三期解锁条件的激励对象持有获授的限制性股票总</w:t>
      </w:r>
      <w:r>
        <w:rPr>
          <w:spacing w:val="-76"/>
        </w:rPr>
        <w:t> </w:t>
      </w:r>
      <w:r>
        <w:rPr>
          <w:spacing w:val="-76"/>
        </w:rPr>
      </w:r>
      <w:r>
        <w:rPr/>
        <w:t>数的</w:t>
      </w:r>
      <w:r>
        <w:rPr>
          <w:rFonts w:ascii="宋体" w:hAnsi="宋体" w:cs="宋体" w:eastAsia="宋体" w:hint="default"/>
        </w:rPr>
        <w:t>35%</w:t>
      </w:r>
      <w:r>
        <w:rPr/>
        <w:t>的全部限制性股票，共计</w:t>
      </w:r>
      <w:r>
        <w:rPr>
          <w:rFonts w:ascii="宋体" w:hAnsi="宋体" w:cs="宋体" w:eastAsia="宋体" w:hint="default"/>
        </w:rPr>
        <w:t>3,913,350</w:t>
      </w:r>
      <w:r>
        <w:rPr/>
        <w:t>股，变更后的股本</w:t>
      </w:r>
      <w:r>
        <w:rPr>
          <w:rFonts w:ascii="宋体" w:hAnsi="宋体" w:cs="宋体" w:eastAsia="宋体" w:hint="default"/>
        </w:rPr>
        <w:t>576</w:t>
      </w:r>
      <w:r>
        <w:rPr>
          <w:rFonts w:ascii="Times New Roman" w:hAnsi="Times New Roman" w:cs="Times New Roman" w:eastAsia="Times New Roman" w:hint="default"/>
        </w:rPr>
        <w:t>,</w:t>
      </w:r>
      <w:r>
        <w:rPr>
          <w:rFonts w:ascii="宋体" w:hAnsi="宋体" w:cs="宋体" w:eastAsia="宋体" w:hint="default"/>
        </w:rPr>
        <w:t>769</w:t>
      </w:r>
      <w:r>
        <w:rPr>
          <w:rFonts w:ascii="Times New Roman" w:hAnsi="Times New Roman" w:cs="Times New Roman" w:eastAsia="Times New Roman" w:hint="default"/>
        </w:rPr>
        <w:t>,</w:t>
      </w:r>
      <w:r>
        <w:rPr>
          <w:rFonts w:ascii="宋体" w:hAnsi="宋体" w:cs="宋体" w:eastAsia="宋体" w:hint="default"/>
        </w:rPr>
        <w:t>204</w:t>
      </w:r>
      <w:r>
        <w:rPr>
          <w:rFonts w:ascii="Times New Roman" w:hAnsi="Times New Roman" w:cs="Times New Roman" w:eastAsia="Times New Roman" w:hint="default"/>
        </w:rPr>
        <w:t>.00</w:t>
      </w:r>
      <w:r>
        <w:rPr/>
        <w:t>元，注册资本为</w:t>
      </w:r>
      <w:r>
        <w:rPr>
          <w:rFonts w:ascii="宋体" w:hAnsi="宋体" w:cs="宋体" w:eastAsia="宋体" w:hint="default"/>
        </w:rPr>
        <w:t>576</w:t>
      </w:r>
      <w:r>
        <w:rPr>
          <w:rFonts w:ascii="Times New Roman" w:hAnsi="Times New Roman" w:cs="Times New Roman" w:eastAsia="Times New Roman" w:hint="default"/>
        </w:rPr>
        <w:t>,</w:t>
      </w:r>
      <w:r>
        <w:rPr>
          <w:rFonts w:ascii="宋体" w:hAnsi="宋体" w:cs="宋体" w:eastAsia="宋体" w:hint="default"/>
        </w:rPr>
        <w:t>769</w:t>
      </w:r>
      <w:r>
        <w:rPr>
          <w:rFonts w:ascii="Times New Roman" w:hAnsi="Times New Roman" w:cs="Times New Roman" w:eastAsia="Times New Roman" w:hint="default"/>
        </w:rPr>
        <w:t>,</w:t>
      </w:r>
      <w:r>
        <w:rPr>
          <w:rFonts w:ascii="宋体" w:hAnsi="宋体" w:cs="宋体" w:eastAsia="宋体" w:hint="default"/>
        </w:rPr>
        <w:t>204</w:t>
      </w:r>
      <w:r>
        <w:rPr>
          <w:rFonts w:ascii="Times New Roman" w:hAnsi="Times New Roman" w:cs="Times New Roman" w:eastAsia="Times New Roman" w:hint="default"/>
        </w:rPr>
        <w:t>.00</w:t>
      </w:r>
      <w:r>
        <w:rPr/>
        <w:t>元。</w:t>
      </w:r>
    </w:p>
    <w:p>
      <w:pPr>
        <w:pStyle w:val="BodyText"/>
        <w:spacing w:line="468" w:lineRule="auto" w:before="21"/>
        <w:ind w:left="514" w:right="1119" w:firstLine="360"/>
        <w:jc w:val="left"/>
      </w:pPr>
      <w:r>
        <w:rPr>
          <w:rFonts w:ascii="宋体" w:hAnsi="宋体" w:cs="宋体" w:eastAsia="宋体" w:hint="default"/>
          <w:spacing w:val="-2"/>
        </w:rPr>
        <w:t>2017</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18</w:t>
      </w:r>
      <w:r>
        <w:rPr>
          <w:spacing w:val="-2"/>
        </w:rPr>
        <w:t>日，公司召开</w:t>
      </w:r>
      <w:r>
        <w:rPr>
          <w:rFonts w:ascii="宋体" w:hAnsi="宋体" w:cs="宋体" w:eastAsia="宋体" w:hint="default"/>
          <w:spacing w:val="-2"/>
        </w:rPr>
        <w:t>2017</w:t>
      </w:r>
      <w:r>
        <w:rPr>
          <w:spacing w:val="-2"/>
        </w:rPr>
        <w:t>年第二次临时股东大会，审议通过了《关于提请股东大会授权董事会办理公司</w:t>
      </w:r>
      <w:r>
        <w:rPr>
          <w:rFonts w:ascii="宋体" w:hAnsi="宋体" w:cs="宋体" w:eastAsia="宋体" w:hint="default"/>
          <w:spacing w:val="-2"/>
        </w:rPr>
        <w:t>2017</w:t>
      </w:r>
      <w:r>
        <w:rPr>
          <w:rFonts w:ascii="宋体" w:hAnsi="宋体" w:cs="宋体" w:eastAsia="宋体" w:hint="default"/>
        </w:rPr>
        <w:t> </w:t>
      </w:r>
      <w:r>
        <w:rPr>
          <w:spacing w:val="-3"/>
        </w:rPr>
        <w:t>年股票期权与限制性股票激励计划有关事项的议案》，向</w:t>
      </w:r>
      <w:r>
        <w:rPr>
          <w:rFonts w:ascii="宋体" w:hAnsi="宋体" w:cs="宋体" w:eastAsia="宋体" w:hint="default"/>
          <w:spacing w:val="-3"/>
        </w:rPr>
        <w:t>13</w:t>
      </w:r>
      <w:r>
        <w:rPr>
          <w:spacing w:val="-3"/>
        </w:rPr>
        <w:t>名激励对象授予</w:t>
      </w:r>
      <w:r>
        <w:rPr>
          <w:rFonts w:ascii="宋体" w:hAnsi="宋体" w:cs="宋体" w:eastAsia="宋体" w:hint="default"/>
          <w:spacing w:val="-3"/>
        </w:rPr>
        <w:t>427</w:t>
      </w:r>
      <w:r>
        <w:rPr>
          <w:spacing w:val="-3"/>
        </w:rPr>
        <w:t>万股限制性股票。</w:t>
      </w:r>
      <w:r>
        <w:rPr>
          <w:rFonts w:ascii="宋体" w:hAnsi="宋体" w:cs="宋体" w:eastAsia="宋体" w:hint="default"/>
          <w:spacing w:val="-3"/>
        </w:rPr>
        <w:t>2017</w:t>
      </w:r>
      <w:r>
        <w:rPr>
          <w:spacing w:val="-3"/>
        </w:rPr>
        <w:t>年</w:t>
      </w:r>
      <w:r>
        <w:rPr>
          <w:rFonts w:ascii="宋体" w:hAnsi="宋体" w:cs="宋体" w:eastAsia="宋体" w:hint="default"/>
          <w:spacing w:val="-3"/>
        </w:rPr>
        <w:t>11</w:t>
      </w:r>
      <w:r>
        <w:rPr>
          <w:spacing w:val="-3"/>
        </w:rPr>
        <w:t>月</w:t>
      </w:r>
      <w:r>
        <w:rPr>
          <w:rFonts w:ascii="宋体" w:hAnsi="宋体" w:cs="宋体" w:eastAsia="宋体" w:hint="default"/>
          <w:spacing w:val="-3"/>
        </w:rPr>
        <w:t>27</w:t>
      </w:r>
      <w:r>
        <w:rPr>
          <w:spacing w:val="-3"/>
        </w:rPr>
        <w:t>日大华会</w:t>
      </w:r>
      <w:r>
        <w:rPr>
          <w:spacing w:val="-85"/>
        </w:rPr>
        <w:t> </w:t>
      </w:r>
      <w:r>
        <w:rPr/>
        <w:t>计师事务所（特殊普通合伙）出具了</w:t>
      </w:r>
      <w:r>
        <w:rPr>
          <w:rFonts w:ascii="Times New Roman" w:hAnsi="Times New Roman" w:cs="Times New Roman" w:eastAsia="Times New Roman" w:hint="default"/>
        </w:rPr>
        <w:t>“</w:t>
      </w:r>
      <w:r>
        <w:rPr/>
        <w:t>大华验字</w:t>
      </w:r>
      <w:r>
        <w:rPr>
          <w:rFonts w:ascii="宋体" w:hAnsi="宋体" w:cs="宋体" w:eastAsia="宋体" w:hint="default"/>
        </w:rPr>
        <w:t>[2017]000885</w:t>
      </w:r>
      <w:r>
        <w:rPr/>
        <w:t>号</w:t>
      </w:r>
      <w:r>
        <w:rPr>
          <w:rFonts w:ascii="Times New Roman" w:hAnsi="Times New Roman" w:cs="Times New Roman" w:eastAsia="Times New Roman" w:hint="default"/>
        </w:rPr>
        <w:t>”</w:t>
      </w:r>
      <w:r>
        <w:rPr/>
        <w:t>验资报告，变更后的股本</w:t>
      </w:r>
      <w:r>
        <w:rPr>
          <w:rFonts w:ascii="宋体" w:hAnsi="宋体" w:cs="宋体" w:eastAsia="宋体" w:hint="default"/>
        </w:rPr>
        <w:t>581</w:t>
      </w:r>
      <w:r>
        <w:rPr>
          <w:rFonts w:ascii="Times New Roman" w:hAnsi="Times New Roman" w:cs="Times New Roman" w:eastAsia="Times New Roman" w:hint="default"/>
        </w:rPr>
        <w:t>,</w:t>
      </w:r>
      <w:r>
        <w:rPr>
          <w:rFonts w:ascii="宋体" w:hAnsi="宋体" w:cs="宋体" w:eastAsia="宋体" w:hint="default"/>
        </w:rPr>
        <w:t>039</w:t>
      </w:r>
      <w:r>
        <w:rPr>
          <w:rFonts w:ascii="Times New Roman" w:hAnsi="Times New Roman" w:cs="Times New Roman" w:eastAsia="Times New Roman" w:hint="default"/>
        </w:rPr>
        <w:t>,</w:t>
      </w:r>
      <w:r>
        <w:rPr>
          <w:rFonts w:ascii="宋体" w:hAnsi="宋体" w:cs="宋体" w:eastAsia="宋体" w:hint="default"/>
        </w:rPr>
        <w:t>204</w:t>
      </w:r>
      <w:r>
        <w:rPr>
          <w:rFonts w:ascii="Times New Roman" w:hAnsi="Times New Roman" w:cs="Times New Roman" w:eastAsia="Times New Roman" w:hint="default"/>
        </w:rPr>
        <w:t>.00</w:t>
      </w:r>
      <w:r>
        <w:rPr/>
        <w:t>元，注册资本 为</w:t>
      </w:r>
      <w:r>
        <w:rPr>
          <w:rFonts w:ascii="宋体" w:hAnsi="宋体" w:cs="宋体" w:eastAsia="宋体" w:hint="default"/>
        </w:rPr>
        <w:t>581</w:t>
      </w:r>
      <w:r>
        <w:rPr>
          <w:rFonts w:ascii="Times New Roman" w:hAnsi="Times New Roman" w:cs="Times New Roman" w:eastAsia="Times New Roman" w:hint="default"/>
        </w:rPr>
        <w:t>,</w:t>
      </w:r>
      <w:r>
        <w:rPr>
          <w:rFonts w:ascii="宋体" w:hAnsi="宋体" w:cs="宋体" w:eastAsia="宋体" w:hint="default"/>
        </w:rPr>
        <w:t>039</w:t>
      </w:r>
      <w:r>
        <w:rPr>
          <w:rFonts w:ascii="Times New Roman" w:hAnsi="Times New Roman" w:cs="Times New Roman" w:eastAsia="Times New Roman" w:hint="default"/>
        </w:rPr>
        <w:t>,</w:t>
      </w:r>
      <w:r>
        <w:rPr>
          <w:rFonts w:ascii="宋体" w:hAnsi="宋体" w:cs="宋体" w:eastAsia="宋体" w:hint="default"/>
        </w:rPr>
        <w:t>204</w:t>
      </w:r>
      <w:r>
        <w:rPr>
          <w:rFonts w:ascii="Times New Roman" w:hAnsi="Times New Roman" w:cs="Times New Roman" w:eastAsia="Times New Roman" w:hint="default"/>
        </w:rPr>
        <w:t>.00</w:t>
      </w:r>
      <w:r>
        <w:rPr/>
        <w:t>元。</w:t>
      </w:r>
    </w:p>
    <w:p>
      <w:pPr>
        <w:pStyle w:val="BodyText"/>
        <w:spacing w:line="472" w:lineRule="auto" w:before="29"/>
        <w:ind w:left="514" w:right="1132" w:firstLine="360"/>
        <w:jc w:val="both"/>
      </w:pPr>
      <w:r>
        <w:rPr/>
        <w:t>根据</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23</w:t>
      </w:r>
      <w:r>
        <w:rPr/>
        <w:t>日第四届董事会第二十次会议，审议通过了《关于注销部分股票期权及回购注销部分限制性股票 </w:t>
      </w:r>
      <w:r>
        <w:rPr>
          <w:spacing w:val="-2"/>
        </w:rPr>
        <w:t>的议案》，因原激励对象部分员工不再符合公司股权激励条件，同时，公司股权激励计划因未达到</w:t>
      </w:r>
      <w:r>
        <w:rPr>
          <w:rFonts w:ascii="宋体" w:hAnsi="宋体" w:cs="宋体" w:eastAsia="宋体" w:hint="default"/>
          <w:spacing w:val="-2"/>
        </w:rPr>
        <w:t>2017</w:t>
      </w:r>
      <w:r>
        <w:rPr>
          <w:spacing w:val="-2"/>
        </w:rPr>
        <w:t>年股票期权与限</w:t>
      </w:r>
      <w:r>
        <w:rPr>
          <w:spacing w:val="-71"/>
        </w:rPr>
        <w:t> </w:t>
      </w:r>
      <w:r>
        <w:rPr>
          <w:spacing w:val="-5"/>
        </w:rPr>
        <w:t>制性股票激励计划第一期行权</w:t>
      </w:r>
      <w:r>
        <w:rPr>
          <w:rFonts w:ascii="宋体" w:hAnsi="宋体" w:cs="宋体" w:eastAsia="宋体" w:hint="default"/>
          <w:spacing w:val="-5"/>
        </w:rPr>
        <w:t>/</w:t>
      </w:r>
      <w:r>
        <w:rPr>
          <w:spacing w:val="-5"/>
        </w:rPr>
        <w:t>解锁条件，公司决定将上述原因确认的限制性股票进行回购注销，共计</w:t>
      </w:r>
      <w:r>
        <w:rPr>
          <w:rFonts w:ascii="宋体" w:hAnsi="宋体" w:cs="宋体" w:eastAsia="宋体" w:hint="default"/>
          <w:spacing w:val="-5"/>
        </w:rPr>
        <w:t>1,067,500</w:t>
      </w:r>
      <w:r>
        <w:rPr>
          <w:spacing w:val="-5"/>
        </w:rPr>
        <w:t>股。</w:t>
      </w:r>
      <w:r>
        <w:rPr>
          <w:rFonts w:ascii="宋体" w:hAnsi="宋体" w:cs="宋体" w:eastAsia="宋体" w:hint="default"/>
          <w:spacing w:val="-5"/>
        </w:rPr>
        <w:t>2018</w:t>
      </w:r>
      <w:r>
        <w:rPr>
          <w:rFonts w:ascii="宋体" w:hAnsi="宋体" w:cs="宋体" w:eastAsia="宋体" w:hint="default"/>
          <w:spacing w:val="-54"/>
        </w:rPr>
        <w:t> </w:t>
      </w:r>
      <w:r>
        <w:rPr/>
        <w:t>年</w:t>
      </w:r>
      <w:r>
        <w:rPr>
          <w:rFonts w:ascii="宋体" w:hAnsi="宋体" w:cs="宋体" w:eastAsia="宋体" w:hint="default"/>
        </w:rPr>
        <w:t>5</w:t>
      </w:r>
      <w:r>
        <w:rPr/>
        <w:t>月</w:t>
      </w:r>
      <w:r>
        <w:rPr>
          <w:rFonts w:ascii="宋体" w:hAnsi="宋体" w:cs="宋体" w:eastAsia="宋体" w:hint="default"/>
        </w:rPr>
        <w:t>16</w:t>
      </w:r>
      <w:r>
        <w:rPr/>
        <w:t>日，公司召开</w:t>
      </w:r>
      <w:r>
        <w:rPr>
          <w:rFonts w:ascii="宋体" w:hAnsi="宋体" w:cs="宋体" w:eastAsia="宋体" w:hint="default"/>
        </w:rPr>
        <w:t>2017</w:t>
      </w:r>
      <w:r>
        <w:rPr/>
        <w:t>年度股东大会，审议并通过了上述议案。限制性股票回购注销业经亚太（集团）会计师事务 所（特殊普通合伙）验证，并出具亚会</w:t>
      </w:r>
      <w:r>
        <w:rPr>
          <w:rFonts w:ascii="宋体" w:hAnsi="宋体" w:cs="宋体" w:eastAsia="宋体" w:hint="default"/>
        </w:rPr>
        <w:t>A</w:t>
      </w:r>
      <w:r>
        <w:rPr/>
        <w:t>验字（</w:t>
      </w:r>
      <w:r>
        <w:rPr>
          <w:rFonts w:ascii="宋体" w:hAnsi="宋体" w:cs="宋体" w:eastAsia="宋体" w:hint="default"/>
        </w:rPr>
        <w:t>2018</w:t>
      </w:r>
      <w:r>
        <w:rPr/>
        <w:t>）</w:t>
      </w:r>
      <w:r>
        <w:rPr>
          <w:rFonts w:ascii="宋体" w:hAnsi="宋体" w:cs="宋体" w:eastAsia="宋体" w:hint="default"/>
        </w:rPr>
        <w:t>0005</w:t>
      </w:r>
      <w:r>
        <w:rPr/>
        <w:t>号验资报告，变更后的股本为</w:t>
      </w:r>
      <w:r>
        <w:rPr>
          <w:rFonts w:ascii="宋体" w:hAnsi="宋体" w:cs="宋体" w:eastAsia="宋体" w:hint="default"/>
        </w:rPr>
        <w:t>579,971,704</w:t>
      </w:r>
      <w:r>
        <w:rPr>
          <w:rFonts w:ascii="Times New Roman" w:hAnsi="Times New Roman" w:cs="Times New Roman" w:eastAsia="Times New Roman" w:hint="default"/>
        </w:rPr>
        <w:t>.00</w:t>
      </w:r>
      <w:r>
        <w:rPr/>
        <w:t>元，注册资本 为</w:t>
      </w:r>
      <w:r>
        <w:rPr>
          <w:rFonts w:ascii="宋体" w:hAnsi="宋体" w:cs="宋体" w:eastAsia="宋体" w:hint="default"/>
        </w:rPr>
        <w:t>579,971,704</w:t>
      </w:r>
      <w:r>
        <w:rPr>
          <w:rFonts w:ascii="Times New Roman" w:hAnsi="Times New Roman" w:cs="Times New Roman" w:eastAsia="Times New Roman" w:hint="default"/>
        </w:rPr>
        <w:t>.00</w:t>
      </w:r>
      <w:r>
        <w:rPr/>
        <w:t>元。</w:t>
      </w:r>
    </w:p>
    <w:p>
      <w:pPr>
        <w:pStyle w:val="BodyText"/>
        <w:spacing w:line="451" w:lineRule="auto" w:before="25"/>
        <w:ind w:left="514" w:right="1122" w:firstLine="360"/>
        <w:jc w:val="left"/>
      </w:pPr>
      <w:r>
        <w:rPr/>
        <w:t>截至</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日止，本公司累计股本总数</w:t>
      </w:r>
      <w:r>
        <w:rPr>
          <w:rFonts w:ascii="宋体" w:hAnsi="宋体" w:cs="宋体" w:eastAsia="宋体" w:hint="default"/>
        </w:rPr>
        <w:t>579,971,704</w:t>
      </w:r>
      <w:r>
        <w:rPr>
          <w:rFonts w:ascii="Times New Roman" w:hAnsi="Times New Roman" w:cs="Times New Roman" w:eastAsia="Times New Roman" w:hint="default"/>
        </w:rPr>
        <w:t>.00</w:t>
      </w:r>
      <w:r>
        <w:rPr/>
        <w:t>股，注册资本为人民币</w:t>
      </w:r>
      <w:r>
        <w:rPr>
          <w:rFonts w:ascii="宋体" w:hAnsi="宋体" w:cs="宋体" w:eastAsia="宋体" w:hint="default"/>
        </w:rPr>
        <w:t>579,971,704</w:t>
      </w:r>
      <w:r>
        <w:rPr>
          <w:rFonts w:ascii="Times New Roman" w:hAnsi="Times New Roman" w:cs="Times New Roman" w:eastAsia="Times New Roman" w:hint="default"/>
        </w:rPr>
        <w:t>.00</w:t>
      </w:r>
      <w:r>
        <w:rPr/>
        <w:t>元，统一社会 信用代码：</w:t>
      </w:r>
      <w:r>
        <w:rPr>
          <w:rFonts w:ascii="宋体" w:hAnsi="宋体" w:cs="宋体" w:eastAsia="宋体" w:hint="default"/>
        </w:rPr>
        <w:t>914403007586256618</w:t>
      </w:r>
      <w:r>
        <w:rPr/>
        <w:t>，注册及总部地址：深圳市南山区西丽平山民企科技工业园</w:t>
      </w:r>
      <w:r>
        <w:rPr>
          <w:rFonts w:ascii="宋体" w:hAnsi="宋体" w:cs="宋体" w:eastAsia="宋体" w:hint="default"/>
        </w:rPr>
        <w:t>5</w:t>
      </w:r>
      <w:r>
        <w:rPr/>
        <w:t>栋。</w:t>
      </w:r>
    </w:p>
    <w:p>
      <w:pPr>
        <w:spacing w:line="240" w:lineRule="auto" w:before="11"/>
        <w:rPr>
          <w:rFonts w:ascii="宋体" w:hAnsi="宋体" w:cs="宋体" w:eastAsia="宋体" w:hint="default"/>
          <w:sz w:val="14"/>
          <w:szCs w:val="14"/>
        </w:rPr>
      </w:pPr>
    </w:p>
    <w:p>
      <w:pPr>
        <w:spacing w:line="477" w:lineRule="auto" w:before="0"/>
        <w:ind w:left="874" w:right="0" w:firstLine="1"/>
        <w:jc w:val="left"/>
        <w:rPr>
          <w:rFonts w:ascii="宋体" w:hAnsi="宋体" w:cs="宋体" w:eastAsia="宋体" w:hint="default"/>
          <w:sz w:val="18"/>
          <w:szCs w:val="18"/>
        </w:rPr>
      </w:pPr>
      <w:r>
        <w:rPr>
          <w:rFonts w:ascii="宋体" w:hAnsi="宋体" w:cs="宋体" w:eastAsia="宋体" w:hint="default"/>
          <w:b/>
          <w:bCs/>
          <w:sz w:val="18"/>
          <w:szCs w:val="18"/>
        </w:rPr>
        <w:t>公司业务性质和主要经营活动</w:t>
      </w:r>
      <w:r>
        <w:rPr>
          <w:rFonts w:ascii="宋体" w:hAnsi="宋体" w:cs="宋体" w:eastAsia="宋体" w:hint="default"/>
          <w:b/>
          <w:bCs/>
          <w:w w:val="99"/>
          <w:sz w:val="18"/>
          <w:szCs w:val="18"/>
        </w:rPr>
        <w:t> </w:t>
      </w:r>
      <w:r>
        <w:rPr>
          <w:rFonts w:ascii="宋体" w:hAnsi="宋体" w:cs="宋体" w:eastAsia="宋体" w:hint="default"/>
          <w:spacing w:val="-2"/>
          <w:sz w:val="18"/>
          <w:szCs w:val="18"/>
        </w:rPr>
        <w:t>本公司所属行业是计算机、通信和其他电子设备制造业，主营业务是提供网络通讯、消费电子以及智能终端产品的</w:t>
      </w:r>
    </w:p>
    <w:p>
      <w:pPr>
        <w:pStyle w:val="BodyText"/>
        <w:spacing w:line="451" w:lineRule="auto" w:before="54"/>
        <w:ind w:left="514" w:right="1039"/>
        <w:jc w:val="left"/>
      </w:pPr>
      <w:r>
        <w:rPr/>
        <w:t>研发、生产制造与销售服务。主要产品为：</w:t>
      </w:r>
      <w:r>
        <w:rPr>
          <w:rFonts w:ascii="宋体" w:hAnsi="宋体" w:cs="宋体" w:eastAsia="宋体" w:hint="default"/>
        </w:rPr>
        <w:t>3C</w:t>
      </w:r>
      <w:r>
        <w:rPr/>
        <w:t>产品：网络通讯类的如无线网卡、数据卡、光纤接入设备、</w:t>
      </w:r>
      <w:r>
        <w:rPr>
          <w:rFonts w:ascii="Times New Roman" w:hAnsi="Times New Roman" w:cs="Times New Roman" w:eastAsia="Times New Roman" w:hint="default"/>
        </w:rPr>
        <w:t>4G</w:t>
      </w:r>
      <w:r>
        <w:rPr/>
        <w:t>路由器、 </w:t>
      </w:r>
      <w:r>
        <w:rPr>
          <w:rFonts w:ascii="Times New Roman" w:hAnsi="Times New Roman" w:cs="Times New Roman" w:eastAsia="Times New Roman" w:hint="default"/>
        </w:rPr>
        <w:t>4G </w:t>
      </w:r>
      <w:r>
        <w:rPr>
          <w:rFonts w:ascii="Times New Roman" w:hAnsi="Times New Roman" w:cs="Times New Roman" w:eastAsia="Times New Roman" w:hint="default"/>
          <w:spacing w:val="-2"/>
        </w:rPr>
        <w:t>LTE</w:t>
      </w:r>
      <w:r>
        <w:rPr>
          <w:spacing w:val="-2"/>
        </w:rPr>
        <w:t>网关、</w:t>
      </w:r>
      <w:r>
        <w:rPr>
          <w:rFonts w:ascii="Times New Roman" w:hAnsi="Times New Roman" w:cs="Times New Roman" w:eastAsia="Times New Roman" w:hint="default"/>
          <w:spacing w:val="-2"/>
        </w:rPr>
        <w:t>IPTV</w:t>
      </w:r>
      <w:r>
        <w:rPr>
          <w:spacing w:val="-2"/>
        </w:rPr>
        <w:t>机顶盒、以太网交换机等，消费电子类的如智能手机、平板电脑、手提电脑、随身</w:t>
      </w:r>
      <w:r>
        <w:rPr>
          <w:rFonts w:ascii="Times New Roman" w:hAnsi="Times New Roman" w:cs="Times New Roman" w:eastAsia="Times New Roman" w:hint="default"/>
          <w:spacing w:val="-2"/>
        </w:rPr>
        <w:t>WiFi</w:t>
      </w:r>
      <w:r>
        <w:rPr>
          <w:spacing w:val="-2"/>
        </w:rPr>
        <w:t>、移动电源、</w:t>
      </w:r>
      <w:r>
        <w:rPr>
          <w:spacing w:val="-82"/>
        </w:rPr>
        <w:t> </w:t>
      </w:r>
      <w:r>
        <w:rPr>
          <w:spacing w:val="-82"/>
        </w:rPr>
      </w:r>
      <w:r>
        <w:rPr/>
        <w:t>网络摄像机等；智能硬件产品：智能手环、智能手表、</w:t>
      </w:r>
      <w:r>
        <w:rPr>
          <w:rFonts w:ascii="Times New Roman" w:hAnsi="Times New Roman" w:cs="Times New Roman" w:eastAsia="Times New Roman" w:hint="default"/>
        </w:rPr>
        <w:t>AR</w:t>
      </w:r>
      <w:r>
        <w:rPr/>
        <w:t>眼镜等智能穿戴类产品，智能空气净化器、智能充电器、智</w:t>
      </w:r>
    </w:p>
    <w:p>
      <w:pPr>
        <w:spacing w:after="0" w:line="451" w:lineRule="auto"/>
        <w:jc w:val="left"/>
        <w:sectPr>
          <w:footerReference w:type="default" r:id="rId50"/>
          <w:pgSz w:w="11910" w:h="16840"/>
          <w:pgMar w:footer="1019" w:header="917" w:top="1120" w:bottom="1200" w:left="980" w:right="0"/>
          <w:pgNumType w:start="128"/>
        </w:sectPr>
      </w:pPr>
    </w:p>
    <w:p>
      <w:pPr>
        <w:spacing w:line="240" w:lineRule="auto" w:before="9"/>
        <w:rPr>
          <w:rFonts w:ascii="宋体" w:hAnsi="宋体" w:cs="宋体" w:eastAsia="宋体" w:hint="default"/>
          <w:sz w:val="26"/>
          <w:szCs w:val="26"/>
        </w:rPr>
      </w:pPr>
    </w:p>
    <w:p>
      <w:pPr>
        <w:pStyle w:val="BodyText"/>
        <w:spacing w:line="477" w:lineRule="auto" w:before="44"/>
        <w:ind w:left="514" w:right="1132"/>
        <w:jc w:val="both"/>
      </w:pPr>
      <w:r>
        <w:rPr>
          <w:spacing w:val="-2"/>
        </w:rPr>
        <w:t>能床头灯、智能门铃等智能家居产品，有行车电脑、汽车智能避障系统等车联网产品，应用于智能电视、智能空调等家</w:t>
      </w:r>
      <w:r>
        <w:rPr>
          <w:spacing w:val="-70"/>
        </w:rPr>
        <w:t> </w:t>
      </w:r>
      <w:r>
        <w:rPr>
          <w:spacing w:val="-70"/>
        </w:rPr>
      </w:r>
      <w:r>
        <w:rPr>
          <w:spacing w:val="-2"/>
        </w:rPr>
        <w:t>电的关键组件等；智能装备：自主研发的全数字高速自动点胶机、全自动视觉贴膜机以及自动上下吸尘分板机等智能制</w:t>
      </w:r>
      <w:r>
        <w:rPr>
          <w:spacing w:val="-69"/>
        </w:rPr>
        <w:t> </w:t>
      </w:r>
      <w:r>
        <w:rPr>
          <w:spacing w:val="-69"/>
        </w:rPr>
      </w:r>
      <w:r>
        <w:rPr/>
        <w:t>造专用装备；光电显示业务：自主研发量子点材料和半导体工艺等。</w:t>
      </w:r>
    </w:p>
    <w:p>
      <w:pPr>
        <w:spacing w:line="240" w:lineRule="auto" w:before="5"/>
        <w:rPr>
          <w:rFonts w:ascii="宋体" w:hAnsi="宋体" w:cs="宋体" w:eastAsia="宋体" w:hint="default"/>
          <w:sz w:val="13"/>
          <w:szCs w:val="13"/>
        </w:rPr>
      </w:pPr>
    </w:p>
    <w:p>
      <w:pPr>
        <w:spacing w:line="477" w:lineRule="auto" w:before="0"/>
        <w:ind w:left="784" w:right="5712" w:firstLine="91"/>
        <w:jc w:val="left"/>
        <w:rPr>
          <w:rFonts w:ascii="宋体" w:hAnsi="宋体" w:cs="宋体" w:eastAsia="宋体" w:hint="default"/>
          <w:sz w:val="18"/>
          <w:szCs w:val="18"/>
        </w:rPr>
      </w:pPr>
      <w:r>
        <w:rPr>
          <w:rFonts w:ascii="宋体" w:hAnsi="宋体" w:cs="宋体" w:eastAsia="宋体" w:hint="default"/>
          <w:b/>
          <w:bCs/>
          <w:sz w:val="18"/>
          <w:szCs w:val="18"/>
        </w:rPr>
        <w:t>财务报表的批准报出</w:t>
      </w:r>
      <w:r>
        <w:rPr>
          <w:rFonts w:ascii="宋体" w:hAnsi="宋体" w:cs="宋体" w:eastAsia="宋体" w:hint="default"/>
          <w:b/>
          <w:bCs/>
          <w:w w:val="99"/>
          <w:sz w:val="18"/>
          <w:szCs w:val="18"/>
        </w:rPr>
        <w:t> </w:t>
      </w:r>
      <w:r>
        <w:rPr>
          <w:rFonts w:ascii="宋体" w:hAnsi="宋体" w:cs="宋体" w:eastAsia="宋体" w:hint="default"/>
          <w:sz w:val="18"/>
          <w:szCs w:val="18"/>
        </w:rPr>
        <w:t>本财务报表业经公司董事会于</w:t>
      </w: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4</w:t>
      </w:r>
      <w:r>
        <w:rPr>
          <w:rFonts w:ascii="宋体" w:hAnsi="宋体" w:cs="宋体" w:eastAsia="宋体" w:hint="default"/>
          <w:sz w:val="18"/>
          <w:szCs w:val="18"/>
        </w:rPr>
        <w:t>月</w:t>
      </w:r>
      <w:r>
        <w:rPr>
          <w:rFonts w:ascii="宋体" w:hAnsi="宋体" w:cs="宋体" w:eastAsia="宋体" w:hint="default"/>
          <w:sz w:val="18"/>
          <w:szCs w:val="18"/>
        </w:rPr>
        <w:t>19</w:t>
      </w:r>
      <w:r>
        <w:rPr>
          <w:rFonts w:ascii="宋体" w:hAnsi="宋体" w:cs="宋体" w:eastAsia="宋体" w:hint="default"/>
          <w:sz w:val="18"/>
          <w:szCs w:val="18"/>
        </w:rPr>
        <w:t>日批准报出。</w:t>
      </w:r>
    </w:p>
    <w:p>
      <w:pPr>
        <w:spacing w:line="240" w:lineRule="auto" w:before="1"/>
        <w:rPr>
          <w:rFonts w:ascii="宋体" w:hAnsi="宋体" w:cs="宋体" w:eastAsia="宋体" w:hint="default"/>
          <w:sz w:val="20"/>
          <w:szCs w:val="20"/>
        </w:rPr>
      </w:pPr>
    </w:p>
    <w:p>
      <w:pPr>
        <w:pStyle w:val="Heading4"/>
        <w:spacing w:line="240" w:lineRule="auto" w:before="0"/>
        <w:ind w:left="574" w:right="0"/>
        <w:jc w:val="both"/>
      </w:pPr>
      <w:r>
        <w:rPr/>
        <w:t>本期纳入合并财务报表范围的主体共</w:t>
      </w:r>
      <w:r>
        <w:rPr>
          <w:rFonts w:ascii="宋体" w:hAnsi="宋体" w:cs="宋体" w:eastAsia="宋体" w:hint="default"/>
        </w:rPr>
        <w:t>11</w:t>
      </w:r>
      <w:r>
        <w:rPr/>
        <w:t>户，具体包括：</w:t>
      </w:r>
    </w:p>
    <w:p>
      <w:pPr>
        <w:spacing w:line="240" w:lineRule="auto" w:before="13"/>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3370"/>
        <w:gridCol w:w="1701"/>
        <w:gridCol w:w="850"/>
        <w:gridCol w:w="1277"/>
        <w:gridCol w:w="1332"/>
      </w:tblGrid>
      <w:tr>
        <w:trPr>
          <w:trHeight w:val="342"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95" w:right="0"/>
              <w:jc w:val="left"/>
              <w:rPr>
                <w:rFonts w:ascii="宋体" w:hAnsi="宋体" w:cs="宋体" w:eastAsia="宋体" w:hint="default"/>
                <w:sz w:val="18"/>
                <w:szCs w:val="18"/>
              </w:rPr>
            </w:pPr>
            <w:r>
              <w:rPr>
                <w:rFonts w:ascii="宋体" w:hAnsi="宋体" w:cs="宋体" w:eastAsia="宋体" w:hint="default"/>
                <w:sz w:val="18"/>
                <w:szCs w:val="18"/>
              </w:rPr>
              <w:t>子公司类型</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级次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73"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10" w:right="0"/>
              <w:jc w:val="left"/>
              <w:rPr>
                <w:rFonts w:ascii="宋体" w:hAnsi="宋体" w:cs="宋体" w:eastAsia="宋体" w:hint="default"/>
                <w:sz w:val="18"/>
                <w:szCs w:val="18"/>
              </w:rPr>
            </w:pPr>
            <w:r>
              <w:rPr>
                <w:rFonts w:ascii="宋体" w:hAnsi="宋体" w:cs="宋体" w:eastAsia="宋体" w:hint="default"/>
                <w:sz w:val="18"/>
                <w:szCs w:val="18"/>
              </w:rPr>
              <w:t>表决权比例</w:t>
            </w:r>
          </w:p>
        </w:tc>
      </w:tr>
      <w:tr>
        <w:trPr>
          <w:trHeight w:val="65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卓翼科技（香港）有限公司</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（以下简称卓翼香港）</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一级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100%</w:t>
            </w:r>
          </w:p>
        </w:tc>
      </w:tr>
      <w:tr>
        <w:trPr>
          <w:trHeight w:val="65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深圳市卓大精密模具有限公司</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（以下简称卓大精密）</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一级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100%</w:t>
            </w:r>
          </w:p>
        </w:tc>
      </w:tr>
      <w:tr>
        <w:trPr>
          <w:trHeight w:val="65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深圳市翼丰盛科技有限公司</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（以下简称翼丰盛）</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控股子（孙）公司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51%</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51%</w:t>
            </w:r>
          </w:p>
        </w:tc>
      </w:tr>
      <w:tr>
        <w:trPr>
          <w:trHeight w:val="65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深圳市中广物联科技有限公司</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（以下简称中广物联）</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一级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100%</w:t>
            </w:r>
          </w:p>
        </w:tc>
      </w:tr>
      <w:tr>
        <w:trPr>
          <w:trHeight w:val="65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中广互联（厦门）信息科技有限公司</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（以下简称中广互联）</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全资子（孙）公司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100%</w:t>
            </w:r>
          </w:p>
        </w:tc>
      </w:tr>
      <w:tr>
        <w:trPr>
          <w:trHeight w:val="65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卓翼营销有限公司</w:t>
            </w:r>
          </w:p>
          <w:p>
            <w:pPr>
              <w:pStyle w:val="TableParagraph"/>
              <w:spacing w:line="240" w:lineRule="auto" w:before="77"/>
              <w:ind w:left="4" w:right="0"/>
              <w:jc w:val="left"/>
              <w:rPr>
                <w:rFonts w:ascii="宋体" w:hAnsi="宋体" w:cs="宋体" w:eastAsia="宋体" w:hint="default"/>
                <w:sz w:val="18"/>
                <w:szCs w:val="18"/>
              </w:rPr>
            </w:pPr>
            <w:r>
              <w:rPr>
                <w:rFonts w:ascii="宋体" w:hAnsi="宋体" w:cs="宋体" w:eastAsia="宋体" w:hint="default"/>
                <w:sz w:val="18"/>
                <w:szCs w:val="18"/>
              </w:rPr>
              <w:t>（以下简称卓翼营销）</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全资子（孙）公司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100%</w:t>
            </w:r>
          </w:p>
        </w:tc>
      </w:tr>
      <w:tr>
        <w:trPr>
          <w:trHeight w:val="65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天津卓达科技发展有限公司</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（以下简称天津卓达）</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一级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100%</w:t>
            </w:r>
          </w:p>
        </w:tc>
      </w:tr>
      <w:tr>
        <w:trPr>
          <w:trHeight w:val="65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深圳市卓翼智造有限公司</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（以下简称卓翼智造）</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一级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100%</w:t>
            </w:r>
          </w:p>
        </w:tc>
      </w:tr>
      <w:tr>
        <w:trPr>
          <w:trHeight w:val="65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深圳市翼飞投资有限公司</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（以下简称翼飞投资）</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一级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100%</w:t>
            </w:r>
          </w:p>
        </w:tc>
      </w:tr>
      <w:tr>
        <w:trPr>
          <w:trHeight w:val="65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深圳市卓博机器人有限公司</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（以下简称卓博机器）</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一级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100%</w:t>
            </w:r>
          </w:p>
        </w:tc>
      </w:tr>
      <w:tr>
        <w:trPr>
          <w:trHeight w:val="65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江西卓翼光显科技有限公司</w:t>
            </w:r>
          </w:p>
          <w:p>
            <w:pPr>
              <w:pStyle w:val="TableParagraph"/>
              <w:spacing w:line="240" w:lineRule="auto" w:before="76"/>
              <w:ind w:left="4" w:right="0"/>
              <w:jc w:val="left"/>
              <w:rPr>
                <w:rFonts w:ascii="宋体" w:hAnsi="宋体" w:cs="宋体" w:eastAsia="宋体" w:hint="default"/>
                <w:sz w:val="18"/>
                <w:szCs w:val="18"/>
              </w:rPr>
            </w:pPr>
            <w:r>
              <w:rPr>
                <w:rFonts w:ascii="宋体" w:hAnsi="宋体" w:cs="宋体" w:eastAsia="宋体" w:hint="default"/>
                <w:sz w:val="18"/>
                <w:szCs w:val="18"/>
              </w:rPr>
              <w:t>（以下简称江西卓翼）</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一级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100%</w:t>
            </w:r>
          </w:p>
        </w:tc>
      </w:tr>
    </w:tbl>
    <w:p>
      <w:pPr>
        <w:spacing w:line="240" w:lineRule="auto" w:before="7"/>
        <w:rPr>
          <w:rFonts w:ascii="宋体" w:hAnsi="宋体" w:cs="宋体" w:eastAsia="宋体" w:hint="default"/>
          <w:sz w:val="12"/>
          <w:szCs w:val="12"/>
        </w:rPr>
      </w:pPr>
    </w:p>
    <w:p>
      <w:pPr>
        <w:pStyle w:val="BodyText"/>
        <w:spacing w:line="240" w:lineRule="auto" w:before="44"/>
        <w:ind w:left="634" w:right="0"/>
        <w:jc w:val="left"/>
      </w:pPr>
      <w:r>
        <w:rPr/>
        <w:t>本期纳入合并财务报表范围的主体与上年相同，未发生变化，具体信息详见</w:t>
      </w:r>
      <w:r>
        <w:rPr>
          <w:rFonts w:ascii="Times New Roman" w:hAnsi="Times New Roman" w:cs="Times New Roman" w:eastAsia="Times New Roman" w:hint="default"/>
        </w:rPr>
        <w:t>“</w:t>
      </w:r>
      <w:r>
        <w:rPr/>
        <w:t>第十一节、九、在其他主体中的权益</w:t>
      </w:r>
      <w:r>
        <w:rPr>
          <w:rFonts w:ascii="Times New Roman" w:hAnsi="Times New Roman" w:cs="Times New Roman" w:eastAsia="Times New Roman" w:hint="default"/>
        </w:rPr>
        <w:t>”</w:t>
      </w:r>
      <w:r>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7"/>
          <w:szCs w:val="17"/>
        </w:rPr>
      </w:pPr>
    </w:p>
    <w:p>
      <w:pPr>
        <w:pStyle w:val="Heading2"/>
        <w:spacing w:line="240" w:lineRule="auto"/>
        <w:ind w:right="0"/>
        <w:jc w:val="left"/>
        <w:rPr>
          <w:b w:val="0"/>
          <w:bCs w:val="0"/>
        </w:rPr>
      </w:pPr>
      <w:bookmarkStart w:name="四、财务报表的编制基础" w:id="168"/>
      <w:bookmarkEnd w:id="168"/>
      <w:r>
        <w:rPr>
          <w:b w:val="0"/>
          <w:bCs w:val="0"/>
        </w:rPr>
      </w:r>
      <w:r>
        <w:rPr/>
        <w:t>四、财务报表的编制基础</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编制基础" w:id="169"/>
      <w:bookmarkEnd w:id="169"/>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405"/>
        <w:jc w:val="left"/>
      </w:pPr>
      <w:r>
        <w:rPr/>
        <w:t>公司以持续经营为基础，根据实际发生的交易和事项，按照财政部颁布的《企业会计准则——基本准则》和具体企业 </w:t>
      </w:r>
      <w:r>
        <w:rPr>
          <w:spacing w:val="-2"/>
        </w:rPr>
        <w:t>会计准则、企业会计准则应用指南、企业会计准则解释及其他相关规定</w:t>
      </w:r>
      <w:r>
        <w:rPr>
          <w:rFonts w:ascii="宋体" w:hAnsi="宋体" w:cs="宋体" w:eastAsia="宋体" w:hint="default"/>
          <w:spacing w:val="-2"/>
        </w:rPr>
        <w:t>(</w:t>
      </w:r>
      <w:r>
        <w:rPr>
          <w:spacing w:val="-2"/>
        </w:rPr>
        <w:t>以下合称</w:t>
      </w:r>
      <w:r>
        <w:rPr>
          <w:rFonts w:ascii="Times New Roman" w:hAnsi="Times New Roman" w:cs="Times New Roman" w:eastAsia="Times New Roman" w:hint="default"/>
          <w:spacing w:val="-2"/>
        </w:rPr>
        <w:t>“</w:t>
      </w:r>
      <w:r>
        <w:rPr>
          <w:spacing w:val="-2"/>
        </w:rPr>
        <w:t>企业会计准则</w:t>
      </w:r>
      <w:r>
        <w:rPr>
          <w:rFonts w:ascii="Times New Roman" w:hAnsi="Times New Roman" w:cs="Times New Roman" w:eastAsia="Times New Roman" w:hint="default"/>
          <w:spacing w:val="-2"/>
        </w:rPr>
        <w:t>”</w:t>
      </w:r>
      <w:r>
        <w:rPr>
          <w:rFonts w:ascii="宋体" w:hAnsi="宋体" w:cs="宋体" w:eastAsia="宋体" w:hint="default"/>
          <w:spacing w:val="-2"/>
        </w:rPr>
        <w:t>)</w:t>
      </w:r>
      <w:r>
        <w:rPr>
          <w:spacing w:val="-2"/>
        </w:rPr>
        <w:t>以及中国证券监督管理委</w:t>
      </w:r>
    </w:p>
    <w:p>
      <w:pPr>
        <w:spacing w:after="0" w:line="477" w:lineRule="auto"/>
        <w:jc w:val="left"/>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240" w:lineRule="auto" w:before="44"/>
        <w:ind w:right="0"/>
        <w:jc w:val="left"/>
      </w:pPr>
      <w:r>
        <w:rPr/>
        <w:t>员会《公开发行证券的公司信息披露编报规则第</w:t>
      </w:r>
      <w:r>
        <w:rPr>
          <w:rFonts w:ascii="宋体" w:hAnsi="宋体" w:cs="宋体" w:eastAsia="宋体" w:hint="default"/>
        </w:rPr>
        <w:t>15</w:t>
      </w:r>
      <w:r>
        <w:rPr/>
        <w:t>号——财务报告的一般规定》的披露规定编制财务报表。</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2"/>
          <w:szCs w:val="22"/>
        </w:rPr>
      </w:pPr>
    </w:p>
    <w:p>
      <w:pPr>
        <w:pStyle w:val="Heading5"/>
        <w:spacing w:line="240" w:lineRule="auto"/>
        <w:ind w:left="154" w:right="0"/>
        <w:jc w:val="left"/>
        <w:rPr>
          <w:b w:val="0"/>
          <w:bCs w:val="0"/>
        </w:rPr>
      </w:pPr>
      <w:bookmarkStart w:name="2、持续经营" w:id="170"/>
      <w:bookmarkEnd w:id="170"/>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21"/>
          <w:szCs w:val="21"/>
        </w:rPr>
      </w:pPr>
    </w:p>
    <w:p>
      <w:pPr>
        <w:pStyle w:val="BodyText"/>
        <w:spacing w:line="477" w:lineRule="auto"/>
        <w:ind w:right="1152" w:firstLine="420"/>
        <w:jc w:val="left"/>
      </w:pPr>
      <w:r>
        <w:rPr/>
        <w:t>本公司对报告期末起</w:t>
      </w:r>
      <w:r>
        <w:rPr>
          <w:rFonts w:ascii="宋体" w:hAnsi="宋体" w:cs="宋体" w:eastAsia="宋体" w:hint="default"/>
        </w:rPr>
        <w:t>12</w:t>
      </w:r>
      <w:r>
        <w:rPr/>
        <w:t>个月的持续经营能力进行了评价，未发现对持续经营能力产生重大怀疑的事项或情况。因此， 本财务报表系在持续经营假设的基础上编制。</w:t>
      </w:r>
    </w:p>
    <w:p>
      <w:pPr>
        <w:spacing w:line="240" w:lineRule="auto" w:before="7"/>
        <w:rPr>
          <w:rFonts w:ascii="宋体" w:hAnsi="宋体" w:cs="宋体" w:eastAsia="宋体" w:hint="default"/>
          <w:sz w:val="17"/>
          <w:szCs w:val="17"/>
        </w:rPr>
      </w:pPr>
    </w:p>
    <w:p>
      <w:pPr>
        <w:pStyle w:val="Heading2"/>
        <w:spacing w:line="240" w:lineRule="auto"/>
        <w:ind w:right="0"/>
        <w:jc w:val="left"/>
        <w:rPr>
          <w:b w:val="0"/>
          <w:bCs w:val="0"/>
        </w:rPr>
      </w:pPr>
      <w:bookmarkStart w:name="五、重要会计政策及会计估计" w:id="171"/>
      <w:bookmarkEnd w:id="171"/>
      <w:r>
        <w:rPr>
          <w:b w:val="0"/>
          <w:bCs w:val="0"/>
        </w:rPr>
      </w:r>
      <w:r>
        <w:rPr/>
        <w:t>五、重要会计政策及会计估计</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7692"/>
        <w:jc w:val="left"/>
      </w:pPr>
      <w:r>
        <w:rPr/>
        <w:t>公司是否需要遵守特殊行业的披露要求 否</w:t>
      </w:r>
    </w:p>
    <w:p>
      <w:pPr>
        <w:pStyle w:val="BodyText"/>
        <w:spacing w:line="357" w:lineRule="auto" w:before="29"/>
        <w:ind w:right="8102"/>
        <w:jc w:val="left"/>
      </w:pPr>
      <w:r>
        <w:rPr/>
        <w:t>具体会计政策和会计估计提示：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1、遵循企业会计准则的声明" w:id="172"/>
      <w:bookmarkEnd w:id="172"/>
      <w:r>
        <w:rPr>
          <w:b w:val="0"/>
          <w:bCs w:val="0"/>
        </w:rPr>
      </w:r>
      <w:r>
        <w:rPr>
          <w:rFonts w:ascii="Times New Roman" w:hAnsi="Times New Roman" w:cs="Times New Roman" w:eastAsia="Times New Roman" w:hint="default"/>
        </w:rPr>
        <w:t>1</w:t>
      </w:r>
      <w:r>
        <w:rPr/>
        <w:t>、遵循企业会计准则的声明</w:t>
      </w:r>
      <w:r>
        <w:rPr>
          <w:b w:val="0"/>
          <w:bCs w:val="0"/>
        </w:rPr>
      </w:r>
    </w:p>
    <w:p>
      <w:pPr>
        <w:spacing w:line="240" w:lineRule="auto" w:before="7"/>
        <w:rPr>
          <w:rFonts w:ascii="宋体" w:hAnsi="宋体" w:cs="宋体" w:eastAsia="宋体" w:hint="default"/>
          <w:b/>
          <w:bCs/>
          <w:sz w:val="24"/>
          <w:szCs w:val="24"/>
        </w:rPr>
      </w:pPr>
    </w:p>
    <w:p>
      <w:pPr>
        <w:pStyle w:val="Heading4"/>
        <w:spacing w:line="273" w:lineRule="auto" w:before="0"/>
        <w:ind w:right="0"/>
        <w:jc w:val="left"/>
      </w:pPr>
      <w:r>
        <w:rPr>
          <w:spacing w:val="-1"/>
        </w:rPr>
        <w:t>本公司所编制的财务报表符合企业会计准则的要求，真实、完整地反映了报告期公司的财务状况、经营成</w:t>
      </w:r>
      <w:r>
        <w:rPr>
          <w:spacing w:val="-83"/>
        </w:rPr>
        <w:t> </w:t>
      </w:r>
      <w:r>
        <w:rPr>
          <w:spacing w:val="-83"/>
        </w:rPr>
      </w:r>
      <w:r>
        <w:rPr/>
        <w:t>果、现金流量等有关信息。</w:t>
      </w:r>
    </w:p>
    <w:p>
      <w:pPr>
        <w:spacing w:line="240" w:lineRule="auto" w:before="8"/>
        <w:rPr>
          <w:rFonts w:ascii="宋体" w:hAnsi="宋体" w:cs="宋体" w:eastAsia="宋体" w:hint="default"/>
          <w:sz w:val="23"/>
          <w:szCs w:val="23"/>
        </w:rPr>
      </w:pPr>
    </w:p>
    <w:p>
      <w:pPr>
        <w:spacing w:line="520" w:lineRule="auto" w:before="0"/>
        <w:ind w:left="154" w:right="6552" w:firstLine="0"/>
        <w:jc w:val="left"/>
        <w:rPr>
          <w:rFonts w:ascii="宋体" w:hAnsi="宋体" w:cs="宋体" w:eastAsia="宋体" w:hint="default"/>
          <w:sz w:val="21"/>
          <w:szCs w:val="21"/>
        </w:rPr>
      </w:pPr>
      <w:bookmarkStart w:name="2、会计期间" w:id="173"/>
      <w:bookmarkEnd w:id="173"/>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、会计期间</w:t>
      </w:r>
      <w:r>
        <w:rPr>
          <w:rFonts w:ascii="宋体" w:hAnsi="宋体" w:cs="宋体" w:eastAsia="宋体" w:hint="default"/>
          <w:b/>
          <w:bCs/>
          <w:w w:val="99"/>
          <w:sz w:val="21"/>
          <w:szCs w:val="21"/>
        </w:rPr>
        <w:t> </w:t>
      </w:r>
      <w:r>
        <w:rPr>
          <w:rFonts w:ascii="宋体" w:hAnsi="宋体" w:cs="宋体" w:eastAsia="宋体" w:hint="default"/>
          <w:sz w:val="21"/>
          <w:szCs w:val="21"/>
        </w:rPr>
        <w:t>自公历</w:t>
      </w:r>
      <w:r>
        <w:rPr>
          <w:rFonts w:ascii="宋体" w:hAnsi="宋体" w:cs="宋体" w:eastAsia="宋体" w:hint="default"/>
          <w:sz w:val="21"/>
          <w:szCs w:val="21"/>
        </w:rPr>
        <w:t>1</w:t>
      </w:r>
      <w:r>
        <w:rPr>
          <w:rFonts w:ascii="宋体" w:hAnsi="宋体" w:cs="宋体" w:eastAsia="宋体" w:hint="default"/>
          <w:sz w:val="21"/>
          <w:szCs w:val="21"/>
        </w:rPr>
        <w:t>月</w:t>
      </w:r>
      <w:r>
        <w:rPr>
          <w:rFonts w:ascii="宋体" w:hAnsi="宋体" w:cs="宋体" w:eastAsia="宋体" w:hint="default"/>
          <w:sz w:val="21"/>
          <w:szCs w:val="21"/>
        </w:rPr>
        <w:t>1</w:t>
      </w:r>
      <w:r>
        <w:rPr>
          <w:rFonts w:ascii="宋体" w:hAnsi="宋体" w:cs="宋体" w:eastAsia="宋体" w:hint="default"/>
          <w:sz w:val="21"/>
          <w:szCs w:val="21"/>
        </w:rPr>
        <w:t>日至</w:t>
      </w:r>
      <w:r>
        <w:rPr>
          <w:rFonts w:ascii="宋体" w:hAnsi="宋体" w:cs="宋体" w:eastAsia="宋体" w:hint="default"/>
          <w:sz w:val="21"/>
          <w:szCs w:val="21"/>
        </w:rPr>
        <w:t>12</w:t>
      </w:r>
      <w:r>
        <w:rPr>
          <w:rFonts w:ascii="宋体" w:hAnsi="宋体" w:cs="宋体" w:eastAsia="宋体" w:hint="default"/>
          <w:sz w:val="21"/>
          <w:szCs w:val="21"/>
        </w:rPr>
        <w:t>月</w:t>
      </w:r>
      <w:r>
        <w:rPr>
          <w:rFonts w:ascii="宋体" w:hAnsi="宋体" w:cs="宋体" w:eastAsia="宋体" w:hint="default"/>
          <w:sz w:val="21"/>
          <w:szCs w:val="21"/>
        </w:rPr>
        <w:t>31</w:t>
      </w:r>
      <w:r>
        <w:rPr>
          <w:rFonts w:ascii="宋体" w:hAnsi="宋体" w:cs="宋体" w:eastAsia="宋体" w:hint="default"/>
          <w:sz w:val="21"/>
          <w:szCs w:val="21"/>
        </w:rPr>
        <w:t>日止为一个会计年度。 </w:t>
      </w:r>
      <w:bookmarkStart w:name="3、营业周期" w:id="174"/>
      <w:bookmarkEnd w:id="174"/>
      <w:r>
        <w:rPr>
          <w:rFonts w:ascii="宋体" w:hAnsi="宋体" w:cs="宋体" w:eastAsia="宋体" w:hint="default"/>
          <w:sz w:val="21"/>
          <w:szCs w:val="21"/>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、营业周期</w:t>
      </w:r>
      <w:r>
        <w:rPr>
          <w:rFonts w:ascii="宋体" w:hAnsi="宋体" w:cs="宋体" w:eastAsia="宋体" w:hint="default"/>
          <w:sz w:val="21"/>
          <w:szCs w:val="21"/>
        </w:rPr>
      </w:r>
    </w:p>
    <w:p>
      <w:pPr>
        <w:pStyle w:val="BodyText"/>
        <w:spacing w:line="240" w:lineRule="auto" w:before="74"/>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记账本位币" w:id="175"/>
      <w:bookmarkEnd w:id="175"/>
      <w:r>
        <w:rPr>
          <w:b w:val="0"/>
          <w:bCs w:val="0"/>
        </w:rPr>
      </w:r>
      <w:r>
        <w:rPr>
          <w:rFonts w:ascii="Times New Roman" w:hAnsi="Times New Roman" w:cs="Times New Roman" w:eastAsia="Times New Roman" w:hint="default"/>
        </w:rPr>
        <w:t>4</w:t>
      </w:r>
      <w:r>
        <w:rPr/>
        <w:t>、记账本位币</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3012"/>
        <w:jc w:val="left"/>
      </w:pPr>
      <w:r>
        <w:rPr/>
        <w:t>采用人民币为记账本位币。 境外子公司以其经营所处的主要经济环境中的货币为记账本位币，编制财务报表时折算为人民币。</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8"/>
          <w:szCs w:val="18"/>
        </w:rPr>
      </w:pPr>
    </w:p>
    <w:p>
      <w:pPr>
        <w:pStyle w:val="Heading5"/>
        <w:spacing w:line="240" w:lineRule="auto"/>
        <w:ind w:right="0"/>
        <w:jc w:val="left"/>
        <w:rPr>
          <w:b w:val="0"/>
          <w:bCs w:val="0"/>
        </w:rPr>
      </w:pPr>
      <w:bookmarkStart w:name="5、同一控制下和非同一控制下企业合并的会计处理方法" w:id="176"/>
      <w:bookmarkEnd w:id="176"/>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0"/>
        <w:rPr>
          <w:rFonts w:ascii="宋体" w:hAnsi="宋体" w:cs="宋体" w:eastAsia="宋体" w:hint="default"/>
          <w:b/>
          <w:bCs/>
          <w:sz w:val="18"/>
          <w:szCs w:val="18"/>
        </w:rPr>
      </w:pPr>
    </w:p>
    <w:p>
      <w:pPr>
        <w:spacing w:line="240" w:lineRule="auto" w:before="8"/>
        <w:rPr>
          <w:rFonts w:ascii="宋体" w:hAnsi="宋体" w:cs="宋体" w:eastAsia="宋体" w:hint="default"/>
          <w:b/>
          <w:bCs/>
          <w:sz w:val="21"/>
          <w:szCs w:val="21"/>
        </w:rPr>
      </w:pPr>
    </w:p>
    <w:p>
      <w:pPr>
        <w:pStyle w:val="Heading5"/>
        <w:spacing w:line="477" w:lineRule="auto"/>
        <w:ind w:left="154" w:right="0" w:firstLine="632"/>
        <w:jc w:val="left"/>
        <w:rPr>
          <w:b w:val="0"/>
          <w:bCs w:val="0"/>
        </w:rPr>
      </w:pPr>
      <w:r>
        <w:rPr>
          <w:rFonts w:ascii="宋体" w:hAnsi="宋体" w:cs="宋体" w:eastAsia="宋体" w:hint="default"/>
          <w:w w:val="95"/>
        </w:rPr>
        <w:t>1.</w:t>
      </w:r>
      <w:r>
        <w:rPr>
          <w:w w:val="95"/>
        </w:rPr>
        <w:t>分步实现企业合并过程中的各项交易的条款、条件以及经济影响符合以下一种或多种情况，将多次交易事项作为</w:t>
      </w:r>
      <w:r>
        <w:rPr>
          <w:w w:val="99"/>
        </w:rPr>
        <w:t> </w:t>
      </w:r>
      <w:r>
        <w:rPr/>
        <w:t>一揽子交易进行会计处理：</w:t>
      </w:r>
      <w:r>
        <w:rPr>
          <w:b w:val="0"/>
          <w:bCs w:val="0"/>
        </w:rPr>
      </w:r>
    </w:p>
    <w:p>
      <w:pPr>
        <w:pStyle w:val="BodyText"/>
        <w:spacing w:line="240" w:lineRule="auto" w:before="54"/>
        <w:ind w:left="694" w:right="0"/>
        <w:jc w:val="left"/>
      </w:pPr>
      <w:r>
        <w:rPr/>
        <w:t>（</w:t>
      </w:r>
      <w:r>
        <w:rPr>
          <w:rFonts w:ascii="宋体" w:hAnsi="宋体" w:cs="宋体" w:eastAsia="宋体" w:hint="default"/>
        </w:rPr>
        <w:t>1</w:t>
      </w:r>
      <w:r>
        <w:rPr/>
        <w:t>）这些交易是同时或者在考虑了彼此影响的情况下订立的；</w:t>
      </w:r>
    </w:p>
    <w:p>
      <w:pPr>
        <w:spacing w:line="240" w:lineRule="auto" w:before="10"/>
        <w:rPr>
          <w:rFonts w:ascii="宋体" w:hAnsi="宋体" w:cs="宋体" w:eastAsia="宋体" w:hint="default"/>
          <w:sz w:val="17"/>
          <w:szCs w:val="17"/>
        </w:rPr>
      </w:pPr>
    </w:p>
    <w:p>
      <w:pPr>
        <w:pStyle w:val="BodyText"/>
        <w:spacing w:line="240" w:lineRule="auto"/>
        <w:ind w:left="694" w:right="0"/>
        <w:jc w:val="left"/>
      </w:pPr>
      <w:r>
        <w:rPr/>
        <w:t>（</w:t>
      </w:r>
      <w:r>
        <w:rPr>
          <w:rFonts w:ascii="宋体" w:hAnsi="宋体" w:cs="宋体" w:eastAsia="宋体" w:hint="default"/>
        </w:rPr>
        <w:t>2</w:t>
      </w:r>
      <w:r>
        <w:rPr/>
        <w:t>）这些交易整体才能达成一项完整的商业结果；</w:t>
      </w:r>
    </w:p>
    <w:p>
      <w:pPr>
        <w:spacing w:line="240" w:lineRule="auto" w:before="10"/>
        <w:rPr>
          <w:rFonts w:ascii="宋体" w:hAnsi="宋体" w:cs="宋体" w:eastAsia="宋体" w:hint="default"/>
          <w:sz w:val="17"/>
          <w:szCs w:val="17"/>
        </w:rPr>
      </w:pPr>
    </w:p>
    <w:p>
      <w:pPr>
        <w:pStyle w:val="BodyText"/>
        <w:spacing w:line="240" w:lineRule="auto"/>
        <w:ind w:left="694" w:right="0"/>
        <w:jc w:val="left"/>
      </w:pPr>
      <w:r>
        <w:rPr/>
        <w:t>（</w:t>
      </w:r>
      <w:r>
        <w:rPr>
          <w:rFonts w:ascii="宋体" w:hAnsi="宋体" w:cs="宋体" w:eastAsia="宋体" w:hint="default"/>
        </w:rPr>
        <w:t>3</w:t>
      </w:r>
      <w:r>
        <w:rPr/>
        <w:t>）一项交易的发生取决于其他至少一项交易的发生；</w:t>
      </w:r>
    </w:p>
    <w:p>
      <w:pPr>
        <w:spacing w:after="0" w:line="240" w:lineRule="auto"/>
        <w:jc w:val="left"/>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spacing w:line="477" w:lineRule="auto" w:before="44"/>
        <w:ind w:left="515" w:right="4362" w:firstLine="179"/>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）一项交易单独看是不经济的，但是和其他交易一并考虑时是经济的。 </w:t>
      </w:r>
      <w:r>
        <w:rPr>
          <w:rFonts w:ascii="宋体" w:hAnsi="宋体" w:cs="宋体" w:eastAsia="宋体" w:hint="default"/>
          <w:b/>
          <w:bCs/>
          <w:sz w:val="18"/>
          <w:szCs w:val="18"/>
        </w:rPr>
        <w:t>2.</w:t>
      </w:r>
      <w:r>
        <w:rPr>
          <w:rFonts w:ascii="宋体" w:hAnsi="宋体" w:cs="宋体" w:eastAsia="宋体" w:hint="default"/>
          <w:b/>
          <w:bCs/>
          <w:sz w:val="18"/>
          <w:szCs w:val="18"/>
        </w:rPr>
        <w:t>同一控制下的企业合并</w:t>
      </w:r>
      <w:r>
        <w:rPr>
          <w:rFonts w:ascii="宋体" w:hAnsi="宋体" w:cs="宋体" w:eastAsia="宋体" w:hint="default"/>
          <w:sz w:val="18"/>
          <w:szCs w:val="18"/>
        </w:rPr>
      </w:r>
    </w:p>
    <w:p>
      <w:pPr>
        <w:pStyle w:val="BodyText"/>
        <w:spacing w:line="477" w:lineRule="auto" w:before="54"/>
        <w:ind w:right="1133" w:firstLine="360"/>
        <w:jc w:val="both"/>
      </w:pPr>
      <w:r>
        <w:rPr>
          <w:spacing w:val="-2"/>
        </w:rPr>
        <w:t>本公司在企业合并中取得的资产和负债，按照合并日在被合并方资产、负债（包括最终控制方收购被合并方而形成的商</w:t>
      </w:r>
      <w:r>
        <w:rPr/>
        <w:t> </w:t>
      </w:r>
      <w:r>
        <w:rPr>
          <w:spacing w:val="-2"/>
        </w:rPr>
        <w:t>誉）在最终控制方合并财务报表中的账面价值计量。在合并中取得的净资产账面价值与支付的合并对价账面价值（或发行股</w:t>
      </w:r>
      <w:r>
        <w:rPr>
          <w:spacing w:val="-66"/>
        </w:rPr>
        <w:t> </w:t>
      </w:r>
      <w:r>
        <w:rPr>
          <w:spacing w:val="-66"/>
        </w:rPr>
      </w:r>
      <w:r>
        <w:rPr/>
        <w:t>份面值总额）的差额，调整资本公积中的股本溢价，资本公积中的股本溢价不足冲减的，调整留存收益。</w:t>
      </w:r>
    </w:p>
    <w:p>
      <w:pPr>
        <w:pStyle w:val="BodyText"/>
        <w:spacing w:line="240" w:lineRule="auto" w:before="54"/>
        <w:ind w:left="514" w:right="0"/>
        <w:jc w:val="left"/>
      </w:pPr>
      <w:r>
        <w:rPr/>
        <w:t>如果存在或有对价并需要确认预计负债或资产，该预计负债或资产金额与后续或有对价结算金额的差额，调整资本公积</w:t>
      </w:r>
    </w:p>
    <w:p>
      <w:pPr>
        <w:spacing w:line="240" w:lineRule="auto" w:before="10"/>
        <w:rPr>
          <w:rFonts w:ascii="宋体" w:hAnsi="宋体" w:cs="宋体" w:eastAsia="宋体" w:hint="default"/>
          <w:sz w:val="17"/>
          <w:szCs w:val="17"/>
        </w:rPr>
      </w:pPr>
    </w:p>
    <w:p>
      <w:pPr>
        <w:pStyle w:val="BodyText"/>
        <w:spacing w:line="477" w:lineRule="auto"/>
        <w:ind w:left="514" w:right="0" w:hanging="360"/>
        <w:jc w:val="left"/>
      </w:pPr>
      <w:r>
        <w:rPr>
          <w:spacing w:val="-4"/>
        </w:rPr>
        <w:t>（资本溢价或股本溢价），资本公积不足的，调整留存收益。</w:t>
      </w:r>
      <w:r>
        <w:rPr>
          <w:spacing w:val="-72"/>
        </w:rPr>
        <w:t> </w:t>
      </w:r>
      <w:r>
        <w:rPr>
          <w:spacing w:val="-72"/>
        </w:rPr>
      </w:r>
      <w:r>
        <w:rPr>
          <w:spacing w:val="-2"/>
        </w:rPr>
        <w:t>对于通过多次交易最终实现企业合并的，属于一揽子交易的，将各项交易作为一项取得控制权的交易进行会计处理；不</w:t>
      </w:r>
    </w:p>
    <w:p>
      <w:pPr>
        <w:pStyle w:val="BodyText"/>
        <w:spacing w:line="477" w:lineRule="auto" w:before="54"/>
        <w:ind w:right="1043"/>
        <w:jc w:val="both"/>
      </w:pPr>
      <w:r>
        <w:rPr>
          <w:spacing w:val="-2"/>
        </w:rPr>
        <w:t>属于一揽子交易的，在取得控制权日，长期股权投资初始投资成本，与达到合并前的长期股权投资账面价值加上合并日进一</w:t>
      </w:r>
      <w:r>
        <w:rPr>
          <w:spacing w:val="-66"/>
        </w:rPr>
        <w:t> </w:t>
      </w:r>
      <w:r>
        <w:rPr>
          <w:spacing w:val="-66"/>
        </w:rPr>
      </w:r>
      <w:r>
        <w:rPr>
          <w:spacing w:val="-2"/>
        </w:rPr>
        <w:t>步取得股份新支付对价的账面价值之和的差额，调整资本公积；资本公积不足冲减的，调整留存收益。对于合并日之前持有</w:t>
      </w:r>
      <w:r>
        <w:rPr>
          <w:spacing w:val="-66"/>
        </w:rPr>
        <w:t> </w:t>
      </w:r>
      <w:r>
        <w:rPr>
          <w:spacing w:val="-66"/>
        </w:rPr>
      </w:r>
      <w:r>
        <w:rPr>
          <w:spacing w:val="-2"/>
        </w:rPr>
        <w:t>的股权投资，因采用权益法核算或金融工具确认和计量准则核算而确认的其他综合收益，暂不进行会计处理，直至处置该项</w:t>
      </w:r>
      <w:r>
        <w:rPr>
          <w:spacing w:val="-66"/>
        </w:rPr>
        <w:t> </w:t>
      </w:r>
      <w:r>
        <w:rPr>
          <w:spacing w:val="-66"/>
        </w:rPr>
      </w:r>
      <w:r>
        <w:rPr>
          <w:spacing w:val="-2"/>
        </w:rPr>
        <w:t>投资时采用与被投资单位直接处置相关资产或负债相同的基础进行会计处理；因采用权益法核算而确认的被投资单位净资产</w:t>
      </w:r>
      <w:r>
        <w:rPr>
          <w:spacing w:val="-64"/>
        </w:rPr>
        <w:t> </w:t>
      </w:r>
      <w:r>
        <w:rPr>
          <w:spacing w:val="-64"/>
        </w:rPr>
      </w:r>
      <w:r>
        <w:rPr>
          <w:spacing w:val="-4"/>
        </w:rPr>
        <w:t>中除净损益、其他综合收益和利润分配以外的所有者权益其他变动，暂不进行会计处理，直至处置该项投资时转入当期损益。</w:t>
      </w:r>
    </w:p>
    <w:p>
      <w:pPr>
        <w:spacing w:line="477" w:lineRule="auto" w:before="54"/>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3.</w:t>
      </w:r>
      <w:r>
        <w:rPr>
          <w:rFonts w:ascii="宋体" w:hAnsi="宋体" w:cs="宋体" w:eastAsia="宋体" w:hint="default"/>
          <w:b/>
          <w:bCs/>
          <w:sz w:val="18"/>
          <w:szCs w:val="18"/>
        </w:rPr>
        <w:t>非同一控制下的企业合并</w:t>
      </w:r>
      <w:r>
        <w:rPr>
          <w:rFonts w:ascii="宋体" w:hAnsi="宋体" w:cs="宋体" w:eastAsia="宋体" w:hint="default"/>
          <w:b/>
          <w:bCs/>
          <w:w w:val="99"/>
          <w:sz w:val="18"/>
          <w:szCs w:val="18"/>
        </w:rPr>
        <w:t> </w:t>
      </w:r>
      <w:r>
        <w:rPr>
          <w:rFonts w:ascii="宋体" w:hAnsi="宋体" w:cs="宋体" w:eastAsia="宋体" w:hint="default"/>
          <w:spacing w:val="-4"/>
          <w:sz w:val="18"/>
          <w:szCs w:val="18"/>
        </w:rPr>
        <w:t>本公司在购买日对作为企业合并对价付出的资产、发生或承担的负债按照公允价值计量，公允价值与其账面价值的差额，</w:t>
      </w:r>
    </w:p>
    <w:p>
      <w:pPr>
        <w:pStyle w:val="BodyText"/>
        <w:spacing w:line="477" w:lineRule="auto" w:before="54"/>
        <w:ind w:left="514" w:right="1118" w:hanging="360"/>
        <w:jc w:val="left"/>
      </w:pPr>
      <w:r>
        <w:rPr/>
        <w:t>计入当期损益。 </w:t>
      </w:r>
      <w:r>
        <w:rPr>
          <w:spacing w:val="-2"/>
        </w:rPr>
        <w:t>本公司对合并成本大于合并中取得的被购买方可辨认净资产公允价值份额的差额，确认为商誉；合并成本小于合并中取</w:t>
      </w:r>
    </w:p>
    <w:p>
      <w:pPr>
        <w:pStyle w:val="BodyText"/>
        <w:spacing w:line="477" w:lineRule="auto" w:before="54"/>
        <w:ind w:left="514" w:right="0" w:hanging="360"/>
        <w:jc w:val="left"/>
      </w:pPr>
      <w:r>
        <w:rPr/>
        <w:t>得的被购买方可辨认净资产公允价值份额的差额，经复核后，计入当期损益。 </w:t>
      </w:r>
      <w:r>
        <w:rPr>
          <w:spacing w:val="-2"/>
        </w:rPr>
        <w:t>通过多次交换交易分步实现的非同一控制下企业合并，属于一揽子交易的，将各项交易作为一项取得控制权的交易进行</w:t>
      </w:r>
    </w:p>
    <w:p>
      <w:pPr>
        <w:pStyle w:val="BodyText"/>
        <w:spacing w:line="477" w:lineRule="auto" w:before="54"/>
        <w:ind w:right="1131"/>
        <w:jc w:val="both"/>
      </w:pPr>
      <w:r>
        <w:rPr>
          <w:spacing w:val="-2"/>
        </w:rPr>
        <w:t>会计处理；不属于一揽子交易的，合并日之前持有的股权投资采用权益法核算的，以购买日之前所持被购买方的股权投资的</w:t>
      </w:r>
      <w:r>
        <w:rPr>
          <w:spacing w:val="-66"/>
        </w:rPr>
        <w:t> </w:t>
      </w:r>
      <w:r>
        <w:rPr>
          <w:spacing w:val="-66"/>
        </w:rPr>
      </w:r>
      <w:r>
        <w:rPr>
          <w:spacing w:val="-2"/>
        </w:rPr>
        <w:t>账面价值与购买日新增投资成本之和，作为该项投资的初始投资成本；购买日之前持有的股权投资因采用权益法核算而确认</w:t>
      </w:r>
      <w:r>
        <w:rPr>
          <w:spacing w:val="-64"/>
        </w:rPr>
        <w:t> </w:t>
      </w:r>
      <w:r>
        <w:rPr>
          <w:spacing w:val="-64"/>
        </w:rPr>
      </w:r>
      <w:r>
        <w:rPr>
          <w:spacing w:val="-2"/>
        </w:rPr>
        <w:t>的其他综合收益，在处置该项投资时采用与被投资单位直接处置相关资产或负债相同的基础进行会计处理。合并日之前持有</w:t>
      </w:r>
      <w:r>
        <w:rPr>
          <w:spacing w:val="-64"/>
        </w:rPr>
        <w:t> </w:t>
      </w:r>
      <w:r>
        <w:rPr>
          <w:spacing w:val="-64"/>
        </w:rPr>
      </w:r>
      <w:r>
        <w:rPr>
          <w:spacing w:val="-2"/>
        </w:rPr>
        <w:t>的股权投资采用金融工具确认和计量准则核算的，以该股权投资在合并日的公允价值加上新增投资成本之和，作为合并日的</w:t>
      </w:r>
      <w:r>
        <w:rPr>
          <w:spacing w:val="-64"/>
        </w:rPr>
        <w:t> </w:t>
      </w:r>
      <w:r>
        <w:rPr>
          <w:spacing w:val="-64"/>
        </w:rPr>
      </w:r>
      <w:r>
        <w:rPr>
          <w:spacing w:val="-2"/>
        </w:rPr>
        <w:t>初始投资成本。原持有股权的公允价值与账面价值之间的差额以及原计入其他综合收益的累计公允价值变动应全部转入合并</w:t>
      </w:r>
      <w:r>
        <w:rPr>
          <w:spacing w:val="-64"/>
        </w:rPr>
        <w:t> </w:t>
      </w:r>
      <w:r>
        <w:rPr>
          <w:spacing w:val="-64"/>
        </w:rPr>
      </w:r>
      <w:r>
        <w:rPr/>
        <w:t>日当期的投资收益。</w:t>
      </w:r>
    </w:p>
    <w:p>
      <w:pPr>
        <w:spacing w:line="477" w:lineRule="auto" w:before="54"/>
        <w:ind w:left="874" w:right="0" w:hanging="360"/>
        <w:jc w:val="left"/>
        <w:rPr>
          <w:rFonts w:ascii="宋体" w:hAnsi="宋体" w:cs="宋体" w:eastAsia="宋体" w:hint="default"/>
          <w:sz w:val="18"/>
          <w:szCs w:val="18"/>
        </w:rPr>
      </w:pPr>
      <w:r>
        <w:rPr>
          <w:rFonts w:ascii="宋体" w:hAnsi="宋体" w:cs="宋体" w:eastAsia="宋体" w:hint="default"/>
          <w:b/>
          <w:bCs/>
          <w:sz w:val="18"/>
          <w:szCs w:val="18"/>
        </w:rPr>
        <w:t>4.</w:t>
      </w:r>
      <w:r>
        <w:rPr>
          <w:rFonts w:ascii="宋体" w:hAnsi="宋体" w:cs="宋体" w:eastAsia="宋体" w:hint="default"/>
          <w:b/>
          <w:bCs/>
          <w:sz w:val="18"/>
          <w:szCs w:val="18"/>
        </w:rPr>
        <w:t>为合并发生的相关费用</w:t>
      </w:r>
      <w:r>
        <w:rPr>
          <w:rFonts w:ascii="宋体" w:hAnsi="宋体" w:cs="宋体" w:eastAsia="宋体" w:hint="default"/>
          <w:b/>
          <w:bCs/>
          <w:w w:val="99"/>
          <w:sz w:val="18"/>
          <w:szCs w:val="18"/>
        </w:rPr>
        <w:t> </w:t>
      </w:r>
      <w:r>
        <w:rPr>
          <w:rFonts w:ascii="宋体" w:hAnsi="宋体" w:cs="宋体" w:eastAsia="宋体" w:hint="default"/>
          <w:spacing w:val="-2"/>
          <w:sz w:val="18"/>
          <w:szCs w:val="18"/>
        </w:rPr>
        <w:t>为企业合并发生的审计、法律服务、评估咨询等中介费用以及其他直接相关费用，于发生时计入当期损益；为企业</w:t>
      </w:r>
    </w:p>
    <w:p>
      <w:pPr>
        <w:pStyle w:val="BodyText"/>
        <w:spacing w:line="240" w:lineRule="auto" w:before="54"/>
        <w:ind w:right="0"/>
        <w:jc w:val="both"/>
      </w:pPr>
      <w:r>
        <w:rPr/>
        <w:t>合并而发行权益性证券的交易费用，可直接归属于权益性交易的从权益中扣减。</w:t>
      </w:r>
    </w:p>
    <w:p>
      <w:pPr>
        <w:spacing w:after="0" w:line="240" w:lineRule="auto"/>
        <w:jc w:val="both"/>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Heading5"/>
        <w:spacing w:line="240" w:lineRule="auto" w:before="44"/>
        <w:ind w:right="0"/>
        <w:jc w:val="left"/>
        <w:rPr>
          <w:b w:val="0"/>
          <w:bCs w:val="0"/>
        </w:rPr>
      </w:pPr>
      <w:bookmarkStart w:name="6、合并财务报表的编制方法" w:id="177"/>
      <w:bookmarkEnd w:id="177"/>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0"/>
        <w:rPr>
          <w:rFonts w:ascii="宋体" w:hAnsi="宋体" w:cs="宋体" w:eastAsia="宋体" w:hint="default"/>
          <w:b/>
          <w:bCs/>
          <w:sz w:val="18"/>
          <w:szCs w:val="18"/>
        </w:rPr>
      </w:pPr>
    </w:p>
    <w:p>
      <w:pPr>
        <w:spacing w:line="240" w:lineRule="auto" w:before="8"/>
        <w:rPr>
          <w:rFonts w:ascii="宋体" w:hAnsi="宋体" w:cs="宋体" w:eastAsia="宋体" w:hint="default"/>
          <w:b/>
          <w:bCs/>
          <w:sz w:val="21"/>
          <w:szCs w:val="21"/>
        </w:rPr>
      </w:pPr>
    </w:p>
    <w:p>
      <w:pPr>
        <w:pStyle w:val="BodyText"/>
        <w:spacing w:line="477" w:lineRule="auto"/>
        <w:ind w:left="514" w:right="0" w:firstLine="541"/>
        <w:jc w:val="left"/>
      </w:pPr>
      <w:r>
        <w:rPr>
          <w:rFonts w:ascii="宋体" w:hAnsi="宋体" w:cs="宋体" w:eastAsia="宋体" w:hint="default"/>
          <w:b/>
          <w:bCs/>
        </w:rPr>
        <w:t>1.</w:t>
      </w:r>
      <w:r>
        <w:rPr>
          <w:rFonts w:ascii="宋体" w:hAnsi="宋体" w:cs="宋体" w:eastAsia="宋体" w:hint="default"/>
          <w:b/>
          <w:bCs/>
        </w:rPr>
        <w:t>合并范围</w:t>
      </w:r>
      <w:r>
        <w:rPr>
          <w:rFonts w:ascii="宋体" w:hAnsi="宋体" w:cs="宋体" w:eastAsia="宋体" w:hint="default"/>
          <w:b/>
          <w:bCs/>
          <w:w w:val="99"/>
        </w:rPr>
        <w:t> </w:t>
      </w:r>
      <w:r>
        <w:rPr>
          <w:spacing w:val="-4"/>
        </w:rPr>
        <w:t>本公司合并财务报表的合并范围以控制为基础确定，所有子公司（包括本公司所控制的单独主体）均纳入合并财务报表。</w:t>
      </w:r>
    </w:p>
    <w:p>
      <w:pPr>
        <w:pStyle w:val="BodyText"/>
        <w:spacing w:line="477" w:lineRule="auto" w:before="54"/>
        <w:ind w:left="514" w:right="0" w:firstLine="454"/>
        <w:jc w:val="left"/>
      </w:pPr>
      <w:r>
        <w:rPr>
          <w:rFonts w:ascii="宋体" w:hAnsi="宋体" w:cs="宋体" w:eastAsia="宋体" w:hint="default"/>
          <w:b/>
          <w:bCs/>
        </w:rPr>
        <w:t>2.</w:t>
      </w:r>
      <w:r>
        <w:rPr>
          <w:rFonts w:ascii="宋体" w:hAnsi="宋体" w:cs="宋体" w:eastAsia="宋体" w:hint="default"/>
          <w:b/>
          <w:bCs/>
        </w:rPr>
        <w:t>合并程序</w:t>
      </w:r>
      <w:r>
        <w:rPr>
          <w:rFonts w:ascii="宋体" w:hAnsi="宋体" w:cs="宋体" w:eastAsia="宋体" w:hint="default"/>
          <w:b/>
          <w:bCs/>
          <w:w w:val="99"/>
        </w:rPr>
        <w:t> </w:t>
      </w:r>
      <w:r>
        <w:rPr>
          <w:spacing w:val="-2"/>
        </w:rPr>
        <w:t>本公司以自身和各子公司的财务报表为基础，根据其他有关资料，编制合并财务报表。本公司编制合并财务报表，将整</w:t>
      </w:r>
    </w:p>
    <w:p>
      <w:pPr>
        <w:pStyle w:val="BodyText"/>
        <w:spacing w:line="477" w:lineRule="auto" w:before="54"/>
        <w:ind w:right="0"/>
        <w:jc w:val="left"/>
      </w:pPr>
      <w:r>
        <w:rPr>
          <w:spacing w:val="-2"/>
        </w:rPr>
        <w:t>个企业集团视为一个会计主体，依据相关企业会计准则的确认、计量和列报要求，按照统一的会计政策，反映本企业集团整</w:t>
      </w:r>
      <w:r>
        <w:rPr>
          <w:spacing w:val="-66"/>
        </w:rPr>
        <w:t> </w:t>
      </w:r>
      <w:r>
        <w:rPr>
          <w:spacing w:val="-66"/>
        </w:rPr>
      </w:r>
      <w:r>
        <w:rPr/>
        <w:t>体财务状况、经营成果和现金流量。</w:t>
      </w:r>
    </w:p>
    <w:p>
      <w:pPr>
        <w:pStyle w:val="BodyText"/>
        <w:spacing w:line="477" w:lineRule="auto" w:before="54"/>
        <w:ind w:right="1133" w:firstLine="360"/>
        <w:jc w:val="both"/>
      </w:pPr>
      <w:r>
        <w:rPr>
          <w:spacing w:val="-2"/>
        </w:rPr>
        <w:t>所有纳入合并财务报表合并范围的子公司所采用的会计政策、会计期间与本公司一致，如子公司采用的会计政策、会计</w:t>
      </w:r>
      <w:r>
        <w:rPr/>
        <w:t> 期间与本公司不一致的，在编制合并财务报表时，按本公司的会计政策、会计期间进行必要的调整。</w:t>
      </w:r>
    </w:p>
    <w:p>
      <w:pPr>
        <w:pStyle w:val="BodyText"/>
        <w:spacing w:line="477" w:lineRule="auto" w:before="54"/>
        <w:ind w:right="1132" w:firstLine="360"/>
        <w:jc w:val="both"/>
      </w:pPr>
      <w:r>
        <w:rPr>
          <w:spacing w:val="-2"/>
        </w:rPr>
        <w:t>合并财务报表时抵销本公司与各子公司、各子公司相互之间发生的内部交易对合并资产负债表、合并利润表、合并现金</w:t>
      </w:r>
      <w:r>
        <w:rPr/>
        <w:t> </w:t>
      </w:r>
      <w:r>
        <w:rPr>
          <w:spacing w:val="-2"/>
        </w:rPr>
        <w:t>流量表、合并股东权益变动表的影响。如果站在企业集团合并财务报表角度与以本公司或子公司为会计主体对同一交易的认</w:t>
      </w:r>
      <w:r>
        <w:rPr>
          <w:spacing w:val="-64"/>
        </w:rPr>
        <w:t> </w:t>
      </w:r>
      <w:r>
        <w:rPr>
          <w:spacing w:val="-64"/>
        </w:rPr>
      </w:r>
      <w:r>
        <w:rPr/>
        <w:t>定不同时，从企业集团的角度对该交易予以调整。</w:t>
      </w:r>
    </w:p>
    <w:p>
      <w:pPr>
        <w:pStyle w:val="BodyText"/>
        <w:spacing w:line="477" w:lineRule="auto" w:before="54"/>
        <w:ind w:right="1130" w:firstLine="360"/>
        <w:jc w:val="both"/>
      </w:pPr>
      <w:r>
        <w:rPr>
          <w:spacing w:val="-2"/>
        </w:rPr>
        <w:t>子公司所有者权益、当期净损益和当期综合收益中属于少数股东的份额分别在合并资产负债表中所有者权益项目下、合</w:t>
      </w:r>
      <w:r>
        <w:rPr/>
        <w:t> </w:t>
      </w:r>
      <w:r>
        <w:rPr>
          <w:spacing w:val="-2"/>
        </w:rPr>
        <w:t>并利润表中净利润项目下和综合收益总额项目下单独列示。子公司少数股东分担的当期亏损超过了少数股东在该子公司期初</w:t>
      </w:r>
      <w:r>
        <w:rPr>
          <w:spacing w:val="-63"/>
        </w:rPr>
        <w:t> </w:t>
      </w:r>
      <w:r>
        <w:rPr>
          <w:spacing w:val="-63"/>
        </w:rPr>
      </w:r>
      <w:r>
        <w:rPr/>
        <w:t>所有者权益中所享有份额而形成的余额，冲减少数股东权益。</w:t>
      </w:r>
    </w:p>
    <w:p>
      <w:pPr>
        <w:pStyle w:val="BodyText"/>
        <w:spacing w:line="477" w:lineRule="auto" w:before="54"/>
        <w:ind w:right="1131" w:firstLine="360"/>
        <w:jc w:val="both"/>
      </w:pPr>
      <w:r>
        <w:rPr>
          <w:spacing w:val="-2"/>
        </w:rPr>
        <w:t>对于同一控制下企业合并取得的子公司，以其资产、负债（包括最终控制方收购该子公司而形成的商誉）在最终控制方</w:t>
      </w:r>
      <w:r>
        <w:rPr/>
        <w:t> 财务报表中的账面价值为基础对其财务报表进行调整。</w:t>
      </w:r>
    </w:p>
    <w:p>
      <w:pPr>
        <w:pStyle w:val="BodyText"/>
        <w:spacing w:line="240" w:lineRule="auto" w:before="54"/>
        <w:ind w:left="514" w:right="0"/>
        <w:jc w:val="left"/>
      </w:pPr>
      <w:r>
        <w:rPr/>
        <w:t>对于非同一控制下企业合并取得的子公司，以购买日可辨认净资产公允价值为基础对其财务报表进行调整。</w:t>
      </w:r>
    </w:p>
    <w:p>
      <w:pPr>
        <w:spacing w:line="240" w:lineRule="auto" w:before="10"/>
        <w:rPr>
          <w:rFonts w:ascii="宋体" w:hAnsi="宋体" w:cs="宋体" w:eastAsia="宋体" w:hint="default"/>
          <w:sz w:val="17"/>
          <w:szCs w:val="17"/>
        </w:rPr>
      </w:pPr>
    </w:p>
    <w:p>
      <w:pPr>
        <w:pStyle w:val="BodyText"/>
        <w:spacing w:line="477" w:lineRule="auto"/>
        <w:ind w:left="514" w:right="0" w:firstLine="330"/>
        <w:jc w:val="left"/>
      </w:pPr>
      <w:r>
        <w:rPr/>
        <w:t>（</w:t>
      </w:r>
      <w:r>
        <w:rPr>
          <w:rFonts w:ascii="宋体" w:hAnsi="宋体" w:cs="宋体" w:eastAsia="宋体" w:hint="default"/>
        </w:rPr>
        <w:t>1</w:t>
      </w:r>
      <w:r>
        <w:rPr/>
        <w:t>）增加子公司或业务 </w:t>
      </w:r>
      <w:r>
        <w:rPr>
          <w:spacing w:val="-2"/>
        </w:rPr>
        <w:t>在报告期内，若因同一控制下企业合并增加子公司或业务的，则调整合并资产负债表的期初数；将子公司或业务合并当</w:t>
      </w:r>
    </w:p>
    <w:p>
      <w:pPr>
        <w:pStyle w:val="BodyText"/>
        <w:spacing w:line="477" w:lineRule="auto" w:before="54"/>
        <w:ind w:right="0"/>
        <w:jc w:val="left"/>
      </w:pPr>
      <w:r>
        <w:rPr>
          <w:spacing w:val="-2"/>
        </w:rPr>
        <w:t>期期初至报告期末的收入、费用、利润纳入合并利润表；将子公司或业务合并当期期初至报告期末的现金流量纳入合并现金</w:t>
      </w:r>
      <w:r>
        <w:rPr>
          <w:spacing w:val="-65"/>
        </w:rPr>
        <w:t> </w:t>
      </w:r>
      <w:r>
        <w:rPr>
          <w:spacing w:val="-65"/>
        </w:rPr>
      </w:r>
      <w:r>
        <w:rPr/>
        <w:t>流量表，同时对比较报表的相关项目进行调整，视同合并后的报告主体自最终控制方开始控制时点起一直存在。</w:t>
      </w:r>
    </w:p>
    <w:p>
      <w:pPr>
        <w:pStyle w:val="BodyText"/>
        <w:spacing w:line="477" w:lineRule="auto" w:before="54"/>
        <w:ind w:right="1131" w:firstLine="360"/>
        <w:jc w:val="both"/>
      </w:pPr>
      <w:r>
        <w:rPr>
          <w:spacing w:val="-2"/>
        </w:rPr>
        <w:t>因追加投资等原因能够对同一控制下的被投资方实施控制的，视同参与合并的各方在最终控制方开始控制时即以目前的</w:t>
      </w:r>
      <w:r>
        <w:rPr/>
        <w:t> </w:t>
      </w:r>
      <w:r>
        <w:rPr>
          <w:spacing w:val="-2"/>
        </w:rPr>
        <w:t>状态存在进行调整。在取得被合并方控制权之前持有的股权投资，在取得原股权之日与合并方和被合并方同处于同一控制之</w:t>
      </w:r>
      <w:r>
        <w:rPr>
          <w:spacing w:val="-64"/>
        </w:rPr>
        <w:t> </w:t>
      </w:r>
      <w:r>
        <w:rPr>
          <w:spacing w:val="-64"/>
        </w:rPr>
      </w:r>
      <w:r>
        <w:rPr>
          <w:spacing w:val="-2"/>
        </w:rPr>
        <w:t>日孰晚日起至合并日之间已确认有关损益、其他综合收益以及其他净资产变动，分别冲减比较报表期间的期初留存收益或当</w:t>
      </w:r>
      <w:r>
        <w:rPr>
          <w:spacing w:val="-64"/>
        </w:rPr>
        <w:t> </w:t>
      </w:r>
      <w:r>
        <w:rPr>
          <w:spacing w:val="-64"/>
        </w:rPr>
      </w:r>
      <w:r>
        <w:rPr/>
        <w:t>期损益。</w:t>
      </w:r>
    </w:p>
    <w:p>
      <w:pPr>
        <w:pStyle w:val="BodyText"/>
        <w:spacing w:line="477" w:lineRule="auto" w:before="54"/>
        <w:ind w:right="1132" w:firstLine="360"/>
        <w:jc w:val="both"/>
      </w:pPr>
      <w:r>
        <w:rPr>
          <w:spacing w:val="-2"/>
        </w:rPr>
        <w:t>在报告期内，若因非同一控制下企业合并增加子公司或业务的，则不调整合并资产负债表期初数；将该子公司或业务自</w:t>
      </w:r>
      <w:r>
        <w:rPr/>
        <w:t> </w:t>
      </w:r>
      <w:r>
        <w:rPr>
          <w:spacing w:val="-2"/>
        </w:rPr>
        <w:t>购买日至报告期末的收入、费用、利润纳入合并利润表；该子公司或业务自购买日至报告期末的现金流量纳入合并现金流量</w:t>
      </w:r>
      <w:r>
        <w:rPr>
          <w:spacing w:val="-66"/>
        </w:rPr>
        <w:t> </w:t>
      </w:r>
      <w:r>
        <w:rPr>
          <w:spacing w:val="-66"/>
        </w:rPr>
      </w:r>
      <w:r>
        <w:rPr/>
        <w:t>表。</w:t>
      </w:r>
    </w:p>
    <w:p>
      <w:pPr>
        <w:spacing w:after="0" w:line="477" w:lineRule="auto"/>
        <w:jc w:val="both"/>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30" w:firstLine="360"/>
        <w:jc w:val="both"/>
      </w:pPr>
      <w:r>
        <w:rPr>
          <w:spacing w:val="-2"/>
        </w:rPr>
        <w:t>因追加投资等原因能够对非同一控制下的被投资方实施控制的，对于购买日之前持有的被购买方的股权，本公司按照该</w:t>
      </w:r>
      <w:r>
        <w:rPr/>
        <w:t> </w:t>
      </w:r>
      <w:r>
        <w:rPr>
          <w:spacing w:val="-2"/>
        </w:rPr>
        <w:t>股权在购买日的公允价值进行重新计量，公允价值与其账面价值的差额计入当期投资收益。购买日之前持有的被购买方的股</w:t>
      </w:r>
      <w:r>
        <w:rPr>
          <w:spacing w:val="-64"/>
        </w:rPr>
        <w:t> </w:t>
      </w:r>
      <w:r>
        <w:rPr>
          <w:spacing w:val="-64"/>
        </w:rPr>
      </w:r>
      <w:r>
        <w:rPr>
          <w:spacing w:val="-2"/>
        </w:rPr>
        <w:t>权涉及权益法核算下的其他综合收益以及除净损益、其他综合收益和利润分配之外的其他所有者权益变动的，与其相关的其</w:t>
      </w:r>
      <w:r>
        <w:rPr>
          <w:spacing w:val="-63"/>
        </w:rPr>
        <w:t> </w:t>
      </w:r>
      <w:r>
        <w:rPr>
          <w:spacing w:val="-63"/>
        </w:rPr>
      </w:r>
      <w:r>
        <w:rPr>
          <w:spacing w:val="-2"/>
        </w:rPr>
        <w:t>他综合收益、其他所有者权益变动转为购买日所属当期投资收益，由于被投资方重新计量设定受益计划净负债或净资产变动</w:t>
      </w:r>
      <w:r>
        <w:rPr>
          <w:spacing w:val="-64"/>
        </w:rPr>
        <w:t> </w:t>
      </w:r>
      <w:r>
        <w:rPr>
          <w:spacing w:val="-64"/>
        </w:rPr>
      </w:r>
      <w:r>
        <w:rPr/>
        <w:t>而产生的其他综合收益除外。</w:t>
      </w:r>
    </w:p>
    <w:p>
      <w:pPr>
        <w:pStyle w:val="BodyText"/>
        <w:spacing w:line="477" w:lineRule="auto" w:before="54"/>
        <w:ind w:left="514" w:right="8232" w:firstLine="270"/>
        <w:jc w:val="left"/>
      </w:pPr>
      <w:r>
        <w:rPr/>
        <w:t>（</w:t>
      </w:r>
      <w:r>
        <w:rPr>
          <w:rFonts w:ascii="宋体" w:hAnsi="宋体" w:cs="宋体" w:eastAsia="宋体" w:hint="default"/>
        </w:rPr>
        <w:t>2</w:t>
      </w:r>
      <w:r>
        <w:rPr/>
        <w:t>）处置子公司或业务 </w:t>
      </w:r>
      <w:r>
        <w:rPr>
          <w:rFonts w:ascii="宋体" w:hAnsi="宋体" w:cs="宋体" w:eastAsia="宋体" w:hint="default"/>
        </w:rPr>
        <w:t>1</w:t>
      </w:r>
      <w:r>
        <w:rPr/>
        <w:t>）一般处理方法</w:t>
      </w:r>
    </w:p>
    <w:p>
      <w:pPr>
        <w:pStyle w:val="BodyText"/>
        <w:spacing w:line="477" w:lineRule="auto" w:before="54"/>
        <w:ind w:right="1133" w:firstLine="360"/>
        <w:jc w:val="both"/>
      </w:pPr>
      <w:r>
        <w:rPr>
          <w:spacing w:val="-2"/>
        </w:rPr>
        <w:t>在报告期内，本公司处置子公司或业务，则该子公司或业务期初至处置日的收入、费用、利润纳入合并利润表；该子公</w:t>
      </w:r>
      <w:r>
        <w:rPr/>
        <w:t> 司或业务期初至处置日的现金流量纳入合并现金流量表。</w:t>
      </w:r>
    </w:p>
    <w:p>
      <w:pPr>
        <w:pStyle w:val="BodyText"/>
        <w:spacing w:line="477" w:lineRule="auto" w:before="54"/>
        <w:ind w:right="1032" w:firstLine="360"/>
        <w:jc w:val="left"/>
      </w:pPr>
      <w:r>
        <w:rPr>
          <w:spacing w:val="-2"/>
        </w:rPr>
        <w:t>因处置部分股权投资或其他原因丧失了对被投资方控制权时，对于处置后的剩余股权投资，本公司按照其在丧失控制权</w:t>
      </w:r>
      <w:r>
        <w:rPr/>
        <w:t> </w:t>
      </w:r>
      <w:r>
        <w:rPr>
          <w:spacing w:val="-2"/>
        </w:rPr>
        <w:t>日的公允价值进行重新计量。处置股权取得的对价与剩余股权公允价值之和，减去按原持股比例计算应享有原有子公司自购</w:t>
      </w:r>
      <w:r>
        <w:rPr>
          <w:spacing w:val="-64"/>
        </w:rPr>
        <w:t> </w:t>
      </w:r>
      <w:r>
        <w:rPr>
          <w:spacing w:val="-64"/>
        </w:rPr>
      </w:r>
      <w:r>
        <w:rPr>
          <w:spacing w:val="-2"/>
        </w:rPr>
        <w:t>买日或合并日开始持续计算的净资产的份额与商誉之和的差额，计入丧失控制权当期的投资收益。与原有子公司股权投资相</w:t>
      </w:r>
      <w:r>
        <w:rPr>
          <w:spacing w:val="-64"/>
        </w:rPr>
        <w:t> </w:t>
      </w:r>
      <w:r>
        <w:rPr>
          <w:spacing w:val="-64"/>
        </w:rPr>
      </w:r>
      <w:r>
        <w:rPr/>
        <w:t>关的其他综合收益或除净损益、其他综合收益及利润分配之外的其他所有者权益变动，在丧失控制权时转为当期投资收益， 由于被投资方重新计量设定受益计划净负债或净资产变动而产生的其他综合收益除外。</w:t>
      </w:r>
    </w:p>
    <w:p>
      <w:pPr>
        <w:pStyle w:val="BodyText"/>
        <w:spacing w:line="477" w:lineRule="auto" w:before="54"/>
        <w:ind w:left="514" w:right="0"/>
        <w:jc w:val="left"/>
      </w:pPr>
      <w:r>
        <w:rPr>
          <w:rFonts w:ascii="宋体" w:hAnsi="宋体" w:cs="宋体" w:eastAsia="宋体" w:hint="default"/>
        </w:rPr>
        <w:t>2</w:t>
      </w:r>
      <w:r>
        <w:rPr/>
        <w:t>）分步处置子公司 </w:t>
      </w:r>
      <w:r>
        <w:rPr>
          <w:spacing w:val="-2"/>
        </w:rPr>
        <w:t>通过多次交易分步处置对子公司股权投资直至丧失控制权的，处置对子公司股权投资的各项交易的条款、条件以及经济</w:t>
      </w:r>
    </w:p>
    <w:p>
      <w:pPr>
        <w:pStyle w:val="BodyText"/>
        <w:spacing w:line="477" w:lineRule="auto" w:before="54"/>
        <w:ind w:left="874" w:right="3553" w:hanging="721"/>
        <w:jc w:val="left"/>
      </w:pPr>
      <w:r>
        <w:rPr/>
        <w:t>影响符合以下一种或多种情况，通常表明应将多次交易事项作为一揽子交易进行会计处理： 这些交易是同时或者在考虑了彼此影响的情况下订立的； 这些交易整体才能达成一项完整的商业结果； 一项交易的发生取决于其他至少一项交易的发生； 一项交易单独看是不经济的，但是和其他交易一并考虑时是经济的。</w:t>
      </w:r>
    </w:p>
    <w:p>
      <w:pPr>
        <w:pStyle w:val="BodyText"/>
        <w:spacing w:line="477" w:lineRule="auto" w:before="54"/>
        <w:ind w:right="1131" w:firstLine="360"/>
        <w:jc w:val="both"/>
      </w:pPr>
      <w:r>
        <w:rPr>
          <w:spacing w:val="-2"/>
        </w:rPr>
        <w:t>处置对子公司股权投资直至丧失控制权的各项交易属于一揽子交易的，本公司将各项交易作为一项处置子公司并丧失控</w:t>
      </w:r>
      <w:r>
        <w:rPr/>
        <w:t> </w:t>
      </w:r>
      <w:r>
        <w:rPr>
          <w:spacing w:val="-2"/>
        </w:rPr>
        <w:t>制权的交易进行会计处理；但是，在丧失控制权之前每一次处置价款与处置投资对应的享有该子公司净资产份额的差额，在</w:t>
      </w:r>
      <w:r>
        <w:rPr>
          <w:spacing w:val="-66"/>
        </w:rPr>
        <w:t> </w:t>
      </w:r>
      <w:r>
        <w:rPr>
          <w:spacing w:val="-66"/>
        </w:rPr>
      </w:r>
      <w:r>
        <w:rPr/>
        <w:t>合并财务报表中确认为其他综合收益，在丧失控制权时一并转入丧失控制权当期的损益。</w:t>
      </w:r>
    </w:p>
    <w:p>
      <w:pPr>
        <w:pStyle w:val="BodyText"/>
        <w:spacing w:line="477" w:lineRule="auto" w:before="54"/>
        <w:ind w:right="1132" w:firstLine="360"/>
        <w:jc w:val="both"/>
      </w:pPr>
      <w:r>
        <w:rPr>
          <w:spacing w:val="-2"/>
        </w:rPr>
        <w:t>处置对子公司股权投资直至丧失控制权的各项交易不属于一揽子交易的，在丧失控制权之前，按不丧失控制权的情况下</w:t>
      </w:r>
      <w:r>
        <w:rPr/>
        <w:t> 部分处置对子公司的股权投资的相关政策进行会计处理；在丧失控制权时，按处置子公司一般处理方法进行会计处理。</w:t>
      </w:r>
    </w:p>
    <w:p>
      <w:pPr>
        <w:pStyle w:val="BodyText"/>
        <w:spacing w:line="477" w:lineRule="auto" w:before="54"/>
        <w:ind w:left="514" w:right="0" w:firstLine="330"/>
        <w:jc w:val="left"/>
      </w:pPr>
      <w:r>
        <w:rPr/>
        <w:t>（</w:t>
      </w:r>
      <w:r>
        <w:rPr>
          <w:rFonts w:ascii="宋体" w:hAnsi="宋体" w:cs="宋体" w:eastAsia="宋体" w:hint="default"/>
        </w:rPr>
        <w:t>3</w:t>
      </w:r>
      <w:r>
        <w:rPr/>
        <w:t>）购买子公司少数股权 </w:t>
      </w:r>
      <w:r>
        <w:rPr>
          <w:spacing w:val="-2"/>
        </w:rPr>
        <w:t>本公司因购买少数股权新取得的长期股权投资与按照新增持股比例计算应享有子公司自购买日（或合并日）开始持续计</w:t>
      </w:r>
    </w:p>
    <w:p>
      <w:pPr>
        <w:pStyle w:val="BodyText"/>
        <w:spacing w:line="477" w:lineRule="auto" w:before="54"/>
        <w:ind w:right="1118"/>
        <w:jc w:val="left"/>
      </w:pPr>
      <w:r>
        <w:rPr>
          <w:spacing w:val="-2"/>
        </w:rPr>
        <w:t>算的净资产份额之间的差额，调整合并资产负债表中的资本公积中的股本溢价，资本公积中的股本溢价不足冲减的，调整留</w:t>
      </w:r>
      <w:r>
        <w:rPr>
          <w:spacing w:val="-66"/>
        </w:rPr>
        <w:t> </w:t>
      </w:r>
      <w:r>
        <w:rPr>
          <w:spacing w:val="-66"/>
        </w:rPr>
      </w:r>
      <w:r>
        <w:rPr/>
        <w:t>存收益。</w:t>
      </w:r>
    </w:p>
    <w:p>
      <w:pPr>
        <w:spacing w:after="0" w:line="477" w:lineRule="auto"/>
        <w:jc w:val="left"/>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left="514" w:right="1212" w:firstLine="270"/>
        <w:jc w:val="left"/>
      </w:pPr>
      <w:r>
        <w:rPr/>
        <w:t>（</w:t>
      </w:r>
      <w:r>
        <w:rPr>
          <w:rFonts w:ascii="宋体" w:hAnsi="宋体" w:cs="宋体" w:eastAsia="宋体" w:hint="default"/>
        </w:rPr>
        <w:t>4</w:t>
      </w:r>
      <w:r>
        <w:rPr/>
        <w:t>）不丧失控制权的情况下部分处置对子公司的股权投资 在不丧失控制权的情况下因部分处置对子公司的长期股权投资而取得的处置价款与处置长期股权投资相对应享有子公</w:t>
      </w:r>
    </w:p>
    <w:p>
      <w:pPr>
        <w:pStyle w:val="BodyText"/>
        <w:spacing w:line="477" w:lineRule="auto" w:before="54"/>
        <w:ind w:right="0"/>
        <w:jc w:val="left"/>
      </w:pPr>
      <w:r>
        <w:rPr>
          <w:spacing w:val="-2"/>
        </w:rPr>
        <w:t>司自购买日或合并日开始持续计算的净资产份额之间的差额，调整合并资产负债表中的资本公积中的股本溢价，资本公积中</w:t>
      </w:r>
      <w:r>
        <w:rPr>
          <w:spacing w:val="-64"/>
        </w:rPr>
        <w:t> </w:t>
      </w:r>
      <w:r>
        <w:rPr>
          <w:spacing w:val="-64"/>
        </w:rPr>
      </w:r>
      <w:r>
        <w:rPr/>
        <w:t>的股本溢价不足冲减的，调整留存收益。</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6"/>
          <w:szCs w:val="26"/>
        </w:rPr>
      </w:pPr>
    </w:p>
    <w:p>
      <w:pPr>
        <w:pStyle w:val="Heading5"/>
        <w:spacing w:line="240" w:lineRule="auto"/>
        <w:ind w:right="0"/>
        <w:jc w:val="left"/>
        <w:rPr>
          <w:b w:val="0"/>
          <w:bCs w:val="0"/>
        </w:rPr>
      </w:pPr>
      <w:bookmarkStart w:name="7、合营安排分类及共同经营会计处理方法" w:id="178"/>
      <w:bookmarkEnd w:id="178"/>
      <w:r>
        <w:rPr>
          <w:b w:val="0"/>
          <w:bCs w:val="0"/>
        </w:rPr>
      </w: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0"/>
        <w:rPr>
          <w:rFonts w:ascii="宋体" w:hAnsi="宋体" w:cs="宋体" w:eastAsia="宋体" w:hint="default"/>
          <w:b/>
          <w:bCs/>
          <w:sz w:val="18"/>
          <w:szCs w:val="18"/>
        </w:rPr>
      </w:pPr>
    </w:p>
    <w:p>
      <w:pPr>
        <w:spacing w:line="240" w:lineRule="auto" w:before="8"/>
        <w:rPr>
          <w:rFonts w:ascii="宋体" w:hAnsi="宋体" w:cs="宋体" w:eastAsia="宋体" w:hint="default"/>
          <w:b/>
          <w:bCs/>
          <w:sz w:val="21"/>
          <w:szCs w:val="21"/>
        </w:rPr>
      </w:pPr>
    </w:p>
    <w:p>
      <w:pPr>
        <w:pStyle w:val="BodyText"/>
        <w:spacing w:line="240" w:lineRule="auto"/>
        <w:ind w:left="514" w:right="0"/>
        <w:jc w:val="left"/>
      </w:pPr>
      <w:r>
        <w:rPr/>
        <w:t>无</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2"/>
          <w:szCs w:val="22"/>
        </w:rPr>
      </w:pPr>
    </w:p>
    <w:p>
      <w:pPr>
        <w:pStyle w:val="Heading5"/>
        <w:spacing w:line="240" w:lineRule="auto"/>
        <w:ind w:right="0"/>
        <w:jc w:val="left"/>
        <w:rPr>
          <w:b w:val="0"/>
          <w:bCs w:val="0"/>
        </w:rPr>
      </w:pPr>
      <w:bookmarkStart w:name="8、现金及现金等价物的确定标准" w:id="179"/>
      <w:bookmarkEnd w:id="179"/>
      <w:r>
        <w:rPr>
          <w:b w:val="0"/>
          <w:bCs w:val="0"/>
        </w:rPr>
      </w:r>
      <w:r>
        <w:rPr>
          <w:rFonts w:ascii="Times New Roman" w:hAnsi="Times New Roman" w:cs="Times New Roman" w:eastAsia="Times New Roman" w:hint="default"/>
        </w:rPr>
        <w:t>8</w:t>
      </w:r>
      <w:r>
        <w:rPr/>
        <w:t>、现金及现金等价物的确定标准</w:t>
      </w:r>
      <w:r>
        <w:rPr>
          <w:b w:val="0"/>
          <w:bCs w:val="0"/>
        </w:rPr>
      </w:r>
    </w:p>
    <w:p>
      <w:pPr>
        <w:spacing w:line="240" w:lineRule="auto" w:before="0"/>
        <w:rPr>
          <w:rFonts w:ascii="宋体" w:hAnsi="宋体" w:cs="宋体" w:eastAsia="宋体" w:hint="default"/>
          <w:b/>
          <w:bCs/>
          <w:sz w:val="18"/>
          <w:szCs w:val="18"/>
        </w:rPr>
      </w:pPr>
    </w:p>
    <w:p>
      <w:pPr>
        <w:spacing w:line="240" w:lineRule="auto" w:before="8"/>
        <w:rPr>
          <w:rFonts w:ascii="宋体" w:hAnsi="宋体" w:cs="宋体" w:eastAsia="宋体" w:hint="default"/>
          <w:b/>
          <w:bCs/>
          <w:sz w:val="21"/>
          <w:szCs w:val="21"/>
        </w:rPr>
      </w:pPr>
    </w:p>
    <w:p>
      <w:pPr>
        <w:pStyle w:val="BodyText"/>
        <w:spacing w:line="477" w:lineRule="auto"/>
        <w:ind w:right="0" w:firstLine="720"/>
        <w:jc w:val="left"/>
      </w:pPr>
      <w:r>
        <w:rPr>
          <w:spacing w:val="-2"/>
        </w:rPr>
        <w:t>在编制现金流量表时，将本公司库存现金以及可以随时用于支付的存款确认为现金。将同时具备期限短（一般从购</w:t>
      </w:r>
      <w:r>
        <w:rPr/>
        <w:t> </w:t>
      </w:r>
      <w:r>
        <w:rPr>
          <w:spacing w:val="-4"/>
        </w:rPr>
        <w:t>买日起，三个月内到期）、流动性强、易于转换为已知金额的现金、价值变动风险很小四个条件的投资，确定为现金等价物。</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bookmarkStart w:name="9、外币业务和外币报表折算" w:id="180"/>
      <w:bookmarkEnd w:id="180"/>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21"/>
          <w:szCs w:val="21"/>
        </w:rPr>
      </w:pPr>
    </w:p>
    <w:p>
      <w:pPr>
        <w:pStyle w:val="BodyText"/>
        <w:spacing w:line="477" w:lineRule="auto"/>
        <w:ind w:left="514" w:right="3192" w:firstLine="454"/>
        <w:jc w:val="left"/>
      </w:pPr>
      <w:r>
        <w:rPr>
          <w:rFonts w:ascii="宋体" w:hAnsi="宋体" w:cs="宋体" w:eastAsia="宋体" w:hint="default"/>
          <w:b/>
          <w:bCs/>
        </w:rPr>
        <w:t>1.</w:t>
      </w:r>
      <w:r>
        <w:rPr>
          <w:rFonts w:ascii="宋体" w:hAnsi="宋体" w:cs="宋体" w:eastAsia="宋体" w:hint="default"/>
          <w:b/>
          <w:bCs/>
        </w:rPr>
        <w:t>外币业务</w:t>
      </w:r>
      <w:r>
        <w:rPr>
          <w:rFonts w:ascii="宋体" w:hAnsi="宋体" w:cs="宋体" w:eastAsia="宋体" w:hint="default"/>
          <w:b/>
          <w:bCs/>
          <w:w w:val="99"/>
        </w:rPr>
        <w:t> </w:t>
      </w:r>
      <w:r>
        <w:rPr/>
        <w:t>外币业务交易在初始确认时，采用交易发生日的即期汇率作为折算汇率折合成人民币记账。</w:t>
      </w:r>
    </w:p>
    <w:p>
      <w:pPr>
        <w:pStyle w:val="BodyText"/>
        <w:spacing w:line="477" w:lineRule="auto" w:before="54"/>
        <w:ind w:right="1132" w:firstLine="360"/>
        <w:jc w:val="both"/>
      </w:pPr>
      <w:r>
        <w:rPr>
          <w:spacing w:val="-2"/>
        </w:rPr>
        <w:t>资产负债表日，外币货币性项目按资产负债表日即期汇率折算，由此产生的汇兑差额，除属于与购建符合资本化条件的</w:t>
      </w:r>
      <w:r>
        <w:rPr/>
        <w:t> </w:t>
      </w:r>
      <w:r>
        <w:rPr>
          <w:spacing w:val="-2"/>
        </w:rPr>
        <w:t>资产相关的外币专门借款产生的汇兑差额按照借款费用资本化的原则处理外，均计入当期损益。以历史成本计量的外币非货</w:t>
      </w:r>
      <w:r>
        <w:rPr>
          <w:spacing w:val="-64"/>
        </w:rPr>
        <w:t> </w:t>
      </w:r>
      <w:r>
        <w:rPr>
          <w:spacing w:val="-64"/>
        </w:rPr>
      </w:r>
      <w:r>
        <w:rPr/>
        <w:t>币性项目，仍采用交易发生日的即期汇率折算，不改变其记账本位币金额。</w:t>
      </w:r>
    </w:p>
    <w:p>
      <w:pPr>
        <w:pStyle w:val="BodyText"/>
        <w:spacing w:line="477" w:lineRule="auto" w:before="54"/>
        <w:ind w:right="1131" w:firstLine="360"/>
        <w:jc w:val="both"/>
      </w:pPr>
      <w:r>
        <w:rPr>
          <w:spacing w:val="-2"/>
        </w:rPr>
        <w:t>以公允价值计量的外币非货币性项目，采用公允价值确定日的即期汇率折算，由此产生的汇兑差额作为公允价值变动损</w:t>
      </w:r>
      <w:r>
        <w:rPr/>
        <w:t> 益计入当期损益。如属于可供出售外币非货币性项目的，形成的汇兑差额计入其他综合收益。</w:t>
      </w:r>
    </w:p>
    <w:p>
      <w:pPr>
        <w:pStyle w:val="BodyText"/>
        <w:spacing w:line="477" w:lineRule="auto" w:before="54"/>
        <w:ind w:left="514" w:right="0" w:firstLine="454"/>
        <w:jc w:val="left"/>
      </w:pPr>
      <w:r>
        <w:rPr>
          <w:rFonts w:ascii="宋体" w:hAnsi="宋体" w:cs="宋体" w:eastAsia="宋体" w:hint="default"/>
          <w:b/>
          <w:bCs/>
        </w:rPr>
        <w:t>2.</w:t>
      </w:r>
      <w:r>
        <w:rPr>
          <w:rFonts w:ascii="宋体" w:hAnsi="宋体" w:cs="宋体" w:eastAsia="宋体" w:hint="default"/>
          <w:b/>
          <w:bCs/>
        </w:rPr>
        <w:t>外币财务报表的折算</w:t>
      </w:r>
      <w:r>
        <w:rPr>
          <w:rFonts w:ascii="宋体" w:hAnsi="宋体" w:cs="宋体" w:eastAsia="宋体" w:hint="default"/>
          <w:b/>
          <w:bCs/>
          <w:w w:val="99"/>
        </w:rPr>
        <w:t> </w:t>
      </w:r>
      <w:r>
        <w:rPr>
          <w:spacing w:val="-2"/>
        </w:rPr>
        <w:t>资产负债表中的资产和负债项目，采用资产负债表日的即期汇率折算；所有者权益项目除</w:t>
      </w:r>
      <w:r>
        <w:rPr>
          <w:rFonts w:ascii="Times New Roman" w:hAnsi="Times New Roman" w:cs="Times New Roman" w:eastAsia="Times New Roman" w:hint="default"/>
          <w:spacing w:val="-2"/>
        </w:rPr>
        <w:t>“</w:t>
      </w:r>
      <w:r>
        <w:rPr>
          <w:spacing w:val="-2"/>
        </w:rPr>
        <w:t>未分配利润</w:t>
      </w:r>
      <w:r>
        <w:rPr>
          <w:rFonts w:ascii="Times New Roman" w:hAnsi="Times New Roman" w:cs="Times New Roman" w:eastAsia="Times New Roman" w:hint="default"/>
          <w:spacing w:val="-2"/>
        </w:rPr>
        <w:t>”</w:t>
      </w:r>
      <w:r>
        <w:rPr>
          <w:spacing w:val="-2"/>
        </w:rPr>
        <w:t>项目外，其他项</w:t>
      </w:r>
    </w:p>
    <w:p>
      <w:pPr>
        <w:pStyle w:val="BodyText"/>
        <w:spacing w:line="477" w:lineRule="auto" w:before="21"/>
        <w:ind w:right="0"/>
        <w:jc w:val="left"/>
      </w:pPr>
      <w:r>
        <w:rPr>
          <w:spacing w:val="-2"/>
        </w:rPr>
        <w:t>目采用发生时的即期汇率折算。利润表中的收入和费用项目，采用当期平均汇率折算。按照上述折算产生的外币财务报表折</w:t>
      </w:r>
      <w:r>
        <w:rPr>
          <w:spacing w:val="-66"/>
        </w:rPr>
        <w:t> </w:t>
      </w:r>
      <w:r>
        <w:rPr>
          <w:spacing w:val="-66"/>
        </w:rPr>
      </w:r>
      <w:r>
        <w:rPr/>
        <w:t>算差额计入其他综合收益。</w:t>
      </w:r>
    </w:p>
    <w:p>
      <w:pPr>
        <w:pStyle w:val="BodyText"/>
        <w:spacing w:line="477" w:lineRule="auto" w:before="54"/>
        <w:ind w:right="1131" w:firstLine="360"/>
        <w:jc w:val="both"/>
      </w:pPr>
      <w:r>
        <w:rPr>
          <w:spacing w:val="-2"/>
        </w:rPr>
        <w:t>处置境外经营时，将资产负债表中其他综合收益项目中列示的、与该境外经营相关的外币财务报表折算差额，自其他综</w:t>
      </w:r>
      <w:r>
        <w:rPr/>
        <w:t> </w:t>
      </w:r>
      <w:r>
        <w:rPr>
          <w:spacing w:val="-2"/>
        </w:rPr>
        <w:t>合收益项目转入处置当期损益；在处置部分股权投资或其他原因导致持有境外经营权益比例降低但不丧失对境外经营控制权</w:t>
      </w:r>
      <w:r>
        <w:rPr>
          <w:spacing w:val="-64"/>
        </w:rPr>
        <w:t> </w:t>
      </w:r>
      <w:r>
        <w:rPr>
          <w:spacing w:val="-64"/>
        </w:rPr>
      </w:r>
      <w:r>
        <w:rPr>
          <w:spacing w:val="-2"/>
        </w:rPr>
        <w:t>时，与该境外经营处置部分相关的外币报表折算差额将归属于少数股东权益，不转入当期损益。在处置境外经营为联营企业</w:t>
      </w:r>
      <w:r>
        <w:rPr>
          <w:spacing w:val="-66"/>
        </w:rPr>
        <w:t> </w:t>
      </w:r>
      <w:r>
        <w:rPr>
          <w:spacing w:val="-66"/>
        </w:rPr>
      </w:r>
      <w:r>
        <w:rPr/>
        <w:t>或合营企业的部分股权时，与该境外经营相关的外币报表折算差额，按处置该境外经营的比例转入处置当期损益。</w:t>
      </w:r>
    </w:p>
    <w:p>
      <w:pPr>
        <w:spacing w:after="0" w:line="477" w:lineRule="auto"/>
        <w:jc w:val="both"/>
        <w:sectPr>
          <w:pgSz w:w="11910" w:h="16840"/>
          <w:pgMar w:header="917" w:footer="1019" w:top="1120" w:bottom="120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Heading5"/>
        <w:spacing w:line="240" w:lineRule="auto" w:before="44"/>
        <w:ind w:right="0"/>
        <w:jc w:val="left"/>
        <w:rPr>
          <w:b w:val="0"/>
          <w:bCs w:val="0"/>
        </w:rPr>
      </w:pPr>
      <w:bookmarkStart w:name="10、金融工具" w:id="181"/>
      <w:bookmarkEnd w:id="181"/>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21"/>
          <w:szCs w:val="21"/>
        </w:rPr>
      </w:pPr>
    </w:p>
    <w:p>
      <w:pPr>
        <w:spacing w:line="477" w:lineRule="auto" w:before="0"/>
        <w:ind w:left="878" w:right="6342" w:hanging="94"/>
        <w:jc w:val="left"/>
        <w:rPr>
          <w:rFonts w:ascii="宋体" w:hAnsi="宋体" w:cs="宋体" w:eastAsia="宋体" w:hint="default"/>
          <w:sz w:val="18"/>
          <w:szCs w:val="18"/>
        </w:rPr>
      </w:pPr>
      <w:r>
        <w:rPr>
          <w:rFonts w:ascii="宋体" w:hAnsi="宋体" w:cs="宋体" w:eastAsia="宋体" w:hint="default"/>
          <w:sz w:val="18"/>
          <w:szCs w:val="18"/>
        </w:rPr>
        <w:t>金融工具包括金融资产、金融负债和权益工具。 </w:t>
      </w:r>
      <w:r>
        <w:rPr>
          <w:rFonts w:ascii="宋体" w:hAnsi="宋体" w:cs="宋体" w:eastAsia="宋体" w:hint="default"/>
          <w:b/>
          <w:bCs/>
          <w:sz w:val="18"/>
          <w:szCs w:val="18"/>
        </w:rPr>
        <w:t>1.</w:t>
      </w:r>
      <w:r>
        <w:rPr>
          <w:rFonts w:ascii="宋体" w:hAnsi="宋体" w:cs="宋体" w:eastAsia="宋体" w:hint="default"/>
          <w:b/>
          <w:bCs/>
          <w:sz w:val="18"/>
          <w:szCs w:val="18"/>
        </w:rPr>
        <w:t>金融工具的分类</w:t>
      </w:r>
      <w:r>
        <w:rPr>
          <w:rFonts w:ascii="宋体" w:hAnsi="宋体" w:cs="宋体" w:eastAsia="宋体" w:hint="default"/>
          <w:sz w:val="18"/>
          <w:szCs w:val="18"/>
        </w:rPr>
      </w:r>
    </w:p>
    <w:p>
      <w:pPr>
        <w:pStyle w:val="BodyText"/>
        <w:spacing w:line="477" w:lineRule="auto" w:before="54"/>
        <w:ind w:right="1130" w:firstLine="360"/>
        <w:jc w:val="both"/>
      </w:pPr>
      <w:r>
        <w:rPr>
          <w:spacing w:val="-2"/>
        </w:rPr>
        <w:t>本公司根据所发行金融工具的合同条款及其所反映的经济实质而非仅以法律形式，结合取得持有金融资产和承担金融负</w:t>
      </w:r>
      <w:r>
        <w:rPr/>
        <w:t> </w:t>
      </w:r>
      <w:r>
        <w:rPr>
          <w:spacing w:val="-2"/>
        </w:rPr>
        <w:t>债的目的，在初始确认时将金融资产和金融负债分为不同类别：以公允价值计量且其变动计入当期损益的金融资产（或金融</w:t>
      </w:r>
      <w:r>
        <w:rPr>
          <w:spacing w:val="-66"/>
        </w:rPr>
        <w:t> </w:t>
      </w:r>
      <w:r>
        <w:rPr>
          <w:spacing w:val="-66"/>
        </w:rPr>
      </w:r>
      <w:r>
        <w:rPr>
          <w:spacing w:val="-3"/>
        </w:rPr>
        <w:t>负债）；持有至到期投资；应收款项；可供出售金融资产；其他金融负债等。</w:t>
      </w:r>
    </w:p>
    <w:p>
      <w:pPr>
        <w:pStyle w:val="Heading5"/>
        <w:spacing w:line="240" w:lineRule="auto" w:before="54"/>
        <w:ind w:left="878" w:right="0"/>
        <w:jc w:val="left"/>
        <w:rPr>
          <w:b w:val="0"/>
          <w:bCs w:val="0"/>
        </w:rPr>
      </w:pPr>
      <w:r>
        <w:rPr>
          <w:rFonts w:ascii="宋体" w:hAnsi="宋体" w:cs="宋体" w:eastAsia="宋体" w:hint="default"/>
        </w:rPr>
        <w:t>2.</w:t>
      </w:r>
      <w:r>
        <w:rPr/>
        <w:t>金融工具的确认依据和计量方法</w:t>
      </w:r>
      <w:r>
        <w:rPr>
          <w:b w:val="0"/>
          <w:bCs w:val="0"/>
        </w:rPr>
      </w:r>
    </w:p>
    <w:p>
      <w:pPr>
        <w:spacing w:line="240" w:lineRule="auto" w:before="10"/>
        <w:rPr>
          <w:rFonts w:ascii="宋体" w:hAnsi="宋体" w:cs="宋体" w:eastAsia="宋体" w:hint="default"/>
          <w:b/>
          <w:bCs/>
          <w:sz w:val="17"/>
          <w:szCs w:val="17"/>
        </w:rPr>
      </w:pPr>
    </w:p>
    <w:p>
      <w:pPr>
        <w:pStyle w:val="BodyText"/>
        <w:spacing w:line="477" w:lineRule="auto"/>
        <w:ind w:left="514" w:right="0" w:firstLine="270"/>
        <w:jc w:val="left"/>
      </w:pPr>
      <w:r>
        <w:rPr/>
        <w:t>（</w:t>
      </w:r>
      <w:r>
        <w:rPr>
          <w:rFonts w:ascii="宋体" w:hAnsi="宋体" w:cs="宋体" w:eastAsia="宋体" w:hint="default"/>
        </w:rPr>
        <w:t>1</w:t>
      </w:r>
      <w:r>
        <w:rPr/>
        <w:t>）以公允价值计量且其变动计入当期损益的金融资产（金融负债） </w:t>
      </w:r>
      <w:r>
        <w:rPr>
          <w:spacing w:val="-2"/>
        </w:rPr>
        <w:t>以公允价值计量且其变动计入当期损益的金融资产或金融负债，包括交易性金融资产或金融负债和直接指定为以公允价</w:t>
      </w:r>
    </w:p>
    <w:p>
      <w:pPr>
        <w:pStyle w:val="BodyText"/>
        <w:spacing w:line="477" w:lineRule="auto" w:before="54"/>
        <w:ind w:left="514" w:right="4452" w:hanging="360"/>
        <w:jc w:val="left"/>
      </w:pPr>
      <w:r>
        <w:rPr/>
        <w:t>值计量且其变动计入当期损益的金融资产或金融负债。 交易性金融资产或金融负债是指满足下列条件之一的金融资产或金融负债： </w:t>
      </w:r>
      <w:r>
        <w:rPr>
          <w:rFonts w:ascii="宋体" w:hAnsi="宋体" w:cs="宋体" w:eastAsia="宋体" w:hint="default"/>
        </w:rPr>
        <w:t>1</w:t>
      </w:r>
      <w:r>
        <w:rPr/>
        <w:t>）取得该金融资产或金融负债的目的是为了在短期内出售、回购或赎回；</w:t>
      </w:r>
    </w:p>
    <w:p>
      <w:pPr>
        <w:pStyle w:val="BodyText"/>
        <w:spacing w:line="477" w:lineRule="auto" w:before="54"/>
        <w:ind w:right="1140" w:firstLine="360"/>
        <w:jc w:val="both"/>
      </w:pPr>
      <w:r>
        <w:rPr>
          <w:rFonts w:ascii="宋体" w:hAnsi="宋体" w:cs="宋体" w:eastAsia="宋体" w:hint="default"/>
        </w:rPr>
        <w:t>2</w:t>
      </w:r>
      <w:r>
        <w:rPr/>
        <w:t>）属于进行集中管理的可辨认金融工具组合的一部分，且有客观证据表明本公司近期采用短期获利方式对该组合进行 管理；</w:t>
      </w:r>
    </w:p>
    <w:p>
      <w:pPr>
        <w:pStyle w:val="BodyText"/>
        <w:spacing w:line="477" w:lineRule="auto" w:before="54"/>
        <w:ind w:right="1140" w:firstLine="360"/>
        <w:jc w:val="both"/>
      </w:pPr>
      <w:r>
        <w:rPr>
          <w:rFonts w:ascii="宋体" w:hAnsi="宋体" w:cs="宋体" w:eastAsia="宋体" w:hint="default"/>
        </w:rPr>
        <w:t>3</w:t>
      </w:r>
      <w:r>
        <w:rPr/>
        <w:t>）属于衍生金融工具，但是被指定为有效套期工具的衍生工具、属于财务担保合同的衍生工具、与在活跃市场中没有 报价且其公允价值不能可靠计量的权益工具投资挂钩并须通过交付该权益工具结算的衍生工具除外。</w:t>
      </w:r>
    </w:p>
    <w:p>
      <w:pPr>
        <w:pStyle w:val="BodyText"/>
        <w:spacing w:line="477" w:lineRule="auto" w:before="54"/>
        <w:ind w:right="1131" w:firstLine="360"/>
        <w:jc w:val="both"/>
      </w:pPr>
      <w:r>
        <w:rPr>
          <w:spacing w:val="-2"/>
        </w:rPr>
        <w:t>只有符合以下条件之一，金融资产或金融负债才可在初始计量时指定为以公允价值计量且其变动计入损益的金融资产或</w:t>
      </w:r>
      <w:r>
        <w:rPr/>
        <w:t> 金融负债：</w:t>
      </w:r>
    </w:p>
    <w:p>
      <w:pPr>
        <w:pStyle w:val="BodyText"/>
        <w:spacing w:line="477" w:lineRule="auto" w:before="54"/>
        <w:ind w:right="1141" w:firstLine="360"/>
        <w:jc w:val="both"/>
      </w:pPr>
      <w:r>
        <w:rPr>
          <w:rFonts w:ascii="宋体" w:hAnsi="宋体" w:cs="宋体" w:eastAsia="宋体" w:hint="default"/>
        </w:rPr>
        <w:t>1</w:t>
      </w:r>
      <w:r>
        <w:rPr/>
        <w:t>）该项指定可以消除或明显减少由于金融资产或金融负债的计量基础不同所导致的相关利得或损失在确认或计量方面 不一致的情况；</w:t>
      </w:r>
    </w:p>
    <w:p>
      <w:pPr>
        <w:pStyle w:val="BodyText"/>
        <w:spacing w:line="477" w:lineRule="auto" w:before="54"/>
        <w:ind w:right="1140" w:firstLine="360"/>
        <w:jc w:val="both"/>
      </w:pPr>
      <w:r>
        <w:rPr>
          <w:rFonts w:ascii="宋体" w:hAnsi="宋体" w:cs="宋体" w:eastAsia="宋体" w:hint="default"/>
        </w:rPr>
        <w:t>2</w:t>
      </w:r>
      <w:r>
        <w:rPr/>
        <w:t>）风险管理或投资策略的正式书面文件已载明，该金融资产组合、该金融负债组合、或该金融资产和金融负债组合， 以公允价值为基础进行管理、评价并向关键管理人员报告；</w:t>
      </w:r>
    </w:p>
    <w:p>
      <w:pPr>
        <w:pStyle w:val="BodyText"/>
        <w:spacing w:line="477" w:lineRule="auto" w:before="54"/>
        <w:ind w:right="1140" w:firstLine="360"/>
        <w:jc w:val="both"/>
      </w:pPr>
      <w:r>
        <w:rPr>
          <w:rFonts w:ascii="宋体" w:hAnsi="宋体" w:cs="宋体" w:eastAsia="宋体" w:hint="default"/>
        </w:rPr>
        <w:t>3</w:t>
      </w:r>
      <w:r>
        <w:rPr/>
        <w:t>）包含一项或多项嵌入衍生工具的混合工具，除非嵌入衍生工具对混合工具的现金流量没有重大改变，或所嵌入的衍 生工具明显不应当从相关混合工具中分拆；</w:t>
      </w:r>
    </w:p>
    <w:p>
      <w:pPr>
        <w:pStyle w:val="BodyText"/>
        <w:spacing w:line="477" w:lineRule="auto" w:before="54"/>
        <w:ind w:left="514" w:right="0"/>
        <w:jc w:val="left"/>
      </w:pPr>
      <w:r>
        <w:rPr>
          <w:rFonts w:ascii="宋体" w:hAnsi="宋体" w:cs="宋体" w:eastAsia="宋体" w:hint="default"/>
        </w:rPr>
        <w:t>4</w:t>
      </w:r>
      <w:r>
        <w:rPr/>
        <w:t>）包含需要分拆但无法在取得时或后续的资产负债表日对其进行单独计量的嵌入衍生工具的混合工具。 </w:t>
      </w:r>
      <w:r>
        <w:rPr>
          <w:spacing w:val="-2"/>
        </w:rPr>
        <w:t>本公司对以公允价值计量且其变动计入当期损益的金融资产或金融负债，在取得时以公允价值（扣除已宣告但尚未发放</w:t>
      </w:r>
    </w:p>
    <w:p>
      <w:pPr>
        <w:pStyle w:val="BodyText"/>
        <w:spacing w:line="240" w:lineRule="auto" w:before="54"/>
        <w:ind w:right="0"/>
        <w:jc w:val="left"/>
      </w:pPr>
      <w:r>
        <w:rPr/>
        <w:t>的现金股利或已到付息期但尚未领取的债券利息）作为初始确认金额，相关的交易费用计入当期损益。持有期间将取得的利</w:t>
      </w:r>
    </w:p>
    <w:p>
      <w:pPr>
        <w:spacing w:after="0" w:line="240" w:lineRule="auto"/>
        <w:jc w:val="left"/>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1133"/>
        <w:jc w:val="both"/>
      </w:pPr>
      <w:r>
        <w:rPr>
          <w:spacing w:val="-2"/>
        </w:rPr>
        <w:t>息或现金股利确认为投资收益，期末将公允价值变动计入当期损益。处置时，其公允价值与初始入账金额之间的差额确认为</w:t>
      </w:r>
      <w:r>
        <w:rPr>
          <w:spacing w:val="-66"/>
        </w:rPr>
        <w:t> </w:t>
      </w:r>
      <w:r>
        <w:rPr>
          <w:spacing w:val="-66"/>
        </w:rPr>
      </w:r>
      <w:r>
        <w:rPr/>
        <w:t>投资收益，同时调整公允价值变动损益。</w:t>
      </w:r>
    </w:p>
    <w:p>
      <w:pPr>
        <w:pStyle w:val="BodyText"/>
        <w:spacing w:line="477" w:lineRule="auto" w:before="54"/>
        <w:ind w:left="514" w:right="3912" w:firstLine="270"/>
        <w:jc w:val="left"/>
      </w:pPr>
      <w:r>
        <w:rPr/>
        <w:t>（</w:t>
      </w:r>
      <w:r>
        <w:rPr>
          <w:rFonts w:ascii="宋体" w:hAnsi="宋体" w:cs="宋体" w:eastAsia="宋体" w:hint="default"/>
        </w:rPr>
        <w:t>2</w:t>
      </w:r>
      <w:r>
        <w:rPr/>
        <w:t>）应收款项 应收款项是指在活跃市场中没有报价、回收金额固定或可确定的非衍生金融资产。</w:t>
      </w:r>
    </w:p>
    <w:p>
      <w:pPr>
        <w:pStyle w:val="BodyText"/>
        <w:spacing w:line="477" w:lineRule="auto" w:before="54"/>
        <w:ind w:right="1130" w:firstLine="360"/>
        <w:jc w:val="both"/>
      </w:pPr>
      <w:r>
        <w:rPr>
          <w:spacing w:val="-2"/>
        </w:rPr>
        <w:t>本公司对外销售商品或提供劳务形成的应收债权，以及公司持有的其他企业的不包括在活跃市场上有报价的债务工具的</w:t>
      </w:r>
      <w:r>
        <w:rPr/>
        <w:t> </w:t>
      </w:r>
      <w:r>
        <w:rPr>
          <w:spacing w:val="-2"/>
        </w:rPr>
        <w:t>债权，包括应收票据、预付款项、应收账款、其他应收款等，以向购货方应收的合同或协议价款作为初始确认金额；具有融</w:t>
      </w:r>
      <w:r>
        <w:rPr>
          <w:spacing w:val="-68"/>
        </w:rPr>
        <w:t> </w:t>
      </w:r>
      <w:r>
        <w:rPr>
          <w:spacing w:val="-68"/>
        </w:rPr>
      </w:r>
      <w:r>
        <w:rPr/>
        <w:t>资性质的，按其现值进行初始确认。</w:t>
      </w:r>
    </w:p>
    <w:p>
      <w:pPr>
        <w:pStyle w:val="BodyText"/>
        <w:spacing w:line="240" w:lineRule="auto" w:before="54"/>
        <w:ind w:left="514" w:right="0"/>
        <w:jc w:val="left"/>
      </w:pPr>
      <w:r>
        <w:rPr/>
        <w:t>收回或处置时，将取得的价款与该应收款项账面价值之间的差额计入当期损益。</w:t>
      </w:r>
    </w:p>
    <w:p>
      <w:pPr>
        <w:spacing w:line="240" w:lineRule="auto" w:before="10"/>
        <w:rPr>
          <w:rFonts w:ascii="宋体" w:hAnsi="宋体" w:cs="宋体" w:eastAsia="宋体" w:hint="default"/>
          <w:sz w:val="17"/>
          <w:szCs w:val="17"/>
        </w:rPr>
      </w:pPr>
    </w:p>
    <w:p>
      <w:pPr>
        <w:pStyle w:val="BodyText"/>
        <w:spacing w:line="477" w:lineRule="auto"/>
        <w:ind w:left="514" w:right="0" w:firstLine="270"/>
        <w:jc w:val="left"/>
      </w:pPr>
      <w:r>
        <w:rPr/>
        <w:t>（</w:t>
      </w:r>
      <w:r>
        <w:rPr>
          <w:rFonts w:ascii="宋体" w:hAnsi="宋体" w:cs="宋体" w:eastAsia="宋体" w:hint="default"/>
        </w:rPr>
        <w:t>3</w:t>
      </w:r>
      <w:r>
        <w:rPr/>
        <w:t>）持有至到期投资 </w:t>
      </w:r>
      <w:r>
        <w:rPr>
          <w:spacing w:val="-4"/>
        </w:rPr>
        <w:t>持有至到期投资是指到期日固定、回收金额固定或可确定，且本公司有明确意图和能力持有至到期的非衍生性金融资产。</w:t>
      </w:r>
      <w:r>
        <w:rPr>
          <w:spacing w:val="-52"/>
        </w:rPr>
        <w:t> </w:t>
      </w:r>
      <w:r>
        <w:rPr>
          <w:spacing w:val="-52"/>
        </w:rPr>
      </w:r>
      <w:r>
        <w:rPr>
          <w:spacing w:val="-2"/>
        </w:rPr>
        <w:t>本公司对持有至到期投资，在取得时按公允价值（扣除已到付息期但尚未领取的债券利息）和相关交易费用之和作为初</w:t>
      </w:r>
    </w:p>
    <w:p>
      <w:pPr>
        <w:pStyle w:val="BodyText"/>
        <w:spacing w:line="477" w:lineRule="auto" w:before="54"/>
        <w:ind w:right="1131"/>
        <w:jc w:val="both"/>
      </w:pPr>
      <w:r>
        <w:rPr>
          <w:spacing w:val="-2"/>
        </w:rPr>
        <w:t>始确认金额。持有期间按照摊余成本和实际利率计算确认利息收入，计入投资收益。实际利率在取得时确定，在该预期存续</w:t>
      </w:r>
      <w:r>
        <w:rPr>
          <w:spacing w:val="-66"/>
        </w:rPr>
        <w:t> </w:t>
      </w:r>
      <w:r>
        <w:rPr>
          <w:spacing w:val="-66"/>
        </w:rPr>
      </w:r>
      <w:r>
        <w:rPr/>
        <w:t>期间或适用的更短期间内保持不变。处置时，将所取得价款与该投资账面价值之间的差额计入投资收益。</w:t>
      </w:r>
    </w:p>
    <w:p>
      <w:pPr>
        <w:pStyle w:val="BodyText"/>
        <w:spacing w:line="477" w:lineRule="auto" w:before="54"/>
        <w:ind w:right="1131" w:firstLine="360"/>
        <w:jc w:val="both"/>
      </w:pPr>
      <w:r>
        <w:rPr>
          <w:spacing w:val="-2"/>
        </w:rPr>
        <w:t>如果持有至到期投资处置或重分类为其他类金融资产的金额，相对于本公司全部持有至到期投资在出售或重分类前的总</w:t>
      </w:r>
      <w:r>
        <w:rPr/>
        <w:t> </w:t>
      </w:r>
      <w:r>
        <w:rPr>
          <w:spacing w:val="-2"/>
        </w:rPr>
        <w:t>额较大，在处置或重分类后应立即将其剩余的持有至到期投资重分类为可供出售金融资产；重分类日，该投资的账面价值与</w:t>
      </w:r>
      <w:r>
        <w:rPr>
          <w:spacing w:val="-66"/>
        </w:rPr>
        <w:t> </w:t>
      </w:r>
      <w:r>
        <w:rPr>
          <w:spacing w:val="-66"/>
        </w:rPr>
      </w:r>
      <w:r>
        <w:rPr>
          <w:spacing w:val="-2"/>
        </w:rPr>
        <w:t>其公允价值之间的差额计入其他综合收益，在该可供出售金融资产发生减值或终止确认时转出，计入当期损益。但是，遇到</w:t>
      </w:r>
      <w:r>
        <w:rPr>
          <w:spacing w:val="-66"/>
        </w:rPr>
        <w:t> </w:t>
      </w:r>
      <w:r>
        <w:rPr>
          <w:spacing w:val="-66"/>
        </w:rPr>
      </w:r>
      <w:r>
        <w:rPr/>
        <w:t>下列情况可以除外：</w:t>
      </w:r>
    </w:p>
    <w:p>
      <w:pPr>
        <w:pStyle w:val="BodyText"/>
        <w:spacing w:line="477" w:lineRule="auto" w:before="54"/>
        <w:ind w:right="1133" w:firstLine="360"/>
        <w:jc w:val="both"/>
      </w:pPr>
      <w:r>
        <w:rPr>
          <w:rFonts w:ascii="宋体" w:hAnsi="宋体" w:cs="宋体" w:eastAsia="宋体" w:hint="default"/>
          <w:spacing w:val="-4"/>
        </w:rPr>
        <w:t>1</w:t>
      </w:r>
      <w:r>
        <w:rPr>
          <w:spacing w:val="-4"/>
        </w:rPr>
        <w:t>）出售日或重分类日距离该项投资到期日或赎回日较近（如到期前三个月内），且市场利率变化对该项投资的公允价值</w:t>
      </w:r>
      <w:r>
        <w:rPr/>
        <w:t> 没有显著影响。</w:t>
      </w:r>
    </w:p>
    <w:p>
      <w:pPr>
        <w:pStyle w:val="BodyText"/>
        <w:spacing w:line="240" w:lineRule="auto" w:before="54"/>
        <w:ind w:left="514" w:right="0"/>
        <w:jc w:val="left"/>
      </w:pPr>
      <w:r>
        <w:rPr>
          <w:rFonts w:ascii="宋体" w:hAnsi="宋体" w:cs="宋体" w:eastAsia="宋体" w:hint="default"/>
        </w:rPr>
        <w:t>2</w:t>
      </w:r>
      <w:r>
        <w:rPr/>
        <w:t>）根据合同约定的偿付方式，企业已收回几乎所有初始本金。</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rFonts w:ascii="宋体" w:hAnsi="宋体" w:cs="宋体" w:eastAsia="宋体" w:hint="default"/>
        </w:rPr>
        <w:t>3</w:t>
      </w:r>
      <w:r>
        <w:rPr/>
        <w:t>）出售或重分类是由于企业无法控制、预期不会重复发生且难以合理预计的独立事件所引起。</w:t>
      </w:r>
    </w:p>
    <w:p>
      <w:pPr>
        <w:spacing w:line="240" w:lineRule="auto" w:before="10"/>
        <w:rPr>
          <w:rFonts w:ascii="宋体" w:hAnsi="宋体" w:cs="宋体" w:eastAsia="宋体" w:hint="default"/>
          <w:sz w:val="17"/>
          <w:szCs w:val="17"/>
        </w:rPr>
      </w:pPr>
    </w:p>
    <w:p>
      <w:pPr>
        <w:pStyle w:val="BodyText"/>
        <w:spacing w:line="477" w:lineRule="auto"/>
        <w:ind w:left="514" w:right="1032" w:firstLine="90"/>
        <w:jc w:val="left"/>
      </w:pPr>
      <w:r>
        <w:rPr/>
        <w:t>（</w:t>
      </w:r>
      <w:r>
        <w:rPr>
          <w:rFonts w:ascii="宋体" w:hAnsi="宋体" w:cs="宋体" w:eastAsia="宋体" w:hint="default"/>
        </w:rPr>
        <w:t>4</w:t>
      </w:r>
      <w:r>
        <w:rPr/>
        <w:t>）可供出售金融资产 可供出售金融资产，是指初始确认时即指定为可供出售的非衍生金融资产，以及除其他金融资产类别以外的金融资产。 </w:t>
      </w:r>
      <w:r>
        <w:rPr>
          <w:spacing w:val="-2"/>
        </w:rPr>
        <w:t>本公司对可供出售金融资产，在取得时按公允价值（扣除已宣告但尚未发放的现金股利或已到付息期但尚未领取的债券</w:t>
      </w:r>
    </w:p>
    <w:p>
      <w:pPr>
        <w:pStyle w:val="BodyText"/>
        <w:spacing w:line="477" w:lineRule="auto" w:before="54"/>
        <w:ind w:right="1131"/>
        <w:jc w:val="both"/>
      </w:pPr>
      <w:r>
        <w:rPr>
          <w:spacing w:val="-2"/>
        </w:rPr>
        <w:t>利息）和相关交易费用之和作为初始确认金额。持有期间将取得的利息或现金股利确认为投资收益。可供出售金融资产的公</w:t>
      </w:r>
      <w:r>
        <w:rPr>
          <w:spacing w:val="-66"/>
        </w:rPr>
        <w:t> </w:t>
      </w:r>
      <w:r>
        <w:rPr>
          <w:spacing w:val="-66"/>
        </w:rPr>
      </w:r>
      <w:r>
        <w:rPr>
          <w:spacing w:val="-2"/>
        </w:rPr>
        <w:t>允价值变动形成的利得或损失，除减值损失和外币货币性金融资产形成的汇兑差额外，直接计入其他综合收益。处置可供出</w:t>
      </w:r>
      <w:r>
        <w:rPr>
          <w:spacing w:val="-66"/>
        </w:rPr>
        <w:t> </w:t>
      </w:r>
      <w:r>
        <w:rPr>
          <w:spacing w:val="-66"/>
        </w:rPr>
      </w:r>
      <w:r>
        <w:rPr>
          <w:spacing w:val="-2"/>
        </w:rPr>
        <w:t>售金融资产时，将取得的价款与该金融资产账面价值之间的差额，计入投资损益；同时，将原直接计入其他综合收益的公允</w:t>
      </w:r>
      <w:r>
        <w:rPr>
          <w:spacing w:val="-66"/>
        </w:rPr>
        <w:t> </w:t>
      </w:r>
      <w:r>
        <w:rPr>
          <w:spacing w:val="-66"/>
        </w:rPr>
      </w:r>
      <w:r>
        <w:rPr/>
        <w:t>价值变动累计额对应处置部分的金额转出，计入投资损益。</w:t>
      </w:r>
    </w:p>
    <w:p>
      <w:pPr>
        <w:pStyle w:val="BodyText"/>
        <w:spacing w:line="477" w:lineRule="auto" w:before="54"/>
        <w:ind w:right="1131" w:firstLine="360"/>
        <w:jc w:val="both"/>
      </w:pPr>
      <w:r>
        <w:rPr>
          <w:spacing w:val="-2"/>
        </w:rPr>
        <w:t>本公司对在活跃市场中没有报价且其公允价值不能可靠计量的权益工具投资，以及与该权益工具挂钩并须通过交付该权</w:t>
      </w:r>
      <w:r>
        <w:rPr/>
        <w:t> 益工具结算的衍生金融资产，按照成本计量。</w:t>
      </w:r>
    </w:p>
    <w:p>
      <w:pPr>
        <w:spacing w:after="0" w:line="477" w:lineRule="auto"/>
        <w:jc w:val="both"/>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left="514" w:right="3732" w:firstLine="270"/>
        <w:jc w:val="left"/>
      </w:pPr>
      <w:r>
        <w:rPr/>
        <w:t>（</w:t>
      </w:r>
      <w:r>
        <w:rPr>
          <w:rFonts w:ascii="宋体" w:hAnsi="宋体" w:cs="宋体" w:eastAsia="宋体" w:hint="default"/>
        </w:rPr>
        <w:t>5</w:t>
      </w:r>
      <w:r>
        <w:rPr/>
        <w:t>）其他金融负债 按其公允价值和相关交易费用之和作为初始确认金额。采用摊余成本进行后续计量。</w:t>
      </w:r>
    </w:p>
    <w:p>
      <w:pPr>
        <w:spacing w:line="477" w:lineRule="auto" w:before="54"/>
        <w:ind w:left="514" w:right="0" w:firstLine="364"/>
        <w:jc w:val="left"/>
        <w:rPr>
          <w:rFonts w:ascii="宋体" w:hAnsi="宋体" w:cs="宋体" w:eastAsia="宋体" w:hint="default"/>
          <w:sz w:val="18"/>
          <w:szCs w:val="18"/>
        </w:rPr>
      </w:pPr>
      <w:r>
        <w:rPr>
          <w:rFonts w:ascii="宋体" w:hAnsi="宋体" w:cs="宋体" w:eastAsia="宋体" w:hint="default"/>
          <w:b/>
          <w:bCs/>
          <w:sz w:val="18"/>
          <w:szCs w:val="18"/>
        </w:rPr>
        <w:t>3.</w:t>
      </w:r>
      <w:r>
        <w:rPr>
          <w:rFonts w:ascii="宋体" w:hAnsi="宋体" w:cs="宋体" w:eastAsia="宋体" w:hint="default"/>
          <w:b/>
          <w:bCs/>
          <w:sz w:val="18"/>
          <w:szCs w:val="18"/>
        </w:rPr>
        <w:t>金融资产转移的确认依据和计量方法</w:t>
      </w:r>
      <w:r>
        <w:rPr>
          <w:rFonts w:ascii="宋体" w:hAnsi="宋体" w:cs="宋体" w:eastAsia="宋体" w:hint="default"/>
          <w:b/>
          <w:bCs/>
          <w:w w:val="99"/>
          <w:sz w:val="18"/>
          <w:szCs w:val="18"/>
        </w:rPr>
        <w:t> </w:t>
      </w:r>
      <w:r>
        <w:rPr>
          <w:rFonts w:ascii="宋体" w:hAnsi="宋体" w:cs="宋体" w:eastAsia="宋体" w:hint="default"/>
          <w:spacing w:val="-2"/>
          <w:sz w:val="18"/>
          <w:szCs w:val="18"/>
        </w:rPr>
        <w:t>公司发生金融资产转移时，如已将金融资产所有权上几乎所有的风险和报酬转移给转入方，则终止确认该金融资产；如</w:t>
      </w:r>
    </w:p>
    <w:p>
      <w:pPr>
        <w:pStyle w:val="BodyText"/>
        <w:spacing w:line="477" w:lineRule="auto" w:before="54"/>
        <w:ind w:left="514" w:right="0" w:hanging="360"/>
        <w:jc w:val="left"/>
      </w:pPr>
      <w:r>
        <w:rPr/>
        <w:t>保留了金融资产所有权上几乎所有的风险和报酬的，则不终止确认该金融资产。 </w:t>
      </w:r>
      <w:r>
        <w:rPr>
          <w:spacing w:val="-2"/>
        </w:rPr>
        <w:t>在判断金融资产转移是否满足上述金融资产终止确认条件时，采用实质重于形式的原则。公司将金融资产转移区分为金</w:t>
      </w:r>
    </w:p>
    <w:p>
      <w:pPr>
        <w:pStyle w:val="BodyText"/>
        <w:spacing w:line="240" w:lineRule="auto" w:before="54"/>
        <w:ind w:right="0"/>
        <w:jc w:val="left"/>
      </w:pPr>
      <w:r>
        <w:rPr/>
        <w:t>融资产整体转移和部分转移。金融资产整体转移满足终止确认条件的，将下列两项金额的差额计入当期损益：</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t>（</w:t>
      </w:r>
      <w:r>
        <w:rPr>
          <w:rFonts w:ascii="宋体" w:hAnsi="宋体" w:cs="宋体" w:eastAsia="宋体" w:hint="default"/>
        </w:rPr>
        <w:t>1</w:t>
      </w:r>
      <w:r>
        <w:rPr/>
        <w:t>）所转移金融资产的账面价值；</w:t>
      </w:r>
    </w:p>
    <w:p>
      <w:pPr>
        <w:spacing w:line="240" w:lineRule="auto" w:before="10"/>
        <w:rPr>
          <w:rFonts w:ascii="宋体" w:hAnsi="宋体" w:cs="宋体" w:eastAsia="宋体" w:hint="default"/>
          <w:sz w:val="17"/>
          <w:szCs w:val="17"/>
        </w:rPr>
      </w:pPr>
    </w:p>
    <w:p>
      <w:pPr>
        <w:pStyle w:val="BodyText"/>
        <w:spacing w:line="477" w:lineRule="auto"/>
        <w:ind w:right="1122" w:firstLine="360"/>
        <w:jc w:val="left"/>
      </w:pPr>
      <w:r>
        <w:rPr/>
        <w:t>（</w:t>
      </w:r>
      <w:r>
        <w:rPr>
          <w:rFonts w:ascii="宋体" w:hAnsi="宋体" w:cs="宋体" w:eastAsia="宋体" w:hint="default"/>
        </w:rPr>
        <w:t>2</w:t>
      </w:r>
      <w:r>
        <w:rPr/>
        <w:t>）因转移而收到的对价，与原直接计入所有者权益的公允价值变动累计额（涉及转移的金融资产为可供出售金融资 产的情形）之和。</w:t>
      </w:r>
    </w:p>
    <w:p>
      <w:pPr>
        <w:pStyle w:val="BodyText"/>
        <w:spacing w:line="477" w:lineRule="auto" w:before="54"/>
        <w:ind w:right="1032" w:firstLine="360"/>
        <w:jc w:val="left"/>
      </w:pPr>
      <w:r>
        <w:rPr/>
        <w:t>金融资产部分转移满足终止确认条件的，将所转移金融资产整体的账面价值，在终止确认部分和未终止确认部分之间， 按照各自的相对公允价值进行分摊，并将下列两项金额的差额计入当期损益：</w:t>
      </w:r>
    </w:p>
    <w:p>
      <w:pPr>
        <w:pStyle w:val="BodyText"/>
        <w:spacing w:line="240" w:lineRule="auto" w:before="54"/>
        <w:ind w:left="514" w:right="0"/>
        <w:jc w:val="left"/>
      </w:pPr>
      <w:r>
        <w:rPr/>
        <w:t>（</w:t>
      </w:r>
      <w:r>
        <w:rPr>
          <w:rFonts w:ascii="宋体" w:hAnsi="宋体" w:cs="宋体" w:eastAsia="宋体" w:hint="default"/>
        </w:rPr>
        <w:t>1</w:t>
      </w:r>
      <w:r>
        <w:rPr/>
        <w:t>）终止确认部分的账面价值；</w:t>
      </w:r>
    </w:p>
    <w:p>
      <w:pPr>
        <w:spacing w:line="240" w:lineRule="auto" w:before="10"/>
        <w:rPr>
          <w:rFonts w:ascii="宋体" w:hAnsi="宋体" w:cs="宋体" w:eastAsia="宋体" w:hint="default"/>
          <w:sz w:val="17"/>
          <w:szCs w:val="17"/>
        </w:rPr>
      </w:pPr>
    </w:p>
    <w:p>
      <w:pPr>
        <w:pStyle w:val="BodyText"/>
        <w:spacing w:line="477" w:lineRule="auto"/>
        <w:ind w:right="1122" w:firstLine="360"/>
        <w:jc w:val="left"/>
      </w:pPr>
      <w:r>
        <w:rPr/>
        <w:t>（</w:t>
      </w:r>
      <w:r>
        <w:rPr>
          <w:rFonts w:ascii="宋体" w:hAnsi="宋体" w:cs="宋体" w:eastAsia="宋体" w:hint="default"/>
        </w:rPr>
        <w:t>2</w:t>
      </w:r>
      <w:r>
        <w:rPr/>
        <w:t>）终止确认部分的对价，与原直接计入所有者权益的公允价值变动累计额中对应终止确认部分的金额（涉及转移的 金融资产为可供出售金融资产的情形）之和。</w:t>
      </w:r>
    </w:p>
    <w:p>
      <w:pPr>
        <w:spacing w:line="477" w:lineRule="auto" w:before="54"/>
        <w:ind w:left="878" w:right="2652" w:hanging="364"/>
        <w:jc w:val="left"/>
        <w:rPr>
          <w:rFonts w:ascii="宋体" w:hAnsi="宋体" w:cs="宋体" w:eastAsia="宋体" w:hint="default"/>
          <w:sz w:val="18"/>
          <w:szCs w:val="18"/>
        </w:rPr>
      </w:pPr>
      <w:r>
        <w:rPr>
          <w:rFonts w:ascii="宋体" w:hAnsi="宋体" w:cs="宋体" w:eastAsia="宋体" w:hint="default"/>
          <w:sz w:val="18"/>
          <w:szCs w:val="18"/>
        </w:rPr>
        <w:t>金融资产转移不满足终止确认条件的，继续确认该金融资产，所收到的对价确认为一项金融负债。 </w:t>
      </w:r>
      <w:r>
        <w:rPr>
          <w:rFonts w:ascii="宋体" w:hAnsi="宋体" w:cs="宋体" w:eastAsia="宋体" w:hint="default"/>
          <w:b/>
          <w:bCs/>
          <w:sz w:val="18"/>
          <w:szCs w:val="18"/>
        </w:rPr>
        <w:t>4.</w:t>
      </w:r>
      <w:r>
        <w:rPr>
          <w:rFonts w:ascii="宋体" w:hAnsi="宋体" w:cs="宋体" w:eastAsia="宋体" w:hint="default"/>
          <w:b/>
          <w:bCs/>
          <w:sz w:val="18"/>
          <w:szCs w:val="18"/>
        </w:rPr>
        <w:t>金融负债终止确认条件</w:t>
      </w:r>
      <w:r>
        <w:rPr>
          <w:rFonts w:ascii="宋体" w:hAnsi="宋体" w:cs="宋体" w:eastAsia="宋体" w:hint="default"/>
          <w:sz w:val="18"/>
          <w:szCs w:val="18"/>
        </w:rPr>
      </w:r>
    </w:p>
    <w:p>
      <w:pPr>
        <w:pStyle w:val="BodyText"/>
        <w:spacing w:line="477" w:lineRule="auto" w:before="54"/>
        <w:ind w:right="1133" w:firstLine="360"/>
        <w:jc w:val="both"/>
      </w:pPr>
      <w:r>
        <w:rPr>
          <w:spacing w:val="-2"/>
        </w:rPr>
        <w:t>金融负债的现时义务全部或部分已经解除的，则终止确认该金融负债或其一部分；本公司若与债权人签定协议，以承担</w:t>
      </w:r>
      <w:r>
        <w:rPr/>
        <w:t> </w:t>
      </w:r>
      <w:r>
        <w:rPr>
          <w:spacing w:val="-2"/>
        </w:rPr>
        <w:t>新金融负债方式替换现存金融负债，且新金融负债与现存金融负债的合同条款实质上不同的，则终止确认现存金融负债，并</w:t>
      </w:r>
      <w:r>
        <w:rPr>
          <w:spacing w:val="-66"/>
        </w:rPr>
        <w:t> </w:t>
      </w:r>
      <w:r>
        <w:rPr>
          <w:spacing w:val="-66"/>
        </w:rPr>
      </w:r>
      <w:r>
        <w:rPr/>
        <w:t>同时确认新金融负债。</w:t>
      </w:r>
    </w:p>
    <w:p>
      <w:pPr>
        <w:pStyle w:val="BodyText"/>
        <w:spacing w:line="477" w:lineRule="auto" w:before="54"/>
        <w:ind w:right="0" w:firstLine="360"/>
        <w:jc w:val="left"/>
      </w:pPr>
      <w:r>
        <w:rPr>
          <w:spacing w:val="-2"/>
        </w:rPr>
        <w:t>对现存金融负债全部或部分合同条款作出实质性修改的，则终止确认现存金融负债或其一部分，同时将修改条款后的金</w:t>
      </w:r>
      <w:r>
        <w:rPr/>
        <w:t> 融负债确认为一项新金融负债。</w:t>
      </w:r>
    </w:p>
    <w:p>
      <w:pPr>
        <w:pStyle w:val="BodyText"/>
        <w:spacing w:line="477" w:lineRule="auto" w:before="54"/>
        <w:ind w:right="0" w:firstLine="360"/>
        <w:jc w:val="left"/>
      </w:pPr>
      <w:r>
        <w:rPr>
          <w:spacing w:val="-2"/>
        </w:rPr>
        <w:t>金融负债全部或部分终止确认时，终止确认的金融负债账面价值与支付对价（包括转出的非现金资产或承担的新金融负</w:t>
      </w:r>
      <w:r>
        <w:rPr/>
        <w:t> 债）之间的差额，计入当期损益。</w:t>
      </w:r>
    </w:p>
    <w:p>
      <w:pPr>
        <w:pStyle w:val="BodyText"/>
        <w:spacing w:line="477" w:lineRule="auto" w:before="54"/>
        <w:ind w:right="1032" w:firstLine="360"/>
        <w:jc w:val="left"/>
      </w:pPr>
      <w:r>
        <w:rPr>
          <w:spacing w:val="-2"/>
        </w:rPr>
        <w:t>本公司若回购部分金融负债的，在回购日按照继续确认部分与终止确认部分的相对公允价值，将该金融负债整体的账面</w:t>
      </w:r>
      <w:r>
        <w:rPr/>
        <w:t> 价值进行分配。分配给终止确认部分的账面价值与支付的对价（包括转出的非现金资产或承担的新金融负债）之间的差额， 计入当期损益。</w:t>
      </w:r>
    </w:p>
    <w:p>
      <w:pPr>
        <w:spacing w:line="477" w:lineRule="auto" w:before="54"/>
        <w:ind w:left="514" w:right="0" w:firstLine="364"/>
        <w:jc w:val="left"/>
        <w:rPr>
          <w:rFonts w:ascii="宋体" w:hAnsi="宋体" w:cs="宋体" w:eastAsia="宋体" w:hint="default"/>
          <w:sz w:val="18"/>
          <w:szCs w:val="18"/>
        </w:rPr>
      </w:pPr>
      <w:r>
        <w:rPr>
          <w:rFonts w:ascii="宋体" w:hAnsi="宋体" w:cs="宋体" w:eastAsia="宋体" w:hint="default"/>
          <w:b/>
          <w:bCs/>
          <w:sz w:val="18"/>
          <w:szCs w:val="18"/>
        </w:rPr>
        <w:t>5.</w:t>
      </w:r>
      <w:r>
        <w:rPr>
          <w:rFonts w:ascii="宋体" w:hAnsi="宋体" w:cs="宋体" w:eastAsia="宋体" w:hint="default"/>
          <w:b/>
          <w:bCs/>
          <w:sz w:val="18"/>
          <w:szCs w:val="18"/>
        </w:rPr>
        <w:t>金融资产和金融负债公允价值的确定方法</w:t>
      </w:r>
      <w:r>
        <w:rPr>
          <w:rFonts w:ascii="宋体" w:hAnsi="宋体" w:cs="宋体" w:eastAsia="宋体" w:hint="default"/>
          <w:b/>
          <w:bCs/>
          <w:w w:val="99"/>
          <w:sz w:val="18"/>
          <w:szCs w:val="18"/>
        </w:rPr>
        <w:t> </w:t>
      </w:r>
      <w:r>
        <w:rPr>
          <w:rFonts w:ascii="宋体" w:hAnsi="宋体" w:cs="宋体" w:eastAsia="宋体" w:hint="default"/>
          <w:spacing w:val="-4"/>
          <w:sz w:val="18"/>
          <w:szCs w:val="18"/>
        </w:rPr>
        <w:t>存在活跃市场的金融资产或金融负债，以活跃市场的报价确定其公允价值；活跃市场的报价包括易于且可定期从交易所、</w:t>
      </w:r>
    </w:p>
    <w:p>
      <w:pPr>
        <w:pStyle w:val="BodyText"/>
        <w:spacing w:line="240" w:lineRule="auto" w:before="54"/>
        <w:ind w:right="0"/>
        <w:jc w:val="left"/>
      </w:pPr>
      <w:r>
        <w:rPr/>
        <w:t>交易商、经纪人、行业集团、定价机构或监管机构等获得相关资产或负债的报价，且能代表在公平交易基础上实际并经常发</w:t>
      </w:r>
    </w:p>
    <w:p>
      <w:pPr>
        <w:spacing w:after="0" w:line="240" w:lineRule="auto"/>
        <w:jc w:val="left"/>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left="514" w:right="3012" w:hanging="360"/>
        <w:jc w:val="left"/>
      </w:pPr>
      <w:r>
        <w:rPr/>
        <w:t>生的市场交易。 初始取得或衍生的金融资产或承担的金融负债，以市场交易价格作为确定其公允价值的基础；</w:t>
      </w:r>
    </w:p>
    <w:p>
      <w:pPr>
        <w:pStyle w:val="BodyText"/>
        <w:spacing w:line="477" w:lineRule="auto" w:before="54"/>
        <w:ind w:right="1131" w:firstLine="360"/>
        <w:jc w:val="both"/>
      </w:pPr>
      <w:r>
        <w:rPr>
          <w:spacing w:val="-2"/>
        </w:rPr>
        <w:t>不存在活跃市场的金融资产或金融负债，采用估值技术确定其公允价值。在估值时，本公司采用在当前情况下适用并且</w:t>
      </w:r>
      <w:r>
        <w:rPr/>
        <w:t> </w:t>
      </w:r>
      <w:r>
        <w:rPr>
          <w:spacing w:val="-2"/>
        </w:rPr>
        <w:t>有足够可利用数据和其他信息支持的估值技术，选择与市场参与者在相关资产或负债的交易中所考虑的资产或负债特征相一</w:t>
      </w:r>
      <w:r>
        <w:rPr>
          <w:spacing w:val="-64"/>
        </w:rPr>
        <w:t> </w:t>
      </w:r>
      <w:r>
        <w:rPr>
          <w:spacing w:val="-64"/>
        </w:rPr>
      </w:r>
      <w:r>
        <w:rPr>
          <w:spacing w:val="-2"/>
        </w:rPr>
        <w:t>致的输入值，并尽可能优先使用相关可观察输入值。在相关可观察输入值无法取得或取得不切实可行的情况下，使用不可观</w:t>
      </w:r>
      <w:r>
        <w:rPr>
          <w:spacing w:val="-66"/>
        </w:rPr>
        <w:t> </w:t>
      </w:r>
      <w:r>
        <w:rPr>
          <w:spacing w:val="-66"/>
        </w:rPr>
      </w:r>
      <w:r>
        <w:rPr/>
        <w:t>察输入值。</w:t>
      </w:r>
    </w:p>
    <w:p>
      <w:pPr>
        <w:spacing w:line="477" w:lineRule="auto" w:before="54"/>
        <w:ind w:left="514" w:right="0" w:firstLine="364"/>
        <w:jc w:val="left"/>
        <w:rPr>
          <w:rFonts w:ascii="宋体" w:hAnsi="宋体" w:cs="宋体" w:eastAsia="宋体" w:hint="default"/>
          <w:sz w:val="18"/>
          <w:szCs w:val="18"/>
        </w:rPr>
      </w:pPr>
      <w:r>
        <w:rPr>
          <w:rFonts w:ascii="宋体" w:hAnsi="宋体" w:cs="宋体" w:eastAsia="宋体" w:hint="default"/>
          <w:b/>
          <w:bCs/>
          <w:sz w:val="18"/>
          <w:szCs w:val="18"/>
        </w:rPr>
        <w:t>6.</w:t>
      </w:r>
      <w:r>
        <w:rPr>
          <w:rFonts w:ascii="宋体" w:hAnsi="宋体" w:cs="宋体" w:eastAsia="宋体" w:hint="default"/>
          <w:b/>
          <w:bCs/>
          <w:sz w:val="18"/>
          <w:szCs w:val="18"/>
        </w:rPr>
        <w:t>金融资产（不含应收款项）减值准备计提</w:t>
      </w:r>
      <w:r>
        <w:rPr>
          <w:rFonts w:ascii="宋体" w:hAnsi="宋体" w:cs="宋体" w:eastAsia="宋体" w:hint="default"/>
          <w:b/>
          <w:bCs/>
          <w:w w:val="99"/>
          <w:sz w:val="18"/>
          <w:szCs w:val="18"/>
        </w:rPr>
        <w:t> </w:t>
      </w:r>
      <w:r>
        <w:rPr>
          <w:rFonts w:ascii="宋体" w:hAnsi="宋体" w:cs="宋体" w:eastAsia="宋体" w:hint="default"/>
          <w:spacing w:val="-2"/>
          <w:sz w:val="18"/>
          <w:szCs w:val="18"/>
        </w:rPr>
        <w:t>资产负债表日对以公允价值计量且其变动计入当期损益的金融资产以外的金融资产的账面价值进行检查，如有客观证据</w:t>
      </w:r>
    </w:p>
    <w:p>
      <w:pPr>
        <w:pStyle w:val="BodyText"/>
        <w:spacing w:line="477" w:lineRule="auto" w:before="54"/>
        <w:ind w:left="514" w:right="6612" w:hanging="360"/>
        <w:jc w:val="left"/>
      </w:pPr>
      <w:r>
        <w:rPr/>
        <w:t>表明该金融资产发生减值的，计提减值准备。 金融资产发生减值的客观证据，包括但不限于：</w:t>
      </w:r>
    </w:p>
    <w:p>
      <w:pPr>
        <w:pStyle w:val="BodyText"/>
        <w:spacing w:line="240" w:lineRule="auto" w:before="54"/>
        <w:ind w:left="604" w:right="0"/>
        <w:jc w:val="left"/>
      </w:pPr>
      <w:r>
        <w:rPr/>
        <w:t>（</w:t>
      </w:r>
      <w:r>
        <w:rPr>
          <w:rFonts w:ascii="宋体" w:hAnsi="宋体" w:cs="宋体" w:eastAsia="宋体" w:hint="default"/>
        </w:rPr>
        <w:t>1</w:t>
      </w:r>
      <w:r>
        <w:rPr/>
        <w:t>）发行方或债务人发生严重财务困难；</w:t>
      </w:r>
    </w:p>
    <w:p>
      <w:pPr>
        <w:spacing w:line="240" w:lineRule="auto" w:before="10"/>
        <w:rPr>
          <w:rFonts w:ascii="宋体" w:hAnsi="宋体" w:cs="宋体" w:eastAsia="宋体" w:hint="default"/>
          <w:sz w:val="17"/>
          <w:szCs w:val="17"/>
        </w:rPr>
      </w:pPr>
    </w:p>
    <w:p>
      <w:pPr>
        <w:pStyle w:val="BodyText"/>
        <w:spacing w:line="240" w:lineRule="auto"/>
        <w:ind w:left="604" w:right="0"/>
        <w:jc w:val="left"/>
      </w:pPr>
      <w:r>
        <w:rPr/>
        <w:t>（</w:t>
      </w:r>
      <w:r>
        <w:rPr>
          <w:rFonts w:ascii="宋体" w:hAnsi="宋体" w:cs="宋体" w:eastAsia="宋体" w:hint="default"/>
        </w:rPr>
        <w:t>2</w:t>
      </w:r>
      <w:r>
        <w:rPr/>
        <w:t>）债务人违反了合同条款，如偿付利息或本金发生违约或逾期等；</w:t>
      </w:r>
    </w:p>
    <w:p>
      <w:pPr>
        <w:spacing w:line="240" w:lineRule="auto" w:before="10"/>
        <w:rPr>
          <w:rFonts w:ascii="宋体" w:hAnsi="宋体" w:cs="宋体" w:eastAsia="宋体" w:hint="default"/>
          <w:sz w:val="17"/>
          <w:szCs w:val="17"/>
        </w:rPr>
      </w:pPr>
    </w:p>
    <w:p>
      <w:pPr>
        <w:pStyle w:val="BodyText"/>
        <w:spacing w:line="240" w:lineRule="auto"/>
        <w:ind w:left="604" w:right="0"/>
        <w:jc w:val="left"/>
      </w:pPr>
      <w:r>
        <w:rPr/>
        <w:t>（</w:t>
      </w:r>
      <w:r>
        <w:rPr>
          <w:rFonts w:ascii="宋体" w:hAnsi="宋体" w:cs="宋体" w:eastAsia="宋体" w:hint="default"/>
        </w:rPr>
        <w:t>3</w:t>
      </w:r>
      <w:r>
        <w:rPr/>
        <w:t>）债权人出于经济或法律等方面因素的考虑，对发生财务困难的债务人作出让步；</w:t>
      </w:r>
    </w:p>
    <w:p>
      <w:pPr>
        <w:spacing w:line="240" w:lineRule="auto" w:before="10"/>
        <w:rPr>
          <w:rFonts w:ascii="宋体" w:hAnsi="宋体" w:cs="宋体" w:eastAsia="宋体" w:hint="default"/>
          <w:sz w:val="17"/>
          <w:szCs w:val="17"/>
        </w:rPr>
      </w:pPr>
    </w:p>
    <w:p>
      <w:pPr>
        <w:pStyle w:val="BodyText"/>
        <w:spacing w:line="240" w:lineRule="auto"/>
        <w:ind w:left="604" w:right="0"/>
        <w:jc w:val="left"/>
      </w:pPr>
      <w:r>
        <w:rPr/>
        <w:t>（</w:t>
      </w:r>
      <w:r>
        <w:rPr>
          <w:rFonts w:ascii="宋体" w:hAnsi="宋体" w:cs="宋体" w:eastAsia="宋体" w:hint="default"/>
        </w:rPr>
        <w:t>4</w:t>
      </w:r>
      <w:r>
        <w:rPr/>
        <w:t>）债务人很可能倒闭或进行其他财务重组；</w:t>
      </w:r>
    </w:p>
    <w:p>
      <w:pPr>
        <w:spacing w:line="240" w:lineRule="auto" w:before="10"/>
        <w:rPr>
          <w:rFonts w:ascii="宋体" w:hAnsi="宋体" w:cs="宋体" w:eastAsia="宋体" w:hint="default"/>
          <w:sz w:val="17"/>
          <w:szCs w:val="17"/>
        </w:rPr>
      </w:pPr>
    </w:p>
    <w:p>
      <w:pPr>
        <w:pStyle w:val="BodyText"/>
        <w:spacing w:line="240" w:lineRule="auto"/>
        <w:ind w:left="604" w:right="0"/>
        <w:jc w:val="left"/>
      </w:pPr>
      <w:r>
        <w:rPr/>
        <w:t>（</w:t>
      </w:r>
      <w:r>
        <w:rPr>
          <w:rFonts w:ascii="宋体" w:hAnsi="宋体" w:cs="宋体" w:eastAsia="宋体" w:hint="default"/>
        </w:rPr>
        <w:t>5</w:t>
      </w:r>
      <w:r>
        <w:rPr/>
        <w:t>）因发行方发生重大财务困难，该金融资产无法在活跃市场继续交易；</w:t>
      </w:r>
    </w:p>
    <w:p>
      <w:pPr>
        <w:spacing w:line="240" w:lineRule="auto" w:before="10"/>
        <w:rPr>
          <w:rFonts w:ascii="宋体" w:hAnsi="宋体" w:cs="宋体" w:eastAsia="宋体" w:hint="default"/>
          <w:sz w:val="17"/>
          <w:szCs w:val="17"/>
        </w:rPr>
      </w:pPr>
    </w:p>
    <w:p>
      <w:pPr>
        <w:pStyle w:val="BodyText"/>
        <w:spacing w:line="477" w:lineRule="auto"/>
        <w:ind w:right="1132" w:firstLine="450"/>
        <w:jc w:val="both"/>
      </w:pPr>
      <w:r>
        <w:rPr>
          <w:spacing w:val="-2"/>
        </w:rPr>
        <w:t>（</w:t>
      </w:r>
      <w:r>
        <w:rPr>
          <w:rFonts w:ascii="宋体" w:hAnsi="宋体" w:cs="宋体" w:eastAsia="宋体" w:hint="default"/>
          <w:spacing w:val="-2"/>
        </w:rPr>
        <w:t>6</w:t>
      </w:r>
      <w:r>
        <w:rPr>
          <w:spacing w:val="-2"/>
        </w:rPr>
        <w:t>）无法辨认一组金融资产中的某项资产的现金流量是否已经减少，但根据公开的数据对其进行总体评价后发现，该</w:t>
      </w:r>
      <w:r>
        <w:rPr/>
        <w:t> </w:t>
      </w:r>
      <w:r>
        <w:rPr>
          <w:spacing w:val="-2"/>
        </w:rPr>
        <w:t>组金融资产自初始确认以来的预计未来现金流量确已减少且可计量，如该组金融资产的债务人支付能力逐步恶化，或债务人</w:t>
      </w:r>
      <w:r>
        <w:rPr>
          <w:spacing w:val="-64"/>
        </w:rPr>
        <w:t> </w:t>
      </w:r>
      <w:r>
        <w:rPr>
          <w:spacing w:val="-64"/>
        </w:rPr>
      </w:r>
      <w:r>
        <w:rPr/>
        <w:t>所在国家或地区失业率提高、担保物在其所在地区的价格明显下降、所处行业不景气等；</w:t>
      </w:r>
    </w:p>
    <w:p>
      <w:pPr>
        <w:pStyle w:val="BodyText"/>
        <w:spacing w:line="477" w:lineRule="auto" w:before="54"/>
        <w:ind w:right="1122" w:firstLine="540"/>
        <w:jc w:val="left"/>
      </w:pPr>
      <w:r>
        <w:rPr/>
        <w:t>（</w:t>
      </w:r>
      <w:r>
        <w:rPr>
          <w:rFonts w:ascii="宋体" w:hAnsi="宋体" w:cs="宋体" w:eastAsia="宋体" w:hint="default"/>
        </w:rPr>
        <w:t>7</w:t>
      </w:r>
      <w:r>
        <w:rPr/>
        <w:t>）权益工具发行方经营所处的技术、市场、经济或法律环境等发生重大不利变化，使权益工具投资人可能无法收 回投资成本；</w:t>
      </w:r>
    </w:p>
    <w:p>
      <w:pPr>
        <w:pStyle w:val="BodyText"/>
        <w:spacing w:line="477" w:lineRule="auto" w:before="54"/>
        <w:ind w:left="514" w:right="5622" w:firstLine="180"/>
        <w:jc w:val="left"/>
      </w:pPr>
      <w:r>
        <w:rPr/>
        <w:t>（</w:t>
      </w:r>
      <w:r>
        <w:rPr>
          <w:rFonts w:ascii="宋体" w:hAnsi="宋体" w:cs="宋体" w:eastAsia="宋体" w:hint="default"/>
        </w:rPr>
        <w:t>8</w:t>
      </w:r>
      <w:r>
        <w:rPr/>
        <w:t>）权益工具投资的公允价值发生严重或非暂时性下跌； 金融资产的具体减值方法如下：</w:t>
      </w:r>
    </w:p>
    <w:p>
      <w:pPr>
        <w:pStyle w:val="BodyText"/>
        <w:spacing w:line="477" w:lineRule="auto" w:before="54"/>
        <w:ind w:left="514" w:right="0" w:firstLine="180"/>
        <w:jc w:val="left"/>
      </w:pPr>
      <w:r>
        <w:rPr/>
        <w:t>（</w:t>
      </w:r>
      <w:r>
        <w:rPr>
          <w:rFonts w:ascii="宋体" w:hAnsi="宋体" w:cs="宋体" w:eastAsia="宋体" w:hint="default"/>
        </w:rPr>
        <w:t>1</w:t>
      </w:r>
      <w:r>
        <w:rPr/>
        <w:t>）可供出售金融资产的减值准备 </w:t>
      </w:r>
      <w:r>
        <w:rPr>
          <w:spacing w:val="-2"/>
        </w:rPr>
        <w:t>本公司于资产负债表日对各项可供出售权益工具投资单独进行检查，若该权益工具投资于资产负债表日的公允价值低于</w:t>
      </w:r>
    </w:p>
    <w:p>
      <w:pPr>
        <w:pStyle w:val="BodyText"/>
        <w:spacing w:line="240" w:lineRule="auto" w:before="54"/>
        <w:ind w:right="0"/>
        <w:jc w:val="left"/>
      </w:pPr>
      <w:r>
        <w:rPr/>
        <w:t>其成本超过</w:t>
      </w:r>
      <w:r>
        <w:rPr>
          <w:rFonts w:ascii="宋体" w:hAnsi="宋体" w:cs="宋体" w:eastAsia="宋体" w:hint="default"/>
        </w:rPr>
        <w:t>50%</w:t>
      </w:r>
      <w:r>
        <w:rPr/>
        <w:t>（含</w:t>
      </w:r>
      <w:r>
        <w:rPr>
          <w:rFonts w:ascii="宋体" w:hAnsi="宋体" w:cs="宋体" w:eastAsia="宋体" w:hint="default"/>
        </w:rPr>
        <w:t>50%</w:t>
      </w:r>
      <w:r>
        <w:rPr/>
        <w:t>）或低于其成本持续时间超过</w:t>
      </w:r>
      <w:r>
        <w:rPr>
          <w:rFonts w:ascii="宋体" w:hAnsi="宋体" w:cs="宋体" w:eastAsia="宋体" w:hint="default"/>
        </w:rPr>
        <w:t>12</w:t>
      </w:r>
      <w:r>
        <w:rPr/>
        <w:t>个月（含</w:t>
      </w:r>
      <w:r>
        <w:rPr>
          <w:rFonts w:ascii="宋体" w:hAnsi="宋体" w:cs="宋体" w:eastAsia="宋体" w:hint="default"/>
        </w:rPr>
        <w:t>12</w:t>
      </w:r>
      <w:r>
        <w:rPr/>
        <w:t>个月）的，则表明其发生减值。</w:t>
      </w:r>
    </w:p>
    <w:p>
      <w:pPr>
        <w:spacing w:line="240" w:lineRule="auto" w:before="12"/>
        <w:rPr>
          <w:rFonts w:ascii="宋体" w:hAnsi="宋体" w:cs="宋体" w:eastAsia="宋体" w:hint="default"/>
          <w:sz w:val="26"/>
          <w:szCs w:val="26"/>
        </w:rPr>
      </w:pPr>
    </w:p>
    <w:p>
      <w:pPr>
        <w:pStyle w:val="BodyText"/>
        <w:spacing w:line="477" w:lineRule="auto"/>
        <w:ind w:right="0" w:firstLine="360"/>
        <w:jc w:val="left"/>
      </w:pPr>
      <w:r>
        <w:rPr/>
        <w:t>上段所述成本按照可供出售权益工具投资的初始取得成本扣除已收回本金和已摊销金额、原已计入损益的减值损失确 </w:t>
      </w:r>
      <w:r>
        <w:rPr>
          <w:spacing w:val="-2"/>
        </w:rPr>
        <w:t>定；不存在活跃市场的可供出售权益工具投资的公允价值，按照类似金融资产当时市场收益率对未来现金流量折现确定的现</w:t>
      </w:r>
      <w:r>
        <w:rPr>
          <w:spacing w:val="-63"/>
        </w:rPr>
        <w:t> </w:t>
      </w:r>
      <w:r>
        <w:rPr>
          <w:spacing w:val="-63"/>
        </w:rPr>
      </w:r>
      <w:r>
        <w:rPr>
          <w:spacing w:val="-2"/>
        </w:rPr>
        <w:t>值确定；在活跃市场有报价的可供出售权益工具投资的公允价值根据证券交易所期末收盘价确定，除非该项可供出售权益工</w:t>
      </w:r>
      <w:r>
        <w:rPr>
          <w:spacing w:val="-64"/>
        </w:rPr>
        <w:t> </w:t>
      </w:r>
      <w:r>
        <w:rPr>
          <w:spacing w:val="-64"/>
        </w:rPr>
      </w:r>
      <w:r>
        <w:rPr>
          <w:spacing w:val="-2"/>
        </w:rPr>
        <w:t>具投资存在限售期。对于存在限售期的可供出售权益工具投资，按照证券交易所期末收盘价扣除市场参与者因承担指定期间</w:t>
      </w:r>
    </w:p>
    <w:p>
      <w:pPr>
        <w:spacing w:after="0" w:line="477" w:lineRule="auto"/>
        <w:jc w:val="left"/>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240" w:lineRule="auto" w:before="44"/>
        <w:ind w:right="0"/>
        <w:jc w:val="left"/>
      </w:pPr>
      <w:r>
        <w:rPr/>
        <w:t>内无法在公开市场上出售该权益工具的风险而要求获得的补偿金额后确定。</w:t>
      </w:r>
    </w:p>
    <w:p>
      <w:pPr>
        <w:spacing w:line="240" w:lineRule="auto" w:before="12"/>
        <w:rPr>
          <w:rFonts w:ascii="宋体" w:hAnsi="宋体" w:cs="宋体" w:eastAsia="宋体" w:hint="default"/>
          <w:sz w:val="26"/>
          <w:szCs w:val="26"/>
        </w:rPr>
      </w:pPr>
    </w:p>
    <w:p>
      <w:pPr>
        <w:pStyle w:val="BodyText"/>
        <w:spacing w:line="477" w:lineRule="auto"/>
        <w:ind w:right="1132" w:firstLine="360"/>
        <w:jc w:val="both"/>
      </w:pPr>
      <w:r>
        <w:rPr>
          <w:spacing w:val="-2"/>
        </w:rPr>
        <w:t>可供出售金融资产发生减值时，即使该金融资产没有终止确认，本公司将原直接计入其他综合收益的因公允价值下降形</w:t>
      </w:r>
      <w:r>
        <w:rPr/>
        <w:t> </w:t>
      </w:r>
      <w:r>
        <w:rPr>
          <w:spacing w:val="-2"/>
        </w:rPr>
        <w:t>成的累计损失从其他综合收益转出，计入当期损益。该转出的累计损失，等于可供出售金融资产的初始取得成本扣除已收回</w:t>
      </w:r>
      <w:r>
        <w:rPr>
          <w:spacing w:val="-66"/>
        </w:rPr>
        <w:t> </w:t>
      </w:r>
      <w:r>
        <w:rPr>
          <w:spacing w:val="-66"/>
        </w:rPr>
      </w:r>
      <w:r>
        <w:rPr/>
        <w:t>本金和已摊余金额、当前公允价值和原已计入损益的减值损失后的余额。</w:t>
      </w:r>
    </w:p>
    <w:p>
      <w:pPr>
        <w:pStyle w:val="BodyText"/>
        <w:spacing w:line="477" w:lineRule="auto" w:before="54"/>
        <w:ind w:right="1131" w:firstLine="360"/>
        <w:jc w:val="both"/>
      </w:pPr>
      <w:r>
        <w:rPr>
          <w:spacing w:val="-2"/>
        </w:rPr>
        <w:t>对于已确认减值损失的可供出售债务工具，在随后的会计期间公允价值已上升且客观上与确认原减值损失后发生的事项</w:t>
      </w:r>
      <w:r>
        <w:rPr/>
        <w:t> </w:t>
      </w:r>
      <w:r>
        <w:rPr>
          <w:spacing w:val="-2"/>
        </w:rPr>
        <w:t>有关的，原确认的减值损失予以转回计入当期损益；对于可供出售权益工具投资发生的减值损失，在该权益工具价值回升时</w:t>
      </w:r>
      <w:r>
        <w:rPr>
          <w:spacing w:val="-66"/>
        </w:rPr>
        <w:t> </w:t>
      </w:r>
      <w:r>
        <w:rPr>
          <w:spacing w:val="-66"/>
        </w:rPr>
      </w:r>
      <w:r>
        <w:rPr>
          <w:spacing w:val="-2"/>
        </w:rPr>
        <w:t>通过权益转回；但在活跃市场中没有报价且其公允价值不能可靠计量的权益工具投资，或与该权益工具挂钩并须通过交付该</w:t>
      </w:r>
      <w:r>
        <w:rPr>
          <w:spacing w:val="-64"/>
        </w:rPr>
        <w:t> </w:t>
      </w:r>
      <w:r>
        <w:rPr>
          <w:spacing w:val="-64"/>
        </w:rPr>
      </w:r>
      <w:r>
        <w:rPr/>
        <w:t>权益工具结算的衍生金融资产发生的减值损失，不得转回。</w:t>
      </w:r>
    </w:p>
    <w:p>
      <w:pPr>
        <w:pStyle w:val="BodyText"/>
        <w:spacing w:line="477" w:lineRule="auto" w:before="54"/>
        <w:ind w:left="514" w:right="0"/>
        <w:jc w:val="left"/>
      </w:pPr>
      <w:r>
        <w:rPr/>
        <w:t>（</w:t>
      </w:r>
      <w:r>
        <w:rPr>
          <w:rFonts w:ascii="宋体" w:hAnsi="宋体" w:cs="宋体" w:eastAsia="宋体" w:hint="default"/>
        </w:rPr>
        <w:t>2</w:t>
      </w:r>
      <w:r>
        <w:rPr/>
        <w:t>）持有至到期投资的减值准备 </w:t>
      </w:r>
      <w:r>
        <w:rPr>
          <w:spacing w:val="-2"/>
        </w:rPr>
        <w:t>对于持有至到期投资，有客观证据表明其发生了减值的，根据其账面价值与预计未来现金流量现值之间差额计算确认减</w:t>
      </w:r>
    </w:p>
    <w:p>
      <w:pPr>
        <w:pStyle w:val="BodyText"/>
        <w:spacing w:line="477" w:lineRule="auto" w:before="54"/>
        <w:ind w:right="0"/>
        <w:jc w:val="left"/>
      </w:pPr>
      <w:r>
        <w:rPr>
          <w:spacing w:val="-2"/>
        </w:rPr>
        <w:t>值损失；计提后如有证据表明其价值已恢复，原确认的减值损失可予以转回，记入当期损益，但该转回的账面价值不超过假</w:t>
      </w:r>
      <w:r>
        <w:rPr>
          <w:spacing w:val="-66"/>
        </w:rPr>
        <w:t> </w:t>
      </w:r>
      <w:r>
        <w:rPr>
          <w:spacing w:val="-66"/>
        </w:rPr>
      </w:r>
      <w:r>
        <w:rPr/>
        <w:t>定不计提减值准备情况下该金融资产在转回日的摊余成本。</w:t>
      </w:r>
    </w:p>
    <w:p>
      <w:pPr>
        <w:spacing w:line="477" w:lineRule="auto" w:before="54"/>
        <w:ind w:left="514" w:right="0" w:firstLine="364"/>
        <w:jc w:val="left"/>
        <w:rPr>
          <w:rFonts w:ascii="宋体" w:hAnsi="宋体" w:cs="宋体" w:eastAsia="宋体" w:hint="default"/>
          <w:sz w:val="18"/>
          <w:szCs w:val="18"/>
        </w:rPr>
      </w:pPr>
      <w:r>
        <w:rPr>
          <w:rFonts w:ascii="宋体" w:hAnsi="宋体" w:cs="宋体" w:eastAsia="宋体" w:hint="default"/>
          <w:b/>
          <w:bCs/>
          <w:sz w:val="18"/>
          <w:szCs w:val="18"/>
        </w:rPr>
        <w:t>7.</w:t>
      </w:r>
      <w:r>
        <w:rPr>
          <w:rFonts w:ascii="宋体" w:hAnsi="宋体" w:cs="宋体" w:eastAsia="宋体" w:hint="default"/>
          <w:b/>
          <w:bCs/>
          <w:sz w:val="18"/>
          <w:szCs w:val="18"/>
        </w:rPr>
        <w:t>金融资产及金融负债的抵销</w:t>
      </w:r>
      <w:r>
        <w:rPr>
          <w:rFonts w:ascii="宋体" w:hAnsi="宋体" w:cs="宋体" w:eastAsia="宋体" w:hint="default"/>
          <w:b/>
          <w:bCs/>
          <w:w w:val="99"/>
          <w:sz w:val="18"/>
          <w:szCs w:val="18"/>
        </w:rPr>
        <w:t> </w:t>
      </w:r>
      <w:r>
        <w:rPr>
          <w:rFonts w:ascii="宋体" w:hAnsi="宋体" w:cs="宋体" w:eastAsia="宋体" w:hint="default"/>
          <w:spacing w:val="-2"/>
          <w:sz w:val="18"/>
          <w:szCs w:val="18"/>
        </w:rPr>
        <w:t>金融资产和金融负债在资产负债表内分别列示，没有相互抵销。但是，同时满足下列条件的，以相互抵销后的净额在资</w:t>
      </w:r>
    </w:p>
    <w:p>
      <w:pPr>
        <w:pStyle w:val="BodyText"/>
        <w:spacing w:line="240" w:lineRule="auto" w:before="54"/>
        <w:ind w:right="0"/>
        <w:jc w:val="left"/>
      </w:pPr>
      <w:r>
        <w:rPr/>
        <w:t>产负债表内列示：</w:t>
      </w:r>
    </w:p>
    <w:p>
      <w:pPr>
        <w:spacing w:line="240" w:lineRule="auto" w:before="10"/>
        <w:rPr>
          <w:rFonts w:ascii="宋体" w:hAnsi="宋体" w:cs="宋体" w:eastAsia="宋体" w:hint="default"/>
          <w:sz w:val="17"/>
          <w:szCs w:val="17"/>
        </w:rPr>
      </w:pPr>
    </w:p>
    <w:p>
      <w:pPr>
        <w:pStyle w:val="BodyText"/>
        <w:spacing w:line="240" w:lineRule="auto"/>
        <w:ind w:left="604" w:right="0"/>
        <w:jc w:val="left"/>
      </w:pPr>
      <w:r>
        <w:rPr/>
        <w:t>（</w:t>
      </w:r>
      <w:r>
        <w:rPr>
          <w:rFonts w:ascii="宋体" w:hAnsi="宋体" w:cs="宋体" w:eastAsia="宋体" w:hint="default"/>
        </w:rPr>
        <w:t>1</w:t>
      </w:r>
      <w:r>
        <w:rPr/>
        <w:t>）本公司具有抵销已确认金额的法定权利，且该种法定权利是当前可执行的；</w:t>
      </w:r>
    </w:p>
    <w:p>
      <w:pPr>
        <w:spacing w:line="240" w:lineRule="auto" w:before="10"/>
        <w:rPr>
          <w:rFonts w:ascii="宋体" w:hAnsi="宋体" w:cs="宋体" w:eastAsia="宋体" w:hint="default"/>
          <w:sz w:val="17"/>
          <w:szCs w:val="17"/>
        </w:rPr>
      </w:pPr>
    </w:p>
    <w:p>
      <w:pPr>
        <w:pStyle w:val="BodyText"/>
        <w:spacing w:line="240" w:lineRule="auto"/>
        <w:ind w:left="604" w:right="0"/>
        <w:jc w:val="left"/>
      </w:pPr>
      <w:r>
        <w:rPr/>
        <w:t>（</w:t>
      </w:r>
      <w:r>
        <w:rPr>
          <w:rFonts w:ascii="宋体" w:hAnsi="宋体" w:cs="宋体" w:eastAsia="宋体" w:hint="default"/>
        </w:rPr>
        <w:t>2</w:t>
      </w:r>
      <w:r>
        <w:rPr/>
        <w:t>）本公司计划以净额结算，或同时变现该金融资产和清偿该金融负债。</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6"/>
          <w:szCs w:val="26"/>
        </w:rPr>
      </w:pPr>
    </w:p>
    <w:p>
      <w:pPr>
        <w:pStyle w:val="Heading3"/>
        <w:spacing w:line="240" w:lineRule="auto"/>
        <w:ind w:right="0"/>
        <w:jc w:val="left"/>
        <w:rPr>
          <w:b w:val="0"/>
          <w:bCs w:val="0"/>
        </w:rPr>
      </w:pPr>
      <w:bookmarkStart w:name="11、应收票据及应收账款" w:id="182"/>
      <w:bookmarkEnd w:id="182"/>
      <w:r>
        <w:rPr>
          <w:b w:val="0"/>
          <w:bCs w:val="0"/>
        </w:rPr>
      </w:r>
      <w:r>
        <w:rPr>
          <w:rFonts w:ascii="Times New Roman" w:hAnsi="Times New Roman" w:cs="Times New Roman" w:eastAsia="Times New Roman" w:hint="default"/>
        </w:rPr>
        <w:t>11</w:t>
      </w:r>
      <w:r>
        <w:rPr/>
        <w:t>、应收票据及应收账款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单项金额重大并单独计提坏账准备的应收款项" w:id="183"/>
      <w:bookmarkEnd w:id="183"/>
      <w:r>
        <w:rPr>
          <w:b w:val="0"/>
          <w:bCs w:val="0"/>
        </w:rPr>
      </w: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应收账款单项金额重大是指人民币超过</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万元；其他应收</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款单项金额重大是指人民币超过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1026"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68"/>
              <w:jc w:val="both"/>
              <w:rPr>
                <w:rFonts w:ascii="宋体" w:hAnsi="宋体" w:cs="宋体" w:eastAsia="宋体" w:hint="default"/>
                <w:sz w:val="18"/>
                <w:szCs w:val="18"/>
              </w:rPr>
            </w:pPr>
            <w:r>
              <w:rPr>
                <w:rFonts w:ascii="宋体" w:hAnsi="宋体" w:cs="宋体" w:eastAsia="宋体" w:hint="default"/>
                <w:sz w:val="18"/>
                <w:szCs w:val="18"/>
              </w:rPr>
              <w:t>单独进行减值测试，按预计未来现金流量现值低于其账面 价值的差额计提坏账准备，计入当期损益。单独测试未发 生减值的应收款项，将其归入相应组合计提坏账准备。</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按信用风险特征组合计提坏账准备的应收款项" w:id="184"/>
      <w:bookmarkEnd w:id="184"/>
      <w:r>
        <w:rPr>
          <w:b w:val="0"/>
          <w:bCs w:val="0"/>
        </w:rPr>
      </w: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1"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3"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bl>
    <w:p>
      <w:pPr>
        <w:spacing w:after="0" w:line="240"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b/>
          <w:bCs/>
          <w:sz w:val="23"/>
          <w:szCs w:val="23"/>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应收出口退税款</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应收集团内公司款项</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应收保证金、押金</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pStyle w:val="BodyText"/>
        <w:spacing w:line="240" w:lineRule="auto" w:before="51"/>
        <w:ind w:right="0"/>
        <w:jc w:val="left"/>
      </w:pPr>
      <w:r>
        <w:rPr/>
        <w:t>组合中，采用账龄分析法计提坏账准备的：</w:t>
      </w:r>
    </w:p>
    <w:p>
      <w:pPr>
        <w:pStyle w:val="BodyText"/>
        <w:spacing w:line="240" w:lineRule="auto" w:before="117"/>
        <w:ind w:right="0"/>
        <w:jc w:val="left"/>
      </w:pPr>
      <w:r>
        <w:rPr/>
        <w:t>√ 适用 □ 不适用</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69"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25.00%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80.00%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240" w:lineRule="auto" w:before="51"/>
        <w:ind w:right="0"/>
        <w:jc w:val="left"/>
      </w:pPr>
      <w:r>
        <w:rPr/>
        <w:t>组合中，采用余额百分比法计提坏账准备的：</w:t>
      </w:r>
    </w:p>
    <w:p>
      <w:pPr>
        <w:pStyle w:val="BodyText"/>
        <w:spacing w:line="360" w:lineRule="auto" w:before="116"/>
        <w:ind w:right="7512"/>
        <w:jc w:val="left"/>
      </w:pPr>
      <w:r>
        <w:rPr/>
        <w:t>□ 适用 √ 不适用 组合中，采用其他方法计提坏账准备的：</w:t>
      </w:r>
    </w:p>
    <w:p>
      <w:pPr>
        <w:pStyle w:val="BodyText"/>
        <w:spacing w:line="240" w:lineRule="auto" w:before="26"/>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3）单项金额不重大但单独计提坏账准备的应收款项" w:id="185"/>
      <w:bookmarkEnd w:id="185"/>
      <w:r>
        <w:rPr>
          <w:b w:val="0"/>
          <w:bCs w:val="0"/>
        </w:rPr>
      </w: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68"/>
              <w:jc w:val="left"/>
              <w:rPr>
                <w:rFonts w:ascii="宋体" w:hAnsi="宋体" w:cs="宋体" w:eastAsia="宋体" w:hint="default"/>
                <w:sz w:val="18"/>
                <w:szCs w:val="18"/>
              </w:rPr>
            </w:pPr>
            <w:r>
              <w:rPr>
                <w:rFonts w:ascii="宋体" w:hAnsi="宋体" w:cs="宋体" w:eastAsia="宋体" w:hint="default"/>
                <w:sz w:val="18"/>
                <w:szCs w:val="18"/>
              </w:rPr>
              <w:t>存在客观证据表明本公司将无法按应收款项的原有条款收 回款项。</w:t>
            </w:r>
          </w:p>
        </w:tc>
      </w:tr>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68"/>
              <w:jc w:val="left"/>
              <w:rPr>
                <w:rFonts w:ascii="宋体" w:hAnsi="宋体" w:cs="宋体" w:eastAsia="宋体" w:hint="default"/>
                <w:sz w:val="18"/>
                <w:szCs w:val="18"/>
              </w:rPr>
            </w:pPr>
            <w:r>
              <w:rPr>
                <w:rFonts w:ascii="宋体" w:hAnsi="宋体" w:cs="宋体" w:eastAsia="宋体" w:hint="default"/>
                <w:sz w:val="18"/>
                <w:szCs w:val="18"/>
              </w:rPr>
              <w:t>根据应收款项的预计未来现金流量现值低于其账面价值的 差额进行计提。</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12、存货" w:id="186"/>
      <w:bookmarkEnd w:id="186"/>
      <w:r>
        <w:rPr>
          <w:b w:val="0"/>
          <w:bCs w:val="0"/>
        </w:rPr>
      </w:r>
      <w:r>
        <w:rPr>
          <w:rFonts w:ascii="Times New Roman" w:hAnsi="Times New Roman" w:cs="Times New Roman" w:eastAsia="Times New Roman" w:hint="default"/>
        </w:rPr>
        <w:t>12</w:t>
      </w:r>
      <w:r>
        <w:rPr/>
        <w:t>、存货</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7692"/>
        <w:jc w:val="left"/>
      </w:pPr>
      <w:r>
        <w:rPr/>
        <w:t>公司是否需要遵守特殊行业的披露要求 否</w:t>
      </w:r>
    </w:p>
    <w:p>
      <w:pPr>
        <w:pStyle w:val="BodyText"/>
        <w:spacing w:line="477" w:lineRule="auto" w:before="103"/>
        <w:ind w:left="514" w:right="1118" w:firstLine="1"/>
        <w:jc w:val="left"/>
      </w:pPr>
      <w:r>
        <w:rPr>
          <w:rFonts w:ascii="宋体" w:hAnsi="宋体" w:cs="宋体" w:eastAsia="宋体" w:hint="default"/>
          <w:b/>
          <w:bCs/>
        </w:rPr>
        <w:t>1.</w:t>
      </w:r>
      <w:r>
        <w:rPr>
          <w:rFonts w:ascii="宋体" w:hAnsi="宋体" w:cs="宋体" w:eastAsia="宋体" w:hint="default"/>
          <w:b/>
          <w:bCs/>
        </w:rPr>
        <w:t>存货的分类</w:t>
      </w:r>
      <w:r>
        <w:rPr>
          <w:rFonts w:ascii="宋体" w:hAnsi="宋体" w:cs="宋体" w:eastAsia="宋体" w:hint="default"/>
          <w:b/>
          <w:bCs/>
          <w:w w:val="99"/>
        </w:rPr>
        <w:t> </w:t>
      </w:r>
      <w:r>
        <w:rPr>
          <w:spacing w:val="-2"/>
        </w:rPr>
        <w:t>存货是指本公司在日常活动中持有以备出售的产成品或商品、处在生产过程中的在产品、在生产过程或提供劳务过程中</w:t>
      </w:r>
    </w:p>
    <w:p>
      <w:pPr>
        <w:pStyle w:val="BodyText"/>
        <w:spacing w:line="477" w:lineRule="auto" w:before="54"/>
        <w:ind w:left="515" w:right="2653" w:hanging="362"/>
        <w:jc w:val="left"/>
        <w:rPr>
          <w:rFonts w:ascii="宋体" w:hAnsi="宋体" w:cs="宋体" w:eastAsia="宋体" w:hint="default"/>
        </w:rPr>
      </w:pPr>
      <w:r>
        <w:rPr/>
        <w:t>耗用的材料和物料等。主要包括原材料、周转材料、库存商品、在产品、发出商品、委托加工物资等。 </w:t>
      </w:r>
      <w:r>
        <w:rPr>
          <w:rFonts w:ascii="宋体" w:hAnsi="宋体" w:cs="宋体" w:eastAsia="宋体" w:hint="default"/>
          <w:b/>
          <w:bCs/>
        </w:rPr>
        <w:t>2.</w:t>
      </w:r>
      <w:r>
        <w:rPr>
          <w:rFonts w:ascii="宋体" w:hAnsi="宋体" w:cs="宋体" w:eastAsia="宋体" w:hint="default"/>
          <w:b/>
          <w:bCs/>
        </w:rPr>
        <w:t>存货的计价方法</w:t>
      </w:r>
      <w:r>
        <w:rPr>
          <w:rFonts w:ascii="宋体" w:hAnsi="宋体" w:cs="宋体" w:eastAsia="宋体" w:hint="default"/>
        </w:rPr>
      </w:r>
    </w:p>
    <w:p>
      <w:pPr>
        <w:spacing w:line="477" w:lineRule="auto" w:before="54"/>
        <w:ind w:left="514" w:right="1032" w:firstLine="0"/>
        <w:jc w:val="left"/>
        <w:rPr>
          <w:rFonts w:ascii="宋体" w:hAnsi="宋体" w:cs="宋体" w:eastAsia="宋体" w:hint="default"/>
          <w:sz w:val="18"/>
          <w:szCs w:val="18"/>
        </w:rPr>
      </w:pPr>
      <w:r>
        <w:rPr>
          <w:rFonts w:ascii="宋体" w:hAnsi="宋体" w:cs="宋体" w:eastAsia="宋体" w:hint="default"/>
          <w:sz w:val="18"/>
          <w:szCs w:val="18"/>
        </w:rPr>
        <w:t>存货在取得时，按成本进行初始计量，包括采购成本、加工成本和其他成本。存货发出时按月末一次加权平均法计价。 </w:t>
      </w:r>
      <w:r>
        <w:rPr>
          <w:rFonts w:ascii="宋体" w:hAnsi="宋体" w:cs="宋体" w:eastAsia="宋体" w:hint="default"/>
          <w:b/>
          <w:bCs/>
          <w:sz w:val="18"/>
          <w:szCs w:val="18"/>
        </w:rPr>
        <w:t>3.</w:t>
      </w:r>
      <w:r>
        <w:rPr>
          <w:rFonts w:ascii="宋体" w:hAnsi="宋体" w:cs="宋体" w:eastAsia="宋体" w:hint="default"/>
          <w:b/>
          <w:bCs/>
          <w:sz w:val="18"/>
          <w:szCs w:val="18"/>
        </w:rPr>
        <w:t>存货可变现净值的确定依据及存货跌价准备的计提方法</w:t>
      </w:r>
      <w:r>
        <w:rPr>
          <w:rFonts w:ascii="宋体" w:hAnsi="宋体" w:cs="宋体" w:eastAsia="宋体" w:hint="default"/>
          <w:b/>
          <w:bCs/>
          <w:w w:val="99"/>
          <w:sz w:val="18"/>
          <w:szCs w:val="18"/>
        </w:rPr>
        <w:t> </w:t>
      </w:r>
      <w:r>
        <w:rPr>
          <w:rFonts w:ascii="宋体" w:hAnsi="宋体" w:cs="宋体" w:eastAsia="宋体" w:hint="default"/>
          <w:spacing w:val="-2"/>
          <w:sz w:val="18"/>
          <w:szCs w:val="18"/>
        </w:rPr>
        <w:t>期末对存货进行全面清查后，按存货的成本与可变现净值孰低提取或调整存货跌价准备。产成品、库存商品和用于出售</w:t>
      </w:r>
    </w:p>
    <w:p>
      <w:pPr>
        <w:spacing w:after="0" w:line="477"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9"/>
        <w:rPr>
          <w:rFonts w:ascii="宋体" w:hAnsi="宋体" w:cs="宋体" w:eastAsia="宋体" w:hint="default"/>
          <w:sz w:val="26"/>
          <w:szCs w:val="26"/>
        </w:rPr>
      </w:pPr>
    </w:p>
    <w:p>
      <w:pPr>
        <w:pStyle w:val="BodyText"/>
        <w:spacing w:line="477" w:lineRule="auto" w:before="44"/>
        <w:ind w:right="0"/>
        <w:jc w:val="left"/>
      </w:pPr>
      <w:r>
        <w:rPr>
          <w:spacing w:val="-4"/>
        </w:rPr>
        <w:t>的材料等直接用于出售的商品存货，在正常生产经营过程中，以该存货的估计售价减去估计的销售费用和相关税费后的金额，</w:t>
      </w:r>
      <w:r>
        <w:rPr>
          <w:spacing w:val="-44"/>
        </w:rPr>
        <w:t> </w:t>
      </w:r>
      <w:r>
        <w:rPr>
          <w:spacing w:val="-44"/>
        </w:rPr>
      </w:r>
      <w:r>
        <w:rPr>
          <w:spacing w:val="-2"/>
        </w:rPr>
        <w:t>确定其可变现净值；需要经过加工的材料存货，在正常生产经营过程中，以所生产的产成品的估计售价减去至完工时估计将</w:t>
      </w:r>
      <w:r>
        <w:rPr>
          <w:spacing w:val="-66"/>
        </w:rPr>
        <w:t> </w:t>
      </w:r>
      <w:r>
        <w:rPr>
          <w:spacing w:val="-66"/>
        </w:rPr>
      </w:r>
      <w:r>
        <w:rPr>
          <w:spacing w:val="-2"/>
        </w:rPr>
        <w:t>要发生的成本、估计的销售费用和相关税费后的金额，确定其可变现净值；为执行销售合同或者劳务合同而持有的存货，其</w:t>
      </w:r>
      <w:r>
        <w:rPr>
          <w:spacing w:val="-66"/>
        </w:rPr>
        <w:t> </w:t>
      </w:r>
      <w:r>
        <w:rPr>
          <w:spacing w:val="-66"/>
        </w:rPr>
      </w:r>
      <w:r>
        <w:rPr>
          <w:spacing w:val="-2"/>
        </w:rPr>
        <w:t>可变现净值以合同价格为基础计算，若持有存货的数量多于销售合同订购数量的，超出部分的存货的可变现净值以一般销售</w:t>
      </w:r>
      <w:r>
        <w:rPr>
          <w:spacing w:val="-64"/>
        </w:rPr>
        <w:t> </w:t>
      </w:r>
      <w:r>
        <w:rPr>
          <w:spacing w:val="-64"/>
        </w:rPr>
      </w:r>
      <w:r>
        <w:rPr/>
        <w:t>价格为基础计算。</w:t>
      </w:r>
    </w:p>
    <w:p>
      <w:pPr>
        <w:pStyle w:val="BodyText"/>
        <w:spacing w:line="477" w:lineRule="auto" w:before="54"/>
        <w:ind w:right="1131" w:firstLine="360"/>
        <w:jc w:val="both"/>
      </w:pPr>
      <w:r>
        <w:rPr>
          <w:spacing w:val="-2"/>
        </w:rPr>
        <w:t>期末按照单个存货项目计提存货跌价准备；但对于数量繁多、单价较低的存货，按照存货类别计提存货跌价准备；与在</w:t>
      </w:r>
      <w:r>
        <w:rPr/>
        <w:t> </w:t>
      </w:r>
      <w:r>
        <w:rPr>
          <w:spacing w:val="-2"/>
        </w:rPr>
        <w:t>同一地区生产和销售的产品系列相关、具有相同或类似最终用途或目的，且难以与其他项目分开计量的存货，则合并计提存</w:t>
      </w:r>
      <w:r>
        <w:rPr>
          <w:spacing w:val="-65"/>
        </w:rPr>
        <w:t> </w:t>
      </w:r>
      <w:r>
        <w:rPr>
          <w:spacing w:val="-65"/>
        </w:rPr>
      </w:r>
      <w:r>
        <w:rPr/>
        <w:t>货跌价准备。</w:t>
      </w:r>
    </w:p>
    <w:p>
      <w:pPr>
        <w:pStyle w:val="BodyText"/>
        <w:spacing w:line="477" w:lineRule="auto" w:before="54"/>
        <w:ind w:right="1133" w:firstLine="360"/>
        <w:jc w:val="both"/>
      </w:pPr>
      <w:r>
        <w:rPr>
          <w:spacing w:val="-2"/>
        </w:rPr>
        <w:t>以前减记存货价值的影响因素已经消失的，减记的金额予以恢复，并在原已计提的存货跌价准备金额内转回，转回的金</w:t>
      </w:r>
      <w:r>
        <w:rPr/>
        <w:t> 额计入当期损益。</w:t>
      </w:r>
    </w:p>
    <w:p>
      <w:pPr>
        <w:spacing w:line="477" w:lineRule="auto" w:before="54"/>
        <w:ind w:left="514" w:right="7681" w:firstLine="1"/>
        <w:jc w:val="left"/>
        <w:rPr>
          <w:rFonts w:ascii="宋体" w:hAnsi="宋体" w:cs="宋体" w:eastAsia="宋体" w:hint="default"/>
          <w:sz w:val="18"/>
          <w:szCs w:val="18"/>
        </w:rPr>
      </w:pPr>
      <w:r>
        <w:rPr>
          <w:rFonts w:ascii="宋体" w:hAnsi="宋体" w:cs="宋体" w:eastAsia="宋体" w:hint="default"/>
          <w:b/>
          <w:bCs/>
          <w:sz w:val="18"/>
          <w:szCs w:val="18"/>
        </w:rPr>
        <w:t>4.</w:t>
      </w:r>
      <w:r>
        <w:rPr>
          <w:rFonts w:ascii="宋体" w:hAnsi="宋体" w:cs="宋体" w:eastAsia="宋体" w:hint="default"/>
          <w:b/>
          <w:bCs/>
          <w:sz w:val="18"/>
          <w:szCs w:val="18"/>
        </w:rPr>
        <w:t>存货的盘存制度</w:t>
      </w:r>
      <w:r>
        <w:rPr>
          <w:rFonts w:ascii="宋体" w:hAnsi="宋体" w:cs="宋体" w:eastAsia="宋体" w:hint="default"/>
          <w:b/>
          <w:bCs/>
          <w:w w:val="99"/>
          <w:sz w:val="18"/>
          <w:szCs w:val="18"/>
        </w:rPr>
        <w:t> </w:t>
      </w:r>
      <w:r>
        <w:rPr>
          <w:rFonts w:ascii="宋体" w:hAnsi="宋体" w:cs="宋体" w:eastAsia="宋体" w:hint="default"/>
          <w:sz w:val="18"/>
          <w:szCs w:val="18"/>
        </w:rPr>
        <w:t>采用永续盘存制。 </w:t>
      </w:r>
      <w:r>
        <w:rPr>
          <w:rFonts w:ascii="宋体" w:hAnsi="宋体" w:cs="宋体" w:eastAsia="宋体" w:hint="default"/>
          <w:b/>
          <w:bCs/>
          <w:sz w:val="18"/>
          <w:szCs w:val="18"/>
        </w:rPr>
        <w:t>5.</w:t>
      </w:r>
      <w:r>
        <w:rPr>
          <w:rFonts w:ascii="宋体" w:hAnsi="宋体" w:cs="宋体" w:eastAsia="宋体" w:hint="default"/>
          <w:b/>
          <w:bCs/>
          <w:sz w:val="18"/>
          <w:szCs w:val="18"/>
        </w:rPr>
        <w:t>低值易耗品和包装物的摊销方法</w:t>
      </w:r>
      <w:r>
        <w:rPr>
          <w:rFonts w:ascii="宋体" w:hAnsi="宋体" w:cs="宋体" w:eastAsia="宋体" w:hint="default"/>
          <w:sz w:val="18"/>
          <w:szCs w:val="18"/>
        </w:rPr>
      </w:r>
    </w:p>
    <w:p>
      <w:pPr>
        <w:pStyle w:val="BodyText"/>
        <w:spacing w:line="240" w:lineRule="auto" w:before="54"/>
        <w:ind w:left="514" w:right="0"/>
        <w:jc w:val="left"/>
      </w:pPr>
      <w:r>
        <w:rPr/>
        <w:t>低值易耗品、包装物和周转材料采用五五摊销法。</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0"/>
          <w:szCs w:val="20"/>
        </w:rPr>
      </w:pPr>
    </w:p>
    <w:p>
      <w:pPr>
        <w:pStyle w:val="Heading3"/>
        <w:spacing w:line="240" w:lineRule="auto"/>
        <w:ind w:right="0"/>
        <w:jc w:val="left"/>
        <w:rPr>
          <w:b w:val="0"/>
          <w:bCs w:val="0"/>
        </w:rPr>
      </w:pPr>
      <w:bookmarkStart w:name="13、持有待售资产" w:id="187"/>
      <w:bookmarkEnd w:id="187"/>
      <w:r>
        <w:rPr>
          <w:b w:val="0"/>
          <w:bCs w:val="0"/>
        </w:rPr>
      </w:r>
      <w:r>
        <w:rPr>
          <w:rFonts w:ascii="Times New Roman" w:hAnsi="Times New Roman" w:cs="Times New Roman" w:eastAsia="Times New Roman" w:hint="default"/>
        </w:rPr>
        <w:t>13</w:t>
      </w:r>
      <w:r>
        <w:rPr/>
        <w:t>、持有待售资产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14、长期股权投资" w:id="188"/>
      <w:bookmarkEnd w:id="188"/>
      <w:r>
        <w:rPr>
          <w:b w:val="0"/>
          <w:bCs w:val="0"/>
        </w:rPr>
      </w:r>
      <w:r>
        <w:rPr>
          <w:rFonts w:ascii="Times New Roman" w:hAnsi="Times New Roman" w:cs="Times New Roman" w:eastAsia="Times New Roman" w:hint="default"/>
        </w:rPr>
        <w:t>14</w:t>
      </w:r>
      <w:r>
        <w:rPr/>
        <w:t>、长期股权投资</w:t>
      </w:r>
      <w:r>
        <w:rPr>
          <w:b w:val="0"/>
          <w:bCs w:val="0"/>
        </w:rPr>
      </w:r>
    </w:p>
    <w:p>
      <w:pPr>
        <w:spacing w:line="240" w:lineRule="auto" w:before="6"/>
        <w:rPr>
          <w:rFonts w:ascii="宋体" w:hAnsi="宋体" w:cs="宋体" w:eastAsia="宋体" w:hint="default"/>
          <w:b/>
          <w:bCs/>
          <w:sz w:val="29"/>
          <w:szCs w:val="29"/>
        </w:rPr>
      </w:pPr>
    </w:p>
    <w:p>
      <w:pPr>
        <w:pStyle w:val="Heading5"/>
        <w:spacing w:line="240" w:lineRule="auto"/>
        <w:ind w:left="154" w:right="0"/>
        <w:jc w:val="left"/>
        <w:rPr>
          <w:b w:val="0"/>
          <w:bCs w:val="0"/>
        </w:rPr>
      </w:pPr>
      <w:r>
        <w:rPr>
          <w:rFonts w:ascii="宋体" w:hAnsi="宋体" w:cs="宋体" w:eastAsia="宋体" w:hint="default"/>
        </w:rPr>
        <w:t>1.</w:t>
      </w:r>
      <w:r>
        <w:rPr/>
        <w:t>初始投资成本的确定</w:t>
      </w:r>
      <w:r>
        <w:rPr>
          <w:b w:val="0"/>
          <w:bCs w:val="0"/>
        </w:rPr>
      </w:r>
    </w:p>
    <w:p>
      <w:pPr>
        <w:pStyle w:val="BodyText"/>
        <w:spacing w:line="398" w:lineRule="auto" w:before="154"/>
        <w:ind w:right="1118"/>
        <w:jc w:val="left"/>
      </w:pPr>
      <w:r>
        <w:rPr>
          <w:spacing w:val="-2"/>
        </w:rPr>
        <w:t>（</w:t>
      </w:r>
      <w:r>
        <w:rPr>
          <w:rFonts w:ascii="宋体" w:hAnsi="宋体" w:cs="宋体" w:eastAsia="宋体" w:hint="default"/>
          <w:spacing w:val="-2"/>
        </w:rPr>
        <w:t>1</w:t>
      </w:r>
      <w:r>
        <w:rPr>
          <w:spacing w:val="-2"/>
        </w:rPr>
        <w:t>）企业合并形成的长期股权投资，具体会计政策详见“第十一节、五、</w:t>
      </w:r>
      <w:r>
        <w:rPr>
          <w:rFonts w:ascii="宋体" w:hAnsi="宋体" w:cs="宋体" w:eastAsia="宋体" w:hint="default"/>
          <w:spacing w:val="-2"/>
        </w:rPr>
        <w:t>5</w:t>
      </w:r>
      <w:r>
        <w:rPr>
          <w:spacing w:val="-2"/>
        </w:rPr>
        <w:t>、同一控制下和非同一控制下企业合并的会计处</w:t>
      </w:r>
      <w:r>
        <w:rPr>
          <w:spacing w:val="-66"/>
        </w:rPr>
        <w:t> </w:t>
      </w:r>
      <w:r>
        <w:rPr>
          <w:spacing w:val="-66"/>
        </w:rPr>
      </w:r>
      <w:r>
        <w:rPr/>
        <w:t>理方法”</w:t>
      </w:r>
    </w:p>
    <w:p>
      <w:pPr>
        <w:pStyle w:val="BodyText"/>
        <w:spacing w:line="398" w:lineRule="auto" w:before="35"/>
        <w:ind w:left="574" w:right="1152" w:hanging="420"/>
        <w:jc w:val="left"/>
      </w:pPr>
      <w:r>
        <w:rPr/>
        <w:t>（</w:t>
      </w:r>
      <w:r>
        <w:rPr>
          <w:rFonts w:ascii="宋体" w:hAnsi="宋体" w:cs="宋体" w:eastAsia="宋体" w:hint="default"/>
        </w:rPr>
        <w:t>2</w:t>
      </w:r>
      <w:r>
        <w:rPr/>
        <w:t>）其他方式取得的长期股权投资 以支付现金方式取得的长期股权投资，按照实际支付的购买价款作为初始投资成本。初始投资成本包括与取得长期股</w:t>
      </w:r>
    </w:p>
    <w:p>
      <w:pPr>
        <w:pStyle w:val="BodyText"/>
        <w:spacing w:line="398" w:lineRule="auto" w:before="35"/>
        <w:ind w:left="574" w:right="1152" w:hanging="420"/>
        <w:jc w:val="left"/>
      </w:pPr>
      <w:r>
        <w:rPr/>
        <w:t>权投资直接相关的费用、税金及其他必要支出。 以发行权益性证券取得的长期股权投资，按照发行权益性证券的公允价值作为初始投资成本；发行或取得自身权益工</w:t>
      </w:r>
    </w:p>
    <w:p>
      <w:pPr>
        <w:pStyle w:val="BodyText"/>
        <w:spacing w:line="398" w:lineRule="auto" w:before="35"/>
        <w:ind w:left="574" w:right="1152" w:hanging="420"/>
        <w:jc w:val="left"/>
      </w:pPr>
      <w:r>
        <w:rPr/>
        <w:t>具时发生的交易费用，可直接归属于权益性交易的从权益中扣减。 在非货币性资产交换具备商业实质和换入资产或换出资产的公允价值能够可靠计量的前提下，非货币性资产交换换入</w:t>
      </w:r>
    </w:p>
    <w:p>
      <w:pPr>
        <w:pStyle w:val="BodyText"/>
        <w:spacing w:line="398" w:lineRule="auto" w:before="36"/>
        <w:ind w:right="0"/>
        <w:jc w:val="left"/>
      </w:pPr>
      <w:r>
        <w:rPr>
          <w:spacing w:val="-2"/>
        </w:rPr>
        <w:t>的长期股权投资以换出资产的公允价值为基础确定其初始投资成本，除非有确凿证据表明换入资产的公允价值更加可靠；不</w:t>
      </w:r>
      <w:r>
        <w:rPr>
          <w:spacing w:val="-64"/>
        </w:rPr>
        <w:t> </w:t>
      </w:r>
      <w:r>
        <w:rPr>
          <w:spacing w:val="-64"/>
        </w:rPr>
      </w:r>
      <w:r>
        <w:rPr/>
        <w:t>满足上述前提的非货币性资产交换，以换出资产的账面价值和应支付的相关税费作为换入长期股权投资的初始投资成本。</w:t>
      </w:r>
    </w:p>
    <w:p>
      <w:pPr>
        <w:pStyle w:val="BodyText"/>
        <w:spacing w:line="240" w:lineRule="auto" w:before="35"/>
        <w:ind w:left="574" w:right="0"/>
        <w:jc w:val="left"/>
      </w:pPr>
      <w:r>
        <w:rPr/>
        <w:t>通过债务重组取得的长期股权投资，其初始投资成本按照公允价值为基础确定。</w:t>
      </w:r>
    </w:p>
    <w:p>
      <w:pPr>
        <w:spacing w:after="0" w:line="240" w:lineRule="auto"/>
        <w:jc w:val="left"/>
        <w:sectPr>
          <w:pgSz w:w="11910" w:h="16840"/>
          <w:pgMar w:header="917" w:footer="1019" w:top="1120" w:bottom="1200" w:left="980" w:right="0"/>
        </w:sectPr>
      </w:pPr>
    </w:p>
    <w:p>
      <w:pPr>
        <w:spacing w:line="240" w:lineRule="auto" w:before="8"/>
        <w:rPr>
          <w:rFonts w:ascii="宋体" w:hAnsi="宋体" w:cs="宋体" w:eastAsia="宋体" w:hint="default"/>
          <w:sz w:val="23"/>
          <w:szCs w:val="23"/>
        </w:rPr>
      </w:pPr>
    </w:p>
    <w:p>
      <w:pPr>
        <w:pStyle w:val="Heading5"/>
        <w:spacing w:line="240" w:lineRule="auto" w:before="44"/>
        <w:ind w:left="154" w:right="0"/>
        <w:jc w:val="left"/>
        <w:rPr>
          <w:b w:val="0"/>
          <w:bCs w:val="0"/>
        </w:rPr>
      </w:pPr>
      <w:r>
        <w:rPr>
          <w:rFonts w:ascii="宋体" w:hAnsi="宋体" w:cs="宋体" w:eastAsia="宋体" w:hint="default"/>
        </w:rPr>
        <w:t>2.</w:t>
      </w:r>
      <w:r>
        <w:rPr/>
        <w:t>后续计量及损益确认</w:t>
      </w:r>
      <w:r>
        <w:rPr>
          <w:b w:val="0"/>
          <w:bCs w:val="0"/>
        </w:rPr>
      </w:r>
    </w:p>
    <w:p>
      <w:pPr>
        <w:pStyle w:val="BodyText"/>
        <w:spacing w:line="398" w:lineRule="auto" w:before="154"/>
        <w:ind w:left="574" w:right="1152"/>
        <w:jc w:val="left"/>
      </w:pPr>
      <w:r>
        <w:rPr/>
        <w:t>（</w:t>
      </w:r>
      <w:r>
        <w:rPr>
          <w:rFonts w:ascii="宋体" w:hAnsi="宋体" w:cs="宋体" w:eastAsia="宋体" w:hint="default"/>
        </w:rPr>
        <w:t>1</w:t>
      </w:r>
      <w:r>
        <w:rPr/>
        <w:t>）成本法 本公司能够对被投资单位实施控制的长期股权投资采用成本法核算，并按照初始投资成本计价，追加或收回投资调整</w:t>
      </w:r>
    </w:p>
    <w:p>
      <w:pPr>
        <w:pStyle w:val="BodyText"/>
        <w:spacing w:line="398" w:lineRule="auto" w:before="36"/>
        <w:ind w:left="574" w:right="1152" w:hanging="420"/>
        <w:jc w:val="left"/>
      </w:pPr>
      <w:r>
        <w:rPr/>
        <w:t>长期股权投资的成本。 除取得投资时实际支付的价款或对价中包含的已宣告但尚未发放的现金股利或利润外，本公司按照享有被投资单位宣</w:t>
      </w:r>
    </w:p>
    <w:p>
      <w:pPr>
        <w:pStyle w:val="BodyText"/>
        <w:spacing w:line="240" w:lineRule="auto" w:before="35"/>
        <w:ind w:right="0"/>
        <w:jc w:val="left"/>
      </w:pPr>
      <w:r>
        <w:rPr/>
        <w:t>告分派的现金股利或利润确认为当期投资收益。</w:t>
      </w:r>
    </w:p>
    <w:p>
      <w:pPr>
        <w:pStyle w:val="BodyText"/>
        <w:spacing w:line="398" w:lineRule="auto" w:before="154"/>
        <w:ind w:left="574" w:right="1152"/>
        <w:jc w:val="left"/>
      </w:pPr>
      <w:r>
        <w:rPr/>
        <w:t>（</w:t>
      </w:r>
      <w:r>
        <w:rPr>
          <w:rFonts w:ascii="宋体" w:hAnsi="宋体" w:cs="宋体" w:eastAsia="宋体" w:hint="default"/>
        </w:rPr>
        <w:t>2</w:t>
      </w:r>
      <w:r>
        <w:rPr/>
        <w:t>）权益法 本公司对联营企业和合营企业的长期股权投资采用权益法核算；对于其中一部分通过风险投资机构、共同基金、信托</w:t>
      </w:r>
    </w:p>
    <w:p>
      <w:pPr>
        <w:pStyle w:val="BodyText"/>
        <w:spacing w:line="398" w:lineRule="auto" w:before="35"/>
        <w:ind w:left="574" w:right="1152" w:hanging="420"/>
        <w:jc w:val="left"/>
      </w:pPr>
      <w:r>
        <w:rPr/>
        <w:t>公司或包括投连险基金在内的类似主体间接持有的联营企业的权益性投资，采用公允价值计量且其变动计入损益。 长期股权投资的初始投资成本大于投资时应享有被投资单位可辨认净资产公允价值份额的差额，不调整长期股权投资</w:t>
      </w:r>
    </w:p>
    <w:p>
      <w:pPr>
        <w:pStyle w:val="BodyText"/>
        <w:spacing w:line="398" w:lineRule="auto" w:before="35"/>
        <w:ind w:left="574" w:right="1152" w:hanging="420"/>
        <w:jc w:val="left"/>
      </w:pPr>
      <w:r>
        <w:rPr/>
        <w:t>的初始投资成本；初始投资成本小于投资时应享有被投资单位可辨认净资产公允价值份额的差额，计入当期损益。 本公司取得长期股权投资后，按照应享有或应分担的被投资单位实现的净损益和其他综合收益的份额，分别确认投资</w:t>
      </w:r>
    </w:p>
    <w:p>
      <w:pPr>
        <w:pStyle w:val="BodyText"/>
        <w:spacing w:line="398" w:lineRule="auto" w:before="35"/>
        <w:ind w:right="0"/>
        <w:jc w:val="left"/>
      </w:pPr>
      <w:r>
        <w:rPr>
          <w:spacing w:val="-4"/>
        </w:rPr>
        <w:t>收益和其他综合收益，同时调整长期股权投资的账面价值；并按照被投资单位宣告分派的利润或现金股利计算应享有的部分，</w:t>
      </w:r>
      <w:r>
        <w:rPr>
          <w:spacing w:val="-44"/>
        </w:rPr>
        <w:t> </w:t>
      </w:r>
      <w:r>
        <w:rPr>
          <w:spacing w:val="-44"/>
        </w:rPr>
      </w:r>
      <w:r>
        <w:rPr>
          <w:spacing w:val="-2"/>
        </w:rPr>
        <w:t>相应减少长期股权投资的账面价值；对于被投资单位除净损益、其他综合收益和利润分配以外所有者权益的其他变动，调整</w:t>
      </w:r>
      <w:r>
        <w:rPr>
          <w:spacing w:val="-66"/>
        </w:rPr>
        <w:t> </w:t>
      </w:r>
      <w:r>
        <w:rPr>
          <w:spacing w:val="-66"/>
        </w:rPr>
      </w:r>
      <w:r>
        <w:rPr/>
        <w:t>长期股权投资的账面价值并计入所有者权益。</w:t>
      </w:r>
    </w:p>
    <w:p>
      <w:pPr>
        <w:pStyle w:val="BodyText"/>
        <w:spacing w:line="398" w:lineRule="auto" w:before="35"/>
        <w:ind w:right="1132" w:firstLine="420"/>
        <w:jc w:val="both"/>
      </w:pPr>
      <w:r>
        <w:rPr/>
        <w:t>本公司在确认应享有被投资单位净损益的份额时，以取得投资时被投资单位各项可辨认资产等的公允价值为基础，对 </w:t>
      </w:r>
      <w:r>
        <w:rPr>
          <w:spacing w:val="-2"/>
        </w:rPr>
        <w:t>被投资单位的净利润进行调整后确认。本公司与联营企业、合营企业之间发生的未实现内部交易损益按照应享有的比例计算</w:t>
      </w:r>
      <w:r>
        <w:rPr>
          <w:spacing w:val="-64"/>
        </w:rPr>
        <w:t> </w:t>
      </w:r>
      <w:r>
        <w:rPr>
          <w:spacing w:val="-64"/>
        </w:rPr>
      </w:r>
      <w:r>
        <w:rPr/>
        <w:t>归属于本公司的部分予以抵销，在此基础上确认投资损益。</w:t>
      </w:r>
    </w:p>
    <w:p>
      <w:pPr>
        <w:pStyle w:val="BodyText"/>
        <w:spacing w:line="398" w:lineRule="auto" w:before="36"/>
        <w:ind w:right="0" w:firstLine="420"/>
        <w:jc w:val="left"/>
      </w:pPr>
      <w:r>
        <w:rPr/>
        <w:t>本公司确认应分担被投资单位发生的亏损时，按照以下顺序进行处理：首先，冲减长期股权投资的账面价值。其次， 长期股权投资的账面价值不足以冲减的，以其他实质上构成对被投资单位净投资的长期权益账面价值为限继续确认投资损 </w:t>
      </w:r>
      <w:r>
        <w:rPr>
          <w:spacing w:val="-2"/>
        </w:rPr>
        <w:t>失，冲减长期应收项目等的账面价值。最后，经过上述处理，按照投资合同或协议约定企业仍承担额外义务的，按预计承担</w:t>
      </w:r>
      <w:r>
        <w:rPr>
          <w:spacing w:val="-66"/>
        </w:rPr>
        <w:t> </w:t>
      </w:r>
      <w:r>
        <w:rPr>
          <w:spacing w:val="-66"/>
        </w:rPr>
      </w:r>
      <w:r>
        <w:rPr/>
        <w:t>的义务确认预计负债，计入当期投资损失。</w:t>
      </w:r>
    </w:p>
    <w:p>
      <w:pPr>
        <w:pStyle w:val="BodyText"/>
        <w:spacing w:line="398" w:lineRule="auto" w:before="35"/>
        <w:ind w:right="1152" w:firstLine="420"/>
        <w:jc w:val="left"/>
        <w:rPr>
          <w:rFonts w:ascii="宋体" w:hAnsi="宋体" w:cs="宋体" w:eastAsia="宋体" w:hint="default"/>
        </w:rPr>
      </w:pPr>
      <w:r>
        <w:rPr/>
        <w:t>被投资单位以后期间实现盈利的，公司在扣除未确认的亏损分担额后，按与上述相反的顺序处理，减记已确认预计负 债的账面余额、恢复其他实质上构成对被投资单位净投资的长期权益及长期股权投资的账面价值后，恢复确认投资收益。 </w:t>
      </w:r>
      <w:r>
        <w:rPr>
          <w:rFonts w:ascii="宋体" w:hAnsi="宋体" w:cs="宋体" w:eastAsia="宋体" w:hint="default"/>
          <w:b/>
          <w:bCs/>
        </w:rPr>
        <w:t>3.</w:t>
      </w:r>
      <w:r>
        <w:rPr>
          <w:rFonts w:ascii="宋体" w:hAnsi="宋体" w:cs="宋体" w:eastAsia="宋体" w:hint="default"/>
          <w:b/>
          <w:bCs/>
        </w:rPr>
        <w:t>长期股权投资核算方法的转换</w:t>
      </w:r>
      <w:r>
        <w:rPr>
          <w:rFonts w:ascii="宋体" w:hAnsi="宋体" w:cs="宋体" w:eastAsia="宋体" w:hint="default"/>
        </w:rPr>
      </w:r>
    </w:p>
    <w:p>
      <w:pPr>
        <w:pStyle w:val="BodyText"/>
        <w:spacing w:line="398" w:lineRule="auto" w:before="35"/>
        <w:ind w:left="574" w:right="1152" w:hanging="150"/>
        <w:jc w:val="left"/>
      </w:pPr>
      <w:r>
        <w:rPr/>
        <w:t>（</w:t>
      </w:r>
      <w:r>
        <w:rPr>
          <w:rFonts w:ascii="宋体" w:hAnsi="宋体" w:cs="宋体" w:eastAsia="宋体" w:hint="default"/>
        </w:rPr>
        <w:t>1</w:t>
      </w:r>
      <w:r>
        <w:rPr/>
        <w:t>）公允价值计量转权益法核算 本公司原持有的对被投资单位不具有控制、共同控制或重大影响的按金融工具确认和计量准则进行会计处理的权益性</w:t>
      </w:r>
    </w:p>
    <w:p>
      <w:pPr>
        <w:pStyle w:val="BodyText"/>
        <w:spacing w:line="398" w:lineRule="auto" w:before="35"/>
        <w:ind w:right="1032"/>
        <w:jc w:val="left"/>
      </w:pPr>
      <w:r>
        <w:rPr>
          <w:spacing w:val="-2"/>
        </w:rPr>
        <w:t>投资，因追加投资等原因能够对被投资单位施加重大影响或实施共同控制但不构成控制的，按照《企业会计准则第</w:t>
      </w:r>
      <w:r>
        <w:rPr>
          <w:rFonts w:ascii="宋体" w:hAnsi="宋体" w:cs="宋体" w:eastAsia="宋体" w:hint="default"/>
          <w:spacing w:val="-2"/>
        </w:rPr>
        <w:t>22</w:t>
      </w:r>
      <w:r>
        <w:rPr>
          <w:spacing w:val="-2"/>
        </w:rPr>
        <w:t>号——</w:t>
      </w:r>
      <w:r>
        <w:rPr>
          <w:spacing w:val="-63"/>
        </w:rPr>
        <w:t> </w:t>
      </w:r>
      <w:r>
        <w:rPr/>
        <w:t>金融工具确认和计量》确定的原持有的股权投资的公允价值加上新增投资成本之和，作为改按权益法核算的初始投资成本。</w:t>
      </w:r>
    </w:p>
    <w:p>
      <w:pPr>
        <w:pStyle w:val="BodyText"/>
        <w:spacing w:line="398" w:lineRule="auto" w:before="35"/>
        <w:ind w:right="1152" w:firstLine="420"/>
        <w:jc w:val="left"/>
      </w:pPr>
      <w:r>
        <w:rPr/>
        <w:t>原持有的股权投资分类为可供出售金融资产的，其公允价值与账面价值之间的差额，以及原计入其他综合收益的累计 公允价值变动转入改按权益法核算的当期损益。</w:t>
      </w:r>
    </w:p>
    <w:p>
      <w:pPr>
        <w:pStyle w:val="BodyText"/>
        <w:spacing w:line="398" w:lineRule="auto" w:before="35"/>
        <w:ind w:right="1152" w:firstLine="420"/>
        <w:jc w:val="left"/>
      </w:pPr>
      <w:r>
        <w:rPr/>
        <w:t>按权益法核算的初始投资成本小于按照追加投资后全新的持股比例计算确定的应享有被投资单位在追加投资日可辨认 净资产公允价值份额之间的差额，调整长期股权投资的账面价值，并计入当期营业外收入。</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pStyle w:val="BodyText"/>
        <w:spacing w:line="240" w:lineRule="auto"/>
        <w:ind w:left="424" w:right="0"/>
        <w:jc w:val="left"/>
      </w:pPr>
      <w:r>
        <w:rPr/>
        <w:t>（</w:t>
      </w:r>
      <w:r>
        <w:rPr>
          <w:rFonts w:ascii="宋体" w:hAnsi="宋体" w:cs="宋体" w:eastAsia="宋体" w:hint="default"/>
        </w:rPr>
        <w:t>2</w:t>
      </w:r>
      <w:r>
        <w:rPr/>
        <w:t>）公允价值计量或权益法核算转成本法核算</w:t>
      </w:r>
    </w:p>
    <w:p>
      <w:pPr>
        <w:spacing w:after="0" w:line="240" w:lineRule="auto"/>
        <w:jc w:val="left"/>
        <w:sectPr>
          <w:pgSz w:w="11910" w:h="16840"/>
          <w:pgMar w:header="917" w:footer="1019" w:top="1120" w:bottom="1200" w:left="980" w:right="0"/>
        </w:sectPr>
      </w:pPr>
    </w:p>
    <w:p>
      <w:pPr>
        <w:spacing w:line="240" w:lineRule="auto" w:before="8"/>
        <w:rPr>
          <w:rFonts w:ascii="宋体" w:hAnsi="宋体" w:cs="宋体" w:eastAsia="宋体" w:hint="default"/>
          <w:sz w:val="23"/>
          <w:szCs w:val="23"/>
        </w:rPr>
      </w:pPr>
    </w:p>
    <w:p>
      <w:pPr>
        <w:pStyle w:val="BodyText"/>
        <w:spacing w:line="398" w:lineRule="auto" w:before="44"/>
        <w:ind w:right="1032" w:firstLine="420"/>
        <w:jc w:val="left"/>
      </w:pPr>
      <w:r>
        <w:rPr/>
        <w:t>本公司原持有的对被投资单位不具有控制、共同控制或重大影响的按金融工具确认和计量准则进行会计处理的权益性 投资，或原持有对联营企业、合营企业的长期股权投资，因追加投资等原因能够对非同一控制下的被投资单位实施控制的， 在编制个别财务报表时，按照原持有的股权投资账面价值加上新增投资成本之和，作为改按成本法核算的初始投资成本。</w:t>
      </w:r>
    </w:p>
    <w:p>
      <w:pPr>
        <w:pStyle w:val="BodyText"/>
        <w:spacing w:line="398" w:lineRule="auto" w:before="36"/>
        <w:ind w:right="1152" w:firstLine="420"/>
        <w:jc w:val="left"/>
      </w:pPr>
      <w:r>
        <w:rPr/>
        <w:t>购买日之前持有的股权投资因采用权益法核算而确认的其他综合收益，在处置该项投资时采用与被投资单位直接处置 相关资产或负债相同的基础进行会计处理。</w:t>
      </w:r>
    </w:p>
    <w:p>
      <w:pPr>
        <w:pStyle w:val="BodyText"/>
        <w:spacing w:line="398" w:lineRule="auto" w:before="35"/>
        <w:ind w:right="1152" w:firstLine="420"/>
        <w:jc w:val="left"/>
      </w:pPr>
      <w:r>
        <w:rPr/>
        <w:t>购买日之前持有的股权投资按照《企业会计准则第</w:t>
      </w:r>
      <w:r>
        <w:rPr>
          <w:rFonts w:ascii="宋体" w:hAnsi="宋体" w:cs="宋体" w:eastAsia="宋体" w:hint="default"/>
        </w:rPr>
        <w:t>22</w:t>
      </w:r>
      <w:r>
        <w:rPr/>
        <w:t>号——金融工具确认和计量》的有关规定进行会计处理的，原计 入其他综合收益的累计公允价值变动在改按成本法核算时转入当期损益。</w:t>
      </w:r>
    </w:p>
    <w:p>
      <w:pPr>
        <w:pStyle w:val="BodyText"/>
        <w:spacing w:line="398" w:lineRule="auto" w:before="35"/>
        <w:ind w:left="574" w:right="1152" w:hanging="150"/>
        <w:jc w:val="left"/>
      </w:pPr>
      <w:r>
        <w:rPr/>
        <w:t>（</w:t>
      </w:r>
      <w:r>
        <w:rPr>
          <w:rFonts w:ascii="宋体" w:hAnsi="宋体" w:cs="宋体" w:eastAsia="宋体" w:hint="default"/>
        </w:rPr>
        <w:t>3</w:t>
      </w:r>
      <w:r>
        <w:rPr/>
        <w:t>）权益法核算转公允价值计量 本公司因处置部分股权投资等原因丧失了对被投资单位的共同控制或重大影响的，处置后的剩余股权改按《企业会计</w:t>
      </w:r>
    </w:p>
    <w:p>
      <w:pPr>
        <w:pStyle w:val="BodyText"/>
        <w:spacing w:line="398" w:lineRule="auto" w:before="35"/>
        <w:ind w:right="1118"/>
        <w:jc w:val="left"/>
      </w:pPr>
      <w:r>
        <w:rPr>
          <w:spacing w:val="-2"/>
        </w:rPr>
        <w:t>准则第</w:t>
      </w:r>
      <w:r>
        <w:rPr>
          <w:rFonts w:ascii="宋体" w:hAnsi="宋体" w:cs="宋体" w:eastAsia="宋体" w:hint="default"/>
          <w:spacing w:val="-2"/>
        </w:rPr>
        <w:t>22</w:t>
      </w:r>
      <w:r>
        <w:rPr>
          <w:spacing w:val="-2"/>
        </w:rPr>
        <w:t>号——金融工具确认和计量》核算，其在丧失共同控制或重大影响之日的公允价值与账面价值之间的差额计入当期</w:t>
      </w:r>
      <w:r>
        <w:rPr>
          <w:spacing w:val="-62"/>
        </w:rPr>
        <w:t> </w:t>
      </w:r>
      <w:r>
        <w:rPr>
          <w:spacing w:val="-62"/>
        </w:rPr>
      </w:r>
      <w:r>
        <w:rPr/>
        <w:t>损益。</w:t>
      </w:r>
    </w:p>
    <w:p>
      <w:pPr>
        <w:pStyle w:val="BodyText"/>
        <w:spacing w:line="398" w:lineRule="auto" w:before="35"/>
        <w:ind w:right="1152" w:firstLine="420"/>
        <w:jc w:val="left"/>
      </w:pPr>
      <w:r>
        <w:rPr/>
        <w:t>原股权投资因采用权益法核算而确认的其他综合收益，在终止采用权益法核算时采用与被投资单位直接处置相关资产 或负债相同的基础进行会计处理。</w:t>
      </w:r>
    </w:p>
    <w:p>
      <w:pPr>
        <w:pStyle w:val="BodyText"/>
        <w:spacing w:line="398" w:lineRule="auto" w:before="35"/>
        <w:ind w:left="574" w:right="1152" w:hanging="150"/>
        <w:jc w:val="left"/>
      </w:pPr>
      <w:r>
        <w:rPr/>
        <w:t>（</w:t>
      </w:r>
      <w:r>
        <w:rPr>
          <w:rFonts w:ascii="宋体" w:hAnsi="宋体" w:cs="宋体" w:eastAsia="宋体" w:hint="default"/>
        </w:rPr>
        <w:t>4</w:t>
      </w:r>
      <w:r>
        <w:rPr/>
        <w:t>）成本法转权益法 本公司因处置部分权益性投资等原因丧失了对被投资单位的控制的，在编制个别财务报表时，处置后的剩余股权能够</w:t>
      </w:r>
    </w:p>
    <w:p>
      <w:pPr>
        <w:pStyle w:val="BodyText"/>
        <w:spacing w:line="240" w:lineRule="auto" w:before="35"/>
        <w:ind w:right="0"/>
        <w:jc w:val="left"/>
      </w:pPr>
      <w:r>
        <w:rPr/>
        <w:t>对被投资单位实施共同控制或施加重大影响的</w:t>
      </w:r>
      <w:r>
        <w:rPr>
          <w:spacing w:val="-87"/>
        </w:rPr>
        <w:t>，</w:t>
      </w:r>
      <w:r>
        <w:rPr/>
        <w:t>改按权益法核算</w:t>
      </w:r>
      <w:r>
        <w:rPr>
          <w:spacing w:val="-87"/>
        </w:rPr>
        <w:t>，</w:t>
      </w:r>
      <w:r>
        <w:rPr/>
        <w:t>并对该剩余股权视同自取得时即</w:t>
      </w:r>
      <w:r>
        <w:rPr>
          <w:spacing w:val="1"/>
        </w:rPr>
        <w:t>采</w:t>
      </w:r>
      <w:r>
        <w:rPr/>
        <w:t>用权益法核算进行调整。</w:t>
      </w:r>
    </w:p>
    <w:p>
      <w:pPr>
        <w:pStyle w:val="BodyText"/>
        <w:spacing w:line="398" w:lineRule="auto" w:before="154"/>
        <w:ind w:left="574" w:right="1152" w:hanging="150"/>
        <w:jc w:val="left"/>
      </w:pPr>
      <w:r>
        <w:rPr/>
        <w:t>（</w:t>
      </w:r>
      <w:r>
        <w:rPr>
          <w:rFonts w:ascii="宋体" w:hAnsi="宋体" w:cs="宋体" w:eastAsia="宋体" w:hint="default"/>
        </w:rPr>
        <w:t>5</w:t>
      </w:r>
      <w:r>
        <w:rPr/>
        <w:t>）成本法转公允价值计量 本公司因处置部分权益性投资等原因丧失了对被投资单位的控制的，在编制个别财务报表时，处置后的剩余股权不能</w:t>
      </w:r>
    </w:p>
    <w:p>
      <w:pPr>
        <w:pStyle w:val="BodyText"/>
        <w:spacing w:line="398" w:lineRule="auto" w:before="36"/>
        <w:ind w:right="0"/>
        <w:jc w:val="left"/>
      </w:pPr>
      <w:r>
        <w:rPr>
          <w:spacing w:val="-2"/>
        </w:rPr>
        <w:t>对被投资单位实施共同控制或施加重大影响的，改按《企业会计准则第</w:t>
      </w:r>
      <w:r>
        <w:rPr>
          <w:rFonts w:ascii="宋体" w:hAnsi="宋体" w:cs="宋体" w:eastAsia="宋体" w:hint="default"/>
          <w:spacing w:val="-2"/>
        </w:rPr>
        <w:t>22</w:t>
      </w:r>
      <w:r>
        <w:rPr>
          <w:spacing w:val="-2"/>
        </w:rPr>
        <w:t>号——金融工具确认和计量》的有关规定进行会计</w:t>
      </w:r>
      <w:r>
        <w:rPr>
          <w:spacing w:val="-64"/>
        </w:rPr>
        <w:t> </w:t>
      </w:r>
      <w:r>
        <w:rPr>
          <w:spacing w:val="-64"/>
        </w:rPr>
      </w:r>
      <w:r>
        <w:rPr/>
        <w:t>处理，其在丧失控制之日的公允价值与账面价值间的差额计入当期损益。</w:t>
      </w:r>
    </w:p>
    <w:p>
      <w:pPr>
        <w:pStyle w:val="BodyText"/>
        <w:spacing w:line="398" w:lineRule="auto" w:before="35"/>
        <w:ind w:left="574" w:right="1152" w:hanging="420"/>
        <w:jc w:val="left"/>
      </w:pPr>
      <w:r>
        <w:rPr>
          <w:rFonts w:ascii="宋体" w:hAnsi="宋体" w:cs="宋体" w:eastAsia="宋体" w:hint="default"/>
          <w:b/>
          <w:bCs/>
        </w:rPr>
        <w:t>4.</w:t>
      </w:r>
      <w:r>
        <w:rPr>
          <w:rFonts w:ascii="宋体" w:hAnsi="宋体" w:cs="宋体" w:eastAsia="宋体" w:hint="default"/>
          <w:b/>
          <w:bCs/>
        </w:rPr>
        <w:t>长期股权投资的处置</w:t>
      </w:r>
      <w:r>
        <w:rPr>
          <w:rFonts w:ascii="宋体" w:hAnsi="宋体" w:cs="宋体" w:eastAsia="宋体" w:hint="default"/>
          <w:b/>
          <w:bCs/>
          <w:w w:val="99"/>
        </w:rPr>
        <w:t> </w:t>
      </w:r>
      <w:r>
        <w:rPr/>
        <w:t>处置长期股权投资，其账面价值与实际取得价款之间的差额，应当计入当期损益。采用权益法核算的长期股权投资，</w:t>
      </w:r>
    </w:p>
    <w:p>
      <w:pPr>
        <w:pStyle w:val="BodyText"/>
        <w:spacing w:line="398" w:lineRule="auto" w:before="35"/>
        <w:ind w:right="1118"/>
        <w:jc w:val="left"/>
      </w:pPr>
      <w:r>
        <w:rPr>
          <w:spacing w:val="-2"/>
        </w:rPr>
        <w:t>在处置该项投资时，采用与被投资单位直接处置相关资产或负债相同的基础，按相应比例对原计入其他综合收益的部分进行</w:t>
      </w:r>
      <w:r>
        <w:rPr>
          <w:spacing w:val="-64"/>
        </w:rPr>
        <w:t> </w:t>
      </w:r>
      <w:r>
        <w:rPr>
          <w:spacing w:val="-64"/>
        </w:rPr>
      </w:r>
      <w:r>
        <w:rPr/>
        <w:t>会计处理。</w:t>
      </w:r>
    </w:p>
    <w:p>
      <w:pPr>
        <w:pStyle w:val="BodyText"/>
        <w:spacing w:line="398" w:lineRule="auto" w:before="35"/>
        <w:ind w:right="1152" w:firstLine="420"/>
        <w:jc w:val="left"/>
      </w:pPr>
      <w:r>
        <w:rPr/>
        <w:t>处置对子公司股权投资的各项交易的条款、条件以及经济影响符合以下一种或多种情况，将多次交易事项作为一揽子 交易进行会计处理：</w:t>
      </w:r>
    </w:p>
    <w:p>
      <w:pPr>
        <w:pStyle w:val="BodyText"/>
        <w:spacing w:line="240" w:lineRule="auto" w:before="35"/>
        <w:ind w:left="424" w:right="0"/>
        <w:jc w:val="left"/>
      </w:pPr>
      <w:r>
        <w:rPr/>
        <w:t>（</w:t>
      </w:r>
      <w:r>
        <w:rPr>
          <w:rFonts w:ascii="宋体" w:hAnsi="宋体" w:cs="宋体" w:eastAsia="宋体" w:hint="default"/>
        </w:rPr>
        <w:t>1</w:t>
      </w:r>
      <w:r>
        <w:rPr/>
        <w:t>）这些交易是同时或者在考虑了彼此影响的情况下订立的；</w:t>
      </w:r>
    </w:p>
    <w:p>
      <w:pPr>
        <w:pStyle w:val="BodyText"/>
        <w:spacing w:line="240" w:lineRule="auto" w:before="154"/>
        <w:ind w:left="424" w:right="0"/>
        <w:jc w:val="left"/>
      </w:pPr>
      <w:r>
        <w:rPr/>
        <w:t>（</w:t>
      </w:r>
      <w:r>
        <w:rPr>
          <w:rFonts w:ascii="宋体" w:hAnsi="宋体" w:cs="宋体" w:eastAsia="宋体" w:hint="default"/>
        </w:rPr>
        <w:t>2</w:t>
      </w:r>
      <w:r>
        <w:rPr/>
        <w:t>）这些交易整体才能达成一项完整的商业结果；</w:t>
      </w:r>
    </w:p>
    <w:p>
      <w:pPr>
        <w:pStyle w:val="BodyText"/>
        <w:spacing w:line="240" w:lineRule="auto" w:before="154"/>
        <w:ind w:left="424" w:right="0"/>
        <w:jc w:val="left"/>
      </w:pPr>
      <w:r>
        <w:rPr/>
        <w:t>（</w:t>
      </w:r>
      <w:r>
        <w:rPr>
          <w:rFonts w:ascii="宋体" w:hAnsi="宋体" w:cs="宋体" w:eastAsia="宋体" w:hint="default"/>
        </w:rPr>
        <w:t>3</w:t>
      </w:r>
      <w:r>
        <w:rPr/>
        <w:t>）一项交易的发生取决于其他至少一项交易的发生；</w:t>
      </w:r>
    </w:p>
    <w:p>
      <w:pPr>
        <w:pStyle w:val="BodyText"/>
        <w:spacing w:line="398" w:lineRule="auto" w:before="154"/>
        <w:ind w:left="574" w:right="1152" w:hanging="150"/>
        <w:jc w:val="left"/>
      </w:pPr>
      <w:r>
        <w:rPr/>
        <w:t>（</w:t>
      </w:r>
      <w:r>
        <w:rPr>
          <w:rFonts w:ascii="宋体" w:hAnsi="宋体" w:cs="宋体" w:eastAsia="宋体" w:hint="default"/>
        </w:rPr>
        <w:t>4</w:t>
      </w:r>
      <w:r>
        <w:rPr/>
        <w:t>）一项交易单独看是不经济的，但是和其他交易一并考虑时是经济的。 因处置部分股权投资或其他原因丧失了对原有子公司控制权的，不属于一揽子交易的，区分个别财务报表和合并财务</w:t>
      </w:r>
    </w:p>
    <w:p>
      <w:pPr>
        <w:pStyle w:val="BodyText"/>
        <w:spacing w:line="240" w:lineRule="auto" w:before="35"/>
        <w:ind w:right="0"/>
        <w:jc w:val="left"/>
      </w:pPr>
      <w:r>
        <w:rPr/>
        <w:t>报表进行相关会计处理：</w:t>
      </w:r>
    </w:p>
    <w:p>
      <w:pPr>
        <w:pStyle w:val="BodyText"/>
        <w:spacing w:line="398" w:lineRule="auto" w:before="155"/>
        <w:ind w:right="1132" w:firstLine="420"/>
        <w:jc w:val="both"/>
      </w:pPr>
      <w:r>
        <w:rPr>
          <w:spacing w:val="-2"/>
        </w:rPr>
        <w:t>（</w:t>
      </w:r>
      <w:r>
        <w:rPr>
          <w:rFonts w:ascii="宋体" w:hAnsi="宋体" w:cs="宋体" w:eastAsia="宋体" w:hint="default"/>
          <w:spacing w:val="-2"/>
        </w:rPr>
        <w:t>1</w:t>
      </w:r>
      <w:r>
        <w:rPr>
          <w:spacing w:val="-2"/>
        </w:rPr>
        <w:t>）在个别财务报表中，对于处置的股权，其账面价值与实际取得价款之间的差额计入当期损益。处置后的剩余股权</w:t>
      </w:r>
      <w:r>
        <w:rPr/>
        <w:t> </w:t>
      </w:r>
      <w:r>
        <w:rPr>
          <w:spacing w:val="-2"/>
        </w:rPr>
        <w:t>能够对被投资单位实施共同控制或施加重大影响的，改按权益法核算，并对该剩余股权视同自取得时即采用权益法核算进行</w:t>
      </w:r>
      <w:r>
        <w:rPr>
          <w:spacing w:val="-64"/>
        </w:rPr>
        <w:t> </w:t>
      </w:r>
      <w:r>
        <w:rPr>
          <w:spacing w:val="-64"/>
        </w:rPr>
      </w:r>
      <w:r>
        <w:rPr>
          <w:spacing w:val="-2"/>
        </w:rPr>
        <w:t>调整；处置后的剩余股权不能对被投资单位实施共同控制或施加重大影响的，改按《企业会计准则第</w:t>
      </w:r>
      <w:r>
        <w:rPr>
          <w:rFonts w:ascii="宋体" w:hAnsi="宋体" w:cs="宋体" w:eastAsia="宋体" w:hint="default"/>
          <w:spacing w:val="-2"/>
        </w:rPr>
        <w:t>22</w:t>
      </w:r>
      <w:r>
        <w:rPr>
          <w:spacing w:val="-2"/>
        </w:rPr>
        <w:t>号——金融工具确认</w:t>
      </w:r>
    </w:p>
    <w:p>
      <w:pPr>
        <w:spacing w:after="0" w:line="398" w:lineRule="auto"/>
        <w:jc w:val="both"/>
        <w:sectPr>
          <w:pgSz w:w="11910" w:h="16840"/>
          <w:pgMar w:header="917" w:footer="1019" w:top="1120" w:bottom="1200" w:left="980" w:right="0"/>
        </w:sectPr>
      </w:pPr>
    </w:p>
    <w:p>
      <w:pPr>
        <w:spacing w:line="240" w:lineRule="auto" w:before="8"/>
        <w:rPr>
          <w:rFonts w:ascii="宋体" w:hAnsi="宋体" w:cs="宋体" w:eastAsia="宋体" w:hint="default"/>
          <w:sz w:val="23"/>
          <w:szCs w:val="23"/>
        </w:rPr>
      </w:pPr>
    </w:p>
    <w:p>
      <w:pPr>
        <w:pStyle w:val="BodyText"/>
        <w:spacing w:line="240" w:lineRule="auto" w:before="44"/>
        <w:ind w:right="0"/>
        <w:jc w:val="left"/>
      </w:pPr>
      <w:r>
        <w:rPr/>
        <w:t>和计量》的有关规定进行会计处理，其在丧失控制之日的公允价值与账面价值间的差额计入当期损益。</w:t>
      </w:r>
    </w:p>
    <w:p>
      <w:pPr>
        <w:pStyle w:val="BodyText"/>
        <w:spacing w:line="398" w:lineRule="auto" w:before="154"/>
        <w:ind w:right="1129" w:firstLine="420"/>
        <w:jc w:val="both"/>
      </w:pPr>
      <w:r>
        <w:rPr>
          <w:spacing w:val="-1"/>
        </w:rPr>
        <w:t>（</w:t>
      </w:r>
      <w:r>
        <w:rPr>
          <w:rFonts w:ascii="宋体" w:hAnsi="宋体" w:cs="宋体" w:eastAsia="宋体" w:hint="default"/>
          <w:spacing w:val="-1"/>
        </w:rPr>
        <w:t>2</w:t>
      </w:r>
      <w:r>
        <w:rPr>
          <w:spacing w:val="-1"/>
        </w:rPr>
        <w:t>）在合并财务报表中，对于在丧失对子公司控制权以前的各项交易，处置价款与处置长期股权投资相应对享有子公</w:t>
      </w:r>
      <w:r>
        <w:rPr/>
        <w:t> </w:t>
      </w:r>
      <w:r>
        <w:rPr>
          <w:spacing w:val="-2"/>
        </w:rPr>
        <w:t>司自购买日或合并日开始持续计算的净资产份额之间的差额，调整资本公积（股本溢价），资本公积不足冲减的，调整留存</w:t>
      </w:r>
      <w:r>
        <w:rPr>
          <w:spacing w:val="-72"/>
        </w:rPr>
        <w:t> </w:t>
      </w:r>
      <w:r>
        <w:rPr>
          <w:spacing w:val="-72"/>
        </w:rPr>
      </w:r>
      <w:r>
        <w:rPr>
          <w:spacing w:val="-2"/>
        </w:rPr>
        <w:t>收益；在丧失对子公司控制权时，对于剩余股权，按照其在丧失控制权日的公允价值进行重新计量。处置股权取得的对价与</w:t>
      </w:r>
      <w:r>
        <w:rPr>
          <w:spacing w:val="-66"/>
        </w:rPr>
        <w:t> </w:t>
      </w:r>
      <w:r>
        <w:rPr>
          <w:spacing w:val="-66"/>
        </w:rPr>
      </w:r>
      <w:r>
        <w:rPr>
          <w:spacing w:val="-2"/>
        </w:rPr>
        <w:t>剩余股权公允价值之和，减去按原持股比例计算应享有原有子公司自购买日开始持续计算的净资产的份额之间的差额，计入</w:t>
      </w:r>
      <w:r>
        <w:rPr>
          <w:spacing w:val="-64"/>
        </w:rPr>
        <w:t> </w:t>
      </w:r>
      <w:r>
        <w:rPr>
          <w:spacing w:val="-64"/>
        </w:rPr>
      </w:r>
      <w:r>
        <w:rPr>
          <w:spacing w:val="-2"/>
        </w:rPr>
        <w:t>丧失控制权当期的投资收益，同时冲减商誉。与原有子公司股权投资相关的其他综合收益等，在丧失控制权时转为当期投资</w:t>
      </w:r>
      <w:r>
        <w:rPr>
          <w:spacing w:val="-66"/>
        </w:rPr>
        <w:t> </w:t>
      </w:r>
      <w:r>
        <w:rPr>
          <w:spacing w:val="-66"/>
        </w:rPr>
      </w:r>
      <w:r>
        <w:rPr/>
        <w:t>收益。</w:t>
      </w:r>
    </w:p>
    <w:p>
      <w:pPr>
        <w:pStyle w:val="BodyText"/>
        <w:spacing w:line="398" w:lineRule="auto" w:before="35"/>
        <w:ind w:right="1152" w:firstLine="420"/>
        <w:jc w:val="left"/>
      </w:pPr>
      <w:r>
        <w:rPr/>
        <w:t>处置对子公司股权投资直至丧失控制权的各项交易属于一揽子交易的，将各项交易作为一项处置子公司股权投资并丧 失控制权的交易进行会计处理，区分个别财务报表和合并财务报表进行相关会计处理：</w:t>
      </w:r>
    </w:p>
    <w:p>
      <w:pPr>
        <w:pStyle w:val="BodyText"/>
        <w:spacing w:line="398" w:lineRule="auto" w:before="35"/>
        <w:ind w:right="1062" w:firstLine="420"/>
        <w:jc w:val="left"/>
      </w:pPr>
      <w:r>
        <w:rPr/>
        <w:t>（</w:t>
      </w:r>
      <w:r>
        <w:rPr>
          <w:rFonts w:ascii="宋体" w:hAnsi="宋体" w:cs="宋体" w:eastAsia="宋体" w:hint="default"/>
        </w:rPr>
        <w:t>1</w:t>
      </w:r>
      <w:r>
        <w:rPr/>
        <w:t>）在个别财务报表中，在丧失控制权之前每一次处置价款与处置的股权对应的长期股权投资账面价值之间的差额， 确认为其他综合收益，在丧失控制权时一并转入丧失控制权当期的损益。</w:t>
      </w:r>
    </w:p>
    <w:p>
      <w:pPr>
        <w:pStyle w:val="BodyText"/>
        <w:spacing w:line="398" w:lineRule="auto" w:before="35"/>
        <w:ind w:right="1114" w:firstLine="420"/>
        <w:jc w:val="left"/>
      </w:pPr>
      <w:r>
        <w:rPr>
          <w:spacing w:val="-1"/>
        </w:rPr>
        <w:t>（</w:t>
      </w:r>
      <w:r>
        <w:rPr>
          <w:rFonts w:ascii="宋体" w:hAnsi="宋体" w:cs="宋体" w:eastAsia="宋体" w:hint="default"/>
          <w:spacing w:val="-1"/>
        </w:rPr>
        <w:t>2</w:t>
      </w:r>
      <w:r>
        <w:rPr>
          <w:spacing w:val="-1"/>
        </w:rPr>
        <w:t>）在合并财务报表中，在丧失控制权之前每一次处置价款与处置投资对应的享有该子公司净资产份额的差额，确认</w:t>
      </w:r>
      <w:r>
        <w:rPr/>
        <w:t> 为其他综合收益，在丧失控制权时一并转入丧失控制权当期的损益。</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4"/>
          <w:szCs w:val="14"/>
        </w:rPr>
      </w:pPr>
    </w:p>
    <w:p>
      <w:pPr>
        <w:spacing w:line="398" w:lineRule="auto" w:before="0"/>
        <w:ind w:left="574" w:right="1152" w:hanging="420"/>
        <w:jc w:val="left"/>
        <w:rPr>
          <w:rFonts w:ascii="宋体" w:hAnsi="宋体" w:cs="宋体" w:eastAsia="宋体" w:hint="default"/>
          <w:sz w:val="18"/>
          <w:szCs w:val="18"/>
        </w:rPr>
      </w:pPr>
      <w:r>
        <w:rPr>
          <w:rFonts w:ascii="宋体" w:hAnsi="宋体" w:cs="宋体" w:eastAsia="宋体" w:hint="default"/>
          <w:b/>
          <w:bCs/>
          <w:sz w:val="18"/>
          <w:szCs w:val="18"/>
        </w:rPr>
        <w:t>5.</w:t>
      </w:r>
      <w:r>
        <w:rPr>
          <w:rFonts w:ascii="宋体" w:hAnsi="宋体" w:cs="宋体" w:eastAsia="宋体" w:hint="default"/>
          <w:b/>
          <w:bCs/>
          <w:sz w:val="18"/>
          <w:szCs w:val="18"/>
        </w:rPr>
        <w:t>共同控制、重大影响的判断标准</w:t>
      </w:r>
      <w:r>
        <w:rPr>
          <w:rFonts w:ascii="宋体" w:hAnsi="宋体" w:cs="宋体" w:eastAsia="宋体" w:hint="default"/>
          <w:b/>
          <w:bCs/>
          <w:w w:val="99"/>
          <w:sz w:val="18"/>
          <w:szCs w:val="18"/>
        </w:rPr>
        <w:t> </w:t>
      </w:r>
      <w:r>
        <w:rPr>
          <w:rFonts w:ascii="宋体" w:hAnsi="宋体" w:cs="宋体" w:eastAsia="宋体" w:hint="default"/>
          <w:sz w:val="18"/>
          <w:szCs w:val="18"/>
        </w:rPr>
        <w:t>如果本公司按照相关约定与其他参与方集体控制某项安排，并且对该安排回报具有重大影响的活动决策，需要经过分</w:t>
      </w:r>
    </w:p>
    <w:p>
      <w:pPr>
        <w:pStyle w:val="BodyText"/>
        <w:spacing w:line="398" w:lineRule="auto" w:before="35"/>
        <w:ind w:left="574" w:right="1152" w:hanging="420"/>
        <w:jc w:val="left"/>
      </w:pPr>
      <w:r>
        <w:rPr/>
        <w:t>享控制权的参与方一致同意时才存在，则视为本公司与其他参与方共同控制某项安排，该安排即属于合营安排。 合营安排通过单独主体达成的，根据相关约定判断本公司对该单独主体的净资产享有权利时，将该单独主体作为合营</w:t>
      </w:r>
    </w:p>
    <w:p>
      <w:pPr>
        <w:pStyle w:val="BodyText"/>
        <w:spacing w:line="398" w:lineRule="auto" w:before="36"/>
        <w:ind w:right="0"/>
        <w:jc w:val="left"/>
      </w:pPr>
      <w:r>
        <w:rPr>
          <w:spacing w:val="-2"/>
        </w:rPr>
        <w:t>企业，采用权益法核算。若根据相关约定判断本公司并非对该单独主体的净资产享有权利时，该单独主体作为共同经营，本</w:t>
      </w:r>
      <w:r>
        <w:rPr>
          <w:spacing w:val="-66"/>
        </w:rPr>
        <w:t> </w:t>
      </w:r>
      <w:r>
        <w:rPr>
          <w:spacing w:val="-66"/>
        </w:rPr>
      </w:r>
      <w:r>
        <w:rPr/>
        <w:t>公司确认与共同经营利益份额相关的项目，并按照相关企业会计准则的规定进行会计处理。</w:t>
      </w:r>
    </w:p>
    <w:p>
      <w:pPr>
        <w:pStyle w:val="BodyText"/>
        <w:spacing w:line="398" w:lineRule="auto" w:before="35"/>
        <w:ind w:right="0" w:firstLine="360"/>
        <w:jc w:val="left"/>
      </w:pPr>
      <w:r>
        <w:rPr>
          <w:spacing w:val="-2"/>
        </w:rPr>
        <w:t>重大影响，是指投资方对被投资单位的财务和经营政策有参与决策的权力，但并不能够控制或者与其他方一起共同控制</w:t>
      </w:r>
      <w:r>
        <w:rPr/>
        <w:t> </w:t>
      </w:r>
      <w:r>
        <w:rPr>
          <w:spacing w:val="-2"/>
        </w:rPr>
        <w:t>这些政策的制定。本公司通过以下一种或多种情形，并综合考虑所有事实和情况后，判断对被投资单位具有重大影响。（</w:t>
      </w:r>
      <w:r>
        <w:rPr>
          <w:rFonts w:ascii="宋体" w:hAnsi="宋体" w:cs="宋体" w:eastAsia="宋体" w:hint="default"/>
          <w:spacing w:val="-2"/>
        </w:rPr>
        <w:t>1</w:t>
      </w:r>
      <w:r>
        <w:rPr>
          <w:spacing w:val="-2"/>
        </w:rPr>
        <w:t>）</w:t>
      </w:r>
      <w:r>
        <w:rPr>
          <w:spacing w:val="-69"/>
        </w:rPr>
        <w:t> </w:t>
      </w:r>
      <w:r>
        <w:rPr>
          <w:spacing w:val="-5"/>
        </w:rPr>
        <w:t>在被投资单位的董事会或类似权力机构中派有代表；（</w:t>
      </w:r>
      <w:r>
        <w:rPr>
          <w:rFonts w:ascii="宋体" w:hAnsi="宋体" w:cs="宋体" w:eastAsia="宋体" w:hint="default"/>
          <w:spacing w:val="-5"/>
        </w:rPr>
        <w:t>2</w:t>
      </w:r>
      <w:r>
        <w:rPr>
          <w:spacing w:val="-5"/>
        </w:rPr>
        <w:t>）参与被投资单位财务和经营政策制定过程；（</w:t>
      </w:r>
      <w:r>
        <w:rPr>
          <w:rFonts w:ascii="宋体" w:hAnsi="宋体" w:cs="宋体" w:eastAsia="宋体" w:hint="default"/>
          <w:spacing w:val="-5"/>
        </w:rPr>
        <w:t>3</w:t>
      </w:r>
      <w:r>
        <w:rPr>
          <w:spacing w:val="-5"/>
        </w:rPr>
        <w:t>）与被投资单位之间</w:t>
      </w:r>
      <w:r>
        <w:rPr>
          <w:spacing w:val="-74"/>
        </w:rPr>
        <w:t> </w:t>
      </w:r>
      <w:r>
        <w:rPr>
          <w:spacing w:val="-74"/>
        </w:rPr>
      </w:r>
      <w:r>
        <w:rPr>
          <w:spacing w:val="-5"/>
        </w:rPr>
        <w:t>发生重要交易；（</w:t>
      </w:r>
      <w:r>
        <w:rPr>
          <w:rFonts w:ascii="宋体" w:hAnsi="宋体" w:cs="宋体" w:eastAsia="宋体" w:hint="default"/>
          <w:spacing w:val="-5"/>
        </w:rPr>
        <w:t>4</w:t>
      </w:r>
      <w:r>
        <w:rPr>
          <w:spacing w:val="-5"/>
        </w:rPr>
        <w:t>）向被投资单位派出管理人员；（</w:t>
      </w:r>
      <w:r>
        <w:rPr>
          <w:rFonts w:ascii="宋体" w:hAnsi="宋体" w:cs="宋体" w:eastAsia="宋体" w:hint="default"/>
          <w:spacing w:val="-5"/>
        </w:rPr>
        <w:t>5</w:t>
      </w:r>
      <w:r>
        <w:rPr>
          <w:spacing w:val="-5"/>
        </w:rPr>
        <w:t>）向被投资单位提供关键技术资料。</w:t>
      </w:r>
    </w:p>
    <w:p>
      <w:pPr>
        <w:spacing w:line="240" w:lineRule="auto" w:before="9"/>
        <w:rPr>
          <w:rFonts w:ascii="宋体" w:hAnsi="宋体" w:cs="宋体" w:eastAsia="宋体" w:hint="default"/>
          <w:sz w:val="25"/>
          <w:szCs w:val="25"/>
        </w:rPr>
      </w:pPr>
    </w:p>
    <w:p>
      <w:pPr>
        <w:pStyle w:val="Heading5"/>
        <w:spacing w:line="240" w:lineRule="auto"/>
        <w:ind w:left="154" w:right="0"/>
        <w:jc w:val="left"/>
        <w:rPr>
          <w:b w:val="0"/>
          <w:bCs w:val="0"/>
        </w:rPr>
      </w:pPr>
      <w:bookmarkStart w:name="15、投资性房地产" w:id="189"/>
      <w:bookmarkEnd w:id="189"/>
      <w:r>
        <w:rPr>
          <w:b w:val="0"/>
          <w:bCs w:val="0"/>
        </w:rPr>
      </w:r>
      <w:r>
        <w:rPr>
          <w:rFonts w:ascii="Times New Roman" w:hAnsi="Times New Roman" w:cs="Times New Roman" w:eastAsia="Times New Roman" w:hint="default"/>
        </w:rPr>
        <w:t>15</w:t>
      </w:r>
      <w:r>
        <w:rPr/>
        <w:t>、投资性房地产</w:t>
      </w:r>
      <w:r>
        <w:rPr>
          <w:b w:val="0"/>
          <w:bCs w:val="0"/>
        </w:rPr>
      </w:r>
    </w:p>
    <w:p>
      <w:pPr>
        <w:spacing w:line="240" w:lineRule="auto" w:before="0"/>
        <w:rPr>
          <w:rFonts w:ascii="宋体" w:hAnsi="宋体" w:cs="宋体" w:eastAsia="宋体" w:hint="default"/>
          <w:b/>
          <w:bCs/>
          <w:sz w:val="18"/>
          <w:szCs w:val="18"/>
        </w:rPr>
      </w:pPr>
    </w:p>
    <w:p>
      <w:pPr>
        <w:spacing w:line="240" w:lineRule="auto" w:before="10"/>
        <w:rPr>
          <w:rFonts w:ascii="宋体" w:hAnsi="宋体" w:cs="宋体" w:eastAsia="宋体" w:hint="default"/>
          <w:b/>
          <w:bCs/>
          <w:sz w:val="15"/>
          <w:szCs w:val="15"/>
        </w:rPr>
      </w:pPr>
    </w:p>
    <w:p>
      <w:pPr>
        <w:pStyle w:val="BodyText"/>
        <w:spacing w:line="439" w:lineRule="auto"/>
        <w:ind w:right="8952"/>
        <w:jc w:val="left"/>
      </w:pPr>
      <w:r>
        <w:rPr/>
        <w:t>投资性房地产计量模式 成本法计量 折旧或摊销方法</w:t>
      </w:r>
    </w:p>
    <w:p>
      <w:pPr>
        <w:pStyle w:val="BodyText"/>
        <w:spacing w:line="398" w:lineRule="auto" w:before="43"/>
        <w:ind w:left="574" w:right="1152" w:hanging="420"/>
        <w:jc w:val="left"/>
      </w:pPr>
      <w:r>
        <w:rPr>
          <w:rFonts w:ascii="宋体" w:hAnsi="宋体" w:cs="宋体" w:eastAsia="宋体" w:hint="default"/>
          <w:b/>
          <w:bCs/>
        </w:rPr>
        <w:t>1.</w:t>
      </w:r>
      <w:r>
        <w:rPr>
          <w:rFonts w:ascii="宋体" w:hAnsi="宋体" w:cs="宋体" w:eastAsia="宋体" w:hint="default"/>
          <w:b/>
          <w:bCs/>
        </w:rPr>
        <w:t>投资性房地产的初始计量</w:t>
      </w:r>
      <w:r>
        <w:rPr>
          <w:rFonts w:ascii="宋体" w:hAnsi="宋体" w:cs="宋体" w:eastAsia="宋体" w:hint="default"/>
          <w:b/>
          <w:bCs/>
          <w:w w:val="99"/>
        </w:rPr>
        <w:t> </w:t>
      </w:r>
      <w:r>
        <w:rPr/>
        <w:t>本公司投资性房地产包括已出租的土地使用权、持有并准备增值后转让的土地使用权和已出租的建筑物。 本公司的投资性房地产按其成本进行初始计量，外购投资性房地产的成本包括购买价款、相关税费和可直接归属于该</w:t>
      </w:r>
    </w:p>
    <w:p>
      <w:pPr>
        <w:spacing w:line="398" w:lineRule="auto" w:before="35"/>
        <w:ind w:left="154" w:right="1752" w:firstLine="0"/>
        <w:jc w:val="left"/>
        <w:rPr>
          <w:rFonts w:ascii="宋体" w:hAnsi="宋体" w:cs="宋体" w:eastAsia="宋体" w:hint="default"/>
          <w:sz w:val="18"/>
          <w:szCs w:val="18"/>
        </w:rPr>
      </w:pPr>
      <w:r>
        <w:rPr>
          <w:rFonts w:ascii="宋体" w:hAnsi="宋体" w:cs="宋体" w:eastAsia="宋体" w:hint="default"/>
          <w:sz w:val="18"/>
          <w:szCs w:val="18"/>
        </w:rPr>
        <w:t>资产的其他支出；自行建造投资性房地产的成本，由建造该项资产达到预定可使用状态前所发生的必要支出构成。 </w:t>
      </w:r>
      <w:r>
        <w:rPr>
          <w:rFonts w:ascii="宋体" w:hAnsi="宋体" w:cs="宋体" w:eastAsia="宋体" w:hint="default"/>
          <w:b/>
          <w:bCs/>
          <w:sz w:val="18"/>
          <w:szCs w:val="18"/>
        </w:rPr>
        <w:t>2.</w:t>
      </w:r>
      <w:r>
        <w:rPr>
          <w:rFonts w:ascii="宋体" w:hAnsi="宋体" w:cs="宋体" w:eastAsia="宋体" w:hint="default"/>
          <w:b/>
          <w:bCs/>
          <w:sz w:val="18"/>
          <w:szCs w:val="18"/>
        </w:rPr>
        <w:t>投资性房地产的后续计量</w:t>
      </w:r>
      <w:r>
        <w:rPr>
          <w:rFonts w:ascii="宋体" w:hAnsi="宋体" w:cs="宋体" w:eastAsia="宋体" w:hint="default"/>
          <w:sz w:val="18"/>
          <w:szCs w:val="18"/>
        </w:rPr>
      </w:r>
    </w:p>
    <w:p>
      <w:pPr>
        <w:spacing w:after="0" w:line="398"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8"/>
        <w:rPr>
          <w:rFonts w:ascii="宋体" w:hAnsi="宋体" w:cs="宋体" w:eastAsia="宋体" w:hint="default"/>
          <w:b/>
          <w:bCs/>
          <w:sz w:val="23"/>
          <w:szCs w:val="23"/>
        </w:rPr>
      </w:pPr>
    </w:p>
    <w:p>
      <w:pPr>
        <w:pStyle w:val="BodyText"/>
        <w:spacing w:line="240" w:lineRule="auto" w:before="44"/>
        <w:ind w:left="574" w:right="0"/>
        <w:jc w:val="left"/>
      </w:pPr>
      <w:r>
        <w:rPr/>
        <w:t>本公司采用成本模式对投资性房地产进行后续计量，并按照与房屋建筑物或土地使用权一致的政策进行折旧或摊销。</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6"/>
          <w:szCs w:val="16"/>
        </w:rPr>
      </w:pPr>
    </w:p>
    <w:p>
      <w:pPr>
        <w:pStyle w:val="Heading5"/>
        <w:spacing w:line="240" w:lineRule="auto"/>
        <w:ind w:left="154" w:right="0"/>
        <w:jc w:val="left"/>
        <w:rPr>
          <w:b w:val="0"/>
          <w:bCs w:val="0"/>
        </w:rPr>
      </w:pPr>
      <w:bookmarkStart w:name="16、固定资产" w:id="190"/>
      <w:bookmarkEnd w:id="190"/>
      <w:r>
        <w:rPr>
          <w:b w:val="0"/>
          <w:bCs w:val="0"/>
        </w:rPr>
      </w:r>
      <w:r>
        <w:rPr>
          <w:rFonts w:ascii="Times New Roman" w:hAnsi="Times New Roman" w:cs="Times New Roman" w:eastAsia="Times New Roman" w:hint="default"/>
        </w:rPr>
        <w:t>16</w:t>
      </w:r>
      <w:r>
        <w:rPr/>
        <w:t>、固定资产</w:t>
      </w:r>
      <w:r>
        <w:rPr>
          <w:b w:val="0"/>
          <w:bCs w:val="0"/>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15"/>
          <w:szCs w:val="15"/>
        </w:rPr>
      </w:pPr>
    </w:p>
    <w:p>
      <w:pPr>
        <w:pStyle w:val="Heading5"/>
        <w:spacing w:line="240" w:lineRule="auto"/>
        <w:ind w:left="154" w:right="0"/>
        <w:jc w:val="left"/>
        <w:rPr>
          <w:b w:val="0"/>
          <w:bCs w:val="0"/>
        </w:rPr>
      </w:pPr>
      <w:bookmarkStart w:name="（1）确认条件" w:id="191"/>
      <w:bookmarkEnd w:id="191"/>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15"/>
          <w:szCs w:val="15"/>
        </w:rPr>
      </w:pPr>
    </w:p>
    <w:p>
      <w:pPr>
        <w:pStyle w:val="BodyText"/>
        <w:spacing w:line="398" w:lineRule="auto"/>
        <w:ind w:right="0" w:firstLine="360"/>
        <w:jc w:val="left"/>
      </w:pPr>
      <w:r>
        <w:rPr>
          <w:spacing w:val="-2"/>
        </w:rPr>
        <w:t>固定资产指为生产商品、提供劳务、出租或经营管理而持有，并且使用寿命超过一个会计年度的有形资产。固定资产在</w:t>
      </w:r>
      <w:r>
        <w:rPr/>
        <w:t> 同时满足下列条件时予以确认：</w:t>
      </w:r>
    </w:p>
    <w:p>
      <w:pPr>
        <w:pStyle w:val="BodyText"/>
        <w:spacing w:line="240" w:lineRule="auto" w:before="75"/>
        <w:ind w:left="514" w:right="0"/>
        <w:jc w:val="left"/>
      </w:pPr>
      <w:r>
        <w:rPr/>
        <w:t>（</w:t>
      </w:r>
      <w:r>
        <w:rPr>
          <w:rFonts w:ascii="Times New Roman" w:hAnsi="Times New Roman" w:cs="Times New Roman" w:eastAsia="Times New Roman" w:hint="default"/>
        </w:rPr>
        <w:t>1</w:t>
      </w:r>
      <w:r>
        <w:rPr/>
        <w:t>）与该固定资产有关的经济利益很可能流入企业；</w:t>
      </w:r>
    </w:p>
    <w:p>
      <w:pPr>
        <w:spacing w:line="240" w:lineRule="auto" w:before="12"/>
        <w:rPr>
          <w:rFonts w:ascii="宋体" w:hAnsi="宋体" w:cs="宋体" w:eastAsia="宋体" w:hint="default"/>
          <w:sz w:val="13"/>
          <w:szCs w:val="13"/>
        </w:rPr>
      </w:pPr>
    </w:p>
    <w:p>
      <w:pPr>
        <w:pStyle w:val="BodyText"/>
        <w:spacing w:line="240" w:lineRule="auto"/>
        <w:ind w:left="514" w:right="0"/>
        <w:jc w:val="left"/>
      </w:pPr>
      <w:r>
        <w:rPr/>
        <w:t>（</w:t>
      </w:r>
      <w:r>
        <w:rPr>
          <w:rFonts w:ascii="Times New Roman" w:hAnsi="Times New Roman" w:cs="Times New Roman" w:eastAsia="Times New Roman" w:hint="default"/>
        </w:rPr>
        <w:t>2</w:t>
      </w:r>
      <w:r>
        <w:rPr/>
        <w:t>）该固定资产的成本能够可靠地计量。</w:t>
      </w:r>
    </w:p>
    <w:p>
      <w:pPr>
        <w:spacing w:line="240" w:lineRule="auto" w:before="0"/>
        <w:rPr>
          <w:rFonts w:ascii="宋体" w:hAnsi="宋体" w:cs="宋体" w:eastAsia="宋体" w:hint="default"/>
          <w:sz w:val="18"/>
          <w:szCs w:val="18"/>
        </w:rPr>
      </w:pPr>
    </w:p>
    <w:p>
      <w:pPr>
        <w:pStyle w:val="Heading3"/>
        <w:spacing w:line="240" w:lineRule="auto" w:before="140"/>
        <w:ind w:right="0"/>
        <w:jc w:val="left"/>
        <w:rPr>
          <w:b w:val="0"/>
          <w:bCs w:val="0"/>
        </w:rPr>
      </w:pPr>
      <w:bookmarkStart w:name="（2）折旧方法" w:id="192"/>
      <w:bookmarkEnd w:id="192"/>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3.17%</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9.50%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仪器仪表</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19.00%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11.88%</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19.00%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办公设备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19.00%</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both"/>
        <w:rPr>
          <w:b w:val="0"/>
          <w:bCs w:val="0"/>
        </w:rPr>
      </w:pPr>
      <w:bookmarkStart w:name="（3）融资租入固定资产的认定依据、计价和折旧方法" w:id="193"/>
      <w:bookmarkEnd w:id="193"/>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both"/>
      </w:pPr>
      <w:r>
        <w:rPr/>
        <w:t>当本公司租入的固定资产符合下列一项或数项标准时，确认为融资租入固定资产：</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BodyText"/>
        <w:spacing w:line="240" w:lineRule="auto"/>
        <w:ind w:right="0"/>
        <w:jc w:val="both"/>
      </w:pPr>
      <w:r>
        <w:rPr/>
        <w:t>（</w:t>
      </w:r>
      <w:r>
        <w:rPr>
          <w:rFonts w:ascii="Times New Roman" w:hAnsi="Times New Roman" w:cs="Times New Roman" w:eastAsia="Times New Roman" w:hint="default"/>
        </w:rPr>
        <w:t>1</w:t>
      </w:r>
      <w:r>
        <w:rPr/>
        <w:t>）在租赁期届满时，租赁资产的所有权转移给本公司。</w:t>
      </w:r>
    </w:p>
    <w:p>
      <w:pPr>
        <w:pStyle w:val="BodyText"/>
        <w:spacing w:line="302" w:lineRule="auto" w:before="101"/>
        <w:ind w:right="1122"/>
        <w:jc w:val="left"/>
      </w:pPr>
      <w:r>
        <w:rPr/>
        <w:t>（</w:t>
      </w:r>
      <w:r>
        <w:rPr>
          <w:rFonts w:ascii="Times New Roman" w:hAnsi="Times New Roman" w:cs="Times New Roman" w:eastAsia="Times New Roman" w:hint="default"/>
        </w:rPr>
        <w:t>2</w:t>
      </w:r>
      <w:r>
        <w:rPr/>
        <w:t>）本公司有购买租赁资产的选择权，所订立的购买价款预计将远低于行使选择权时租赁资产的公允价值，因而在租赁开 始日就可以合理确定本公司将会行使这种选择权。</w:t>
      </w:r>
    </w:p>
    <w:p>
      <w:pPr>
        <w:pStyle w:val="BodyText"/>
        <w:spacing w:line="240" w:lineRule="auto" w:before="69"/>
        <w:ind w:right="0"/>
        <w:jc w:val="both"/>
      </w:pPr>
      <w:r>
        <w:rPr/>
        <w:t>（</w:t>
      </w:r>
      <w:r>
        <w:rPr>
          <w:rFonts w:ascii="Times New Roman" w:hAnsi="Times New Roman" w:cs="Times New Roman" w:eastAsia="Times New Roman" w:hint="default"/>
        </w:rPr>
        <w:t>3</w:t>
      </w:r>
      <w:r>
        <w:rPr/>
        <w:t>）即使资产的所有权不转移，但租赁期占租赁资产使用寿命的大部分。</w:t>
      </w:r>
    </w:p>
    <w:p>
      <w:pPr>
        <w:pStyle w:val="BodyText"/>
        <w:spacing w:line="240" w:lineRule="auto" w:before="103"/>
        <w:ind w:right="0"/>
        <w:jc w:val="both"/>
      </w:pPr>
      <w:r>
        <w:rPr/>
        <w:t>（</w:t>
      </w:r>
      <w:r>
        <w:rPr>
          <w:rFonts w:ascii="Times New Roman" w:hAnsi="Times New Roman" w:cs="Times New Roman" w:eastAsia="Times New Roman" w:hint="default"/>
        </w:rPr>
        <w:t>4</w:t>
      </w:r>
      <w:r>
        <w:rPr/>
        <w:t>）本公司在租赁开始日的最低租赁付款额现值，几乎相当于租赁开始日租赁资产公允价值。</w:t>
      </w:r>
    </w:p>
    <w:p>
      <w:pPr>
        <w:pStyle w:val="BodyText"/>
        <w:spacing w:line="338" w:lineRule="auto" w:before="102"/>
        <w:ind w:left="604" w:right="1122" w:hanging="450"/>
        <w:jc w:val="left"/>
      </w:pPr>
      <w:r>
        <w:rPr/>
        <w:t>（</w:t>
      </w:r>
      <w:r>
        <w:rPr>
          <w:rFonts w:ascii="Times New Roman" w:hAnsi="Times New Roman" w:cs="Times New Roman" w:eastAsia="Times New Roman" w:hint="default"/>
        </w:rPr>
        <w:t>5</w:t>
      </w:r>
      <w:r>
        <w:rPr/>
        <w:t>）租赁资产性质特殊，如果不作较大改造，只有本公司才能使用。 融资租赁租入的固定资产，按租赁开始日租赁资产公允价值与最低租赁付款额的现值两者中较低者，作为入账价值。</w:t>
      </w:r>
    </w:p>
    <w:p>
      <w:pPr>
        <w:pStyle w:val="BodyText"/>
        <w:spacing w:line="319" w:lineRule="auto" w:before="2"/>
        <w:ind w:right="1133"/>
        <w:jc w:val="both"/>
      </w:pPr>
      <w:r>
        <w:rPr>
          <w:spacing w:val="-2"/>
        </w:rPr>
        <w:t>最低租赁付款额作为长期应付款的入账价值，其差额作为未确认融资费用。在租赁谈判和签订租赁合同过程中发生的，可归</w:t>
      </w:r>
      <w:r>
        <w:rPr>
          <w:spacing w:val="-66"/>
        </w:rPr>
        <w:t> </w:t>
      </w:r>
      <w:r>
        <w:rPr>
          <w:spacing w:val="-66"/>
        </w:rPr>
      </w:r>
      <w:r>
        <w:rPr>
          <w:spacing w:val="-2"/>
        </w:rPr>
        <w:t>属于租赁项目的手续费、律师费、差旅费、印花税等初始直接费用，计入租入资产价值。未确认融资费用在租赁期内各个期</w:t>
      </w:r>
      <w:r>
        <w:rPr>
          <w:spacing w:val="-66"/>
        </w:rPr>
        <w:t> </w:t>
      </w:r>
      <w:r>
        <w:rPr>
          <w:spacing w:val="-66"/>
        </w:rPr>
      </w:r>
      <w:r>
        <w:rPr/>
        <w:t>间采用实际利率法进行分摊。</w:t>
      </w:r>
    </w:p>
    <w:p>
      <w:pPr>
        <w:pStyle w:val="BodyText"/>
        <w:spacing w:line="319" w:lineRule="auto" w:before="57"/>
        <w:ind w:right="1131" w:firstLine="360"/>
        <w:jc w:val="both"/>
      </w:pPr>
      <w:r>
        <w:rPr>
          <w:spacing w:val="-2"/>
        </w:rPr>
        <w:t>本公司采用与自有固定资产相一致的折旧政策计提融资租入固定资产折旧。能够合理确定租赁期届满时取得租赁资产所</w:t>
      </w:r>
      <w:r>
        <w:rPr/>
        <w:t> </w:t>
      </w:r>
      <w:r>
        <w:rPr>
          <w:spacing w:val="-2"/>
        </w:rPr>
        <w:t>有权的，在租赁资产使用寿命内计提折旧。无法合理确定租赁期届满时能够取得租赁资产所有权的，在租赁期与租赁资产使</w:t>
      </w:r>
      <w:r>
        <w:rPr>
          <w:spacing w:val="-66"/>
        </w:rPr>
        <w:t> </w:t>
      </w:r>
      <w:r>
        <w:rPr>
          <w:spacing w:val="-66"/>
        </w:rPr>
      </w:r>
      <w:r>
        <w:rPr/>
        <w:t>用寿命两者中较短的期间内计提折旧。</w:t>
      </w:r>
    </w:p>
    <w:p>
      <w:pPr>
        <w:spacing w:after="0" w:line="319" w:lineRule="auto"/>
        <w:jc w:val="both"/>
        <w:sectPr>
          <w:pgSz w:w="11910" w:h="16840"/>
          <w:pgMar w:header="917" w:footer="1019" w:top="112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17、在建工程" w:id="194"/>
      <w:bookmarkEnd w:id="194"/>
      <w:r>
        <w:rPr>
          <w:b w:val="0"/>
          <w:bCs w:val="0"/>
        </w:rPr>
      </w:r>
      <w:r>
        <w:rPr>
          <w:rFonts w:ascii="Times New Roman" w:hAnsi="Times New Roman" w:cs="Times New Roman" w:eastAsia="Times New Roman" w:hint="default"/>
        </w:rPr>
        <w:t>17</w:t>
      </w:r>
      <w:r>
        <w:rPr/>
        <w:t>、在建工程</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7692"/>
        <w:jc w:val="left"/>
      </w:pPr>
      <w:r>
        <w:rPr/>
        <w:t>公司是否需要遵守特殊行业的披露要求 否</w:t>
      </w:r>
    </w:p>
    <w:p>
      <w:pPr>
        <w:pStyle w:val="BodyText"/>
        <w:spacing w:line="316" w:lineRule="auto" w:before="28"/>
        <w:ind w:left="574" w:right="1024" w:hanging="420"/>
        <w:jc w:val="left"/>
      </w:pPr>
      <w:r>
        <w:rPr>
          <w:rFonts w:ascii="宋体" w:hAnsi="宋体" w:cs="宋体" w:eastAsia="宋体" w:hint="default"/>
          <w:b/>
          <w:bCs/>
        </w:rPr>
        <w:t>1.</w:t>
      </w:r>
      <w:r>
        <w:rPr>
          <w:rFonts w:ascii="宋体" w:hAnsi="宋体" w:cs="宋体" w:eastAsia="宋体" w:hint="default"/>
          <w:b/>
          <w:bCs/>
        </w:rPr>
        <w:t>在建工程初始计量</w:t>
      </w:r>
      <w:r>
        <w:rPr>
          <w:rFonts w:ascii="宋体" w:hAnsi="宋体" w:cs="宋体" w:eastAsia="宋体" w:hint="default"/>
          <w:b/>
          <w:bCs/>
          <w:w w:val="99"/>
        </w:rPr>
        <w:t> </w:t>
      </w:r>
      <w:r>
        <w:rPr>
          <w:spacing w:val="-1"/>
        </w:rPr>
        <w:t>本公司自行建造的在建工程按实际成本计价，实际成本由建造该项资产达到预定可使用状态前所发生的必要支出构成，</w:t>
      </w:r>
    </w:p>
    <w:p>
      <w:pPr>
        <w:spacing w:line="316" w:lineRule="auto" w:before="19"/>
        <w:ind w:left="154" w:right="2652" w:firstLine="0"/>
        <w:jc w:val="left"/>
        <w:rPr>
          <w:rFonts w:ascii="宋体" w:hAnsi="宋体" w:cs="宋体" w:eastAsia="宋体" w:hint="default"/>
          <w:sz w:val="18"/>
          <w:szCs w:val="18"/>
        </w:rPr>
      </w:pPr>
      <w:r>
        <w:rPr>
          <w:rFonts w:ascii="宋体" w:hAnsi="宋体" w:cs="宋体" w:eastAsia="宋体" w:hint="default"/>
          <w:sz w:val="18"/>
          <w:szCs w:val="18"/>
        </w:rPr>
        <w:t>包括工程用物资成本、人工成本、交纳的相关税费、应予资本化的借款费用以及应分摊的间接费用等。 </w:t>
      </w:r>
      <w:r>
        <w:rPr>
          <w:rFonts w:ascii="宋体" w:hAnsi="宋体" w:cs="宋体" w:eastAsia="宋体" w:hint="default"/>
          <w:b/>
          <w:bCs/>
          <w:sz w:val="18"/>
          <w:szCs w:val="18"/>
        </w:rPr>
        <w:t>2.</w:t>
      </w:r>
      <w:r>
        <w:rPr>
          <w:rFonts w:ascii="宋体" w:hAnsi="宋体" w:cs="宋体" w:eastAsia="宋体" w:hint="default"/>
          <w:b/>
          <w:bCs/>
          <w:sz w:val="18"/>
          <w:szCs w:val="18"/>
        </w:rPr>
        <w:t>在建工程结转为固定资产的标准和时点</w:t>
      </w:r>
      <w:r>
        <w:rPr>
          <w:rFonts w:ascii="宋体" w:hAnsi="宋体" w:cs="宋体" w:eastAsia="宋体" w:hint="default"/>
          <w:sz w:val="18"/>
          <w:szCs w:val="18"/>
        </w:rPr>
      </w:r>
    </w:p>
    <w:p>
      <w:pPr>
        <w:pStyle w:val="BodyText"/>
        <w:spacing w:line="316" w:lineRule="auto" w:before="19"/>
        <w:ind w:right="0" w:firstLine="360"/>
        <w:jc w:val="left"/>
      </w:pPr>
      <w:r>
        <w:rPr>
          <w:spacing w:val="-2"/>
        </w:rPr>
        <w:t>在建工程项目按建造该项资产达到预定可使用状态前所发生的全部支出，作为固定资产的入账价值。所建造的在建工程</w:t>
      </w:r>
      <w:r>
        <w:rPr/>
        <w:t> </w:t>
      </w:r>
      <w:r>
        <w:rPr>
          <w:spacing w:val="-4"/>
        </w:rPr>
        <w:t>已达到预定可使用状态，但尚未办理竣工决算的，自达到预定可使用状态之日起，根据工程预算、造价或者工程实际成本等，</w:t>
      </w:r>
      <w:r>
        <w:rPr>
          <w:spacing w:val="-46"/>
        </w:rPr>
        <w:t> </w:t>
      </w:r>
      <w:r>
        <w:rPr>
          <w:spacing w:val="-46"/>
        </w:rPr>
      </w:r>
      <w:r>
        <w:rPr>
          <w:spacing w:val="-2"/>
        </w:rPr>
        <w:t>按估计的价值转入固定资产，并按本公司固定资产折旧政策计提固定资产的折旧，待办理竣工决算后，再按实际成本调整原</w:t>
      </w:r>
      <w:r>
        <w:rPr>
          <w:spacing w:val="-66"/>
        </w:rPr>
        <w:t> </w:t>
      </w:r>
      <w:r>
        <w:rPr>
          <w:spacing w:val="-66"/>
        </w:rPr>
      </w:r>
      <w:r>
        <w:rPr/>
        <w:t>来的暂估价值，但不调整原已计提的折旧额。</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5"/>
        <w:spacing w:line="240" w:lineRule="auto" w:before="161"/>
        <w:ind w:left="154" w:right="0"/>
        <w:jc w:val="left"/>
        <w:rPr>
          <w:b w:val="0"/>
          <w:bCs w:val="0"/>
        </w:rPr>
      </w:pPr>
      <w:bookmarkStart w:name="18、借款费用" w:id="195"/>
      <w:bookmarkEnd w:id="195"/>
      <w:r>
        <w:rPr>
          <w:b w:val="0"/>
          <w:bCs w:val="0"/>
        </w:rPr>
      </w:r>
      <w:r>
        <w:rPr>
          <w:rFonts w:ascii="Times New Roman" w:hAnsi="Times New Roman" w:cs="Times New Roman" w:eastAsia="Times New Roman" w:hint="default"/>
        </w:rPr>
        <w:t>18</w:t>
      </w:r>
      <w:r>
        <w:rPr/>
        <w:t>、借款费用</w:t>
      </w:r>
      <w:r>
        <w:rPr>
          <w:b w:val="0"/>
          <w:bCs w:val="0"/>
        </w:rPr>
      </w:r>
    </w:p>
    <w:p>
      <w:pPr>
        <w:spacing w:line="240" w:lineRule="auto" w:before="0"/>
        <w:rPr>
          <w:rFonts w:ascii="宋体" w:hAnsi="宋体" w:cs="宋体" w:eastAsia="宋体" w:hint="default"/>
          <w:b/>
          <w:bCs/>
          <w:sz w:val="18"/>
          <w:szCs w:val="18"/>
        </w:rPr>
      </w:pPr>
    </w:p>
    <w:p>
      <w:pPr>
        <w:spacing w:line="316" w:lineRule="auto" w:before="127"/>
        <w:ind w:left="574" w:right="1152" w:hanging="420"/>
        <w:jc w:val="left"/>
        <w:rPr>
          <w:rFonts w:ascii="宋体" w:hAnsi="宋体" w:cs="宋体" w:eastAsia="宋体" w:hint="default"/>
          <w:sz w:val="18"/>
          <w:szCs w:val="18"/>
        </w:rPr>
      </w:pPr>
      <w:r>
        <w:rPr>
          <w:rFonts w:ascii="宋体" w:hAnsi="宋体" w:cs="宋体" w:eastAsia="宋体" w:hint="default"/>
          <w:b/>
          <w:bCs/>
          <w:sz w:val="18"/>
          <w:szCs w:val="18"/>
        </w:rPr>
        <w:t>1.</w:t>
      </w:r>
      <w:r>
        <w:rPr>
          <w:rFonts w:ascii="宋体" w:hAnsi="宋体" w:cs="宋体" w:eastAsia="宋体" w:hint="default"/>
          <w:b/>
          <w:bCs/>
          <w:sz w:val="18"/>
          <w:szCs w:val="18"/>
        </w:rPr>
        <w:t>借款费用资本化的确认原则</w:t>
      </w:r>
      <w:r>
        <w:rPr>
          <w:rFonts w:ascii="宋体" w:hAnsi="宋体" w:cs="宋体" w:eastAsia="宋体" w:hint="default"/>
          <w:b/>
          <w:bCs/>
          <w:w w:val="99"/>
          <w:sz w:val="18"/>
          <w:szCs w:val="18"/>
        </w:rPr>
        <w:t> </w:t>
      </w:r>
      <w:r>
        <w:rPr>
          <w:rFonts w:ascii="宋体" w:hAnsi="宋体" w:cs="宋体" w:eastAsia="宋体" w:hint="default"/>
          <w:sz w:val="18"/>
          <w:szCs w:val="18"/>
        </w:rPr>
        <w:t>公司发生的借款费用，可直接归属于符合资本化条件的资产的购建或者生产的，在符合资本化条件的情况下开始资本</w:t>
      </w:r>
    </w:p>
    <w:p>
      <w:pPr>
        <w:pStyle w:val="BodyText"/>
        <w:spacing w:line="316" w:lineRule="auto" w:before="19"/>
        <w:ind w:left="574" w:right="1152" w:hanging="420"/>
        <w:jc w:val="left"/>
      </w:pPr>
      <w:r>
        <w:rPr/>
        <w:t>化，计入相关资产成本；其他借款费用，在发生时根据其发生额确认为费用，计入当期损益。 符合资本化条件的资产，是指需要经过相当长时间的购建或者生产活动才能达到预定可使用或者可销售状态的固定资</w:t>
      </w:r>
    </w:p>
    <w:p>
      <w:pPr>
        <w:pStyle w:val="BodyText"/>
        <w:spacing w:line="316" w:lineRule="auto" w:before="19"/>
        <w:ind w:left="574" w:right="6912" w:hanging="420"/>
        <w:jc w:val="left"/>
      </w:pPr>
      <w:r>
        <w:rPr/>
        <w:t>产、投资性房地产和存货等资产。 借款费用同时满足下列条件时开始资本化：</w:t>
      </w:r>
    </w:p>
    <w:p>
      <w:pPr>
        <w:pStyle w:val="BodyText"/>
        <w:spacing w:line="316" w:lineRule="auto" w:before="19"/>
        <w:ind w:right="1114" w:firstLine="420"/>
        <w:jc w:val="left"/>
      </w:pPr>
      <w:r>
        <w:rPr>
          <w:spacing w:val="-1"/>
        </w:rPr>
        <w:t>（</w:t>
      </w:r>
      <w:r>
        <w:rPr>
          <w:rFonts w:ascii="宋体" w:hAnsi="宋体" w:cs="宋体" w:eastAsia="宋体" w:hint="default"/>
          <w:spacing w:val="-1"/>
        </w:rPr>
        <w:t>1</w:t>
      </w:r>
      <w:r>
        <w:rPr>
          <w:spacing w:val="-1"/>
        </w:rPr>
        <w:t>）资产支出已经发生，资产支出包括为购建或者生产符合资本化条件的资产而以支付现金、转移非现金资产或者承</w:t>
      </w:r>
      <w:r>
        <w:rPr/>
        <w:t> 担带息债务形式发生的支出；</w:t>
      </w:r>
    </w:p>
    <w:p>
      <w:pPr>
        <w:pStyle w:val="BodyText"/>
        <w:spacing w:line="240" w:lineRule="auto" w:before="19"/>
        <w:ind w:left="574" w:right="0"/>
        <w:jc w:val="left"/>
      </w:pPr>
      <w:r>
        <w:rPr/>
        <w:t>（</w:t>
      </w:r>
      <w:r>
        <w:rPr>
          <w:rFonts w:ascii="宋体" w:hAnsi="宋体" w:cs="宋体" w:eastAsia="宋体" w:hint="default"/>
        </w:rPr>
        <w:t>2</w:t>
      </w:r>
      <w:r>
        <w:rPr/>
        <w:t>）借款费用已经发生；</w:t>
      </w:r>
    </w:p>
    <w:p>
      <w:pPr>
        <w:spacing w:line="316" w:lineRule="auto" w:before="76"/>
        <w:ind w:left="154" w:right="3582" w:firstLine="42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）为使资产达到预定可使用或者可销售状态所必要的购建或者生产活动已经开始。 </w:t>
      </w:r>
      <w:r>
        <w:rPr>
          <w:rFonts w:ascii="宋体" w:hAnsi="宋体" w:cs="宋体" w:eastAsia="宋体" w:hint="default"/>
          <w:b/>
          <w:bCs/>
          <w:sz w:val="18"/>
          <w:szCs w:val="18"/>
        </w:rPr>
        <w:t>2.</w:t>
      </w:r>
      <w:r>
        <w:rPr>
          <w:rFonts w:ascii="宋体" w:hAnsi="宋体" w:cs="宋体" w:eastAsia="宋体" w:hint="default"/>
          <w:b/>
          <w:bCs/>
          <w:sz w:val="18"/>
          <w:szCs w:val="18"/>
        </w:rPr>
        <w:t>借款费用资本化期间</w:t>
      </w:r>
      <w:r>
        <w:rPr>
          <w:rFonts w:ascii="宋体" w:hAnsi="宋体" w:cs="宋体" w:eastAsia="宋体" w:hint="default"/>
          <w:sz w:val="18"/>
          <w:szCs w:val="18"/>
        </w:rPr>
      </w:r>
    </w:p>
    <w:p>
      <w:pPr>
        <w:pStyle w:val="BodyText"/>
        <w:spacing w:line="316" w:lineRule="auto" w:before="19"/>
        <w:ind w:left="574" w:right="1152"/>
        <w:jc w:val="left"/>
      </w:pPr>
      <w:r>
        <w:rPr/>
        <w:t>资本化期间，指从借款费用开始资本化时点到停止资本化时点的期间，借款费用暂停资本化的期间不包括在内。 当购建或者生产符合资本化条件的资产达到预定可使用或者可销售状态时，借款费用停止资本化。 当购建或者生产符合资本化条件的资产中部分项目分别完工且可单独使用时，该部分资产借款费用停止资本化。 购建或者生产的资产的各部分分别完工，但必须等到整体完工后才可使用或可对外销售的，在该资产整体完工时停止</w:t>
      </w:r>
    </w:p>
    <w:p>
      <w:pPr>
        <w:spacing w:line="316" w:lineRule="auto" w:before="19"/>
        <w:ind w:left="154" w:right="9306" w:firstLine="0"/>
        <w:jc w:val="left"/>
        <w:rPr>
          <w:rFonts w:ascii="宋体" w:hAnsi="宋体" w:cs="宋体" w:eastAsia="宋体" w:hint="default"/>
          <w:sz w:val="18"/>
          <w:szCs w:val="18"/>
        </w:rPr>
      </w:pPr>
      <w:r>
        <w:rPr>
          <w:rFonts w:ascii="宋体" w:hAnsi="宋体" w:cs="宋体" w:eastAsia="宋体" w:hint="default"/>
          <w:sz w:val="18"/>
          <w:szCs w:val="18"/>
        </w:rPr>
        <w:t>借款费用资本化。 </w:t>
      </w:r>
      <w:r>
        <w:rPr>
          <w:rFonts w:ascii="宋体" w:hAnsi="宋体" w:cs="宋体" w:eastAsia="宋体" w:hint="default"/>
          <w:b/>
          <w:bCs/>
          <w:sz w:val="18"/>
          <w:szCs w:val="18"/>
        </w:rPr>
        <w:t>3.</w:t>
      </w:r>
      <w:r>
        <w:rPr>
          <w:rFonts w:ascii="宋体" w:hAnsi="宋体" w:cs="宋体" w:eastAsia="宋体" w:hint="default"/>
          <w:b/>
          <w:bCs/>
          <w:sz w:val="18"/>
          <w:szCs w:val="18"/>
        </w:rPr>
        <w:t>暂停资本化期间</w:t>
      </w:r>
      <w:r>
        <w:rPr>
          <w:rFonts w:ascii="宋体" w:hAnsi="宋体" w:cs="宋体" w:eastAsia="宋体" w:hint="default"/>
          <w:sz w:val="18"/>
          <w:szCs w:val="18"/>
        </w:rPr>
      </w:r>
    </w:p>
    <w:p>
      <w:pPr>
        <w:pStyle w:val="BodyText"/>
        <w:spacing w:line="316" w:lineRule="auto" w:before="19"/>
        <w:ind w:right="0" w:firstLine="420"/>
        <w:jc w:val="left"/>
        <w:rPr>
          <w:rFonts w:ascii="宋体" w:hAnsi="宋体" w:cs="宋体" w:eastAsia="宋体" w:hint="default"/>
        </w:rPr>
      </w:pPr>
      <w:r>
        <w:rPr>
          <w:spacing w:val="-3"/>
        </w:rPr>
        <w:t>符合资本化条件的资产在购建或生产过程中发生的非正常中断、且中断时间连续超过</w:t>
      </w:r>
      <w:r>
        <w:rPr>
          <w:rFonts w:ascii="宋体" w:hAnsi="宋体" w:cs="宋体" w:eastAsia="宋体" w:hint="default"/>
          <w:spacing w:val="-3"/>
        </w:rPr>
        <w:t>3</w:t>
      </w:r>
      <w:r>
        <w:rPr>
          <w:spacing w:val="-3"/>
        </w:rPr>
        <w:t>个月的，则借款费用暂停资本化；</w:t>
      </w:r>
      <w:r>
        <w:rPr/>
        <w:t> </w:t>
      </w:r>
      <w:r>
        <w:rPr>
          <w:spacing w:val="-2"/>
        </w:rPr>
        <w:t>该项中断如是所购建或生产的符合资本化条件的资产达到预定可使用状态或者可销售状态必要的程序，则借款费用继续资本</w:t>
      </w:r>
      <w:r>
        <w:rPr>
          <w:spacing w:val="-64"/>
        </w:rPr>
        <w:t> </w:t>
      </w:r>
      <w:r>
        <w:rPr>
          <w:spacing w:val="-64"/>
        </w:rPr>
      </w:r>
      <w:r>
        <w:rPr/>
        <w:t>化。在中断期间发生的借款费用确认为当期损益，直至资产的购建或者生产活动重新开始后借款费用继续资本化。 </w:t>
      </w:r>
      <w:r>
        <w:rPr>
          <w:rFonts w:ascii="宋体" w:hAnsi="宋体" w:cs="宋体" w:eastAsia="宋体" w:hint="default"/>
          <w:b/>
          <w:bCs/>
        </w:rPr>
        <w:t>4.</w:t>
      </w:r>
      <w:r>
        <w:rPr>
          <w:rFonts w:ascii="宋体" w:hAnsi="宋体" w:cs="宋体" w:eastAsia="宋体" w:hint="default"/>
          <w:b/>
          <w:bCs/>
        </w:rPr>
        <w:t>借款费用资本化金额的计算方法</w:t>
      </w:r>
      <w:r>
        <w:rPr>
          <w:rFonts w:ascii="宋体" w:hAnsi="宋体" w:cs="宋体" w:eastAsia="宋体" w:hint="default"/>
        </w:rPr>
      </w:r>
    </w:p>
    <w:p>
      <w:pPr>
        <w:pStyle w:val="BodyText"/>
        <w:spacing w:line="316" w:lineRule="auto" w:before="19"/>
        <w:ind w:right="1152" w:firstLine="420"/>
        <w:jc w:val="left"/>
      </w:pPr>
      <w:r>
        <w:rPr/>
        <w:t>专门借款的利息费用（扣除尚未动用的借款资金存入银行取得的利息收入或者进行暂时性投资取得的投资收益）及其 辅助费用在所购建或者生产的符合资本化条件的资产达到预定可使用或者可销售状态前，予以资本化。</w:t>
      </w:r>
    </w:p>
    <w:p>
      <w:pPr>
        <w:pStyle w:val="BodyText"/>
        <w:spacing w:line="319" w:lineRule="auto" w:before="19"/>
        <w:ind w:right="1152" w:firstLine="420"/>
        <w:jc w:val="left"/>
      </w:pPr>
      <w:r>
        <w:rPr/>
        <w:t>根据累计资产支出超过专门借款部分的资产支出按月加权平均数乘以所占用一般借款的资本化率，计算确定一般借款 应予资本化的利息金额。资本化率根据一般借款加权平均利率计算确定。</w:t>
      </w:r>
    </w:p>
    <w:p>
      <w:pPr>
        <w:pStyle w:val="BodyText"/>
        <w:spacing w:line="240" w:lineRule="auto" w:before="17"/>
        <w:ind w:left="574" w:right="0"/>
        <w:jc w:val="left"/>
      </w:pPr>
      <w:r>
        <w:rPr/>
        <w:t>借款存在折价或者溢价的，按照实际利率法确定每一会计期间应摊销的折价或者溢价金额，调整每期利息金额。</w:t>
      </w:r>
    </w:p>
    <w:p>
      <w:pPr>
        <w:spacing w:after="0" w:line="240" w:lineRule="auto"/>
        <w:jc w:val="left"/>
        <w:sectPr>
          <w:pgSz w:w="11910" w:h="16840"/>
          <w:pgMar w:header="917" w:footer="1019" w:top="1120" w:bottom="1200" w:left="980" w:right="0"/>
        </w:sectPr>
      </w:pPr>
    </w:p>
    <w:p>
      <w:pPr>
        <w:spacing w:line="240" w:lineRule="auto" w:before="10"/>
        <w:rPr>
          <w:rFonts w:ascii="宋体" w:hAnsi="宋体" w:cs="宋体" w:eastAsia="宋体" w:hint="default"/>
          <w:sz w:val="20"/>
          <w:szCs w:val="20"/>
        </w:rPr>
      </w:pPr>
    </w:p>
    <w:p>
      <w:pPr>
        <w:pStyle w:val="Heading5"/>
        <w:spacing w:line="607" w:lineRule="auto" w:before="44"/>
        <w:ind w:left="154" w:right="9668"/>
        <w:jc w:val="left"/>
        <w:rPr>
          <w:b w:val="0"/>
          <w:bCs w:val="0"/>
        </w:rPr>
      </w:pPr>
      <w:bookmarkStart w:name="19、生物资产" w:id="196"/>
      <w:bookmarkEnd w:id="196"/>
      <w:r>
        <w:rPr>
          <w:b w:val="0"/>
          <w:bCs w:val="0"/>
        </w:rPr>
      </w:r>
      <w:r>
        <w:rPr>
          <w:rFonts w:ascii="Times New Roman" w:hAnsi="Times New Roman" w:cs="Times New Roman" w:eastAsia="Times New Roman" w:hint="default"/>
        </w:rPr>
        <w:t>19</w:t>
      </w:r>
      <w:r>
        <w:rPr/>
        <w:t>、生物资产</w:t>
      </w:r>
      <w:r>
        <w:rPr>
          <w:w w:val="99"/>
        </w:rPr>
        <w:t> </w:t>
      </w:r>
      <w:r>
        <w:rPr>
          <w:rFonts w:ascii="宋体" w:hAnsi="宋体" w:cs="宋体" w:eastAsia="宋体" w:hint="default"/>
          <w:b w:val="0"/>
          <w:bCs w:val="0"/>
        </w:rPr>
        <w:t>无 </w:t>
      </w:r>
      <w:bookmarkStart w:name="20、油气资产" w:id="197"/>
      <w:bookmarkEnd w:id="197"/>
      <w:r>
        <w:rPr>
          <w:rFonts w:ascii="宋体" w:hAnsi="宋体" w:cs="宋体" w:eastAsia="宋体" w:hint="default"/>
          <w:b w:val="0"/>
          <w:bCs w:val="0"/>
        </w:rPr>
      </w:r>
      <w:r>
        <w:rPr>
          <w:rFonts w:ascii="Times New Roman" w:hAnsi="Times New Roman" w:cs="Times New Roman" w:eastAsia="Times New Roman" w:hint="default"/>
        </w:rPr>
        <w:t>20</w:t>
      </w:r>
      <w:r>
        <w:rPr/>
        <w:t>、油气资产</w:t>
      </w:r>
      <w:r>
        <w:rPr>
          <w:w w:val="99"/>
        </w:rPr>
        <w:t> </w:t>
      </w:r>
      <w:r>
        <w:rPr>
          <w:rFonts w:ascii="宋体" w:hAnsi="宋体" w:cs="宋体" w:eastAsia="宋体" w:hint="default"/>
          <w:b w:val="0"/>
          <w:bCs w:val="0"/>
        </w:rPr>
        <w:t>无 </w:t>
      </w:r>
      <w:bookmarkStart w:name="21、无形资产" w:id="198"/>
      <w:bookmarkEnd w:id="198"/>
      <w:r>
        <w:rPr>
          <w:rFonts w:ascii="宋体" w:hAnsi="宋体" w:cs="宋体" w:eastAsia="宋体" w:hint="default"/>
          <w:b w:val="0"/>
          <w:bCs w:val="0"/>
        </w:rPr>
      </w:r>
      <w:r>
        <w:rPr>
          <w:rFonts w:ascii="Times New Roman" w:hAnsi="Times New Roman" w:cs="Times New Roman" w:eastAsia="Times New Roman" w:hint="default"/>
        </w:rPr>
        <w:t>21</w:t>
      </w:r>
      <w:r>
        <w:rPr/>
        <w:t>、无形资产</w:t>
      </w:r>
      <w:r>
        <w:rPr>
          <w:b w:val="0"/>
          <w:bCs w:val="0"/>
        </w:rPr>
      </w:r>
    </w:p>
    <w:p>
      <w:pPr>
        <w:pStyle w:val="Heading5"/>
        <w:spacing w:line="240" w:lineRule="auto" w:before="59"/>
        <w:ind w:left="154" w:right="0"/>
        <w:jc w:val="left"/>
        <w:rPr>
          <w:b w:val="0"/>
          <w:bCs w:val="0"/>
        </w:rPr>
      </w:pPr>
      <w:bookmarkStart w:name="（1）计价方法、使用寿命、减值测试" w:id="199"/>
      <w:bookmarkEnd w:id="199"/>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0"/>
        <w:rPr>
          <w:rFonts w:ascii="宋体" w:hAnsi="宋体" w:cs="宋体" w:eastAsia="宋体" w:hint="default"/>
          <w:b/>
          <w:bCs/>
          <w:sz w:val="18"/>
          <w:szCs w:val="18"/>
        </w:rPr>
      </w:pPr>
    </w:p>
    <w:p>
      <w:pPr>
        <w:pStyle w:val="BodyText"/>
        <w:spacing w:line="316" w:lineRule="auto" w:before="127"/>
        <w:ind w:right="1152" w:firstLine="420"/>
        <w:jc w:val="left"/>
      </w:pPr>
      <w:r>
        <w:rPr/>
        <w:t>无形资产是指本公司拥有或者控制的没有实物形态的可辨认非货币性资产，包括土地使用权、生产经营用软件及商标 权等。</w:t>
      </w:r>
    </w:p>
    <w:p>
      <w:pPr>
        <w:pStyle w:val="BodyText"/>
        <w:spacing w:line="316" w:lineRule="auto" w:before="19"/>
        <w:ind w:left="574" w:right="1152" w:hanging="420"/>
        <w:jc w:val="left"/>
      </w:pPr>
      <w:r>
        <w:rPr>
          <w:rFonts w:ascii="宋体" w:hAnsi="宋体" w:cs="宋体" w:eastAsia="宋体" w:hint="default"/>
          <w:b/>
          <w:bCs/>
        </w:rPr>
        <w:t>1.</w:t>
      </w:r>
      <w:r>
        <w:rPr>
          <w:rFonts w:ascii="宋体" w:hAnsi="宋体" w:cs="宋体" w:eastAsia="宋体" w:hint="default"/>
          <w:b/>
          <w:bCs/>
        </w:rPr>
        <w:t>无形资产的初始计量</w:t>
      </w:r>
      <w:r>
        <w:rPr>
          <w:rFonts w:ascii="宋体" w:hAnsi="宋体" w:cs="宋体" w:eastAsia="宋体" w:hint="default"/>
          <w:b/>
          <w:bCs/>
          <w:w w:val="99"/>
        </w:rPr>
        <w:t> </w:t>
      </w:r>
      <w:r>
        <w:rPr/>
        <w:t>外购无形资产的成本，包括购买价款、相关税费以及直接归属于使该项资产达到预定用途所发生的其他支出。购买无</w:t>
      </w:r>
    </w:p>
    <w:p>
      <w:pPr>
        <w:pStyle w:val="BodyText"/>
        <w:spacing w:line="316" w:lineRule="auto" w:before="19"/>
        <w:ind w:left="574" w:right="1152" w:hanging="420"/>
        <w:jc w:val="left"/>
      </w:pPr>
      <w:r>
        <w:rPr/>
        <w:t>形资产的价款超过正常信用条件延期支付，实质上具有融资性质的，无形资产的成本以购买价款的现值为基础确定。 债务重组取得债务人用以抵债的无形资产，以该无形资产的公允价值为基础确定其入账价值，并将重组债务的账面价</w:t>
      </w:r>
    </w:p>
    <w:p>
      <w:pPr>
        <w:pStyle w:val="BodyText"/>
        <w:spacing w:line="316" w:lineRule="auto" w:before="19"/>
        <w:ind w:left="574" w:right="1152" w:hanging="420"/>
        <w:jc w:val="left"/>
      </w:pPr>
      <w:r>
        <w:rPr/>
        <w:t>值与该用以抵债的无形资产公允价值之间的差额，计入当期损益。 在非货币性资产交换具备商业实质且换入资产或换出资产的公允价值能够可靠计量的前提下，非货币性资产交换换入</w:t>
      </w:r>
    </w:p>
    <w:p>
      <w:pPr>
        <w:pStyle w:val="BodyText"/>
        <w:spacing w:line="316" w:lineRule="auto" w:before="19"/>
        <w:ind w:right="0"/>
        <w:jc w:val="left"/>
      </w:pPr>
      <w:r>
        <w:rPr>
          <w:spacing w:val="-2"/>
        </w:rPr>
        <w:t>的无形资产以换出资产的公允价值为基础确定其入账价值，除非有确凿证据表明换入资产的公允价值更加可靠；不满足上述</w:t>
      </w:r>
      <w:r>
        <w:rPr>
          <w:spacing w:val="-63"/>
        </w:rPr>
        <w:t> </w:t>
      </w:r>
      <w:r>
        <w:rPr>
          <w:spacing w:val="-63"/>
        </w:rPr>
      </w:r>
      <w:r>
        <w:rPr/>
        <w:t>前提的非货币性资产交换，以换出资产的账面价值和应支付的相关税费作为换入无形资产的成本，不确认损益。</w:t>
      </w:r>
    </w:p>
    <w:p>
      <w:pPr>
        <w:pStyle w:val="BodyText"/>
        <w:spacing w:line="316" w:lineRule="auto" w:before="19"/>
        <w:ind w:right="1152" w:firstLine="420"/>
        <w:jc w:val="left"/>
      </w:pPr>
      <w:r>
        <w:rPr/>
        <w:t>以同一控制下的企业吸收合并方式取得的无形资产按被合并方的账面价值确定其入账价值；以非同一控制下的企业吸 收合并方式取得的无形资产按公允价值确定其入账价值。</w:t>
      </w:r>
    </w:p>
    <w:p>
      <w:pPr>
        <w:pStyle w:val="BodyText"/>
        <w:spacing w:line="316" w:lineRule="auto" w:before="19"/>
        <w:ind w:right="1152" w:firstLine="420"/>
        <w:jc w:val="left"/>
        <w:rPr>
          <w:rFonts w:ascii="宋体" w:hAnsi="宋体" w:cs="宋体" w:eastAsia="宋体" w:hint="default"/>
        </w:rPr>
      </w:pPr>
      <w:r>
        <w:rPr/>
        <w:t>内部自行开发的无形资产，其成本包括：开发该无形资产时耗用的材料、劳务成本、注册费、在开发过程中使用的其 他专利权和特许权的摊销以及满足资本化条件的利息费用，以及为使该无形资产达到预定用途前所发生的其他直接费用。 </w:t>
      </w:r>
      <w:r>
        <w:rPr>
          <w:rFonts w:ascii="宋体" w:hAnsi="宋体" w:cs="宋体" w:eastAsia="宋体" w:hint="default"/>
          <w:b/>
          <w:bCs/>
        </w:rPr>
        <w:t>2.</w:t>
      </w:r>
      <w:r>
        <w:rPr>
          <w:rFonts w:ascii="宋体" w:hAnsi="宋体" w:cs="宋体" w:eastAsia="宋体" w:hint="default"/>
          <w:b/>
          <w:bCs/>
        </w:rPr>
        <w:t>无形资产的后续计量</w:t>
      </w:r>
      <w:r>
        <w:rPr>
          <w:rFonts w:ascii="宋体" w:hAnsi="宋体" w:cs="宋体" w:eastAsia="宋体" w:hint="default"/>
        </w:rPr>
      </w:r>
    </w:p>
    <w:p>
      <w:pPr>
        <w:pStyle w:val="BodyText"/>
        <w:spacing w:line="240" w:lineRule="auto" w:before="19"/>
        <w:ind w:left="574" w:right="0"/>
        <w:jc w:val="left"/>
      </w:pPr>
      <w:r>
        <w:rPr/>
        <w:t>本公司在取得无形资产时分析判断其使用寿命，划分为使用寿命有限和使用寿命不确定的无形资产。</w:t>
      </w:r>
    </w:p>
    <w:p>
      <w:pPr>
        <w:pStyle w:val="BodyText"/>
        <w:spacing w:line="316" w:lineRule="auto" w:before="76"/>
        <w:ind w:left="574" w:right="1152" w:hanging="150"/>
        <w:jc w:val="left"/>
      </w:pPr>
      <w:r>
        <w:rPr/>
        <w:t>（</w:t>
      </w:r>
      <w:r>
        <w:rPr>
          <w:rFonts w:ascii="宋体" w:hAnsi="宋体" w:cs="宋体" w:eastAsia="宋体" w:hint="default"/>
        </w:rPr>
        <w:t>1</w:t>
      </w:r>
      <w:r>
        <w:rPr/>
        <w:t>）使用寿命有限的无形资产 对于使用寿命有限的无形资产，在为企业带来经济利益的期限内按直线法摊销。使用寿命有限的无形资产预计寿命及</w:t>
      </w:r>
    </w:p>
    <w:p>
      <w:pPr>
        <w:pStyle w:val="BodyText"/>
        <w:spacing w:line="240" w:lineRule="auto" w:before="19"/>
        <w:ind w:right="0"/>
        <w:jc w:val="left"/>
      </w:pPr>
      <w:r>
        <w:rPr/>
        <w:t>依据如下：</w:t>
      </w:r>
    </w:p>
    <w:p>
      <w:pPr>
        <w:spacing w:line="240" w:lineRule="auto" w:before="0"/>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2806"/>
        <w:gridCol w:w="1872"/>
        <w:gridCol w:w="3743"/>
      </w:tblGrid>
      <w:tr>
        <w:trPr>
          <w:trHeight w:val="342" w:hRule="exact"/>
        </w:trPr>
        <w:tc>
          <w:tcPr>
            <w:tcW w:w="2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预计使用寿命</w:t>
            </w:r>
          </w:p>
        </w:tc>
        <w:tc>
          <w:tcPr>
            <w:tcW w:w="3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依据</w:t>
            </w:r>
          </w:p>
        </w:tc>
      </w:tr>
      <w:tr>
        <w:trPr>
          <w:trHeight w:val="342" w:hRule="exact"/>
        </w:trPr>
        <w:tc>
          <w:tcPr>
            <w:tcW w:w="2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50</w:t>
            </w:r>
            <w:r>
              <w:rPr>
                <w:rFonts w:ascii="宋体" w:hAnsi="宋体" w:cs="宋体" w:eastAsia="宋体" w:hint="default"/>
                <w:sz w:val="18"/>
                <w:szCs w:val="18"/>
              </w:rPr>
              <w:t>年</w:t>
            </w:r>
          </w:p>
        </w:tc>
        <w:tc>
          <w:tcPr>
            <w:tcW w:w="3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相关法律规定使用年限</w:t>
            </w:r>
          </w:p>
        </w:tc>
      </w:tr>
      <w:tr>
        <w:trPr>
          <w:trHeight w:val="342" w:hRule="exact"/>
        </w:trPr>
        <w:tc>
          <w:tcPr>
            <w:tcW w:w="2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生产经营用软件</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年</w:t>
            </w:r>
          </w:p>
        </w:tc>
        <w:tc>
          <w:tcPr>
            <w:tcW w:w="3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预计使用年限</w:t>
            </w:r>
          </w:p>
        </w:tc>
      </w:tr>
      <w:tr>
        <w:trPr>
          <w:trHeight w:val="343" w:hRule="exact"/>
        </w:trPr>
        <w:tc>
          <w:tcPr>
            <w:tcW w:w="2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商标权</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z w:val="18"/>
                <w:szCs w:val="18"/>
              </w:rPr>
              <w:t>年</w:t>
            </w:r>
          </w:p>
        </w:tc>
        <w:tc>
          <w:tcPr>
            <w:tcW w:w="3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预计使用年限</w:t>
            </w:r>
          </w:p>
        </w:tc>
      </w:tr>
    </w:tbl>
    <w:p>
      <w:pPr>
        <w:spacing w:line="240" w:lineRule="auto" w:before="8"/>
        <w:rPr>
          <w:rFonts w:ascii="宋体" w:hAnsi="宋体" w:cs="宋体" w:eastAsia="宋体" w:hint="default"/>
          <w:sz w:val="6"/>
          <w:szCs w:val="6"/>
        </w:rPr>
      </w:pPr>
    </w:p>
    <w:p>
      <w:pPr>
        <w:pStyle w:val="BodyText"/>
        <w:spacing w:line="316" w:lineRule="auto" w:before="44"/>
        <w:ind w:left="574" w:right="1024"/>
        <w:jc w:val="left"/>
      </w:pPr>
      <w:r>
        <w:rPr>
          <w:spacing w:val="-1"/>
        </w:rPr>
        <w:t>每期末，对使用寿命有限的无形资产的使用寿命及摊销方法进行复核，如与原先估计数存在差异的，进行相应的调整。</w:t>
      </w:r>
      <w:r>
        <w:rPr/>
        <w:t> 经复核，本期期末无形资产的使用寿命及摊销方法与以前估计未有不同。</w:t>
      </w:r>
    </w:p>
    <w:p>
      <w:pPr>
        <w:pStyle w:val="BodyText"/>
        <w:spacing w:line="316" w:lineRule="auto" w:before="19"/>
        <w:ind w:left="574" w:right="3852" w:hanging="150"/>
        <w:jc w:val="left"/>
      </w:pPr>
      <w:r>
        <w:rPr/>
        <w:t>（</w:t>
      </w:r>
      <w:r>
        <w:rPr>
          <w:rFonts w:ascii="宋体" w:hAnsi="宋体" w:cs="宋体" w:eastAsia="宋体" w:hint="default"/>
        </w:rPr>
        <w:t>2</w:t>
      </w:r>
      <w:r>
        <w:rPr/>
        <w:t>）使用寿命不确定的无形资产 无法预见无形资产为企业带来经济利益期限的，视为使用寿命不确定的无形资产。 经复核，本公司无使用寿命不确定的无形资产。</w:t>
      </w:r>
    </w:p>
    <w:p>
      <w:pPr>
        <w:spacing w:after="0" w:line="316" w:lineRule="auto"/>
        <w:jc w:val="left"/>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2）内部研究开发支出会计政策" w:id="200"/>
      <w:bookmarkEnd w:id="200"/>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7"/>
        <w:rPr>
          <w:rFonts w:ascii="宋体" w:hAnsi="宋体" w:cs="宋体" w:eastAsia="宋体" w:hint="default"/>
          <w:b/>
          <w:bCs/>
          <w:sz w:val="26"/>
          <w:szCs w:val="26"/>
        </w:rPr>
      </w:pPr>
    </w:p>
    <w:p>
      <w:pPr>
        <w:spacing w:line="319" w:lineRule="auto" w:before="0"/>
        <w:ind w:left="934" w:right="1152" w:hanging="781"/>
        <w:jc w:val="left"/>
        <w:rPr>
          <w:rFonts w:ascii="宋体" w:hAnsi="宋体" w:cs="宋体" w:eastAsia="宋体" w:hint="default"/>
          <w:sz w:val="18"/>
          <w:szCs w:val="18"/>
        </w:rPr>
      </w:pPr>
      <w:r>
        <w:rPr>
          <w:rFonts w:ascii="宋体" w:hAnsi="宋体" w:cs="宋体" w:eastAsia="宋体" w:hint="default"/>
          <w:b/>
          <w:bCs/>
          <w:sz w:val="18"/>
          <w:szCs w:val="18"/>
        </w:rPr>
        <w:t>划分公司内部研究开发项目的研究阶段和开发阶段具体标准</w:t>
      </w:r>
      <w:r>
        <w:rPr>
          <w:rFonts w:ascii="宋体" w:hAnsi="宋体" w:cs="宋体" w:eastAsia="宋体" w:hint="default"/>
          <w:b/>
          <w:bCs/>
          <w:w w:val="99"/>
          <w:sz w:val="18"/>
          <w:szCs w:val="18"/>
        </w:rPr>
        <w:t> </w:t>
      </w:r>
      <w:r>
        <w:rPr>
          <w:rFonts w:ascii="宋体" w:hAnsi="宋体" w:cs="宋体" w:eastAsia="宋体" w:hint="default"/>
          <w:sz w:val="18"/>
          <w:szCs w:val="18"/>
        </w:rPr>
        <w:t>研究阶段：为获取并理解新的科学或技术知识等而进行的独创性的有计划调查、研究活动的阶段。 开发阶段：在进行商业性生产或使用前，将研究成果或其他知识应用于某项计划或设计，以生产出新的或具有实</w:t>
      </w:r>
    </w:p>
    <w:p>
      <w:pPr>
        <w:pStyle w:val="BodyText"/>
        <w:spacing w:line="316" w:lineRule="auto" w:before="17"/>
        <w:ind w:left="514" w:right="5532"/>
        <w:jc w:val="left"/>
      </w:pPr>
      <w:r>
        <w:rPr/>
        <w:t>质性改进的材料、装置、产品等活动的阶段。 内部研究开发项目研究阶段的支出，在发生时计入当期损益。</w:t>
      </w:r>
    </w:p>
    <w:p>
      <w:pPr>
        <w:spacing w:line="316" w:lineRule="auto" w:before="19"/>
        <w:ind w:left="574" w:right="4392" w:hanging="420"/>
        <w:jc w:val="left"/>
        <w:rPr>
          <w:rFonts w:ascii="宋体" w:hAnsi="宋体" w:cs="宋体" w:eastAsia="宋体" w:hint="default"/>
          <w:sz w:val="18"/>
          <w:szCs w:val="18"/>
        </w:rPr>
      </w:pPr>
      <w:r>
        <w:rPr>
          <w:rFonts w:ascii="宋体" w:hAnsi="宋体" w:cs="宋体" w:eastAsia="宋体" w:hint="default"/>
          <w:b/>
          <w:bCs/>
          <w:sz w:val="18"/>
          <w:szCs w:val="18"/>
        </w:rPr>
        <w:t>开发阶段支出符合资本化的具体标准</w:t>
      </w:r>
      <w:r>
        <w:rPr>
          <w:rFonts w:ascii="宋体" w:hAnsi="宋体" w:cs="宋体" w:eastAsia="宋体" w:hint="default"/>
          <w:b/>
          <w:bCs/>
          <w:w w:val="99"/>
          <w:sz w:val="18"/>
          <w:szCs w:val="18"/>
        </w:rPr>
        <w:t> </w:t>
      </w:r>
      <w:r>
        <w:rPr>
          <w:rFonts w:ascii="宋体" w:hAnsi="宋体" w:cs="宋体" w:eastAsia="宋体" w:hint="default"/>
          <w:sz w:val="18"/>
          <w:szCs w:val="18"/>
        </w:rPr>
        <w:t>内部研究开发项目开发阶段的支出，同时满足下列条件时确认为无形资产：</w:t>
      </w:r>
    </w:p>
    <w:p>
      <w:pPr>
        <w:pStyle w:val="BodyText"/>
        <w:spacing w:line="240" w:lineRule="auto" w:before="19"/>
        <w:ind w:left="574" w:right="0"/>
        <w:jc w:val="left"/>
      </w:pPr>
      <w:r>
        <w:rPr/>
        <w:t>（</w:t>
      </w:r>
      <w:r>
        <w:rPr>
          <w:rFonts w:ascii="宋体" w:hAnsi="宋体" w:cs="宋体" w:eastAsia="宋体" w:hint="default"/>
        </w:rPr>
        <w:t>1</w:t>
      </w:r>
      <w:r>
        <w:rPr/>
        <w:t>）完成该无形资产以使其能够使用或出售在技术上具有可行性；</w:t>
      </w:r>
    </w:p>
    <w:p>
      <w:pPr>
        <w:pStyle w:val="BodyText"/>
        <w:spacing w:line="240" w:lineRule="auto" w:before="76"/>
        <w:ind w:left="574" w:right="0"/>
        <w:jc w:val="left"/>
      </w:pPr>
      <w:r>
        <w:rPr/>
        <w:t>（</w:t>
      </w:r>
      <w:r>
        <w:rPr>
          <w:rFonts w:ascii="宋体" w:hAnsi="宋体" w:cs="宋体" w:eastAsia="宋体" w:hint="default"/>
        </w:rPr>
        <w:t>2</w:t>
      </w:r>
      <w:r>
        <w:rPr/>
        <w:t>）具有完成该无形资产并使用或出售的意图；</w:t>
      </w:r>
    </w:p>
    <w:p>
      <w:pPr>
        <w:pStyle w:val="BodyText"/>
        <w:spacing w:line="316" w:lineRule="auto" w:before="76"/>
        <w:ind w:right="1114" w:firstLine="420"/>
        <w:jc w:val="left"/>
      </w:pPr>
      <w:r>
        <w:rPr>
          <w:spacing w:val="-1"/>
        </w:rPr>
        <w:t>（</w:t>
      </w:r>
      <w:r>
        <w:rPr>
          <w:rFonts w:ascii="宋体" w:hAnsi="宋体" w:cs="宋体" w:eastAsia="宋体" w:hint="default"/>
          <w:spacing w:val="-1"/>
        </w:rPr>
        <w:t>3</w:t>
      </w:r>
      <w:r>
        <w:rPr>
          <w:spacing w:val="-1"/>
        </w:rPr>
        <w:t>）无形资产产生经济利益的方式，包括能够证明运用该无形资产生产的产品存在市场或无形资产自身存在市场，无</w:t>
      </w:r>
      <w:r>
        <w:rPr/>
        <w:t> 形资产将在内部使用的，能够证明其有用性；</w:t>
      </w:r>
    </w:p>
    <w:p>
      <w:pPr>
        <w:pStyle w:val="BodyText"/>
        <w:spacing w:line="240" w:lineRule="auto" w:before="19"/>
        <w:ind w:left="574" w:right="0"/>
        <w:jc w:val="left"/>
      </w:pPr>
      <w:r>
        <w:rPr/>
        <w:t>（</w:t>
      </w:r>
      <w:r>
        <w:rPr>
          <w:rFonts w:ascii="宋体" w:hAnsi="宋体" w:cs="宋体" w:eastAsia="宋体" w:hint="default"/>
        </w:rPr>
        <w:t>4</w:t>
      </w:r>
      <w:r>
        <w:rPr/>
        <w:t>）有足够的技术、财务资源和其他资源支持，以完成该无形资产的开发，并有能力使用或出售该无形资产；</w:t>
      </w:r>
    </w:p>
    <w:p>
      <w:pPr>
        <w:pStyle w:val="BodyText"/>
        <w:spacing w:line="316" w:lineRule="auto" w:before="76"/>
        <w:ind w:left="604" w:right="1122" w:hanging="30"/>
        <w:jc w:val="left"/>
      </w:pPr>
      <w:r>
        <w:rPr/>
        <w:t>（</w:t>
      </w:r>
      <w:r>
        <w:rPr>
          <w:rFonts w:ascii="宋体" w:hAnsi="宋体" w:cs="宋体" w:eastAsia="宋体" w:hint="default"/>
        </w:rPr>
        <w:t>5</w:t>
      </w:r>
      <w:r>
        <w:rPr/>
        <w:t>）归属于该无形资产开发阶段的支出能够可靠地计量。 不满足上述条件的开发阶段的支出，于发生时计入当期损益。以前期间已计入损益的开发支出不在以后期间重新确认</w:t>
      </w:r>
    </w:p>
    <w:p>
      <w:pPr>
        <w:pStyle w:val="BodyText"/>
        <w:spacing w:line="240" w:lineRule="auto" w:before="19"/>
        <w:ind w:right="0"/>
        <w:jc w:val="left"/>
      </w:pPr>
      <w:r>
        <w:rPr/>
        <w:t>为资产。已资本化的开发阶段的支出在资产负债表上列示为开发支出，自该项目达到预定用途之日起转为无形资产。</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22、长期资产减值" w:id="201"/>
      <w:bookmarkEnd w:id="201"/>
      <w:r>
        <w:rPr>
          <w:b w:val="0"/>
          <w:bCs w:val="0"/>
        </w:rPr>
      </w:r>
      <w:r>
        <w:rPr>
          <w:rFonts w:ascii="Times New Roman" w:hAnsi="Times New Roman" w:cs="Times New Roman" w:eastAsia="Times New Roman" w:hint="default"/>
        </w:rPr>
        <w:t>22</w:t>
      </w:r>
      <w:r>
        <w:rPr/>
        <w:t>、长期资产减值</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032" w:firstLine="420"/>
        <w:jc w:val="left"/>
      </w:pPr>
      <w:r>
        <w:rPr/>
        <w:t>本公司在资产负债表日判断长期资产是否存在可能发生减值的迹象。如果长期资产存在减值迹象的，以单项资产为基 础估计其可收回金额；难以对单项资产的可收回金额进行估计的，以该资产所属的资产组为基础确定资产组的可收回金额。</w:t>
      </w:r>
    </w:p>
    <w:p>
      <w:pPr>
        <w:pStyle w:val="BodyText"/>
        <w:spacing w:line="316" w:lineRule="auto" w:before="19"/>
        <w:ind w:left="574" w:right="1024"/>
        <w:jc w:val="left"/>
      </w:pPr>
      <w:r>
        <w:rPr>
          <w:spacing w:val="-1"/>
        </w:rPr>
        <w:t>资产可收回金额的估计，根据其公允价值减去处置费用后的净额与资产预计未来现金流量的现值两者之间较高者确定。</w:t>
      </w:r>
      <w:r>
        <w:rPr/>
        <w:t> 可收回金额的计量结果表明，长期资产的可收回金额低于其账面价值的，将长期资产的账面价值减记至可收回金额，</w:t>
      </w:r>
    </w:p>
    <w:p>
      <w:pPr>
        <w:pStyle w:val="BodyText"/>
        <w:spacing w:line="316" w:lineRule="auto" w:before="19"/>
        <w:ind w:right="1118"/>
        <w:jc w:val="left"/>
      </w:pPr>
      <w:r>
        <w:rPr>
          <w:spacing w:val="-2"/>
        </w:rPr>
        <w:t>减记的金额确认为资产减值损失，计入当期损益，同时计提相应的资产减值准备。资产减值损失一经确认，在以后会计期间</w:t>
      </w:r>
      <w:r>
        <w:rPr>
          <w:spacing w:val="-66"/>
        </w:rPr>
        <w:t> </w:t>
      </w:r>
      <w:r>
        <w:rPr>
          <w:spacing w:val="-66"/>
        </w:rPr>
      </w:r>
      <w:r>
        <w:rPr/>
        <w:t>不得转回。</w:t>
      </w:r>
    </w:p>
    <w:p>
      <w:pPr>
        <w:pStyle w:val="BodyText"/>
        <w:spacing w:line="316" w:lineRule="auto" w:before="19"/>
        <w:ind w:right="1152" w:firstLine="420"/>
        <w:jc w:val="left"/>
      </w:pPr>
      <w:r>
        <w:rPr/>
        <w:t>资产减值损失确认后，减值资产的折旧或者摊销费用在未来期间作相应调整，以使该资产在剩余使用寿命内，系统地 </w:t>
      </w:r>
      <w:r>
        <w:rPr>
          <w:spacing w:val="-5"/>
        </w:rPr>
        <w:t>分摊调整后的资产账面价值（扣除预计净残值）。</w:t>
      </w:r>
    </w:p>
    <w:p>
      <w:pPr>
        <w:pStyle w:val="BodyText"/>
        <w:spacing w:line="316" w:lineRule="auto" w:before="19"/>
        <w:ind w:left="574" w:right="1152"/>
        <w:jc w:val="left"/>
      </w:pPr>
      <w:r>
        <w:rPr/>
        <w:t>因企业合并所形成的商誉和使用寿命不确定的无形资产，无论是否存在减值迹象，每年都进行减值测试。 在对商誉进行减值测试时，将商誉的账面价值分摊至预期从企业合并的协同效应中受益的资产组或资产组组合。在对</w:t>
      </w:r>
    </w:p>
    <w:p>
      <w:pPr>
        <w:pStyle w:val="BodyText"/>
        <w:spacing w:line="316" w:lineRule="auto" w:before="19"/>
        <w:ind w:right="1131"/>
        <w:jc w:val="both"/>
      </w:pPr>
      <w:r>
        <w:rPr>
          <w:spacing w:val="-2"/>
        </w:rPr>
        <w:t>包含商誉的相关资产组或者资产组组合进行减值测试时，如与商誉相关的资产组或者资产组组合存在减值迹象的，先对不包</w:t>
      </w:r>
      <w:r>
        <w:rPr>
          <w:spacing w:val="-64"/>
        </w:rPr>
        <w:t> </w:t>
      </w:r>
      <w:r>
        <w:rPr>
          <w:spacing w:val="-64"/>
        </w:rPr>
      </w:r>
      <w:r>
        <w:rPr>
          <w:spacing w:val="-2"/>
        </w:rPr>
        <w:t>含商誉的资产组或者资产组组合进行减值测试，计算可收回金额，并与相关账面价值相比较，确认相应的减值损失。再对包</w:t>
      </w:r>
      <w:r>
        <w:rPr>
          <w:spacing w:val="-66"/>
        </w:rPr>
        <w:t> </w:t>
      </w:r>
      <w:r>
        <w:rPr>
          <w:spacing w:val="-66"/>
        </w:rPr>
      </w:r>
      <w:r>
        <w:rPr>
          <w:spacing w:val="-2"/>
        </w:rPr>
        <w:t>含商誉的资产组或者资产组组合进行减值测试，比较这些相关资产组或者资产组组合的账面价值（包括所分摊的商誉的账面</w:t>
      </w:r>
      <w:r>
        <w:rPr>
          <w:spacing w:val="-64"/>
        </w:rPr>
        <w:t> </w:t>
      </w:r>
      <w:r>
        <w:rPr>
          <w:spacing w:val="-64"/>
        </w:rPr>
      </w:r>
      <w:r>
        <w:rPr/>
        <w:t>价值部分）与其可收回金额，如相关资产组或者资产组组合的可收回金额低于其账面价值的，确认商誉的减值损失。</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23、长期待摊费用" w:id="202"/>
      <w:bookmarkEnd w:id="202"/>
      <w:r>
        <w:rPr>
          <w:b w:val="0"/>
          <w:bCs w:val="0"/>
        </w:rPr>
      </w:r>
      <w:r>
        <w:rPr>
          <w:rFonts w:ascii="Times New Roman" w:hAnsi="Times New Roman" w:cs="Times New Roman" w:eastAsia="Times New Roman" w:hint="default"/>
        </w:rPr>
        <w:t>23</w:t>
      </w:r>
      <w:r>
        <w:rPr/>
        <w:t>、长期待摊费用</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r>
        <w:rPr>
          <w:rFonts w:ascii="宋体" w:hAnsi="宋体" w:cs="宋体" w:eastAsia="宋体" w:hint="default"/>
        </w:rPr>
        <w:t>1.</w:t>
      </w:r>
      <w:r>
        <w:rPr/>
        <w:t>摊销方法</w:t>
      </w:r>
      <w:r>
        <w:rPr>
          <w:b w:val="0"/>
          <w:bCs w:val="0"/>
        </w:rPr>
      </w:r>
    </w:p>
    <w:p>
      <w:pPr>
        <w:pStyle w:val="Heading4"/>
        <w:spacing w:line="273" w:lineRule="auto"/>
        <w:ind w:right="1197" w:firstLine="420"/>
        <w:jc w:val="left"/>
      </w:pPr>
      <w:r>
        <w:rPr/>
        <w:t>长期待摊费用，是指本公司已经发生但应由本期和以后各期负担的分摊期限在</w:t>
      </w:r>
      <w:r>
        <w:rPr>
          <w:rFonts w:ascii="宋体" w:hAnsi="宋体" w:cs="宋体" w:eastAsia="宋体" w:hint="default"/>
        </w:rPr>
        <w:t>1</w:t>
      </w:r>
      <w:r>
        <w:rPr/>
        <w:t>年以上的各项费用。 长期待摊费用在受益期内按直线法分期摊销。</w:t>
      </w:r>
    </w:p>
    <w:p>
      <w:pPr>
        <w:pStyle w:val="Heading3"/>
        <w:spacing w:line="240" w:lineRule="auto" w:before="8"/>
        <w:ind w:right="0"/>
        <w:jc w:val="left"/>
        <w:rPr>
          <w:b w:val="0"/>
          <w:bCs w:val="0"/>
        </w:rPr>
      </w:pPr>
      <w:r>
        <w:rPr>
          <w:rFonts w:ascii="宋体" w:hAnsi="宋体" w:cs="宋体" w:eastAsia="宋体" w:hint="default"/>
        </w:rPr>
        <w:t>2.</w:t>
      </w:r>
      <w:r>
        <w:rPr/>
        <w:t>摊销年限</w:t>
      </w:r>
      <w:r>
        <w:rPr>
          <w:b w:val="0"/>
          <w:bCs w:val="0"/>
        </w:rPr>
      </w:r>
    </w:p>
    <w:p>
      <w:pPr>
        <w:spacing w:line="240" w:lineRule="auto" w:before="13"/>
        <w:rPr>
          <w:rFonts w:ascii="宋体" w:hAnsi="宋体" w:cs="宋体" w:eastAsia="宋体" w:hint="default"/>
          <w:b/>
          <w:bCs/>
          <w:sz w:val="3"/>
          <w:szCs w:val="3"/>
        </w:rPr>
      </w:pPr>
    </w:p>
    <w:tbl>
      <w:tblPr>
        <w:tblW w:w="0" w:type="auto"/>
        <w:jc w:val="left"/>
        <w:tblInd w:w="149" w:type="dxa"/>
        <w:tblLayout w:type="fixed"/>
        <w:tblCellMar>
          <w:top w:w="0" w:type="dxa"/>
          <w:left w:w="0" w:type="dxa"/>
          <w:bottom w:w="0" w:type="dxa"/>
          <w:right w:w="0" w:type="dxa"/>
        </w:tblCellMar>
        <w:tblLook w:val="01E0"/>
      </w:tblPr>
      <w:tblGrid>
        <w:gridCol w:w="2842"/>
        <w:gridCol w:w="2844"/>
        <w:gridCol w:w="2843"/>
      </w:tblGrid>
      <w:tr>
        <w:trPr>
          <w:trHeight w:val="342" w:hRule="exact"/>
        </w:trPr>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摊销年限</w:t>
            </w:r>
          </w:p>
        </w:tc>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342" w:hRule="exact"/>
        </w:trPr>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租入固定资产改良</w:t>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年</w:t>
            </w:r>
          </w:p>
        </w:tc>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预计使用年限</w:t>
            </w:r>
          </w:p>
        </w:tc>
      </w:tr>
      <w:tr>
        <w:trPr>
          <w:trHeight w:val="342" w:hRule="exact"/>
        </w:trPr>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用电增容费</w:t>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年</w:t>
            </w:r>
          </w:p>
        </w:tc>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预计使用年限</w:t>
            </w:r>
          </w:p>
        </w:tc>
      </w:tr>
    </w:tbl>
    <w:p>
      <w:pPr>
        <w:spacing w:after="0" w:line="240" w:lineRule="auto"/>
        <w:jc w:val="center"/>
        <w:rPr>
          <w:rFonts w:ascii="宋体" w:hAnsi="宋体" w:cs="宋体" w:eastAsia="宋体"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b/>
          <w:bCs/>
          <w:sz w:val="23"/>
          <w:szCs w:val="23"/>
        </w:rPr>
      </w:pPr>
    </w:p>
    <w:tbl>
      <w:tblPr>
        <w:tblW w:w="0" w:type="auto"/>
        <w:jc w:val="left"/>
        <w:tblInd w:w="149" w:type="dxa"/>
        <w:tblLayout w:type="fixed"/>
        <w:tblCellMar>
          <w:top w:w="0" w:type="dxa"/>
          <w:left w:w="0" w:type="dxa"/>
          <w:bottom w:w="0" w:type="dxa"/>
          <w:right w:w="0" w:type="dxa"/>
        </w:tblCellMar>
        <w:tblLook w:val="01E0"/>
      </w:tblPr>
      <w:tblGrid>
        <w:gridCol w:w="2842"/>
        <w:gridCol w:w="2844"/>
        <w:gridCol w:w="2843"/>
      </w:tblGrid>
      <w:tr>
        <w:trPr>
          <w:trHeight w:val="342" w:hRule="exact"/>
        </w:trPr>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生产用模具</w:t>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1.5</w:t>
            </w:r>
            <w:r>
              <w:rPr>
                <w:rFonts w:ascii="宋体" w:hAnsi="宋体" w:cs="宋体" w:eastAsia="宋体" w:hint="default"/>
                <w:sz w:val="18"/>
                <w:szCs w:val="18"/>
              </w:rPr>
              <w:t>年</w:t>
            </w:r>
          </w:p>
        </w:tc>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预计使用年限</w:t>
            </w:r>
          </w:p>
        </w:tc>
      </w:tr>
      <w:tr>
        <w:trPr>
          <w:trHeight w:val="342" w:hRule="exact"/>
        </w:trPr>
        <w:tc>
          <w:tcPr>
            <w:tcW w:w="2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生产用工、夹具</w:t>
            </w:r>
          </w:p>
        </w:tc>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年</w:t>
            </w:r>
          </w:p>
        </w:tc>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预计使用年限</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pStyle w:val="Heading3"/>
        <w:spacing w:line="240" w:lineRule="auto" w:before="35"/>
        <w:ind w:right="0"/>
        <w:jc w:val="left"/>
        <w:rPr>
          <w:b w:val="0"/>
          <w:bCs w:val="0"/>
        </w:rPr>
      </w:pPr>
      <w:bookmarkStart w:name="24、职工薪酬" w:id="203"/>
      <w:bookmarkEnd w:id="203"/>
      <w:r>
        <w:rPr>
          <w:b w:val="0"/>
          <w:bCs w:val="0"/>
        </w:rPr>
      </w:r>
      <w:r>
        <w:rPr>
          <w:rFonts w:ascii="Times New Roman" w:hAnsi="Times New Roman" w:cs="Times New Roman" w:eastAsia="Times New Roman" w:hint="default"/>
        </w:rPr>
        <w:t>24</w:t>
      </w:r>
      <w:r>
        <w:rPr/>
        <w:t>、职工薪酬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短期薪酬的会计处理方法" w:id="204"/>
      <w:bookmarkEnd w:id="204"/>
      <w:r>
        <w:rPr>
          <w:b w:val="0"/>
          <w:bCs w:val="0"/>
        </w:rPr>
      </w: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3" w:firstLine="420"/>
        <w:jc w:val="both"/>
      </w:pPr>
      <w:r>
        <w:rPr/>
        <w:t>短期薪酬是指本公司在职工提供相关服务的年度报告期间结束后十二个月内需要全部予以支付的职工薪酬，离职后福 </w:t>
      </w:r>
      <w:r>
        <w:rPr>
          <w:spacing w:val="-2"/>
        </w:rPr>
        <w:t>利和辞退福利除外。本公司在职工提供服务的会计期间，将应付的短期薪酬确认为负债，并根据职工提供服务的受益对象计</w:t>
      </w:r>
      <w:r>
        <w:rPr>
          <w:spacing w:val="-66"/>
        </w:rPr>
        <w:t> </w:t>
      </w:r>
      <w:r>
        <w:rPr>
          <w:spacing w:val="-66"/>
        </w:rPr>
      </w:r>
      <w:r>
        <w:rPr/>
        <w:t>入相关资产成本和费用。</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2）离职后福利的会计处理方法" w:id="205"/>
      <w:bookmarkEnd w:id="205"/>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8"/>
        <w:rPr>
          <w:rFonts w:ascii="宋体" w:hAnsi="宋体" w:cs="宋体" w:eastAsia="宋体" w:hint="default"/>
          <w:b/>
          <w:bCs/>
          <w:sz w:val="26"/>
          <w:szCs w:val="26"/>
        </w:rPr>
      </w:pPr>
    </w:p>
    <w:p>
      <w:pPr>
        <w:pStyle w:val="BodyText"/>
        <w:spacing w:line="316" w:lineRule="auto"/>
        <w:ind w:right="1042" w:firstLine="420"/>
        <w:jc w:val="both"/>
      </w:pPr>
      <w:r>
        <w:rPr>
          <w:spacing w:val="-1"/>
        </w:rPr>
        <w:t>离职后福利是指本公司为获得职工提供的服务而在职工退休或与企业解除劳动关系后，提供的各种形式的报酬和福利，</w:t>
      </w:r>
      <w:r>
        <w:rPr/>
        <w:t> 短期薪酬和辞退福利除外。</w:t>
      </w:r>
    </w:p>
    <w:p>
      <w:pPr>
        <w:pStyle w:val="BodyText"/>
        <w:spacing w:line="316" w:lineRule="auto" w:before="19"/>
        <w:ind w:left="574" w:right="1152"/>
        <w:jc w:val="left"/>
      </w:pPr>
      <w:r>
        <w:rPr/>
        <w:t>本公司的离职后福利计划分类为设定提存计划和设定受益计划。 离职后福利设定提存计划主要为参加由各地劳动及社会保障机构组织实施的社会基本养老保险、失业保险等；在职工</w:t>
      </w:r>
    </w:p>
    <w:p>
      <w:pPr>
        <w:pStyle w:val="BodyText"/>
        <w:spacing w:line="316" w:lineRule="auto" w:before="19"/>
        <w:ind w:left="574" w:right="1392" w:hanging="420"/>
        <w:jc w:val="left"/>
      </w:pPr>
      <w:r>
        <w:rPr/>
        <w:t>为本公司提供服务的会计期间，将根据设定提存计划计算的应缴存金额确认为负债，并计入当期损益或相关资产成本。 本公司按照国家规定的标准定期缴付上述款项后，不再有其他的支付义务。</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3）辞退福利的会计处理方法" w:id="206"/>
      <w:bookmarkEnd w:id="206"/>
      <w:r>
        <w:rPr>
          <w:b w:val="0"/>
          <w:bCs w:val="0"/>
        </w:rPr>
      </w: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1" w:firstLine="421"/>
        <w:jc w:val="both"/>
      </w:pPr>
      <w:r>
        <w:rPr/>
        <w:t>辞退福利是指本公司在职工劳动合同到期之前解除与职工的劳动关系，或者为鼓励职工自愿接受裁减而给予职工的补 </w:t>
      </w:r>
      <w:r>
        <w:rPr>
          <w:spacing w:val="-2"/>
        </w:rPr>
        <w:t>偿，在本公司不能单方面撤回解除劳动关系计划或裁减建议时和确认与涉及支付辞退福利的重组相关的成本费用时两者孰早</w:t>
      </w:r>
      <w:r>
        <w:rPr>
          <w:spacing w:val="-64"/>
        </w:rPr>
        <w:t> </w:t>
      </w:r>
      <w:r>
        <w:rPr>
          <w:spacing w:val="-64"/>
        </w:rPr>
      </w:r>
      <w:r>
        <w:rPr/>
        <w:t>日，确认因解除与职工的劳动关系给予补偿而产生的负债，同时计入当期损益。</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4）其他长期职工福利的会计处理方法" w:id="207"/>
      <w:bookmarkEnd w:id="207"/>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574" w:right="1152"/>
        <w:jc w:val="left"/>
      </w:pPr>
      <w:r>
        <w:rPr/>
        <w:t>其他长期职工福利是指除短期薪酬、离职后福利、辞退福利之外的其他所有职工福利。 对符合设定提存计划条件的其他长期职工福利，在职工为本公司提供服务的会计期间，将应缴存金额确认为负债，并</w:t>
      </w:r>
    </w:p>
    <w:p>
      <w:pPr>
        <w:pStyle w:val="BodyText"/>
        <w:spacing w:line="316" w:lineRule="auto" w:before="19"/>
        <w:ind w:right="0"/>
        <w:jc w:val="left"/>
      </w:pPr>
      <w:r>
        <w:rPr>
          <w:spacing w:val="-2"/>
        </w:rPr>
        <w:t>计入当期损益或相关资产成本；除上述情形外的其他长期职工福利，在资产负债表日使用预期累计福利单位法进行精算，将</w:t>
      </w:r>
      <w:r>
        <w:rPr>
          <w:spacing w:val="-66"/>
        </w:rPr>
        <w:t> </w:t>
      </w:r>
      <w:r>
        <w:rPr>
          <w:spacing w:val="-66"/>
        </w:rPr>
      </w:r>
      <w:r>
        <w:rPr/>
        <w:t>设定受益计划产生的福利义务归属于职工提供服务的期间，并计入当期损益或相关资产成本。</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5"/>
        <w:ind w:right="0"/>
        <w:jc w:val="left"/>
        <w:rPr>
          <w:b w:val="0"/>
          <w:bCs w:val="0"/>
        </w:rPr>
      </w:pPr>
      <w:bookmarkStart w:name="25、预计负债" w:id="208"/>
      <w:bookmarkEnd w:id="208"/>
      <w:r>
        <w:rPr>
          <w:b w:val="0"/>
          <w:bCs w:val="0"/>
        </w:rPr>
      </w:r>
      <w:r>
        <w:rPr>
          <w:rFonts w:ascii="Times New Roman" w:hAnsi="Times New Roman" w:cs="Times New Roman" w:eastAsia="Times New Roman" w:hint="default"/>
        </w:rPr>
        <w:t>25</w:t>
      </w:r>
      <w:r>
        <w:rPr/>
        <w:t>、预计负债</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left="574" w:right="4752" w:hanging="420"/>
        <w:jc w:val="left"/>
      </w:pPr>
      <w:r>
        <w:rPr>
          <w:rFonts w:ascii="宋体" w:hAnsi="宋体" w:cs="宋体" w:eastAsia="宋体" w:hint="default"/>
          <w:b/>
          <w:bCs/>
        </w:rPr>
        <w:t>1.</w:t>
      </w:r>
      <w:r>
        <w:rPr>
          <w:rFonts w:ascii="宋体" w:hAnsi="宋体" w:cs="宋体" w:eastAsia="宋体" w:hint="default"/>
          <w:b/>
          <w:bCs/>
        </w:rPr>
        <w:t>预计负债的确认标准</w:t>
      </w:r>
      <w:r>
        <w:rPr>
          <w:rFonts w:ascii="宋体" w:hAnsi="宋体" w:cs="宋体" w:eastAsia="宋体" w:hint="default"/>
          <w:b/>
          <w:bCs/>
          <w:w w:val="99"/>
        </w:rPr>
        <w:t> </w:t>
      </w:r>
      <w:r>
        <w:rPr/>
        <w:t>与或有事项相关的义务同时满足下列条件时，本公司确认为预计负债： 该义务是本公司承担的现时义务； 履行该义务很可能导致经济利益流出本公司； 该义务的金额能够可靠地计量。</w:t>
      </w:r>
    </w:p>
    <w:p>
      <w:pPr>
        <w:spacing w:line="316" w:lineRule="auto" w:before="17"/>
        <w:ind w:left="574" w:right="4212" w:hanging="420"/>
        <w:jc w:val="left"/>
        <w:rPr>
          <w:rFonts w:ascii="宋体" w:hAnsi="宋体" w:cs="宋体" w:eastAsia="宋体" w:hint="default"/>
          <w:sz w:val="18"/>
          <w:szCs w:val="18"/>
        </w:rPr>
      </w:pPr>
      <w:r>
        <w:rPr>
          <w:rFonts w:ascii="宋体" w:hAnsi="宋体" w:cs="宋体" w:eastAsia="宋体" w:hint="default"/>
          <w:b/>
          <w:bCs/>
          <w:sz w:val="18"/>
          <w:szCs w:val="18"/>
        </w:rPr>
        <w:t>2.</w:t>
      </w:r>
      <w:r>
        <w:rPr>
          <w:rFonts w:ascii="宋体" w:hAnsi="宋体" w:cs="宋体" w:eastAsia="宋体" w:hint="default"/>
          <w:b/>
          <w:bCs/>
          <w:sz w:val="18"/>
          <w:szCs w:val="18"/>
        </w:rPr>
        <w:t>预计负债的计量方法</w:t>
      </w:r>
      <w:r>
        <w:rPr>
          <w:rFonts w:ascii="宋体" w:hAnsi="宋体" w:cs="宋体" w:eastAsia="宋体" w:hint="default"/>
          <w:b/>
          <w:bCs/>
          <w:w w:val="99"/>
          <w:sz w:val="18"/>
          <w:szCs w:val="18"/>
        </w:rPr>
        <w:t> </w:t>
      </w:r>
      <w:r>
        <w:rPr>
          <w:rFonts w:ascii="宋体" w:hAnsi="宋体" w:cs="宋体" w:eastAsia="宋体" w:hint="default"/>
          <w:sz w:val="18"/>
          <w:szCs w:val="18"/>
        </w:rPr>
        <w:t>本公司预计负债按履行相关现时义务所需的支出的最佳估计数进行初始计量。</w:t>
      </w:r>
    </w:p>
    <w:p>
      <w:pPr>
        <w:pStyle w:val="BodyText"/>
        <w:spacing w:line="240" w:lineRule="auto" w:before="19"/>
        <w:ind w:left="574" w:right="0"/>
        <w:jc w:val="left"/>
      </w:pPr>
      <w:r>
        <w:rPr/>
        <w:t>本公司在确定最佳估计数时，综合考虑与或有事项有关的风险、不确定性和货币时间价值等因素。对于货币时间价值</w:t>
      </w:r>
    </w:p>
    <w:p>
      <w:pPr>
        <w:spacing w:after="0" w:line="240" w:lineRule="auto"/>
        <w:jc w:val="left"/>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316" w:lineRule="auto" w:before="44"/>
        <w:ind w:left="574" w:right="5352" w:hanging="420"/>
        <w:jc w:val="left"/>
      </w:pPr>
      <w:r>
        <w:rPr/>
        <w:t>影响重大的，通过对相关未来现金流出进行折现后确定最佳估计数。 最佳估计数分别以下情况处理：</w:t>
      </w:r>
    </w:p>
    <w:p>
      <w:pPr>
        <w:pStyle w:val="BodyText"/>
        <w:spacing w:line="316" w:lineRule="auto" w:before="19"/>
        <w:ind w:right="1131" w:firstLine="420"/>
        <w:jc w:val="both"/>
      </w:pPr>
      <w:r>
        <w:rPr>
          <w:spacing w:val="-3"/>
        </w:rPr>
        <w:t>所需支出存在一个连续范围（或区间），且该范围内各种结果发生的可能性相同的，则最佳估计数按照该范围的中间值</w:t>
      </w:r>
      <w:r>
        <w:rPr/>
        <w:t> 即上下限金额的平均数确定。</w:t>
      </w:r>
    </w:p>
    <w:p>
      <w:pPr>
        <w:pStyle w:val="BodyText"/>
        <w:spacing w:line="316" w:lineRule="auto" w:before="19"/>
        <w:ind w:right="1131" w:firstLine="420"/>
        <w:jc w:val="both"/>
      </w:pPr>
      <w:r>
        <w:rPr>
          <w:spacing w:val="-3"/>
        </w:rPr>
        <w:t>所需支出不存在一个连续范围（或区间），或虽然存在一个连续范围但该范围内各种结果发生的可能性不相同的，如或</w:t>
      </w:r>
      <w:r>
        <w:rPr/>
        <w:t> </w:t>
      </w:r>
      <w:r>
        <w:rPr>
          <w:spacing w:val="-2"/>
        </w:rPr>
        <w:t>有事项涉及单个项目的，则最佳估计数按照最可能发生金额确定；如或有事项涉及多个项目的，则最佳估计数按各种可能结</w:t>
      </w:r>
      <w:r>
        <w:rPr>
          <w:spacing w:val="-66"/>
        </w:rPr>
        <w:t> </w:t>
      </w:r>
      <w:r>
        <w:rPr>
          <w:spacing w:val="-66"/>
        </w:rPr>
      </w:r>
      <w:r>
        <w:rPr/>
        <w:t>果及相关概率计算确定。</w:t>
      </w:r>
    </w:p>
    <w:p>
      <w:pPr>
        <w:pStyle w:val="BodyText"/>
        <w:spacing w:line="316" w:lineRule="auto" w:before="19"/>
        <w:ind w:right="1043" w:firstLine="420"/>
        <w:jc w:val="both"/>
      </w:pPr>
      <w:r>
        <w:rPr>
          <w:spacing w:val="-2"/>
        </w:rPr>
        <w:t>本公司清偿预计负债所需支出全部或部分预期由第三方补偿的，补偿金额在基本确定能够收到时，作为资产单独确认，</w:t>
      </w:r>
      <w:r>
        <w:rPr/>
        <w:t> 确认的补偿金额不超过预计负债的账面价值。</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26、股份支付" w:id="209"/>
      <w:bookmarkEnd w:id="209"/>
      <w:r>
        <w:rPr>
          <w:b w:val="0"/>
          <w:bCs w:val="0"/>
        </w:rPr>
      </w:r>
      <w:r>
        <w:rPr>
          <w:rFonts w:ascii="Times New Roman" w:hAnsi="Times New Roman" w:cs="Times New Roman" w:eastAsia="Times New Roman" w:hint="default"/>
        </w:rPr>
        <w:t>26</w:t>
      </w:r>
      <w:r>
        <w:rPr/>
        <w:t>、股份支付</w:t>
      </w:r>
      <w:r>
        <w:rPr>
          <w:b w:val="0"/>
          <w:bCs w:val="0"/>
        </w:rPr>
      </w:r>
    </w:p>
    <w:p>
      <w:pPr>
        <w:spacing w:line="240" w:lineRule="auto" w:before="7"/>
        <w:rPr>
          <w:rFonts w:ascii="宋体" w:hAnsi="宋体" w:cs="宋体" w:eastAsia="宋体" w:hint="default"/>
          <w:b/>
          <w:bCs/>
          <w:sz w:val="26"/>
          <w:szCs w:val="26"/>
        </w:rPr>
      </w:pPr>
    </w:p>
    <w:p>
      <w:pPr>
        <w:spacing w:line="316" w:lineRule="auto" w:before="0"/>
        <w:ind w:left="574" w:right="4572" w:hanging="420"/>
        <w:jc w:val="left"/>
        <w:rPr>
          <w:rFonts w:ascii="宋体" w:hAnsi="宋体" w:cs="宋体" w:eastAsia="宋体" w:hint="default"/>
          <w:sz w:val="18"/>
          <w:szCs w:val="18"/>
        </w:rPr>
      </w:pPr>
      <w:r>
        <w:rPr>
          <w:rFonts w:ascii="宋体" w:hAnsi="宋体" w:cs="宋体" w:eastAsia="宋体" w:hint="default"/>
          <w:b/>
          <w:bCs/>
          <w:sz w:val="18"/>
          <w:szCs w:val="18"/>
        </w:rPr>
        <w:t>1.</w:t>
      </w:r>
      <w:r>
        <w:rPr>
          <w:rFonts w:ascii="宋体" w:hAnsi="宋体" w:cs="宋体" w:eastAsia="宋体" w:hint="default"/>
          <w:b/>
          <w:bCs/>
          <w:sz w:val="18"/>
          <w:szCs w:val="18"/>
        </w:rPr>
        <w:t>股份支付的种类</w:t>
      </w:r>
      <w:r>
        <w:rPr>
          <w:rFonts w:ascii="宋体" w:hAnsi="宋体" w:cs="宋体" w:eastAsia="宋体" w:hint="default"/>
          <w:b/>
          <w:bCs/>
          <w:w w:val="99"/>
          <w:sz w:val="18"/>
          <w:szCs w:val="18"/>
        </w:rPr>
        <w:t> </w:t>
      </w:r>
      <w:r>
        <w:rPr>
          <w:rFonts w:ascii="宋体" w:hAnsi="宋体" w:cs="宋体" w:eastAsia="宋体" w:hint="default"/>
          <w:sz w:val="18"/>
          <w:szCs w:val="18"/>
        </w:rPr>
        <w:t>本公司的股份支付分为以权益结算的股份支付和以现金结算的股份支付。</w:t>
      </w:r>
    </w:p>
    <w:p>
      <w:pPr>
        <w:spacing w:line="316" w:lineRule="auto" w:before="19"/>
        <w:ind w:left="574" w:right="1152" w:hanging="420"/>
        <w:jc w:val="left"/>
        <w:rPr>
          <w:rFonts w:ascii="宋体" w:hAnsi="宋体" w:cs="宋体" w:eastAsia="宋体" w:hint="default"/>
          <w:sz w:val="18"/>
          <w:szCs w:val="18"/>
        </w:rPr>
      </w:pPr>
      <w:r>
        <w:rPr>
          <w:rFonts w:ascii="宋体" w:hAnsi="宋体" w:cs="宋体" w:eastAsia="宋体" w:hint="default"/>
          <w:b/>
          <w:bCs/>
          <w:sz w:val="18"/>
          <w:szCs w:val="18"/>
        </w:rPr>
        <w:t>2.</w:t>
      </w:r>
      <w:r>
        <w:rPr>
          <w:rFonts w:ascii="宋体" w:hAnsi="宋体" w:cs="宋体" w:eastAsia="宋体" w:hint="default"/>
          <w:b/>
          <w:bCs/>
          <w:sz w:val="18"/>
          <w:szCs w:val="18"/>
        </w:rPr>
        <w:t>权益工具公允价值的确定方法</w:t>
      </w:r>
      <w:r>
        <w:rPr>
          <w:rFonts w:ascii="宋体" w:hAnsi="宋体" w:cs="宋体" w:eastAsia="宋体" w:hint="default"/>
          <w:b/>
          <w:bCs/>
          <w:w w:val="99"/>
          <w:sz w:val="18"/>
          <w:szCs w:val="18"/>
        </w:rPr>
        <w:t> </w:t>
      </w:r>
      <w:r>
        <w:rPr>
          <w:rFonts w:ascii="宋体" w:hAnsi="宋体" w:cs="宋体" w:eastAsia="宋体" w:hint="default"/>
          <w:sz w:val="18"/>
          <w:szCs w:val="18"/>
        </w:rPr>
        <w:t>对于授予的存在活跃市场的期权等权益工具，按照活跃市场中的报价确定其公允价值。对于授予的不存在活跃市场的</w:t>
      </w:r>
    </w:p>
    <w:p>
      <w:pPr>
        <w:pStyle w:val="BodyText"/>
        <w:spacing w:line="316" w:lineRule="auto" w:before="19"/>
        <w:ind w:right="1130"/>
        <w:jc w:val="left"/>
      </w:pPr>
      <w:r>
        <w:rPr/>
        <w:t>期权等权益工具</w:t>
      </w:r>
      <w:r>
        <w:rPr>
          <w:spacing w:val="-14"/>
        </w:rPr>
        <w:t>，</w:t>
      </w:r>
      <w:r>
        <w:rPr/>
        <w:t>采用期权定价模型等确定其公允价值</w:t>
      </w:r>
      <w:r>
        <w:rPr>
          <w:spacing w:val="-14"/>
        </w:rPr>
        <w:t>，</w:t>
      </w:r>
      <w:r>
        <w:rPr/>
        <w:t>选用的期权定价模型考虑以下因素</w:t>
      </w:r>
      <w:r>
        <w:rPr>
          <w:spacing w:val="-104"/>
        </w:rPr>
        <w:t>：</w:t>
      </w:r>
      <w:r>
        <w:rPr>
          <w:spacing w:val="1"/>
        </w:rPr>
        <w:t>（</w:t>
      </w:r>
      <w:r>
        <w:rPr>
          <w:rFonts w:ascii="宋体" w:hAnsi="宋体" w:cs="宋体" w:eastAsia="宋体" w:hint="default"/>
        </w:rPr>
        <w:t>1</w:t>
      </w:r>
      <w:r>
        <w:rPr>
          <w:spacing w:val="-14"/>
        </w:rPr>
        <w:t>）</w:t>
      </w:r>
      <w:r>
        <w:rPr/>
        <w:t>期权的行权价格</w:t>
      </w:r>
      <w:r>
        <w:rPr>
          <w:spacing w:val="-104"/>
        </w:rPr>
        <w:t>；</w:t>
      </w:r>
      <w:r>
        <w:rPr>
          <w:spacing w:val="-1"/>
        </w:rPr>
        <w:t>（</w:t>
      </w:r>
      <w:r>
        <w:rPr>
          <w:rFonts w:ascii="宋体" w:hAnsi="宋体" w:cs="宋体" w:eastAsia="宋体" w:hint="default"/>
        </w:rPr>
        <w:t>2</w:t>
      </w:r>
      <w:r>
        <w:rPr>
          <w:spacing w:val="-14"/>
        </w:rPr>
        <w:t>）期 </w:t>
      </w:r>
      <w:r>
        <w:rPr/>
        <w:t>权的有效期</w:t>
      </w:r>
      <w:r>
        <w:rPr>
          <w:spacing w:val="-90"/>
        </w:rPr>
        <w:t>；</w:t>
      </w:r>
      <w:r>
        <w:rPr/>
        <w:t>（</w:t>
      </w:r>
      <w:r>
        <w:rPr>
          <w:rFonts w:ascii="宋体" w:hAnsi="宋体" w:cs="宋体" w:eastAsia="宋体" w:hint="default"/>
        </w:rPr>
        <w:t>3</w:t>
      </w:r>
      <w:r>
        <w:rPr/>
        <w:t>）标的股份的现行价格</w:t>
      </w:r>
      <w:r>
        <w:rPr>
          <w:spacing w:val="-90"/>
        </w:rPr>
        <w:t>；</w:t>
      </w:r>
      <w:r>
        <w:rPr/>
        <w:t>（</w:t>
      </w:r>
      <w:r>
        <w:rPr>
          <w:rFonts w:ascii="宋体" w:hAnsi="宋体" w:cs="宋体" w:eastAsia="宋体" w:hint="default"/>
        </w:rPr>
        <w:t>4</w:t>
      </w:r>
      <w:r>
        <w:rPr/>
        <w:t>）股价预计波动率</w:t>
      </w:r>
      <w:r>
        <w:rPr>
          <w:spacing w:val="-90"/>
        </w:rPr>
        <w:t>；</w:t>
      </w:r>
      <w:r>
        <w:rPr/>
        <w:t>（</w:t>
      </w:r>
      <w:r>
        <w:rPr>
          <w:rFonts w:ascii="宋体" w:hAnsi="宋体" w:cs="宋体" w:eastAsia="宋体" w:hint="default"/>
        </w:rPr>
        <w:t>5</w:t>
      </w:r>
      <w:r>
        <w:rPr/>
        <w:t>）股份的预计股利</w:t>
      </w:r>
      <w:r>
        <w:rPr>
          <w:spacing w:val="-90"/>
        </w:rPr>
        <w:t>；</w:t>
      </w:r>
      <w:r>
        <w:rPr/>
        <w:t>（</w:t>
      </w:r>
      <w:r>
        <w:rPr>
          <w:rFonts w:ascii="宋体" w:hAnsi="宋体" w:cs="宋体" w:eastAsia="宋体" w:hint="default"/>
        </w:rPr>
        <w:t>6</w:t>
      </w:r>
      <w:r>
        <w:rPr/>
        <w:t>）期权有效期内的无风险利率。</w:t>
      </w:r>
    </w:p>
    <w:p>
      <w:pPr>
        <w:pStyle w:val="BodyText"/>
        <w:spacing w:line="316" w:lineRule="auto" w:before="19"/>
        <w:ind w:right="1139" w:firstLine="420"/>
        <w:jc w:val="both"/>
      </w:pPr>
      <w:r>
        <w:rPr/>
        <w:t>在确定权益工具授予日的公允价值时，考虑股份支付协议规定的可行权条件中的市场条件和非可行权条件的影响。股 </w:t>
      </w:r>
      <w:r>
        <w:rPr>
          <w:spacing w:val="-2"/>
        </w:rPr>
        <w:t>份支付存在非可行权条件的，只要职工或其他方满足了所有可行权条件中的非市场条件（如服务期限等），即确认已得到服</w:t>
      </w:r>
      <w:r>
        <w:rPr>
          <w:spacing w:val="-71"/>
        </w:rPr>
        <w:t> </w:t>
      </w:r>
      <w:r>
        <w:rPr>
          <w:spacing w:val="-71"/>
        </w:rPr>
      </w:r>
      <w:r>
        <w:rPr/>
        <w:t>务相对应的成本费用。</w:t>
      </w:r>
    </w:p>
    <w:p>
      <w:pPr>
        <w:spacing w:line="319" w:lineRule="auto" w:before="19"/>
        <w:ind w:left="574" w:right="1152" w:hanging="420"/>
        <w:jc w:val="left"/>
        <w:rPr>
          <w:rFonts w:ascii="宋体" w:hAnsi="宋体" w:cs="宋体" w:eastAsia="宋体" w:hint="default"/>
          <w:sz w:val="18"/>
          <w:szCs w:val="18"/>
        </w:rPr>
      </w:pPr>
      <w:r>
        <w:rPr>
          <w:rFonts w:ascii="宋体" w:hAnsi="宋体" w:cs="宋体" w:eastAsia="宋体" w:hint="default"/>
          <w:b/>
          <w:bCs/>
          <w:sz w:val="18"/>
          <w:szCs w:val="18"/>
        </w:rPr>
        <w:t>3.</w:t>
      </w:r>
      <w:r>
        <w:rPr>
          <w:rFonts w:ascii="宋体" w:hAnsi="宋体" w:cs="宋体" w:eastAsia="宋体" w:hint="default"/>
          <w:b/>
          <w:bCs/>
          <w:sz w:val="18"/>
          <w:szCs w:val="18"/>
        </w:rPr>
        <w:t>确定可行权权益工具最佳估计的依据</w:t>
      </w:r>
      <w:r>
        <w:rPr>
          <w:rFonts w:ascii="宋体" w:hAnsi="宋体" w:cs="宋体" w:eastAsia="宋体" w:hint="default"/>
          <w:b/>
          <w:bCs/>
          <w:w w:val="99"/>
          <w:sz w:val="18"/>
          <w:szCs w:val="18"/>
        </w:rPr>
        <w:t> </w:t>
      </w:r>
      <w:r>
        <w:rPr>
          <w:rFonts w:ascii="宋体" w:hAnsi="宋体" w:cs="宋体" w:eastAsia="宋体" w:hint="default"/>
          <w:sz w:val="18"/>
          <w:szCs w:val="18"/>
        </w:rPr>
        <w:t>等待期内每个资产负债表日，根据最新取得的可行权职工人数变动等后续信息作出最佳估计，修正预计可行权的权益</w:t>
      </w:r>
    </w:p>
    <w:p>
      <w:pPr>
        <w:pStyle w:val="BodyText"/>
        <w:spacing w:line="316" w:lineRule="auto" w:before="17"/>
        <w:ind w:right="4272"/>
        <w:jc w:val="left"/>
        <w:rPr>
          <w:rFonts w:ascii="宋体" w:hAnsi="宋体" w:cs="宋体" w:eastAsia="宋体" w:hint="default"/>
        </w:rPr>
      </w:pPr>
      <w:r>
        <w:rPr/>
        <w:t>工具数量。在可行权日，最终预计可行权权益工具的数量与实际可行权数量一致。 </w:t>
      </w:r>
      <w:r>
        <w:rPr>
          <w:rFonts w:ascii="宋体" w:hAnsi="宋体" w:cs="宋体" w:eastAsia="宋体" w:hint="default"/>
          <w:b/>
          <w:bCs/>
        </w:rPr>
        <w:t>4.</w:t>
      </w:r>
      <w:r>
        <w:rPr>
          <w:rFonts w:ascii="宋体" w:hAnsi="宋体" w:cs="宋体" w:eastAsia="宋体" w:hint="default"/>
          <w:b/>
          <w:bCs/>
        </w:rPr>
        <w:t>会计处理方法</w:t>
      </w:r>
      <w:r>
        <w:rPr>
          <w:rFonts w:ascii="宋体" w:hAnsi="宋体" w:cs="宋体" w:eastAsia="宋体" w:hint="default"/>
        </w:rPr>
      </w:r>
    </w:p>
    <w:p>
      <w:pPr>
        <w:pStyle w:val="BodyText"/>
        <w:spacing w:line="316" w:lineRule="auto" w:before="19"/>
        <w:ind w:right="1132" w:firstLine="420"/>
        <w:jc w:val="both"/>
      </w:pPr>
      <w:r>
        <w:rPr/>
        <w:t>以权益结算的股份支付，按授予职工权益工具的公允价值计量。授予后立即可行权的，在授予日按照权益工具的公允 </w:t>
      </w:r>
      <w:r>
        <w:rPr>
          <w:spacing w:val="-2"/>
        </w:rPr>
        <w:t>价值计入相关成本或费用，相应增加资本公积。在完成等待期内的服务或达到规定业绩条件才可行权的，在等待期内的每个</w:t>
      </w:r>
      <w:r>
        <w:rPr>
          <w:spacing w:val="-66"/>
        </w:rPr>
        <w:t> </w:t>
      </w:r>
      <w:r>
        <w:rPr>
          <w:spacing w:val="-66"/>
        </w:rPr>
      </w:r>
      <w:r>
        <w:rPr>
          <w:spacing w:val="-2"/>
        </w:rPr>
        <w:t>资产负债表日，以对可行权权益工具数量的最佳估计为基础，按照权益工具授予日的公允价值，将当期取得的服务计入相关</w:t>
      </w:r>
      <w:r>
        <w:rPr>
          <w:spacing w:val="-66"/>
        </w:rPr>
        <w:t> </w:t>
      </w:r>
      <w:r>
        <w:rPr>
          <w:spacing w:val="-66"/>
        </w:rPr>
      </w:r>
      <w:r>
        <w:rPr/>
        <w:t>成本或费用和资本公积。在可行权日之后不再对已确认的相关成本或费用和所有者权益总额进行调整。</w:t>
      </w:r>
    </w:p>
    <w:p>
      <w:pPr>
        <w:pStyle w:val="BodyText"/>
        <w:spacing w:line="316" w:lineRule="auto" w:before="19"/>
        <w:ind w:right="1032" w:firstLine="420"/>
        <w:jc w:val="left"/>
      </w:pPr>
      <w:r>
        <w:rPr/>
        <w:t>以现金结算的股份支付，按照本公司承担的以股份或其他权益工具为基础计算确定的负债的公允价值计量。授予后立 </w:t>
      </w:r>
      <w:r>
        <w:rPr>
          <w:spacing w:val="-2"/>
        </w:rPr>
        <w:t>即可行权的，在授予日以本公司承担负债的公允价值计入相关成本或费用，相应增加负债。在完成等待期内的服务或达到规</w:t>
      </w:r>
      <w:r>
        <w:rPr>
          <w:spacing w:val="-66"/>
        </w:rPr>
        <w:t> </w:t>
      </w:r>
      <w:r>
        <w:rPr>
          <w:spacing w:val="-66"/>
        </w:rPr>
      </w:r>
      <w:r>
        <w:rPr/>
        <w:t>定业绩条件以后才可行权的以现金结算的股份支付，在等待期内的每个资产负债表日，以对可行权情况的最佳估计为基础， </w:t>
      </w:r>
      <w:r>
        <w:rPr>
          <w:spacing w:val="-2"/>
        </w:rPr>
        <w:t>按照本公司承担负债的公允价值金额，将当期取得的服务计入成本或费用和相应的负债。在相关负债结算前的每个资产负债</w:t>
      </w:r>
      <w:r>
        <w:rPr>
          <w:spacing w:val="-64"/>
        </w:rPr>
        <w:t> </w:t>
      </w:r>
      <w:r>
        <w:rPr>
          <w:spacing w:val="-64"/>
        </w:rPr>
      </w:r>
      <w:r>
        <w:rPr/>
        <w:t>表日以及结算日，对负债的公允价值重新计量，其变动计入当期损益。</w:t>
      </w:r>
    </w:p>
    <w:p>
      <w:pPr>
        <w:pStyle w:val="BodyText"/>
        <w:spacing w:line="316" w:lineRule="auto" w:before="19"/>
        <w:ind w:right="1132" w:firstLine="360"/>
        <w:jc w:val="both"/>
      </w:pPr>
      <w:r>
        <w:rPr>
          <w:spacing w:val="-2"/>
        </w:rPr>
        <w:t>若在等待期内取消了授予的权益工具，本公司对取消所授予的权益性工具作为加速行权处理，将剩余等待期内应确认的</w:t>
      </w:r>
      <w:r>
        <w:rPr/>
        <w:t> </w:t>
      </w:r>
      <w:r>
        <w:rPr>
          <w:spacing w:val="-2"/>
        </w:rPr>
        <w:t>金额立即计入当期损益，同时确认资本公积。职工或其他方能够选择满足非可行权条件但在等待期内未满足的，本公司将其</w:t>
      </w:r>
      <w:r>
        <w:rPr>
          <w:spacing w:val="-66"/>
        </w:rPr>
        <w:t> </w:t>
      </w:r>
      <w:r>
        <w:rPr>
          <w:spacing w:val="-66"/>
        </w:rPr>
      </w:r>
      <w:r>
        <w:rPr/>
        <w:t>作为授予权益工具的取消处理。</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27、优先股、永续债等其他金融工具" w:id="210"/>
      <w:bookmarkEnd w:id="210"/>
      <w:r>
        <w:rPr>
          <w:b w:val="0"/>
          <w:bCs w:val="0"/>
        </w:rPr>
      </w:r>
      <w:r>
        <w:rPr>
          <w:rFonts w:ascii="Times New Roman" w:hAnsi="Times New Roman" w:cs="Times New Roman" w:eastAsia="Times New Roman" w:hint="default"/>
        </w:rPr>
        <w:t>27</w:t>
      </w:r>
      <w:r>
        <w:rPr/>
        <w:t>、优先股、永续债等其他金融工具</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28、收入" w:id="211"/>
      <w:bookmarkEnd w:id="211"/>
      <w:r>
        <w:rPr>
          <w:b w:val="0"/>
          <w:bCs w:val="0"/>
        </w:rPr>
      </w:r>
      <w:r>
        <w:rPr>
          <w:rFonts w:ascii="Times New Roman" w:hAnsi="Times New Roman" w:cs="Times New Roman" w:eastAsia="Times New Roman" w:hint="default"/>
        </w:rPr>
        <w:t>28</w:t>
      </w:r>
      <w:r>
        <w:rPr/>
        <w:t>、收入</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公司是否需要遵守特殊行业的披露要求</w:t>
      </w:r>
    </w:p>
    <w:p>
      <w:pPr>
        <w:spacing w:after="0" w:line="240" w:lineRule="auto"/>
        <w:jc w:val="left"/>
        <w:sectPr>
          <w:pgSz w:w="11910" w:h="16840"/>
          <w:pgMar w:header="917" w:footer="1019" w:top="1120" w:bottom="1200" w:left="980" w:right="0"/>
        </w:sectPr>
      </w:pPr>
    </w:p>
    <w:p>
      <w:pPr>
        <w:spacing w:line="240" w:lineRule="auto" w:before="10"/>
        <w:rPr>
          <w:rFonts w:ascii="宋体" w:hAnsi="宋体" w:cs="宋体" w:eastAsia="宋体" w:hint="default"/>
          <w:sz w:val="20"/>
          <w:szCs w:val="20"/>
        </w:rPr>
      </w:pPr>
    </w:p>
    <w:p>
      <w:pPr>
        <w:pStyle w:val="Heading5"/>
        <w:spacing w:line="357" w:lineRule="auto" w:before="44"/>
        <w:ind w:left="154" w:right="7499"/>
        <w:jc w:val="left"/>
        <w:rPr>
          <w:b w:val="0"/>
          <w:bCs w:val="0"/>
        </w:rPr>
      </w:pPr>
      <w:r>
        <w:rPr>
          <w:rFonts w:ascii="宋体" w:hAnsi="宋体" w:cs="宋体" w:eastAsia="宋体" w:hint="default"/>
          <w:b w:val="0"/>
          <w:bCs w:val="0"/>
        </w:rPr>
        <w:t>否 </w:t>
      </w:r>
      <w:r>
        <w:rPr>
          <w:rFonts w:ascii="宋体" w:hAnsi="宋体" w:cs="宋体" w:eastAsia="宋体" w:hint="default"/>
        </w:rPr>
        <w:t>1.</w:t>
      </w:r>
      <w:r>
        <w:rPr/>
        <w:t>销售商品收入确认时间的具体判断标准</w:t>
      </w:r>
      <w:r>
        <w:rPr>
          <w:b w:val="0"/>
          <w:bCs w:val="0"/>
        </w:rPr>
      </w:r>
    </w:p>
    <w:p>
      <w:pPr>
        <w:pStyle w:val="BodyText"/>
        <w:spacing w:line="224" w:lineRule="exact"/>
        <w:ind w:right="0" w:firstLine="420"/>
        <w:jc w:val="left"/>
      </w:pPr>
      <w:r>
        <w:rPr/>
        <w:t>公司已将商品所有权上的主要风险和报酬转移给购买方；公司既没有保留与所有权相联系的继续管理权，也没有对已</w:t>
      </w:r>
    </w:p>
    <w:p>
      <w:pPr>
        <w:pStyle w:val="BodyText"/>
        <w:spacing w:line="319" w:lineRule="auto" w:before="76"/>
        <w:ind w:right="0"/>
        <w:jc w:val="left"/>
      </w:pPr>
      <w:r>
        <w:rPr>
          <w:spacing w:val="-2"/>
        </w:rPr>
        <w:t>售出的商品实施有效控制；收入的金额能够可靠地计量；相关的经济利益很可能流入企业；相关的已发生或将发生的成本能</w:t>
      </w:r>
      <w:r>
        <w:rPr>
          <w:spacing w:val="-66"/>
        </w:rPr>
        <w:t> </w:t>
      </w:r>
      <w:r>
        <w:rPr>
          <w:spacing w:val="-66"/>
        </w:rPr>
      </w:r>
      <w:r>
        <w:rPr/>
        <w:t>够可靠地计量时，确认商品销售收入实现。</w:t>
      </w:r>
    </w:p>
    <w:p>
      <w:pPr>
        <w:pStyle w:val="BodyText"/>
        <w:spacing w:line="316" w:lineRule="auto" w:before="17"/>
        <w:ind w:right="1152" w:firstLine="420"/>
        <w:jc w:val="left"/>
      </w:pPr>
      <w:r>
        <w:rPr/>
        <w:t>本公司确认商品销售收入的具体方式：本公司国内销售业务以商品发出，客户验收合格时作为收入确认时点；国外销 售业务以商品发出，完成报关时作为收入确认时点。</w:t>
      </w:r>
    </w:p>
    <w:p>
      <w:pPr>
        <w:spacing w:line="316" w:lineRule="auto" w:before="19"/>
        <w:ind w:left="574" w:right="0" w:hanging="420"/>
        <w:jc w:val="left"/>
        <w:rPr>
          <w:rFonts w:ascii="宋体" w:hAnsi="宋体" w:cs="宋体" w:eastAsia="宋体" w:hint="default"/>
          <w:sz w:val="18"/>
          <w:szCs w:val="18"/>
        </w:rPr>
      </w:pPr>
      <w:r>
        <w:rPr>
          <w:rFonts w:ascii="宋体" w:hAnsi="宋体" w:cs="宋体" w:eastAsia="宋体" w:hint="default"/>
          <w:b/>
          <w:bCs/>
          <w:sz w:val="18"/>
          <w:szCs w:val="18"/>
        </w:rPr>
        <w:t>2.</w:t>
      </w:r>
      <w:r>
        <w:rPr>
          <w:rFonts w:ascii="宋体" w:hAnsi="宋体" w:cs="宋体" w:eastAsia="宋体" w:hint="default"/>
          <w:b/>
          <w:bCs/>
          <w:sz w:val="18"/>
          <w:szCs w:val="18"/>
        </w:rPr>
        <w:t>确认让渡资产使用权收入的依据</w:t>
      </w:r>
      <w:r>
        <w:rPr>
          <w:rFonts w:ascii="宋体" w:hAnsi="宋体" w:cs="宋体" w:eastAsia="宋体" w:hint="default"/>
          <w:b/>
          <w:bCs/>
          <w:w w:val="99"/>
          <w:sz w:val="18"/>
          <w:szCs w:val="18"/>
        </w:rPr>
        <w:t> </w:t>
      </w:r>
      <w:r>
        <w:rPr>
          <w:rFonts w:ascii="宋体" w:hAnsi="宋体" w:cs="宋体" w:eastAsia="宋体" w:hint="default"/>
          <w:spacing w:val="-2"/>
          <w:sz w:val="18"/>
          <w:szCs w:val="18"/>
        </w:rPr>
        <w:t>与交易相关的经济利益很可能流入企业，收入的金额能够可靠地计量时，分别下列情况确定让渡资产使用权收入金额：</w:t>
      </w:r>
    </w:p>
    <w:p>
      <w:pPr>
        <w:pStyle w:val="BodyText"/>
        <w:spacing w:line="240" w:lineRule="auto" w:before="19"/>
        <w:ind w:left="574" w:right="0"/>
        <w:jc w:val="left"/>
      </w:pPr>
      <w:r>
        <w:rPr/>
        <w:t>（</w:t>
      </w:r>
      <w:r>
        <w:rPr>
          <w:rFonts w:ascii="宋体" w:hAnsi="宋体" w:cs="宋体" w:eastAsia="宋体" w:hint="default"/>
        </w:rPr>
        <w:t>1</w:t>
      </w:r>
      <w:r>
        <w:rPr/>
        <w:t>）利息收入金额，按照他人使用本企业货币资金的时间和实际利率计算确定。</w:t>
      </w:r>
    </w:p>
    <w:p>
      <w:pPr>
        <w:spacing w:line="316" w:lineRule="auto" w:before="76"/>
        <w:ind w:left="154" w:right="4122" w:firstLine="42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）使用费收入金额，按照有关合同或协议约定的收费时间和方法计算确定。 </w:t>
      </w:r>
      <w:r>
        <w:rPr>
          <w:rFonts w:ascii="宋体" w:hAnsi="宋体" w:cs="宋体" w:eastAsia="宋体" w:hint="default"/>
          <w:b/>
          <w:bCs/>
          <w:sz w:val="18"/>
          <w:szCs w:val="18"/>
        </w:rPr>
        <w:t>3.</w:t>
      </w:r>
      <w:r>
        <w:rPr>
          <w:rFonts w:ascii="宋体" w:hAnsi="宋体" w:cs="宋体" w:eastAsia="宋体" w:hint="default"/>
          <w:b/>
          <w:bCs/>
          <w:sz w:val="18"/>
          <w:szCs w:val="18"/>
        </w:rPr>
        <w:t>提供劳务收入的确认依据和方法</w:t>
      </w:r>
      <w:r>
        <w:rPr>
          <w:rFonts w:ascii="宋体" w:hAnsi="宋体" w:cs="宋体" w:eastAsia="宋体" w:hint="default"/>
          <w:sz w:val="18"/>
          <w:szCs w:val="18"/>
        </w:rPr>
      </w:r>
    </w:p>
    <w:p>
      <w:pPr>
        <w:pStyle w:val="BodyText"/>
        <w:spacing w:line="316" w:lineRule="auto" w:before="19"/>
        <w:ind w:right="1152" w:firstLine="420"/>
        <w:jc w:val="left"/>
      </w:pPr>
      <w:r>
        <w:rPr/>
        <w:t>在资产负债表日提供劳务交易的结果能够可靠估计的，采用完工百分比法确认提供劳务收入。提供劳务交易的完工进 度，依据已完工作的测量确定。</w:t>
      </w:r>
    </w:p>
    <w:p>
      <w:pPr>
        <w:pStyle w:val="BodyText"/>
        <w:spacing w:line="240" w:lineRule="auto" w:before="19"/>
        <w:ind w:left="574" w:right="0"/>
        <w:jc w:val="left"/>
      </w:pPr>
      <w:r>
        <w:rPr/>
        <w:t>提供劳务交易的结果能够可靠估计，是指同时满足下列条件：</w:t>
      </w:r>
    </w:p>
    <w:p>
      <w:pPr>
        <w:pStyle w:val="BodyText"/>
        <w:spacing w:line="240" w:lineRule="auto" w:before="76"/>
        <w:ind w:left="574" w:right="0"/>
        <w:jc w:val="left"/>
      </w:pPr>
      <w:r>
        <w:rPr/>
        <w:t>（</w:t>
      </w:r>
      <w:r>
        <w:rPr>
          <w:rFonts w:ascii="宋体" w:hAnsi="宋体" w:cs="宋体" w:eastAsia="宋体" w:hint="default"/>
        </w:rPr>
        <w:t>1</w:t>
      </w:r>
      <w:r>
        <w:rPr/>
        <w:t>）收入的金额能够可靠地计量；</w:t>
      </w:r>
    </w:p>
    <w:p>
      <w:pPr>
        <w:pStyle w:val="BodyText"/>
        <w:spacing w:line="240" w:lineRule="auto" w:before="76"/>
        <w:ind w:left="574" w:right="0"/>
        <w:jc w:val="left"/>
      </w:pPr>
      <w:r>
        <w:rPr/>
        <w:t>（</w:t>
      </w:r>
      <w:r>
        <w:rPr>
          <w:rFonts w:ascii="宋体" w:hAnsi="宋体" w:cs="宋体" w:eastAsia="宋体" w:hint="default"/>
        </w:rPr>
        <w:t>2</w:t>
      </w:r>
      <w:r>
        <w:rPr/>
        <w:t>）相关的经济利益很可能流入企业；</w:t>
      </w:r>
    </w:p>
    <w:p>
      <w:pPr>
        <w:pStyle w:val="BodyText"/>
        <w:spacing w:line="240" w:lineRule="auto" w:before="76"/>
        <w:ind w:left="574" w:right="0"/>
        <w:jc w:val="left"/>
      </w:pPr>
      <w:r>
        <w:rPr/>
        <w:t>（</w:t>
      </w:r>
      <w:r>
        <w:rPr>
          <w:rFonts w:ascii="宋体" w:hAnsi="宋体" w:cs="宋体" w:eastAsia="宋体" w:hint="default"/>
        </w:rPr>
        <w:t>3</w:t>
      </w:r>
      <w:r>
        <w:rPr/>
        <w:t>）交易的完工进度能够可靠地确定；</w:t>
      </w:r>
    </w:p>
    <w:p>
      <w:pPr>
        <w:pStyle w:val="BodyText"/>
        <w:spacing w:line="316" w:lineRule="auto" w:before="76"/>
        <w:ind w:left="574" w:right="1152"/>
        <w:jc w:val="left"/>
      </w:pPr>
      <w:r>
        <w:rPr/>
        <w:t>（</w:t>
      </w:r>
      <w:r>
        <w:rPr>
          <w:rFonts w:ascii="宋体" w:hAnsi="宋体" w:cs="宋体" w:eastAsia="宋体" w:hint="default"/>
        </w:rPr>
        <w:t>4</w:t>
      </w:r>
      <w:r>
        <w:rPr/>
        <w:t>）交易中已发生和将发生的成本能够可靠地计量。 按照已收或应收的合同或协议价款确定提供劳务收入总额，但已收或应收的合同或协议价款不公允的除外。资产负债</w:t>
      </w:r>
    </w:p>
    <w:p>
      <w:pPr>
        <w:pStyle w:val="BodyText"/>
        <w:spacing w:line="316" w:lineRule="auto" w:before="19"/>
        <w:ind w:right="0"/>
        <w:jc w:val="left"/>
      </w:pPr>
      <w:r>
        <w:rPr>
          <w:spacing w:val="-2"/>
        </w:rPr>
        <w:t>表日按照提供劳务收入总额乘以完工进度扣除以前会计期间累计已确认提供劳务收入后的金额，确认当期提供劳务收入；同</w:t>
      </w:r>
      <w:r>
        <w:rPr>
          <w:spacing w:val="-64"/>
        </w:rPr>
        <w:t> </w:t>
      </w:r>
      <w:r>
        <w:rPr>
          <w:spacing w:val="-64"/>
        </w:rPr>
      </w:r>
      <w:r>
        <w:rPr/>
        <w:t>时，按照提供劳务估计总成本乘以完工进度扣除以前会计期间累计已确认劳务成本后的金额，结转当期劳务成本。</w:t>
      </w:r>
    </w:p>
    <w:p>
      <w:pPr>
        <w:pStyle w:val="BodyText"/>
        <w:spacing w:line="240" w:lineRule="auto" w:before="19"/>
        <w:ind w:left="574" w:right="0"/>
        <w:jc w:val="left"/>
      </w:pPr>
      <w:r>
        <w:rPr/>
        <w:t>在资产负债表日提供劳务交易结果不能够可靠估计的，分别下列情况处理：</w:t>
      </w:r>
    </w:p>
    <w:p>
      <w:pPr>
        <w:pStyle w:val="BodyText"/>
        <w:spacing w:line="316" w:lineRule="auto" w:before="76"/>
        <w:ind w:right="1114" w:firstLine="420"/>
        <w:jc w:val="left"/>
      </w:pPr>
      <w:r>
        <w:rPr>
          <w:spacing w:val="-1"/>
        </w:rPr>
        <w:t>（</w:t>
      </w:r>
      <w:r>
        <w:rPr>
          <w:rFonts w:ascii="宋体" w:hAnsi="宋体" w:cs="宋体" w:eastAsia="宋体" w:hint="default"/>
          <w:spacing w:val="-1"/>
        </w:rPr>
        <w:t>1</w:t>
      </w:r>
      <w:r>
        <w:rPr>
          <w:spacing w:val="-1"/>
        </w:rPr>
        <w:t>）已经发生的劳务成本预计能够得到补偿的，按照已经发生的劳务成本金额确认提供劳务收入，并按相同金额结转</w:t>
      </w:r>
      <w:r>
        <w:rPr/>
        <w:t> 劳务成本。</w:t>
      </w:r>
    </w:p>
    <w:p>
      <w:pPr>
        <w:pStyle w:val="BodyText"/>
        <w:spacing w:line="316" w:lineRule="auto" w:before="19"/>
        <w:ind w:left="574" w:right="1152"/>
        <w:jc w:val="left"/>
      </w:pPr>
      <w:r>
        <w:rPr/>
        <w:t>（</w:t>
      </w:r>
      <w:r>
        <w:rPr>
          <w:rFonts w:ascii="宋体" w:hAnsi="宋体" w:cs="宋体" w:eastAsia="宋体" w:hint="default"/>
        </w:rPr>
        <w:t>2</w:t>
      </w:r>
      <w:r>
        <w:rPr/>
        <w:t>）已经发生的劳务成本预计不能够得到补偿的，将已经发生的劳务成本计入当期损益，不确认提供劳务收入。 本公司与其他企业签订的合同或协议包括销售商品和提供劳务时，销售商品部分和提供劳务部分能够区分且能够单独</w:t>
      </w:r>
    </w:p>
    <w:p>
      <w:pPr>
        <w:pStyle w:val="BodyText"/>
        <w:spacing w:line="316" w:lineRule="auto" w:before="19"/>
        <w:ind w:right="0"/>
        <w:jc w:val="left"/>
      </w:pPr>
      <w:r>
        <w:rPr>
          <w:spacing w:val="-2"/>
        </w:rPr>
        <w:t>计量的，将销售商品的部分作为销售商品处理，将提供劳务的部分作为提供劳务处理。销售商品部分和提供劳务部分不能够</w:t>
      </w:r>
      <w:r>
        <w:rPr>
          <w:spacing w:val="-66"/>
        </w:rPr>
        <w:t> </w:t>
      </w:r>
      <w:r>
        <w:rPr>
          <w:spacing w:val="-66"/>
        </w:rPr>
      </w:r>
      <w:r>
        <w:rPr/>
        <w:t>区分，或虽能区分但不能够单独计量的，将销售商品部分和提供劳务部分全部作为销售商品处理。</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29、政府补助" w:id="212"/>
      <w:bookmarkEnd w:id="212"/>
      <w:r>
        <w:rPr>
          <w:b w:val="0"/>
          <w:bCs w:val="0"/>
        </w:rPr>
      </w:r>
      <w:r>
        <w:rPr>
          <w:rFonts w:ascii="Times New Roman" w:hAnsi="Times New Roman" w:cs="Times New Roman" w:eastAsia="Times New Roman" w:hint="default"/>
        </w:rPr>
        <w:t>29</w:t>
      </w:r>
      <w:r>
        <w:rPr/>
        <w:t>、政府补助</w:t>
      </w:r>
      <w:r>
        <w:rPr>
          <w:b w:val="0"/>
          <w:bCs w:val="0"/>
        </w:rPr>
      </w:r>
    </w:p>
    <w:p>
      <w:pPr>
        <w:spacing w:line="240" w:lineRule="auto" w:before="7"/>
        <w:rPr>
          <w:rFonts w:ascii="宋体" w:hAnsi="宋体" w:cs="宋体" w:eastAsia="宋体" w:hint="default"/>
          <w:b/>
          <w:bCs/>
          <w:sz w:val="26"/>
          <w:szCs w:val="26"/>
        </w:rPr>
      </w:pPr>
    </w:p>
    <w:p>
      <w:pPr>
        <w:pStyle w:val="Heading5"/>
        <w:spacing w:line="240" w:lineRule="auto"/>
        <w:ind w:left="154" w:right="0"/>
        <w:jc w:val="left"/>
        <w:rPr>
          <w:b w:val="0"/>
          <w:bCs w:val="0"/>
        </w:rPr>
      </w:pPr>
      <w:r>
        <w:rPr>
          <w:rFonts w:ascii="宋体" w:hAnsi="宋体" w:cs="宋体" w:eastAsia="宋体" w:hint="default"/>
        </w:rPr>
        <w:t>1.</w:t>
      </w:r>
      <w:r>
        <w:rPr/>
        <w:t>类型</w:t>
      </w:r>
      <w:r>
        <w:rPr>
          <w:b w:val="0"/>
          <w:bCs w:val="0"/>
        </w:rPr>
      </w:r>
    </w:p>
    <w:p>
      <w:pPr>
        <w:pStyle w:val="BodyText"/>
        <w:spacing w:line="316" w:lineRule="auto" w:before="76"/>
        <w:ind w:right="0" w:firstLine="420"/>
        <w:jc w:val="left"/>
        <w:rPr>
          <w:rFonts w:ascii="宋体" w:hAnsi="宋体" w:cs="宋体" w:eastAsia="宋体" w:hint="default"/>
        </w:rPr>
      </w:pPr>
      <w:r>
        <w:rPr/>
        <w:t>政府补助，是本公司从政府无偿取得的货币性资产与非货币性资产，但不包括政府作为企业所有者投入的资本。根据 相关政府文件规定的补助对象，将政府补助划分为与资产相关的政府补助和与收益相关的政府补助。 </w:t>
      </w:r>
      <w:r>
        <w:rPr>
          <w:rFonts w:ascii="宋体" w:hAnsi="宋体" w:cs="宋体" w:eastAsia="宋体" w:hint="default"/>
          <w:b/>
          <w:bCs/>
        </w:rPr>
        <w:t>2.</w:t>
      </w:r>
      <w:r>
        <w:rPr>
          <w:rFonts w:ascii="宋体" w:hAnsi="宋体" w:cs="宋体" w:eastAsia="宋体" w:hint="default"/>
          <w:b/>
          <w:bCs/>
        </w:rPr>
        <w:t>与资产相关的政府补助判断依据及会计处理方法</w:t>
      </w:r>
      <w:r>
        <w:rPr>
          <w:rFonts w:ascii="宋体" w:hAnsi="宋体" w:cs="宋体" w:eastAsia="宋体" w:hint="default"/>
        </w:rPr>
      </w:r>
    </w:p>
    <w:p>
      <w:pPr>
        <w:pStyle w:val="BodyText"/>
        <w:spacing w:line="319" w:lineRule="auto" w:before="19"/>
        <w:ind w:right="1032" w:firstLine="420"/>
        <w:jc w:val="left"/>
        <w:rPr>
          <w:rFonts w:ascii="宋体" w:hAnsi="宋体" w:cs="宋体" w:eastAsia="宋体" w:hint="default"/>
        </w:rPr>
      </w:pPr>
      <w:r>
        <w:rPr>
          <w:spacing w:val="-2"/>
        </w:rPr>
        <w:t>公司取得的、用于购建或以其他方式形成长期资产的政府补助划分为与资产相关的政府补助。与资产相关的政府补助，</w:t>
      </w:r>
      <w:r>
        <w:rPr/>
        <w:t> </w:t>
      </w:r>
      <w:r>
        <w:rPr>
          <w:spacing w:val="-2"/>
        </w:rPr>
        <w:t>冲减相关资产的账面价值或确认为递延收益。与资产相关补助确认为递延收益的，在相关资产使用寿命内按照合理、系统的</w:t>
      </w:r>
      <w:r>
        <w:rPr>
          <w:spacing w:val="-66"/>
        </w:rPr>
        <w:t> </w:t>
      </w:r>
      <w:r>
        <w:rPr>
          <w:spacing w:val="-66"/>
        </w:rPr>
      </w:r>
      <w:r>
        <w:rPr>
          <w:spacing w:val="-2"/>
        </w:rPr>
        <w:t>方法分期计入损益。按照名义金额计量的政府补助，直接计入当期损益。相关资产在使用寿命结束前被出售、转让、报废或</w:t>
      </w:r>
      <w:r>
        <w:rPr>
          <w:spacing w:val="-66"/>
        </w:rPr>
        <w:t> </w:t>
      </w:r>
      <w:r>
        <w:rPr>
          <w:spacing w:val="-66"/>
        </w:rPr>
      </w:r>
      <w:r>
        <w:rPr/>
        <w:t>发生毁损的，将尚未分配的相关递延收益余额转入资产处置当期的损益。 </w:t>
      </w:r>
      <w:r>
        <w:rPr>
          <w:rFonts w:ascii="宋体" w:hAnsi="宋体" w:cs="宋体" w:eastAsia="宋体" w:hint="default"/>
          <w:b/>
          <w:bCs/>
        </w:rPr>
        <w:t>3.</w:t>
      </w:r>
      <w:r>
        <w:rPr>
          <w:rFonts w:ascii="宋体" w:hAnsi="宋体" w:cs="宋体" w:eastAsia="宋体" w:hint="default"/>
          <w:b/>
          <w:bCs/>
        </w:rPr>
        <w:t>与收益相关的政府补助判断依据及会计处理方法：</w:t>
      </w:r>
      <w:r>
        <w:rPr>
          <w:rFonts w:ascii="宋体" w:hAnsi="宋体" w:cs="宋体" w:eastAsia="宋体" w:hint="default"/>
        </w:rPr>
      </w:r>
    </w:p>
    <w:p>
      <w:pPr>
        <w:pStyle w:val="BodyText"/>
        <w:spacing w:line="316" w:lineRule="auto" w:before="17"/>
        <w:ind w:right="1131" w:firstLine="420"/>
        <w:jc w:val="both"/>
      </w:pPr>
      <w:r>
        <w:rPr/>
        <w:t>除与资产相关的政府补助之外的政府补助划分为与收益相关的政府补助。对于同时包含与资产相关部分和与收益相关 </w:t>
      </w:r>
      <w:r>
        <w:rPr>
          <w:spacing w:val="-2"/>
        </w:rPr>
        <w:t>部分的政府补助，难以区分与资产相关或与收益相关的，整体归类为与收益相关的政府补助。与收益相关的政府补助，用于</w:t>
      </w:r>
      <w:r>
        <w:rPr>
          <w:spacing w:val="-66"/>
        </w:rPr>
        <w:t> </w:t>
      </w:r>
      <w:r>
        <w:rPr>
          <w:spacing w:val="-66"/>
        </w:rPr>
      </w:r>
      <w:r>
        <w:rPr>
          <w:spacing w:val="-2"/>
        </w:rPr>
        <w:t>补偿以后期间的相关成本费用或损失的，确认为递延收益，在确认相关成本费用或损失的期间，计入当期损益或冲减相关成</w:t>
      </w:r>
    </w:p>
    <w:p>
      <w:pPr>
        <w:spacing w:after="0" w:line="316" w:lineRule="auto"/>
        <w:jc w:val="both"/>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316" w:lineRule="auto" w:before="44"/>
        <w:ind w:left="514" w:right="0" w:hanging="360"/>
        <w:jc w:val="left"/>
      </w:pPr>
      <w:r>
        <w:rPr/>
        <w:t>本；用于补偿已发生的相关成本费用或损失的，直接计入当期损益或冲减相关成本。 </w:t>
      </w:r>
      <w:r>
        <w:rPr>
          <w:spacing w:val="-2"/>
        </w:rPr>
        <w:t>与公司日常经营活动相关的政府补助，按照经济业务实质，计入其他收益或冲减相关成本费用。与公司日常活动无关的</w:t>
      </w:r>
    </w:p>
    <w:p>
      <w:pPr>
        <w:pStyle w:val="BodyText"/>
        <w:spacing w:line="240" w:lineRule="auto" w:before="19"/>
        <w:ind w:right="0"/>
        <w:jc w:val="left"/>
      </w:pPr>
      <w:r>
        <w:rPr/>
        <w:t>政府补助，计入营业外收支。</w:t>
      </w:r>
    </w:p>
    <w:p>
      <w:pPr>
        <w:spacing w:line="240" w:lineRule="auto" w:before="12"/>
        <w:rPr>
          <w:rFonts w:ascii="宋体" w:hAnsi="宋体" w:cs="宋体" w:eastAsia="宋体" w:hint="default"/>
          <w:sz w:val="25"/>
          <w:szCs w:val="25"/>
        </w:rPr>
      </w:pPr>
    </w:p>
    <w:p>
      <w:pPr>
        <w:spacing w:line="600" w:lineRule="atLeast" w:before="0"/>
        <w:ind w:left="454" w:right="0" w:hanging="300"/>
        <w:jc w:val="left"/>
        <w:rPr>
          <w:rFonts w:ascii="宋体" w:hAnsi="宋体" w:cs="宋体" w:eastAsia="宋体" w:hint="default"/>
          <w:sz w:val="18"/>
          <w:szCs w:val="18"/>
        </w:rPr>
      </w:pPr>
      <w:bookmarkStart w:name="30、递延所得税资产/递延所得税负债" w:id="213"/>
      <w:bookmarkEnd w:id="213"/>
      <w:r>
        <w:rPr/>
      </w:r>
      <w:r>
        <w:rPr>
          <w:rFonts w:ascii="Times New Roman" w:hAnsi="Times New Roman" w:cs="Times New Roman" w:eastAsia="Times New Roman" w:hint="default"/>
          <w:b/>
          <w:bCs/>
          <w:sz w:val="18"/>
          <w:szCs w:val="18"/>
        </w:rPr>
        <w:t>30</w:t>
      </w:r>
      <w:r>
        <w:rPr>
          <w:rFonts w:ascii="宋体" w:hAnsi="宋体" w:cs="宋体" w:eastAsia="宋体" w:hint="default"/>
          <w:b/>
          <w:bCs/>
          <w:sz w:val="18"/>
          <w:szCs w:val="18"/>
        </w:rPr>
        <w:t>、递延所得税资产</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递延所得税负债</w:t>
      </w:r>
      <w:r>
        <w:rPr>
          <w:rFonts w:ascii="宋体" w:hAnsi="宋体" w:cs="宋体" w:eastAsia="宋体" w:hint="default"/>
          <w:b/>
          <w:bCs/>
          <w:w w:val="99"/>
          <w:sz w:val="18"/>
          <w:szCs w:val="18"/>
        </w:rPr>
        <w:t> </w:t>
      </w:r>
      <w:r>
        <w:rPr>
          <w:rFonts w:ascii="宋体" w:hAnsi="宋体" w:cs="宋体" w:eastAsia="宋体" w:hint="default"/>
          <w:spacing w:val="-1"/>
          <w:sz w:val="18"/>
          <w:szCs w:val="18"/>
        </w:rPr>
        <w:t>递延所得税资产和递延所得税负债根据资产和负债的计税基础与其账面价值的差额</w:t>
      </w:r>
      <w:r>
        <w:rPr>
          <w:rFonts w:ascii="宋体" w:hAnsi="宋体" w:cs="宋体" w:eastAsia="宋体" w:hint="default"/>
          <w:spacing w:val="-1"/>
          <w:sz w:val="18"/>
          <w:szCs w:val="18"/>
        </w:rPr>
        <w:t>(</w:t>
      </w:r>
      <w:r>
        <w:rPr>
          <w:rFonts w:ascii="宋体" w:hAnsi="宋体" w:cs="宋体" w:eastAsia="宋体" w:hint="default"/>
          <w:spacing w:val="-1"/>
          <w:sz w:val="18"/>
          <w:szCs w:val="18"/>
        </w:rPr>
        <w:t>暂时性差异</w:t>
      </w:r>
      <w:r>
        <w:rPr>
          <w:rFonts w:ascii="宋体" w:hAnsi="宋体" w:cs="宋体" w:eastAsia="宋体" w:hint="default"/>
          <w:spacing w:val="-1"/>
          <w:sz w:val="18"/>
          <w:szCs w:val="18"/>
        </w:rPr>
        <w:t>)</w:t>
      </w:r>
      <w:r>
        <w:rPr>
          <w:rFonts w:ascii="宋体" w:hAnsi="宋体" w:cs="宋体" w:eastAsia="宋体" w:hint="default"/>
          <w:spacing w:val="-1"/>
          <w:sz w:val="18"/>
          <w:szCs w:val="18"/>
        </w:rPr>
        <w:t>计算确认。于资产负债</w:t>
      </w:r>
    </w:p>
    <w:p>
      <w:pPr>
        <w:pStyle w:val="BodyText"/>
        <w:spacing w:line="316" w:lineRule="auto" w:before="76"/>
        <w:ind w:left="425" w:right="1121" w:hanging="272"/>
        <w:jc w:val="left"/>
      </w:pPr>
      <w:r>
        <w:rPr/>
        <w:t>表日，递延所得税资产和递延所得税负债，按照预期收回该资产或清偿该负债期间的适用税率计量。 </w:t>
      </w:r>
      <w:r>
        <w:rPr>
          <w:rFonts w:ascii="宋体" w:hAnsi="宋体" w:cs="宋体" w:eastAsia="宋体" w:hint="default"/>
          <w:b/>
          <w:bCs/>
        </w:rPr>
        <w:t>1.</w:t>
      </w:r>
      <w:r>
        <w:rPr>
          <w:rFonts w:ascii="宋体" w:hAnsi="宋体" w:cs="宋体" w:eastAsia="宋体" w:hint="default"/>
          <w:b/>
          <w:bCs/>
        </w:rPr>
        <w:t>确认递延所得税资产的依据</w:t>
      </w:r>
      <w:r>
        <w:rPr>
          <w:rFonts w:ascii="宋体" w:hAnsi="宋体" w:cs="宋体" w:eastAsia="宋体" w:hint="default"/>
          <w:b/>
          <w:bCs/>
          <w:w w:val="99"/>
        </w:rPr>
        <w:t> </w:t>
      </w:r>
      <w:r>
        <w:rPr/>
        <w:t>本公司以很可能取得用来抵扣可抵扣暂时性差异、能够结转以后年度的可抵扣亏损和税款抵减的应纳税所得额为限，确</w:t>
      </w:r>
    </w:p>
    <w:p>
      <w:pPr>
        <w:pStyle w:val="BodyText"/>
        <w:spacing w:line="316" w:lineRule="auto" w:before="19"/>
        <w:ind w:right="0"/>
        <w:jc w:val="left"/>
      </w:pPr>
      <w:r>
        <w:rPr>
          <w:spacing w:val="-2"/>
        </w:rPr>
        <w:t>认由可抵扣暂时性差异产生的递延所得税资产。但是，同时具有下列特征的交易中因资产或负债的初始确认所产生的递延所</w:t>
      </w:r>
      <w:r>
        <w:rPr>
          <w:spacing w:val="-64"/>
        </w:rPr>
        <w:t> </w:t>
      </w:r>
      <w:r>
        <w:rPr>
          <w:spacing w:val="-64"/>
        </w:rPr>
      </w:r>
      <w:r>
        <w:rPr>
          <w:spacing w:val="-4"/>
        </w:rPr>
        <w:t>得税资产不予确认：（</w:t>
      </w:r>
      <w:r>
        <w:rPr>
          <w:rFonts w:ascii="宋体" w:hAnsi="宋体" w:cs="宋体" w:eastAsia="宋体" w:hint="default"/>
          <w:spacing w:val="-4"/>
        </w:rPr>
        <w:t>1</w:t>
      </w:r>
      <w:r>
        <w:rPr>
          <w:spacing w:val="-4"/>
        </w:rPr>
        <w:t>）该交易不是企业合并；（</w:t>
      </w:r>
      <w:r>
        <w:rPr>
          <w:rFonts w:ascii="宋体" w:hAnsi="宋体" w:cs="宋体" w:eastAsia="宋体" w:hint="default"/>
          <w:spacing w:val="-4"/>
        </w:rPr>
        <w:t>2</w:t>
      </w:r>
      <w:r>
        <w:rPr>
          <w:spacing w:val="-4"/>
        </w:rPr>
        <w:t>）交易发生时既不影响会计利润也不影响应纳税所得额或可抵扣亏损。</w:t>
      </w:r>
    </w:p>
    <w:p>
      <w:pPr>
        <w:pStyle w:val="BodyText"/>
        <w:spacing w:line="316" w:lineRule="auto" w:before="19"/>
        <w:ind w:right="0" w:firstLine="300"/>
        <w:jc w:val="left"/>
      </w:pPr>
      <w:r>
        <w:rPr>
          <w:spacing w:val="-1"/>
        </w:rPr>
        <w:t>对于与联营企业投资相关的可抵扣暂时性差异，同时满足下列条件的，确认相应的递延所得税资产：暂时性差异在可预</w:t>
      </w:r>
      <w:r>
        <w:rPr/>
        <w:t> 见的未来很可能转回，且未来很可能获得用来抵扣可抵扣暂时性差异的应纳税所得额。</w:t>
      </w:r>
    </w:p>
    <w:p>
      <w:pPr>
        <w:spacing w:line="316" w:lineRule="auto" w:before="19"/>
        <w:ind w:left="454" w:right="3432" w:hanging="29"/>
        <w:jc w:val="left"/>
        <w:rPr>
          <w:rFonts w:ascii="宋体" w:hAnsi="宋体" w:cs="宋体" w:eastAsia="宋体" w:hint="default"/>
          <w:sz w:val="18"/>
          <w:szCs w:val="18"/>
        </w:rPr>
      </w:pPr>
      <w:r>
        <w:rPr>
          <w:rFonts w:ascii="宋体" w:hAnsi="宋体" w:cs="宋体" w:eastAsia="宋体" w:hint="default"/>
          <w:b/>
          <w:bCs/>
          <w:sz w:val="18"/>
          <w:szCs w:val="18"/>
        </w:rPr>
        <w:t>2.</w:t>
      </w:r>
      <w:r>
        <w:rPr>
          <w:rFonts w:ascii="宋体" w:hAnsi="宋体" w:cs="宋体" w:eastAsia="宋体" w:hint="default"/>
          <w:b/>
          <w:bCs/>
          <w:sz w:val="18"/>
          <w:szCs w:val="18"/>
        </w:rPr>
        <w:t>确认递延所得税负债的依据</w:t>
      </w:r>
      <w:r>
        <w:rPr>
          <w:rFonts w:ascii="宋体" w:hAnsi="宋体" w:cs="宋体" w:eastAsia="宋体" w:hint="default"/>
          <w:b/>
          <w:bCs/>
          <w:w w:val="99"/>
          <w:sz w:val="18"/>
          <w:szCs w:val="18"/>
        </w:rPr>
        <w:t> </w:t>
      </w:r>
      <w:r>
        <w:rPr>
          <w:rFonts w:ascii="宋体" w:hAnsi="宋体" w:cs="宋体" w:eastAsia="宋体" w:hint="default"/>
          <w:sz w:val="18"/>
          <w:szCs w:val="18"/>
        </w:rPr>
        <w:t>公司将当期与以前期间应交未交的应纳税暂时性差异确认为递延所得税负债。但不包括：</w:t>
      </w:r>
    </w:p>
    <w:p>
      <w:pPr>
        <w:pStyle w:val="BodyText"/>
        <w:spacing w:line="240" w:lineRule="auto" w:before="19"/>
        <w:ind w:left="454" w:right="0"/>
        <w:jc w:val="left"/>
      </w:pPr>
      <w:r>
        <w:rPr/>
        <w:t>（</w:t>
      </w:r>
      <w:r>
        <w:rPr>
          <w:rFonts w:ascii="宋体" w:hAnsi="宋体" w:cs="宋体" w:eastAsia="宋体" w:hint="default"/>
        </w:rPr>
        <w:t>1</w:t>
      </w:r>
      <w:r>
        <w:rPr/>
        <w:t>）商誉的初始确认所形成的暂时性差异；</w:t>
      </w:r>
    </w:p>
    <w:p>
      <w:pPr>
        <w:pStyle w:val="BodyText"/>
        <w:spacing w:line="316" w:lineRule="auto" w:before="76"/>
        <w:ind w:right="1182" w:firstLine="300"/>
        <w:jc w:val="left"/>
      </w:pPr>
      <w:r>
        <w:rPr/>
        <w:t>（</w:t>
      </w:r>
      <w:r>
        <w:rPr>
          <w:rFonts w:ascii="宋体" w:hAnsi="宋体" w:cs="宋体" w:eastAsia="宋体" w:hint="default"/>
        </w:rPr>
        <w:t>2</w:t>
      </w:r>
      <w:r>
        <w:rPr/>
        <w:t>）非企业合并形成的交易或事项，且该交易或事项发生时既不影响会计利润，也不影响应纳税所得额（或可抵扣亏 损）所形成的暂时性差异；</w:t>
      </w:r>
    </w:p>
    <w:p>
      <w:pPr>
        <w:pStyle w:val="BodyText"/>
        <w:spacing w:line="316" w:lineRule="auto" w:before="19"/>
        <w:ind w:right="1182" w:firstLine="300"/>
        <w:jc w:val="left"/>
      </w:pPr>
      <w:r>
        <w:rPr/>
        <w:t>（</w:t>
      </w:r>
      <w:r>
        <w:rPr>
          <w:rFonts w:ascii="宋体" w:hAnsi="宋体" w:cs="宋体" w:eastAsia="宋体" w:hint="default"/>
        </w:rPr>
        <w:t>3</w:t>
      </w:r>
      <w:r>
        <w:rPr/>
        <w:t>）对于与子公司、联营企业投资相关的应纳税暂时性差异，该暂时性差异转回的时间能够控制并且该暂时性差异在 可预见的未来很可能不会转回。</w:t>
      </w:r>
    </w:p>
    <w:p>
      <w:pPr>
        <w:pStyle w:val="Heading5"/>
        <w:spacing w:line="240" w:lineRule="auto" w:before="19"/>
        <w:ind w:left="425" w:right="0"/>
        <w:jc w:val="left"/>
        <w:rPr>
          <w:b w:val="0"/>
          <w:bCs w:val="0"/>
        </w:rPr>
      </w:pPr>
      <w:r>
        <w:rPr>
          <w:rFonts w:ascii="宋体" w:hAnsi="宋体" w:cs="宋体" w:eastAsia="宋体" w:hint="default"/>
        </w:rPr>
        <w:t>3.</w:t>
      </w:r>
      <w:r>
        <w:rPr/>
        <w:t>同时满足下列条件时，将递延所得税资产及递延所得税负债以抵销后的净额列示</w:t>
      </w:r>
      <w:r>
        <w:rPr>
          <w:b w:val="0"/>
          <w:bCs w:val="0"/>
        </w:rPr>
      </w:r>
    </w:p>
    <w:p>
      <w:pPr>
        <w:pStyle w:val="BodyText"/>
        <w:spacing w:line="240" w:lineRule="auto" w:before="76"/>
        <w:ind w:left="454" w:right="0"/>
        <w:jc w:val="left"/>
      </w:pPr>
      <w:r>
        <w:rPr/>
        <w:t>（</w:t>
      </w:r>
      <w:r>
        <w:rPr>
          <w:rFonts w:ascii="宋体" w:hAnsi="宋体" w:cs="宋体" w:eastAsia="宋体" w:hint="default"/>
        </w:rPr>
        <w:t>1</w:t>
      </w:r>
      <w:r>
        <w:rPr/>
        <w:t>）企业拥有以净额结算当期所得税资产及当期所得税负债的法定权利；</w:t>
      </w:r>
    </w:p>
    <w:p>
      <w:pPr>
        <w:pStyle w:val="BodyText"/>
        <w:spacing w:line="316" w:lineRule="auto" w:before="76"/>
        <w:ind w:right="0" w:firstLine="300"/>
        <w:jc w:val="left"/>
      </w:pPr>
      <w:r>
        <w:rPr/>
        <w:t>（</w:t>
      </w:r>
      <w:r>
        <w:rPr>
          <w:rFonts w:ascii="宋体" w:hAnsi="宋体" w:cs="宋体" w:eastAsia="宋体" w:hint="default"/>
        </w:rPr>
        <w:t>2</w:t>
      </w:r>
      <w:r>
        <w:rPr/>
        <w:t>）递延所得税资产和递延所得税负债是与同一税收征管部门对同一纳税主体征收的所得税相关或者对不同的纳税主 </w:t>
      </w:r>
      <w:r>
        <w:rPr>
          <w:spacing w:val="-2"/>
        </w:rPr>
        <w:t>体相关，但在未来每一具有重要性的递延所得税资产和递延所得税负债转回的期间内，涉及的纳税主体体意图以净额结算当</w:t>
      </w:r>
      <w:r>
        <w:rPr>
          <w:spacing w:val="-64"/>
        </w:rPr>
        <w:t> </w:t>
      </w:r>
      <w:r>
        <w:rPr>
          <w:spacing w:val="-64"/>
        </w:rPr>
      </w:r>
      <w:r>
        <w:rPr/>
        <w:t>期所得税资产及当期所得税负债或是同时取得资产、清偿债务。</w:t>
      </w:r>
    </w:p>
    <w:p>
      <w:pPr>
        <w:spacing w:line="240" w:lineRule="auto" w:before="6"/>
        <w:rPr>
          <w:rFonts w:ascii="宋体" w:hAnsi="宋体" w:cs="宋体" w:eastAsia="宋体" w:hint="default"/>
          <w:sz w:val="24"/>
          <w:szCs w:val="24"/>
        </w:rPr>
      </w:pPr>
    </w:p>
    <w:p>
      <w:pPr>
        <w:pStyle w:val="Heading5"/>
        <w:spacing w:line="240" w:lineRule="auto"/>
        <w:ind w:left="154" w:right="0"/>
        <w:jc w:val="left"/>
        <w:rPr>
          <w:b w:val="0"/>
          <w:bCs w:val="0"/>
        </w:rPr>
      </w:pPr>
      <w:bookmarkStart w:name="31、租赁" w:id="214"/>
      <w:bookmarkEnd w:id="214"/>
      <w:r>
        <w:rPr>
          <w:b w:val="0"/>
          <w:bCs w:val="0"/>
        </w:rPr>
      </w:r>
      <w:r>
        <w:rPr>
          <w:rFonts w:ascii="Times New Roman" w:hAnsi="Times New Roman" w:cs="Times New Roman" w:eastAsia="Times New Roman" w:hint="default"/>
        </w:rPr>
        <w:t>31</w:t>
      </w:r>
      <w:r>
        <w:rPr/>
        <w:t>、租赁</w:t>
      </w:r>
      <w:r>
        <w:rPr>
          <w:b w:val="0"/>
          <w:bCs w:val="0"/>
        </w:rPr>
      </w:r>
    </w:p>
    <w:p>
      <w:pPr>
        <w:spacing w:line="240" w:lineRule="auto" w:before="0"/>
        <w:rPr>
          <w:rFonts w:ascii="宋体" w:hAnsi="宋体" w:cs="宋体" w:eastAsia="宋体" w:hint="default"/>
          <w:b/>
          <w:bCs/>
          <w:sz w:val="18"/>
          <w:szCs w:val="18"/>
        </w:rPr>
      </w:pPr>
    </w:p>
    <w:p>
      <w:pPr>
        <w:pStyle w:val="Heading5"/>
        <w:spacing w:line="240" w:lineRule="auto" w:before="128"/>
        <w:ind w:left="154" w:right="0"/>
        <w:jc w:val="left"/>
        <w:rPr>
          <w:b w:val="0"/>
          <w:bCs w:val="0"/>
        </w:rPr>
      </w:pPr>
      <w:bookmarkStart w:name="（1）经营租赁的会计处理方法" w:id="215"/>
      <w:bookmarkEnd w:id="215"/>
      <w:r>
        <w:rPr>
          <w:b w:val="0"/>
          <w:bCs w:val="0"/>
        </w:rPr>
      </w: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0"/>
        <w:rPr>
          <w:rFonts w:ascii="宋体" w:hAnsi="宋体" w:cs="宋体" w:eastAsia="宋体" w:hint="default"/>
          <w:b/>
          <w:bCs/>
          <w:sz w:val="18"/>
          <w:szCs w:val="18"/>
        </w:rPr>
      </w:pPr>
    </w:p>
    <w:p>
      <w:pPr>
        <w:pStyle w:val="BodyText"/>
        <w:spacing w:line="316" w:lineRule="auto" w:before="127"/>
        <w:ind w:right="1140" w:firstLine="180"/>
        <w:jc w:val="both"/>
      </w:pPr>
      <w:r>
        <w:rPr/>
        <w:t>（</w:t>
      </w:r>
      <w:r>
        <w:rPr>
          <w:rFonts w:ascii="宋体" w:hAnsi="宋体" w:cs="宋体" w:eastAsia="宋体" w:hint="default"/>
        </w:rPr>
        <w:t>1</w:t>
      </w:r>
      <w:r>
        <w:rPr/>
        <w:t>）公司租入资产所支付的租赁费，在不扣除免租期的整个租赁期内，按直线法进行分摊，计入当期费用。公司支付的 与租赁交易相关的初始直接费用，计入当期费用。</w:t>
      </w:r>
    </w:p>
    <w:p>
      <w:pPr>
        <w:pStyle w:val="BodyText"/>
        <w:spacing w:line="316" w:lineRule="auto" w:before="19"/>
        <w:ind w:right="1152" w:firstLine="420"/>
        <w:jc w:val="left"/>
      </w:pPr>
      <w:r>
        <w:rPr/>
        <w:t>资产出租方承担了应由公司承担的与租赁相关的费用时，公司将该部分费用从租金总额中扣除，按扣除后的租金费用 在租赁期内分摊，计入当期费用。</w:t>
      </w:r>
    </w:p>
    <w:p>
      <w:pPr>
        <w:pStyle w:val="BodyText"/>
        <w:spacing w:line="316" w:lineRule="auto" w:before="19"/>
        <w:ind w:right="1131" w:firstLine="180"/>
        <w:jc w:val="both"/>
      </w:pPr>
      <w:r>
        <w:rPr/>
        <w:t>（</w:t>
      </w:r>
      <w:r>
        <w:rPr>
          <w:rFonts w:ascii="宋体" w:hAnsi="宋体" w:cs="宋体" w:eastAsia="宋体" w:hint="default"/>
        </w:rPr>
        <w:t>2</w:t>
      </w:r>
      <w:r>
        <w:rPr/>
        <w:t>）公司出租资产所收取的租赁费，在不扣除免租期的整个租赁期内，按直线法进行分摊，确认为租赁收入。公司支付 </w:t>
      </w:r>
      <w:r>
        <w:rPr>
          <w:spacing w:val="-2"/>
        </w:rPr>
        <w:t>的与租赁交易相关的初始直接费用，计入当期费用；如金额较大的，则予以资本化，在整个租赁期间内按照与租赁收入确认</w:t>
      </w:r>
      <w:r>
        <w:rPr>
          <w:spacing w:val="-66"/>
        </w:rPr>
        <w:t> </w:t>
      </w:r>
      <w:r>
        <w:rPr>
          <w:spacing w:val="-66"/>
        </w:rPr>
      </w:r>
      <w:r>
        <w:rPr/>
        <w:t>相同的基础分期计入当期收益。</w:t>
      </w:r>
    </w:p>
    <w:p>
      <w:pPr>
        <w:pStyle w:val="BodyText"/>
        <w:spacing w:line="319" w:lineRule="auto" w:before="19"/>
        <w:ind w:right="1132" w:firstLine="180"/>
        <w:jc w:val="both"/>
      </w:pPr>
      <w:r>
        <w:rPr>
          <w:spacing w:val="-2"/>
        </w:rPr>
        <w:t>公司承担了应由承租方承担的与租赁相关的费用时，公司将该部分费用从租金收入总额中扣除，按扣除后的租金费用在租</w:t>
      </w:r>
      <w:r>
        <w:rPr/>
        <w:t> 赁期内分配。</w:t>
      </w:r>
    </w:p>
    <w:p>
      <w:pPr>
        <w:spacing w:line="240" w:lineRule="auto" w:before="4"/>
        <w:rPr>
          <w:rFonts w:ascii="宋体" w:hAnsi="宋体" w:cs="宋体" w:eastAsia="宋体" w:hint="default"/>
          <w:sz w:val="24"/>
          <w:szCs w:val="24"/>
        </w:rPr>
      </w:pPr>
    </w:p>
    <w:p>
      <w:pPr>
        <w:pStyle w:val="Heading5"/>
        <w:spacing w:line="240" w:lineRule="auto"/>
        <w:ind w:right="0"/>
        <w:jc w:val="left"/>
        <w:rPr>
          <w:b w:val="0"/>
          <w:bCs w:val="0"/>
        </w:rPr>
      </w:pPr>
      <w:bookmarkStart w:name="（2）融资租赁的会计处理方法" w:id="216"/>
      <w:bookmarkEnd w:id="216"/>
      <w:r>
        <w:rPr>
          <w:b w:val="0"/>
          <w:bCs w:val="0"/>
        </w:rPr>
      </w: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0"/>
        <w:rPr>
          <w:rFonts w:ascii="宋体" w:hAnsi="宋体" w:cs="宋体" w:eastAsia="宋体" w:hint="default"/>
          <w:b/>
          <w:bCs/>
          <w:sz w:val="18"/>
          <w:szCs w:val="18"/>
        </w:rPr>
      </w:pPr>
    </w:p>
    <w:p>
      <w:pPr>
        <w:pStyle w:val="BodyText"/>
        <w:spacing w:line="240" w:lineRule="auto" w:before="127"/>
        <w:ind w:left="514" w:right="0"/>
        <w:jc w:val="left"/>
      </w:pPr>
      <w:r>
        <w:rPr/>
        <w:t>（</w:t>
      </w:r>
      <w:r>
        <w:rPr>
          <w:rFonts w:ascii="宋体" w:hAnsi="宋体" w:cs="宋体" w:eastAsia="宋体" w:hint="default"/>
        </w:rPr>
        <w:t>1</w:t>
      </w:r>
      <w:r>
        <w:rPr/>
        <w:t>）融资租入资产：公司在承租开始日，将租赁资产公允价值与最低租赁付款额现值两者中较低者作为租入资产的入</w:t>
      </w:r>
    </w:p>
    <w:p>
      <w:pPr>
        <w:spacing w:after="0" w:line="240" w:lineRule="auto"/>
        <w:jc w:val="left"/>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316" w:lineRule="auto" w:before="44"/>
        <w:ind w:right="0"/>
        <w:jc w:val="left"/>
      </w:pPr>
      <w:r>
        <w:rPr>
          <w:spacing w:val="-2"/>
        </w:rPr>
        <w:t>账价值，将最低租赁付款额作为长期应付款的入账价值，其差额作为未确认的融资费用。融资租入资产的认定依据、计价和</w:t>
      </w:r>
      <w:r>
        <w:rPr>
          <w:spacing w:val="-66"/>
        </w:rPr>
        <w:t> </w:t>
      </w:r>
      <w:r>
        <w:rPr>
          <w:spacing w:val="-66"/>
        </w:rPr>
      </w:r>
      <w:r>
        <w:rPr>
          <w:spacing w:val="-4"/>
        </w:rPr>
        <w:t>折旧方法详见“第十一节、五、</w:t>
      </w:r>
      <w:r>
        <w:rPr>
          <w:rFonts w:ascii="宋体" w:hAnsi="宋体" w:cs="宋体" w:eastAsia="宋体" w:hint="default"/>
          <w:spacing w:val="-4"/>
        </w:rPr>
        <w:t>16</w:t>
      </w:r>
      <w:r>
        <w:rPr>
          <w:spacing w:val="-4"/>
        </w:rPr>
        <w:t>、固定资产”。</w:t>
      </w:r>
    </w:p>
    <w:p>
      <w:pPr>
        <w:pStyle w:val="BodyText"/>
        <w:spacing w:line="240" w:lineRule="auto" w:before="19"/>
        <w:ind w:left="514" w:right="0"/>
        <w:jc w:val="left"/>
      </w:pPr>
      <w:r>
        <w:rPr/>
        <w:t>公司采用实际利率法对未确认的融资费用，在资产租赁期间内摊销，计入财务费用。</w:t>
      </w:r>
    </w:p>
    <w:p>
      <w:pPr>
        <w:pStyle w:val="BodyText"/>
        <w:spacing w:line="319" w:lineRule="auto" w:before="76"/>
        <w:ind w:right="0" w:firstLine="360"/>
        <w:jc w:val="left"/>
      </w:pPr>
      <w:r>
        <w:rPr>
          <w:spacing w:val="-2"/>
        </w:rPr>
        <w:t>（</w:t>
      </w:r>
      <w:r>
        <w:rPr>
          <w:rFonts w:ascii="宋体" w:hAnsi="宋体" w:cs="宋体" w:eastAsia="宋体" w:hint="default"/>
          <w:spacing w:val="-2"/>
        </w:rPr>
        <w:t>2</w:t>
      </w:r>
      <w:r>
        <w:rPr>
          <w:spacing w:val="-2"/>
        </w:rPr>
        <w:t>）融资租出资产：公司在租赁开始日，将应收融资租赁款，未担保余值之和与其现值的差额确认为未实现融资收益，</w:t>
      </w:r>
      <w:r>
        <w:rPr/>
        <w:t> </w:t>
      </w:r>
      <w:r>
        <w:rPr>
          <w:spacing w:val="-2"/>
        </w:rPr>
        <w:t>在将来收到租金的各期间内确认为租赁收入，公司发生的与出租交易相关的初始直接费用，计入应收融资租赁款的初始计量</w:t>
      </w:r>
      <w:r>
        <w:rPr>
          <w:spacing w:val="-64"/>
        </w:rPr>
        <w:t> </w:t>
      </w:r>
      <w:r>
        <w:rPr>
          <w:spacing w:val="-64"/>
        </w:rPr>
      </w:r>
      <w:r>
        <w:rPr/>
        <w:t>中，并减少租赁期内确认的收益金额。</w:t>
      </w:r>
    </w:p>
    <w:p>
      <w:pPr>
        <w:spacing w:line="240" w:lineRule="auto" w:before="5"/>
        <w:rPr>
          <w:rFonts w:ascii="宋体" w:hAnsi="宋体" w:cs="宋体" w:eastAsia="宋体" w:hint="default"/>
          <w:sz w:val="22"/>
          <w:szCs w:val="22"/>
        </w:rPr>
      </w:pPr>
    </w:p>
    <w:p>
      <w:pPr>
        <w:pStyle w:val="Heading3"/>
        <w:spacing w:line="240" w:lineRule="auto"/>
        <w:ind w:right="0"/>
        <w:jc w:val="left"/>
        <w:rPr>
          <w:b w:val="0"/>
          <w:bCs w:val="0"/>
        </w:rPr>
      </w:pPr>
      <w:bookmarkStart w:name="32、其他重要的会计政策和会计估计" w:id="217"/>
      <w:bookmarkEnd w:id="217"/>
      <w:r>
        <w:rPr>
          <w:b w:val="0"/>
          <w:bCs w:val="0"/>
        </w:rPr>
      </w:r>
      <w:r>
        <w:rPr>
          <w:rFonts w:ascii="Times New Roman" w:hAnsi="Times New Roman" w:cs="Times New Roman" w:eastAsia="Times New Roman" w:hint="default"/>
        </w:rPr>
        <w:t>32</w:t>
      </w:r>
      <w:r>
        <w:rPr/>
        <w:t>、其他重要的会计政策和会计估计</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33、重要会计政策和会计估计变更" w:id="218"/>
      <w:bookmarkEnd w:id="218"/>
      <w:r>
        <w:rPr>
          <w:b w:val="0"/>
          <w:bCs w:val="0"/>
        </w:rPr>
      </w:r>
      <w:r>
        <w:rPr>
          <w:rFonts w:ascii="Times New Roman" w:hAnsi="Times New Roman" w:cs="Times New Roman" w:eastAsia="Times New Roman" w:hint="default"/>
        </w:rPr>
        <w:t>33</w:t>
      </w:r>
      <w:r>
        <w:rPr/>
        <w:t>、重要会计政策和会计估计变更</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重要会计政策变更" w:id="219"/>
      <w:bookmarkEnd w:id="219"/>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1"/>
        <w:gridCol w:w="3190"/>
        <w:gridCol w:w="3189"/>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0"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3522"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公司按照财政部于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年度颁布的</w:t>
            </w:r>
          </w:p>
          <w:p>
            <w:pPr>
              <w:pStyle w:val="TableParagraph"/>
              <w:spacing w:line="312" w:lineRule="auto" w:before="61"/>
              <w:ind w:left="103" w:right="100"/>
              <w:jc w:val="left"/>
              <w:rPr>
                <w:rFonts w:ascii="宋体" w:hAnsi="宋体" w:cs="宋体" w:eastAsia="宋体" w:hint="default"/>
                <w:sz w:val="18"/>
                <w:szCs w:val="18"/>
              </w:rPr>
            </w:pPr>
            <w:r>
              <w:rPr>
                <w:rFonts w:ascii="宋体" w:hAnsi="宋体" w:cs="宋体" w:eastAsia="宋体" w:hint="default"/>
                <w:sz w:val="18"/>
                <w:szCs w:val="18"/>
              </w:rPr>
              <w:t>《财政部关于修订印发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年度一般 </w:t>
            </w:r>
            <w:r>
              <w:rPr>
                <w:rFonts w:ascii="宋体" w:hAnsi="宋体" w:cs="宋体" w:eastAsia="宋体" w:hint="default"/>
                <w:spacing w:val="-6"/>
                <w:sz w:val="18"/>
                <w:szCs w:val="18"/>
              </w:rPr>
              <w:t>企业财务报表格式的通知》（财会</w:t>
            </w:r>
            <w:r>
              <w:rPr>
                <w:rFonts w:ascii="宋体" w:hAnsi="宋体" w:cs="宋体" w:eastAsia="宋体" w:hint="default"/>
                <w:sz w:val="18"/>
                <w:szCs w:val="18"/>
              </w:rPr>
              <w:t> </w:t>
            </w:r>
            <w:r>
              <w:rPr>
                <w:rFonts w:ascii="Times New Roman" w:hAnsi="Times New Roman" w:cs="Times New Roman" w:eastAsia="Times New Roman" w:hint="default"/>
                <w:sz w:val="18"/>
                <w:szCs w:val="18"/>
              </w:rPr>
              <w:t>[2018]15</w:t>
            </w:r>
            <w:r>
              <w:rPr>
                <w:rFonts w:ascii="Times New Roman" w:hAnsi="Times New Roman" w:cs="Times New Roman" w:eastAsia="Times New Roman" w:hint="default"/>
                <w:spacing w:val="4"/>
                <w:sz w:val="18"/>
                <w:szCs w:val="18"/>
              </w:rPr>
              <w:t> </w:t>
            </w:r>
            <w:r>
              <w:rPr>
                <w:rFonts w:ascii="宋体" w:hAnsi="宋体" w:cs="宋体" w:eastAsia="宋体" w:hint="default"/>
                <w:spacing w:val="-6"/>
                <w:sz w:val="18"/>
                <w:szCs w:val="18"/>
              </w:rPr>
              <w:t>号）的规定修订公司的财务报</w:t>
            </w:r>
            <w:r>
              <w:rPr>
                <w:rFonts w:ascii="宋体" w:hAnsi="宋体" w:cs="宋体" w:eastAsia="宋体" w:hint="default"/>
                <w:sz w:val="18"/>
                <w:szCs w:val="18"/>
              </w:rPr>
              <w:t> </w:t>
            </w:r>
            <w:r>
              <w:rPr>
                <w:rFonts w:ascii="宋体" w:hAnsi="宋体" w:cs="宋体" w:eastAsia="宋体" w:hint="default"/>
                <w:spacing w:val="-6"/>
                <w:sz w:val="18"/>
                <w:szCs w:val="18"/>
              </w:rPr>
              <w:t>表格式。因公司尚未执行新金融准则和</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7"/>
                <w:sz w:val="18"/>
                <w:szCs w:val="18"/>
              </w:rPr>
              <w:t>新收入准则，应采用通知附件</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的要求 </w:t>
            </w:r>
            <w:r>
              <w:rPr>
                <w:rFonts w:ascii="宋体" w:hAnsi="宋体" w:cs="宋体" w:eastAsia="宋体" w:hint="default"/>
                <w:spacing w:val="-6"/>
                <w:sz w:val="18"/>
                <w:szCs w:val="18"/>
              </w:rPr>
              <w:t>编制财务报表，并对比较报表的列报进</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5"/>
                <w:sz w:val="18"/>
                <w:szCs w:val="18"/>
              </w:rPr>
              <w:t>行相应调整。本次会计政策变更，仅对</w:t>
            </w:r>
            <w:r>
              <w:rPr>
                <w:rFonts w:ascii="宋体" w:hAnsi="宋体" w:cs="宋体" w:eastAsia="宋体" w:hint="default"/>
                <w:sz w:val="18"/>
                <w:szCs w:val="18"/>
              </w:rPr>
              <w:t> </w:t>
            </w:r>
            <w:r>
              <w:rPr>
                <w:rFonts w:ascii="宋体" w:hAnsi="宋体" w:cs="宋体" w:eastAsia="宋体" w:hint="default"/>
                <w:spacing w:val="-6"/>
                <w:sz w:val="18"/>
                <w:szCs w:val="18"/>
              </w:rPr>
              <w:t>财务报表项目列示产生影响，对公司财</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6"/>
                <w:sz w:val="18"/>
                <w:szCs w:val="18"/>
              </w:rPr>
              <w:t>务状况、经营成果和现金流量无重大影</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响。</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1"/>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3192"/>
        <w:gridCol w:w="3201"/>
        <w:gridCol w:w="3176"/>
      </w:tblGrid>
      <w:tr>
        <w:trPr>
          <w:trHeight w:val="654" w:hRule="exact"/>
        </w:trPr>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10"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1055" w:right="1055"/>
              <w:jc w:val="left"/>
              <w:rPr>
                <w:rFonts w:ascii="宋体" w:hAnsi="宋体" w:cs="宋体" w:eastAsia="宋体" w:hint="default"/>
                <w:sz w:val="18"/>
                <w:szCs w:val="18"/>
              </w:rPr>
            </w:pPr>
            <w:r>
              <w:rPr>
                <w:rFonts w:ascii="宋体" w:hAnsi="宋体" w:cs="宋体" w:eastAsia="宋体" w:hint="default"/>
                <w:sz w:val="18"/>
                <w:szCs w:val="18"/>
              </w:rPr>
              <w:t>受重要影响的 报表项目名称</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影响金额</w:t>
            </w:r>
          </w:p>
        </w:tc>
      </w:tr>
      <w:tr>
        <w:trPr>
          <w:trHeight w:val="1278" w:hRule="exact"/>
        </w:trPr>
        <w:tc>
          <w:tcPr>
            <w:tcW w:w="3192" w:type="dxa"/>
            <w:vMerge w:val="restart"/>
            <w:tcBorders>
              <w:top w:val="single" w:sz="4" w:space="0" w:color="000000"/>
              <w:left w:val="single" w:sz="4" w:space="0" w:color="000000"/>
              <w:right w:val="single" w:sz="4" w:space="0" w:color="000000"/>
            </w:tcBorders>
          </w:tcPr>
          <w:p>
            <w:pPr>
              <w:pStyle w:val="TableParagraph"/>
              <w:spacing w:line="316" w:lineRule="auto" w:before="21"/>
              <w:ind w:left="4" w:right="2"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 </w:t>
            </w:r>
            <w:r>
              <w:rPr>
                <w:rFonts w:ascii="宋体" w:hAnsi="宋体" w:cs="宋体" w:eastAsia="宋体" w:hint="default"/>
                <w:spacing w:val="-5"/>
                <w:sz w:val="18"/>
                <w:szCs w:val="18"/>
              </w:rPr>
              <w:t>度一般企业财务报表格式的通知》（财会</w:t>
            </w:r>
            <w:r>
              <w:rPr>
                <w:rFonts w:ascii="宋体" w:hAnsi="宋体" w:cs="宋体" w:eastAsia="宋体" w:hint="default"/>
                <w:sz w:val="18"/>
                <w:szCs w:val="18"/>
              </w:rPr>
              <w:t> </w:t>
            </w:r>
            <w:r>
              <w:rPr>
                <w:rFonts w:ascii="宋体" w:hAnsi="宋体" w:cs="宋体" w:eastAsia="宋体" w:hint="default"/>
                <w:b/>
                <w:bCs/>
                <w:spacing w:val="-11"/>
                <w:w w:val="99"/>
                <w:sz w:val="18"/>
                <w:szCs w:val="18"/>
              </w:rPr>
              <w:t>[</w:t>
            </w:r>
            <w:r>
              <w:rPr>
                <w:rFonts w:ascii="宋体" w:hAnsi="宋体" w:cs="宋体" w:eastAsia="宋体" w:hint="default"/>
                <w:spacing w:val="-11"/>
                <w:w w:val="99"/>
                <w:sz w:val="18"/>
                <w:szCs w:val="18"/>
              </w:rPr>
              <w:t>2018</w:t>
            </w:r>
            <w:r>
              <w:rPr>
                <w:rFonts w:ascii="宋体" w:hAnsi="宋体" w:cs="宋体" w:eastAsia="宋体" w:hint="default"/>
                <w:b/>
                <w:bCs/>
                <w:spacing w:val="-11"/>
                <w:w w:val="99"/>
                <w:sz w:val="18"/>
                <w:szCs w:val="18"/>
              </w:rPr>
              <w:t>]</w:t>
            </w:r>
            <w:r>
              <w:rPr>
                <w:rFonts w:ascii="宋体" w:hAnsi="宋体" w:cs="宋体" w:eastAsia="宋体" w:hint="default"/>
                <w:spacing w:val="-11"/>
                <w:w w:val="99"/>
                <w:sz w:val="18"/>
                <w:szCs w:val="18"/>
              </w:rPr>
              <w:t>15</w:t>
            </w:r>
            <w:r>
              <w:rPr>
                <w:rFonts w:ascii="宋体" w:hAnsi="宋体" w:cs="宋体" w:eastAsia="宋体" w:hint="default"/>
                <w:spacing w:val="-11"/>
                <w:w w:val="99"/>
                <w:sz w:val="18"/>
                <w:szCs w:val="18"/>
              </w:rPr>
              <w:t>号），在资产负债表中删除原“应</w:t>
            </w:r>
            <w:r>
              <w:rPr>
                <w:rFonts w:ascii="宋体" w:hAnsi="宋体" w:cs="宋体" w:eastAsia="宋体" w:hint="default"/>
                <w:spacing w:val="-86"/>
                <w:w w:val="99"/>
                <w:sz w:val="18"/>
                <w:szCs w:val="18"/>
              </w:rPr>
              <w:t> </w:t>
            </w:r>
            <w:r>
              <w:rPr>
                <w:rFonts w:ascii="宋体" w:hAnsi="宋体" w:cs="宋体" w:eastAsia="宋体" w:hint="default"/>
                <w:spacing w:val="-86"/>
                <w:w w:val="99"/>
                <w:sz w:val="18"/>
                <w:szCs w:val="18"/>
              </w:rPr>
            </w:r>
            <w:r>
              <w:rPr>
                <w:rFonts w:ascii="宋体" w:hAnsi="宋体" w:cs="宋体" w:eastAsia="宋体" w:hint="default"/>
                <w:spacing w:val="-4"/>
                <w:sz w:val="18"/>
                <w:szCs w:val="18"/>
              </w:rPr>
              <w:t>收票据”及“应收账款”项目，将其整合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为新增的“应收票据及应收账款”项目 </w:t>
            </w:r>
            <w:r>
              <w:rPr>
                <w:rFonts w:ascii="宋体" w:hAnsi="宋体" w:cs="宋体" w:eastAsia="宋体" w:hint="default"/>
                <w:spacing w:val="-4"/>
                <w:sz w:val="18"/>
                <w:szCs w:val="18"/>
              </w:rPr>
              <w:t>反映资产负债表日以摊余成本计量的、企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业因销售商品、提供服务等经营活动应收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取的款项，以及收到的商业汇票，包括银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行承兑汇票和商业承兑汇票。</w:t>
            </w: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699,036,961.21</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786,352,089.64</w:t>
            </w:r>
            <w:r>
              <w:rPr>
                <w:rFonts w:ascii="宋体" w:hAnsi="宋体" w:cs="宋体" w:eastAsia="宋体" w:hint="default"/>
                <w:sz w:val="18"/>
                <w:szCs w:val="18"/>
              </w:rPr>
              <w:t>元</w:t>
            </w:r>
          </w:p>
        </w:tc>
      </w:tr>
      <w:tr>
        <w:trPr>
          <w:trHeight w:val="1278" w:hRule="exact"/>
        </w:trPr>
        <w:tc>
          <w:tcPr>
            <w:tcW w:w="3192" w:type="dxa"/>
            <w:vMerge/>
            <w:tcBorders>
              <w:left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28"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106"/>
              <w:ind w:left="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7,045,503.53</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5"/>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489,549,253.77</w:t>
            </w:r>
            <w:r>
              <w:rPr>
                <w:rFonts w:ascii="宋体" w:hAnsi="宋体" w:cs="宋体" w:eastAsia="宋体" w:hint="default"/>
                <w:sz w:val="18"/>
                <w:szCs w:val="18"/>
              </w:rPr>
              <w:t>元</w:t>
            </w:r>
          </w:p>
        </w:tc>
      </w:tr>
      <w:tr>
        <w:trPr>
          <w:trHeight w:val="1278" w:hRule="exact"/>
        </w:trPr>
        <w:tc>
          <w:tcPr>
            <w:tcW w:w="3192" w:type="dxa"/>
            <w:vMerge/>
            <w:tcBorders>
              <w:left w:val="single" w:sz="4" w:space="0" w:color="000000"/>
              <w:bottom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691,991,457.68</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296,802,835.87</w:t>
            </w:r>
            <w:r>
              <w:rPr>
                <w:rFonts w:ascii="宋体" w:hAnsi="宋体" w:cs="宋体" w:eastAsia="宋体" w:hint="default"/>
                <w:sz w:val="18"/>
                <w:szCs w:val="18"/>
              </w:rPr>
              <w:t>元</w:t>
            </w:r>
          </w:p>
        </w:tc>
      </w:tr>
    </w:tbl>
    <w:p>
      <w:pPr>
        <w:spacing w:after="0" w:line="240"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3192"/>
        <w:gridCol w:w="3201"/>
        <w:gridCol w:w="3176"/>
      </w:tblGrid>
      <w:tr>
        <w:trPr>
          <w:trHeight w:val="1278" w:hRule="exact"/>
        </w:trPr>
        <w:tc>
          <w:tcPr>
            <w:tcW w:w="3192" w:type="dxa"/>
            <w:vMerge w:val="restart"/>
            <w:tcBorders>
              <w:top w:val="single" w:sz="4" w:space="0" w:color="000000"/>
              <w:left w:val="single" w:sz="4" w:space="0" w:color="000000"/>
              <w:right w:val="single" w:sz="4" w:space="0" w:color="000000"/>
            </w:tcBorders>
          </w:tcPr>
          <w:p>
            <w:pPr>
              <w:pStyle w:val="TableParagraph"/>
              <w:spacing w:line="319" w:lineRule="auto" w:before="21"/>
              <w:ind w:left="4" w:right="5" w:firstLine="420"/>
              <w:jc w:val="both"/>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 </w:t>
            </w:r>
            <w:r>
              <w:rPr>
                <w:rFonts w:ascii="宋体" w:hAnsi="宋体" w:cs="宋体" w:eastAsia="宋体" w:hint="default"/>
                <w:spacing w:val="-5"/>
                <w:sz w:val="18"/>
                <w:szCs w:val="18"/>
              </w:rPr>
              <w:t>度一般企业财务报表格式的通知》（财会</w:t>
            </w:r>
            <w:r>
              <w:rPr>
                <w:rFonts w:ascii="宋体" w:hAnsi="宋体" w:cs="宋体" w:eastAsia="宋体" w:hint="default"/>
                <w:sz w:val="18"/>
                <w:szCs w:val="18"/>
              </w:rPr>
              <w:t> </w:t>
            </w:r>
            <w:r>
              <w:rPr>
                <w:rFonts w:ascii="宋体" w:hAnsi="宋体" w:cs="宋体" w:eastAsia="宋体" w:hint="default"/>
                <w:spacing w:val="-11"/>
                <w:sz w:val="18"/>
                <w:szCs w:val="18"/>
              </w:rPr>
              <w:t>[2018]15</w:t>
            </w:r>
            <w:r>
              <w:rPr>
                <w:rFonts w:ascii="宋体" w:hAnsi="宋体" w:cs="宋体" w:eastAsia="宋体" w:hint="default"/>
                <w:spacing w:val="-11"/>
                <w:sz w:val="18"/>
                <w:szCs w:val="18"/>
              </w:rPr>
              <w:t>号），在资产负债表中删除原“应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4"/>
                <w:sz w:val="18"/>
                <w:szCs w:val="18"/>
              </w:rPr>
              <w:t>收利息”及“应收股利”项目，归并至“其</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他应收款”项目。</w:t>
            </w: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36,364,360.85</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28,108,390.70</w:t>
            </w:r>
            <w:r>
              <w:rPr>
                <w:rFonts w:ascii="宋体" w:hAnsi="宋体" w:cs="宋体" w:eastAsia="宋体" w:hint="default"/>
                <w:sz w:val="18"/>
                <w:szCs w:val="18"/>
              </w:rPr>
              <w:t>元</w:t>
            </w:r>
          </w:p>
        </w:tc>
      </w:tr>
      <w:tr>
        <w:trPr>
          <w:trHeight w:val="1278" w:hRule="exact"/>
        </w:trPr>
        <w:tc>
          <w:tcPr>
            <w:tcW w:w="3192" w:type="dxa"/>
            <w:vMerge/>
            <w:tcBorders>
              <w:left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324,236.89</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325,694.44</w:t>
            </w:r>
            <w:r>
              <w:rPr>
                <w:rFonts w:ascii="宋体" w:hAnsi="宋体" w:cs="宋体" w:eastAsia="宋体" w:hint="default"/>
                <w:sz w:val="18"/>
                <w:szCs w:val="18"/>
              </w:rPr>
              <w:t>元</w:t>
            </w:r>
          </w:p>
        </w:tc>
      </w:tr>
      <w:tr>
        <w:trPr>
          <w:trHeight w:val="654" w:hRule="exact"/>
        </w:trPr>
        <w:tc>
          <w:tcPr>
            <w:tcW w:w="3192" w:type="dxa"/>
            <w:vMerge/>
            <w:tcBorders>
              <w:left w:val="single" w:sz="4" w:space="0" w:color="000000"/>
              <w:bottom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21"/>
              <w:ind w:left="4" w:right="1764"/>
              <w:jc w:val="left"/>
              <w:rPr>
                <w:rFonts w:ascii="宋体" w:hAnsi="宋体" w:cs="宋体" w:eastAsia="宋体" w:hint="default"/>
                <w:sz w:val="18"/>
                <w:szCs w:val="18"/>
              </w:rPr>
            </w:pPr>
            <w:r>
              <w:rPr>
                <w:rFonts w:ascii="宋体" w:hAnsi="宋体" w:cs="宋体" w:eastAsia="宋体" w:hint="default"/>
                <w:sz w:val="18"/>
                <w:szCs w:val="18"/>
              </w:rPr>
              <w:t>本期金额：</w:t>
            </w:r>
            <w:r>
              <w:rPr>
                <w:rFonts w:ascii="Times New Roman" w:hAnsi="Times New Roman" w:cs="Times New Roman" w:eastAsia="Times New Roman" w:hint="default"/>
                <w:sz w:val="18"/>
                <w:szCs w:val="18"/>
              </w:rPr>
              <w:t>0.00</w:t>
            </w:r>
            <w:r>
              <w:rPr>
                <w:rFonts w:ascii="宋体" w:hAnsi="宋体" w:cs="宋体" w:eastAsia="宋体" w:hint="default"/>
                <w:sz w:val="18"/>
                <w:szCs w:val="18"/>
              </w:rPr>
              <w:t>元 上期金额：</w:t>
            </w:r>
            <w:r>
              <w:rPr>
                <w:rFonts w:ascii="Times New Roman" w:hAnsi="Times New Roman" w:cs="Times New Roman" w:eastAsia="Times New Roman" w:hint="default"/>
                <w:sz w:val="18"/>
                <w:szCs w:val="18"/>
              </w:rPr>
              <w:t>0.00</w:t>
            </w:r>
            <w:r>
              <w:rPr>
                <w:rFonts w:ascii="宋体" w:hAnsi="宋体" w:cs="宋体" w:eastAsia="宋体" w:hint="default"/>
                <w:sz w:val="18"/>
                <w:szCs w:val="18"/>
              </w:rPr>
              <w:t>元</w:t>
            </w:r>
          </w:p>
        </w:tc>
      </w:tr>
      <w:tr>
        <w:trPr>
          <w:trHeight w:val="1278" w:hRule="exact"/>
        </w:trPr>
        <w:tc>
          <w:tcPr>
            <w:tcW w:w="3192" w:type="dxa"/>
            <w:vMerge w:val="restart"/>
            <w:tcBorders>
              <w:top w:val="single" w:sz="4" w:space="0" w:color="000000"/>
              <w:left w:val="single" w:sz="4" w:space="0" w:color="000000"/>
              <w:right w:val="single" w:sz="4" w:space="0" w:color="000000"/>
            </w:tcBorders>
          </w:tcPr>
          <w:p>
            <w:pPr>
              <w:pStyle w:val="TableParagraph"/>
              <w:spacing w:line="316" w:lineRule="auto" w:before="21"/>
              <w:ind w:left="4" w:right="5"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 </w:t>
            </w:r>
            <w:r>
              <w:rPr>
                <w:rFonts w:ascii="宋体" w:hAnsi="宋体" w:cs="宋体" w:eastAsia="宋体" w:hint="default"/>
                <w:spacing w:val="-5"/>
                <w:sz w:val="18"/>
                <w:szCs w:val="18"/>
              </w:rPr>
              <w:t>度一般企业财务报表格式的通知》（财会</w:t>
            </w:r>
            <w:r>
              <w:rPr>
                <w:rFonts w:ascii="宋体" w:hAnsi="宋体" w:cs="宋体" w:eastAsia="宋体" w:hint="default"/>
                <w:sz w:val="18"/>
                <w:szCs w:val="18"/>
              </w:rPr>
              <w:t> </w:t>
            </w:r>
            <w:r>
              <w:rPr>
                <w:rFonts w:ascii="宋体" w:hAnsi="宋体" w:cs="宋体" w:eastAsia="宋体" w:hint="default"/>
                <w:spacing w:val="-11"/>
                <w:sz w:val="18"/>
                <w:szCs w:val="18"/>
              </w:rPr>
              <w:t>[2018]15</w:t>
            </w:r>
            <w:r>
              <w:rPr>
                <w:rFonts w:ascii="宋体" w:hAnsi="宋体" w:cs="宋体" w:eastAsia="宋体" w:hint="default"/>
                <w:spacing w:val="-11"/>
                <w:sz w:val="18"/>
                <w:szCs w:val="18"/>
              </w:rPr>
              <w:t>号），在资产负债表中删除原“固</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定资产清理”项目，归并至“固定资产 </w:t>
            </w:r>
            <w:r>
              <w:rPr>
                <w:rFonts w:ascii="宋体" w:hAnsi="宋体" w:cs="宋体" w:eastAsia="宋体" w:hint="default"/>
                <w:spacing w:val="-4"/>
                <w:sz w:val="18"/>
                <w:szCs w:val="18"/>
              </w:rPr>
              <w:t>项目，反映资产负债表日固定资产的期末</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账面价值和尚未清理完毕的固定资产清 理净损益。</w:t>
            </w: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固定资产</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left="-128" w:right="0"/>
              <w:jc w:val="left"/>
              <w:rPr>
                <w:rFonts w:ascii="宋体" w:hAnsi="宋体" w:cs="宋体" w:eastAsia="宋体" w:hint="default"/>
                <w:sz w:val="18"/>
                <w:szCs w:val="18"/>
              </w:rPr>
            </w:pPr>
            <w:r>
              <w:rPr>
                <w:rFonts w:ascii="宋体" w:hAnsi="宋体" w:cs="宋体" w:eastAsia="宋体" w:hint="default"/>
                <w:sz w:val="18"/>
                <w:szCs w:val="18"/>
              </w:rPr>
              <w:t>”</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1,234,307,153.03</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1,033,044,877.92</w:t>
            </w:r>
            <w:r>
              <w:rPr>
                <w:rFonts w:ascii="宋体" w:hAnsi="宋体" w:cs="宋体" w:eastAsia="宋体" w:hint="default"/>
                <w:sz w:val="18"/>
                <w:szCs w:val="18"/>
              </w:rPr>
              <w:t>元</w:t>
            </w:r>
          </w:p>
        </w:tc>
      </w:tr>
      <w:tr>
        <w:trPr>
          <w:trHeight w:val="936" w:hRule="exact"/>
        </w:trPr>
        <w:tc>
          <w:tcPr>
            <w:tcW w:w="3192" w:type="dxa"/>
            <w:vMerge/>
            <w:tcBorders>
              <w:left w:val="single" w:sz="4" w:space="0" w:color="000000"/>
              <w:bottom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21"/>
              <w:ind w:left="4" w:right="1764"/>
              <w:jc w:val="left"/>
              <w:rPr>
                <w:rFonts w:ascii="宋体" w:hAnsi="宋体" w:cs="宋体" w:eastAsia="宋体" w:hint="default"/>
                <w:sz w:val="18"/>
                <w:szCs w:val="18"/>
              </w:rPr>
            </w:pPr>
            <w:r>
              <w:rPr>
                <w:rFonts w:ascii="宋体" w:hAnsi="宋体" w:cs="宋体" w:eastAsia="宋体" w:hint="default"/>
                <w:sz w:val="18"/>
                <w:szCs w:val="18"/>
              </w:rPr>
              <w:t>本期金额：</w:t>
            </w:r>
            <w:r>
              <w:rPr>
                <w:rFonts w:ascii="Times New Roman" w:hAnsi="Times New Roman" w:cs="Times New Roman" w:eastAsia="Times New Roman" w:hint="default"/>
                <w:sz w:val="18"/>
                <w:szCs w:val="18"/>
              </w:rPr>
              <w:t>0.00</w:t>
            </w:r>
            <w:r>
              <w:rPr>
                <w:rFonts w:ascii="宋体" w:hAnsi="宋体" w:cs="宋体" w:eastAsia="宋体" w:hint="default"/>
                <w:sz w:val="18"/>
                <w:szCs w:val="18"/>
              </w:rPr>
              <w:t>元 上期金额：</w:t>
            </w:r>
            <w:r>
              <w:rPr>
                <w:rFonts w:ascii="Times New Roman" w:hAnsi="Times New Roman" w:cs="Times New Roman" w:eastAsia="Times New Roman" w:hint="default"/>
                <w:sz w:val="18"/>
                <w:szCs w:val="18"/>
              </w:rPr>
              <w:t>0.00</w:t>
            </w:r>
            <w:r>
              <w:rPr>
                <w:rFonts w:ascii="宋体" w:hAnsi="宋体" w:cs="宋体" w:eastAsia="宋体" w:hint="default"/>
                <w:sz w:val="18"/>
                <w:szCs w:val="18"/>
              </w:rPr>
              <w:t>元</w:t>
            </w:r>
          </w:p>
        </w:tc>
      </w:tr>
      <w:tr>
        <w:trPr>
          <w:trHeight w:val="1278" w:hRule="exact"/>
        </w:trPr>
        <w:tc>
          <w:tcPr>
            <w:tcW w:w="3192" w:type="dxa"/>
            <w:vMerge w:val="restart"/>
            <w:tcBorders>
              <w:top w:val="single" w:sz="4" w:space="0" w:color="000000"/>
              <w:left w:val="single" w:sz="4" w:space="0" w:color="000000"/>
              <w:right w:val="single" w:sz="4" w:space="0" w:color="000000"/>
            </w:tcBorders>
          </w:tcPr>
          <w:p>
            <w:pPr>
              <w:pStyle w:val="TableParagraph"/>
              <w:spacing w:line="316" w:lineRule="auto" w:before="21"/>
              <w:ind w:left="4" w:right="5"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 </w:t>
            </w:r>
            <w:r>
              <w:rPr>
                <w:rFonts w:ascii="宋体" w:hAnsi="宋体" w:cs="宋体" w:eastAsia="宋体" w:hint="default"/>
                <w:spacing w:val="-5"/>
                <w:sz w:val="18"/>
                <w:szCs w:val="18"/>
              </w:rPr>
              <w:t>度一般企业财务报表格式的通知》（财会</w:t>
            </w:r>
            <w:r>
              <w:rPr>
                <w:rFonts w:ascii="宋体" w:hAnsi="宋体" w:cs="宋体" w:eastAsia="宋体" w:hint="default"/>
                <w:sz w:val="18"/>
                <w:szCs w:val="18"/>
              </w:rPr>
              <w:t> </w:t>
            </w:r>
            <w:r>
              <w:rPr>
                <w:rFonts w:ascii="宋体" w:hAnsi="宋体" w:cs="宋体" w:eastAsia="宋体" w:hint="default"/>
                <w:spacing w:val="-11"/>
                <w:sz w:val="18"/>
                <w:szCs w:val="18"/>
              </w:rPr>
              <w:t>[2018]15</w:t>
            </w:r>
            <w:r>
              <w:rPr>
                <w:rFonts w:ascii="宋体" w:hAnsi="宋体" w:cs="宋体" w:eastAsia="宋体" w:hint="default"/>
                <w:spacing w:val="-11"/>
                <w:sz w:val="18"/>
                <w:szCs w:val="18"/>
              </w:rPr>
              <w:t>号），在资产负债表中删除原“工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9"/>
                <w:sz w:val="18"/>
                <w:szCs w:val="18"/>
              </w:rPr>
              <w:t>程物资”项目，归并至“在建工程”项目</w:t>
            </w:r>
            <w:r>
              <w:rPr>
                <w:rFonts w:ascii="宋体" w:hAnsi="宋体" w:cs="宋体" w:eastAsia="宋体" w:hint="default"/>
                <w:sz w:val="18"/>
                <w:szCs w:val="18"/>
              </w:rPr>
              <w:t> 反映资产负债表日尚未达到预定可使用 状态的在建工程的期末账面价值和为在 建工程准备的各种物资的期末账面价值</w:t>
            </w: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在建工程</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165,595,023.06</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378,545,016.60</w:t>
            </w:r>
            <w:r>
              <w:rPr>
                <w:rFonts w:ascii="宋体" w:hAnsi="宋体" w:cs="宋体" w:eastAsia="宋体" w:hint="default"/>
                <w:sz w:val="18"/>
                <w:szCs w:val="18"/>
              </w:rPr>
              <w:t>元</w:t>
            </w:r>
          </w:p>
        </w:tc>
      </w:tr>
      <w:tr>
        <w:trPr>
          <w:trHeight w:val="936" w:hRule="exact"/>
        </w:trPr>
        <w:tc>
          <w:tcPr>
            <w:tcW w:w="3192" w:type="dxa"/>
            <w:vMerge/>
            <w:tcBorders>
              <w:left w:val="single" w:sz="4" w:space="0" w:color="000000"/>
              <w:bottom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工程物资</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left="-128" w:right="0"/>
              <w:jc w:val="left"/>
              <w:rPr>
                <w:rFonts w:ascii="宋体" w:hAnsi="宋体" w:cs="宋体" w:eastAsia="宋体" w:hint="default"/>
                <w:sz w:val="18"/>
                <w:szCs w:val="18"/>
              </w:rPr>
            </w:pPr>
            <w:r>
              <w:rPr>
                <w:rFonts w:ascii="宋体" w:hAnsi="宋体" w:cs="宋体" w:eastAsia="宋体" w:hint="default"/>
                <w:sz w:val="18"/>
                <w:szCs w:val="18"/>
              </w:rPr>
              <w:t>。</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21"/>
              <w:ind w:left="4" w:right="1764"/>
              <w:jc w:val="left"/>
              <w:rPr>
                <w:rFonts w:ascii="宋体" w:hAnsi="宋体" w:cs="宋体" w:eastAsia="宋体" w:hint="default"/>
                <w:sz w:val="18"/>
                <w:szCs w:val="18"/>
              </w:rPr>
            </w:pPr>
            <w:r>
              <w:rPr>
                <w:rFonts w:ascii="宋体" w:hAnsi="宋体" w:cs="宋体" w:eastAsia="宋体" w:hint="default"/>
                <w:sz w:val="18"/>
                <w:szCs w:val="18"/>
              </w:rPr>
              <w:t>本期金额：</w:t>
            </w:r>
            <w:r>
              <w:rPr>
                <w:rFonts w:ascii="Times New Roman" w:hAnsi="Times New Roman" w:cs="Times New Roman" w:eastAsia="Times New Roman" w:hint="default"/>
                <w:sz w:val="18"/>
                <w:szCs w:val="18"/>
              </w:rPr>
              <w:t>0.00</w:t>
            </w:r>
            <w:r>
              <w:rPr>
                <w:rFonts w:ascii="宋体" w:hAnsi="宋体" w:cs="宋体" w:eastAsia="宋体" w:hint="default"/>
                <w:sz w:val="18"/>
                <w:szCs w:val="18"/>
              </w:rPr>
              <w:t>元 上期金额：</w:t>
            </w:r>
            <w:r>
              <w:rPr>
                <w:rFonts w:ascii="Times New Roman" w:hAnsi="Times New Roman" w:cs="Times New Roman" w:eastAsia="Times New Roman" w:hint="default"/>
                <w:sz w:val="18"/>
                <w:szCs w:val="18"/>
              </w:rPr>
              <w:t>0.00</w:t>
            </w:r>
            <w:r>
              <w:rPr>
                <w:rFonts w:ascii="宋体" w:hAnsi="宋体" w:cs="宋体" w:eastAsia="宋体" w:hint="default"/>
                <w:sz w:val="18"/>
                <w:szCs w:val="18"/>
              </w:rPr>
              <w:t>元</w:t>
            </w:r>
          </w:p>
        </w:tc>
      </w:tr>
      <w:tr>
        <w:trPr>
          <w:trHeight w:val="1278" w:hRule="exact"/>
        </w:trPr>
        <w:tc>
          <w:tcPr>
            <w:tcW w:w="3192" w:type="dxa"/>
            <w:vMerge w:val="restart"/>
            <w:tcBorders>
              <w:top w:val="single" w:sz="4" w:space="0" w:color="000000"/>
              <w:left w:val="single" w:sz="4" w:space="0" w:color="000000"/>
              <w:right w:val="single" w:sz="4" w:space="0" w:color="000000"/>
            </w:tcBorders>
          </w:tcPr>
          <w:p>
            <w:pPr>
              <w:pStyle w:val="TableParagraph"/>
              <w:spacing w:line="316" w:lineRule="auto" w:before="21"/>
              <w:ind w:left="4" w:right="-15" w:firstLine="420"/>
              <w:jc w:val="both"/>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 </w:t>
            </w:r>
            <w:r>
              <w:rPr>
                <w:rFonts w:ascii="宋体" w:hAnsi="宋体" w:cs="宋体" w:eastAsia="宋体" w:hint="default"/>
                <w:spacing w:val="-5"/>
                <w:sz w:val="18"/>
                <w:szCs w:val="18"/>
              </w:rPr>
              <w:t>度一般企业财务报表格式的通知》（财会</w:t>
            </w:r>
            <w:r>
              <w:rPr>
                <w:rFonts w:ascii="宋体" w:hAnsi="宋体" w:cs="宋体" w:eastAsia="宋体" w:hint="default"/>
                <w:sz w:val="18"/>
                <w:szCs w:val="18"/>
              </w:rPr>
              <w:t> </w:t>
            </w:r>
            <w:r>
              <w:rPr>
                <w:rFonts w:ascii="宋体" w:hAnsi="宋体" w:cs="宋体" w:eastAsia="宋体" w:hint="default"/>
                <w:spacing w:val="-11"/>
                <w:sz w:val="18"/>
                <w:szCs w:val="18"/>
              </w:rPr>
              <w:t>[2018]15</w:t>
            </w:r>
            <w:r>
              <w:rPr>
                <w:rFonts w:ascii="宋体" w:hAnsi="宋体" w:cs="宋体" w:eastAsia="宋体" w:hint="default"/>
                <w:spacing w:val="-11"/>
                <w:sz w:val="18"/>
                <w:szCs w:val="18"/>
              </w:rPr>
              <w:t>号），在资产负债表中删除原“应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付票据”及“应付账款”项目，将其整合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为新增的“应付票据及应付账款”项目，</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4"/>
                <w:sz w:val="18"/>
                <w:szCs w:val="18"/>
              </w:rPr>
              <w:t>反映资产负债表日因购买材料、商品和接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受服务等经营活动应支付的款项，以及开</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出、承兑的商业汇票，包括银行承兑汇票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和商业承兑汇票。</w:t>
            </w: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917,669,360.03</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1,164,004,777.67</w:t>
            </w:r>
            <w:r>
              <w:rPr>
                <w:rFonts w:ascii="宋体" w:hAnsi="宋体" w:cs="宋体" w:eastAsia="宋体" w:hint="default"/>
                <w:sz w:val="18"/>
                <w:szCs w:val="18"/>
              </w:rPr>
              <w:t>元</w:t>
            </w:r>
          </w:p>
        </w:tc>
      </w:tr>
      <w:tr>
        <w:trPr>
          <w:trHeight w:val="1278" w:hRule="exact"/>
        </w:trPr>
        <w:tc>
          <w:tcPr>
            <w:tcW w:w="3192" w:type="dxa"/>
            <w:vMerge/>
            <w:tcBorders>
              <w:left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186,418,052.15</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139,623,906.42</w:t>
            </w:r>
            <w:r>
              <w:rPr>
                <w:rFonts w:ascii="宋体" w:hAnsi="宋体" w:cs="宋体" w:eastAsia="宋体" w:hint="default"/>
                <w:sz w:val="18"/>
                <w:szCs w:val="18"/>
              </w:rPr>
              <w:t>元</w:t>
            </w:r>
          </w:p>
        </w:tc>
      </w:tr>
      <w:tr>
        <w:trPr>
          <w:trHeight w:val="1278" w:hRule="exact"/>
        </w:trPr>
        <w:tc>
          <w:tcPr>
            <w:tcW w:w="3192" w:type="dxa"/>
            <w:vMerge/>
            <w:tcBorders>
              <w:left w:val="single" w:sz="4" w:space="0" w:color="000000"/>
              <w:bottom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731,251,307.88</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1,024,380,871.25</w:t>
            </w:r>
            <w:r>
              <w:rPr>
                <w:rFonts w:ascii="宋体" w:hAnsi="宋体" w:cs="宋体" w:eastAsia="宋体" w:hint="default"/>
                <w:sz w:val="18"/>
                <w:szCs w:val="18"/>
              </w:rPr>
              <w:t>元</w:t>
            </w:r>
          </w:p>
        </w:tc>
      </w:tr>
      <w:tr>
        <w:trPr>
          <w:trHeight w:val="1278" w:hRule="exact"/>
        </w:trPr>
        <w:tc>
          <w:tcPr>
            <w:tcW w:w="3192" w:type="dxa"/>
            <w:vMerge w:val="restart"/>
            <w:tcBorders>
              <w:top w:val="single" w:sz="4" w:space="0" w:color="000000"/>
              <w:left w:val="single" w:sz="4" w:space="0" w:color="000000"/>
              <w:right w:val="single" w:sz="4" w:space="0" w:color="000000"/>
            </w:tcBorders>
          </w:tcPr>
          <w:p>
            <w:pPr>
              <w:pStyle w:val="TableParagraph"/>
              <w:spacing w:line="319" w:lineRule="auto" w:before="21"/>
              <w:ind w:left="4" w:right="5" w:firstLine="420"/>
              <w:jc w:val="both"/>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 </w:t>
            </w:r>
            <w:r>
              <w:rPr>
                <w:rFonts w:ascii="宋体" w:hAnsi="宋体" w:cs="宋体" w:eastAsia="宋体" w:hint="default"/>
                <w:spacing w:val="-5"/>
                <w:sz w:val="18"/>
                <w:szCs w:val="18"/>
              </w:rPr>
              <w:t>度一般企业财务报表格式的通知》（财会</w:t>
            </w:r>
            <w:r>
              <w:rPr>
                <w:rFonts w:ascii="宋体" w:hAnsi="宋体" w:cs="宋体" w:eastAsia="宋体" w:hint="default"/>
                <w:sz w:val="18"/>
                <w:szCs w:val="18"/>
              </w:rPr>
              <w:t> </w:t>
            </w:r>
            <w:r>
              <w:rPr>
                <w:rFonts w:ascii="宋体" w:hAnsi="宋体" w:cs="宋体" w:eastAsia="宋体" w:hint="default"/>
                <w:spacing w:val="-11"/>
                <w:sz w:val="18"/>
                <w:szCs w:val="18"/>
              </w:rPr>
              <w:t>[2018]15</w:t>
            </w:r>
            <w:r>
              <w:rPr>
                <w:rFonts w:ascii="宋体" w:hAnsi="宋体" w:cs="宋体" w:eastAsia="宋体" w:hint="default"/>
                <w:spacing w:val="-11"/>
                <w:sz w:val="18"/>
                <w:szCs w:val="18"/>
              </w:rPr>
              <w:t>号），在资产负债表中删除原“应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4"/>
                <w:sz w:val="18"/>
                <w:szCs w:val="18"/>
              </w:rPr>
              <w:t>付利息”及“应付股利”项目，归并至“其</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他应付款”项目。</w:t>
            </w: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45,368,521.24</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7"/>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47,925,487.37</w:t>
            </w:r>
            <w:r>
              <w:rPr>
                <w:rFonts w:ascii="宋体" w:hAnsi="宋体" w:cs="宋体" w:eastAsia="宋体" w:hint="default"/>
                <w:sz w:val="18"/>
                <w:szCs w:val="18"/>
              </w:rPr>
              <w:t>元</w:t>
            </w:r>
          </w:p>
        </w:tc>
      </w:tr>
      <w:tr>
        <w:trPr>
          <w:trHeight w:val="966" w:hRule="exact"/>
        </w:trPr>
        <w:tc>
          <w:tcPr>
            <w:tcW w:w="3192" w:type="dxa"/>
            <w:vMerge/>
            <w:tcBorders>
              <w:left w:val="single" w:sz="4" w:space="0" w:color="000000"/>
              <w:bottom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2,868,509.53</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tc>
      </w:tr>
    </w:tbl>
    <w:p>
      <w:pPr>
        <w:spacing w:after="0" w:line="240"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3192"/>
        <w:gridCol w:w="3201"/>
        <w:gridCol w:w="3176"/>
      </w:tblGrid>
      <w:tr>
        <w:trPr>
          <w:trHeight w:val="342" w:hRule="exact"/>
        </w:trPr>
        <w:tc>
          <w:tcPr>
            <w:tcW w:w="3192" w:type="dxa"/>
            <w:vMerge w:val="restart"/>
            <w:tcBorders>
              <w:top w:val="single" w:sz="4" w:space="0" w:color="000000"/>
              <w:left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862,375.80</w:t>
            </w:r>
            <w:r>
              <w:rPr>
                <w:rFonts w:ascii="宋体" w:hAnsi="宋体" w:cs="宋体" w:eastAsia="宋体" w:hint="default"/>
                <w:sz w:val="18"/>
                <w:szCs w:val="18"/>
              </w:rPr>
              <w:t>元</w:t>
            </w:r>
          </w:p>
        </w:tc>
      </w:tr>
      <w:tr>
        <w:trPr>
          <w:trHeight w:val="1278" w:hRule="exact"/>
        </w:trPr>
        <w:tc>
          <w:tcPr>
            <w:tcW w:w="3192" w:type="dxa"/>
            <w:vMerge/>
            <w:tcBorders>
              <w:left w:val="single" w:sz="4" w:space="0" w:color="000000"/>
              <w:bottom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0.00</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7"/>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0.00</w:t>
            </w:r>
            <w:r>
              <w:rPr>
                <w:rFonts w:ascii="宋体" w:hAnsi="宋体" w:cs="宋体" w:eastAsia="宋体" w:hint="default"/>
                <w:sz w:val="18"/>
                <w:szCs w:val="18"/>
              </w:rPr>
              <w:t>元</w:t>
            </w:r>
          </w:p>
        </w:tc>
      </w:tr>
      <w:tr>
        <w:trPr>
          <w:trHeight w:val="1278" w:hRule="exact"/>
        </w:trPr>
        <w:tc>
          <w:tcPr>
            <w:tcW w:w="3192" w:type="dxa"/>
            <w:vMerge w:val="restart"/>
            <w:tcBorders>
              <w:top w:val="single" w:sz="4" w:space="0" w:color="000000"/>
              <w:left w:val="single" w:sz="4" w:space="0" w:color="000000"/>
              <w:right w:val="single" w:sz="4" w:space="0" w:color="000000"/>
            </w:tcBorders>
          </w:tcPr>
          <w:p>
            <w:pPr>
              <w:pStyle w:val="TableParagraph"/>
              <w:spacing w:line="316" w:lineRule="auto" w:before="21"/>
              <w:ind w:left="4" w:right="4" w:firstLine="420"/>
              <w:jc w:val="both"/>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 </w:t>
            </w:r>
            <w:r>
              <w:rPr>
                <w:rFonts w:ascii="宋体" w:hAnsi="宋体" w:cs="宋体" w:eastAsia="宋体" w:hint="default"/>
                <w:spacing w:val="-5"/>
                <w:sz w:val="18"/>
                <w:szCs w:val="18"/>
              </w:rPr>
              <w:t>度一般企业财务报表格式的通知》（财会</w:t>
            </w:r>
            <w:r>
              <w:rPr>
                <w:rFonts w:ascii="宋体" w:hAnsi="宋体" w:cs="宋体" w:eastAsia="宋体" w:hint="default"/>
                <w:sz w:val="18"/>
                <w:szCs w:val="18"/>
              </w:rPr>
              <w:t> </w:t>
            </w:r>
            <w:r>
              <w:rPr>
                <w:rFonts w:ascii="宋体" w:hAnsi="宋体" w:cs="宋体" w:eastAsia="宋体" w:hint="default"/>
                <w:spacing w:val="-5"/>
                <w:sz w:val="18"/>
                <w:szCs w:val="18"/>
              </w:rPr>
              <w:t>[2018]15</w:t>
            </w:r>
            <w:r>
              <w:rPr>
                <w:rFonts w:ascii="宋体" w:hAnsi="宋体" w:cs="宋体" w:eastAsia="宋体" w:hint="default"/>
                <w:spacing w:val="-5"/>
                <w:sz w:val="18"/>
                <w:szCs w:val="18"/>
              </w:rPr>
              <w:t>号），在利润表中新增“研发费</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4"/>
                <w:sz w:val="18"/>
                <w:szCs w:val="18"/>
              </w:rPr>
              <w:t>用”项目，反映进行研究与开发过程中发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生的费用化支出。</w:t>
            </w: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161,399,861.30</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106,034,890.80</w:t>
            </w:r>
            <w:r>
              <w:rPr>
                <w:rFonts w:ascii="宋体" w:hAnsi="宋体" w:cs="宋体" w:eastAsia="宋体" w:hint="default"/>
                <w:sz w:val="18"/>
                <w:szCs w:val="18"/>
              </w:rPr>
              <w:t>元</w:t>
            </w:r>
          </w:p>
        </w:tc>
      </w:tr>
      <w:tr>
        <w:trPr>
          <w:trHeight w:val="1278" w:hRule="exact"/>
        </w:trPr>
        <w:tc>
          <w:tcPr>
            <w:tcW w:w="3192" w:type="dxa"/>
            <w:vMerge/>
            <w:tcBorders>
              <w:left w:val="single" w:sz="4" w:space="0" w:color="000000"/>
              <w:bottom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105,363,180.20</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98,893,572.55</w:t>
            </w:r>
            <w:r>
              <w:rPr>
                <w:rFonts w:ascii="宋体" w:hAnsi="宋体" w:cs="宋体" w:eastAsia="宋体" w:hint="default"/>
                <w:sz w:val="18"/>
                <w:szCs w:val="18"/>
              </w:rPr>
              <w:t>元</w:t>
            </w:r>
          </w:p>
        </w:tc>
      </w:tr>
      <w:tr>
        <w:trPr>
          <w:trHeight w:val="1278" w:hRule="exact"/>
        </w:trPr>
        <w:tc>
          <w:tcPr>
            <w:tcW w:w="3192" w:type="dxa"/>
            <w:vMerge w:val="restart"/>
            <w:tcBorders>
              <w:top w:val="single" w:sz="4" w:space="0" w:color="000000"/>
              <w:left w:val="single" w:sz="4" w:space="0" w:color="000000"/>
              <w:right w:val="single" w:sz="4" w:space="0" w:color="000000"/>
            </w:tcBorders>
          </w:tcPr>
          <w:p>
            <w:pPr>
              <w:pStyle w:val="TableParagraph"/>
              <w:spacing w:line="316" w:lineRule="auto" w:before="21"/>
              <w:ind w:left="4" w:right="25"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 </w:t>
            </w:r>
            <w:r>
              <w:rPr>
                <w:rFonts w:ascii="宋体" w:hAnsi="宋体" w:cs="宋体" w:eastAsia="宋体" w:hint="default"/>
                <w:spacing w:val="-5"/>
                <w:sz w:val="18"/>
                <w:szCs w:val="18"/>
              </w:rPr>
              <w:t>度一般企业财务报表格式的通知》（财会</w:t>
            </w:r>
            <w:r>
              <w:rPr>
                <w:rFonts w:ascii="宋体" w:hAnsi="宋体" w:cs="宋体" w:eastAsia="宋体" w:hint="default"/>
                <w:sz w:val="18"/>
                <w:szCs w:val="18"/>
              </w:rPr>
              <w:t> </w:t>
            </w:r>
            <w:r>
              <w:rPr>
                <w:rFonts w:ascii="宋体" w:hAnsi="宋体" w:cs="宋体" w:eastAsia="宋体" w:hint="default"/>
                <w:spacing w:val="-5"/>
                <w:sz w:val="18"/>
                <w:szCs w:val="18"/>
              </w:rPr>
              <w:t>[2018]15</w:t>
            </w:r>
            <w:r>
              <w:rPr>
                <w:rFonts w:ascii="宋体" w:hAnsi="宋体" w:cs="宋体" w:eastAsia="宋体" w:hint="default"/>
                <w:spacing w:val="-5"/>
                <w:sz w:val="18"/>
                <w:szCs w:val="18"/>
              </w:rPr>
              <w:t>号），在利润表“财务费用”下</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新增“利息费用”与“利息收入”项目 分别反映为筹集生产经营所需资金等而 发生的应予费用化的利息支出和确认的 利息收入。</w:t>
            </w: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利息费用</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left="-128" w:right="0"/>
              <w:jc w:val="left"/>
              <w:rPr>
                <w:rFonts w:ascii="宋体" w:hAnsi="宋体" w:cs="宋体" w:eastAsia="宋体" w:hint="default"/>
                <w:sz w:val="18"/>
                <w:szCs w:val="18"/>
              </w:rPr>
            </w:pPr>
            <w:r>
              <w:rPr>
                <w:rFonts w:ascii="宋体" w:hAnsi="宋体" w:cs="宋体" w:eastAsia="宋体" w:hint="default"/>
                <w:sz w:val="18"/>
                <w:szCs w:val="18"/>
              </w:rPr>
              <w:t>，</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28,877,813.98</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18,308,140.48</w:t>
            </w:r>
            <w:r>
              <w:rPr>
                <w:rFonts w:ascii="宋体" w:hAnsi="宋体" w:cs="宋体" w:eastAsia="宋体" w:hint="default"/>
                <w:sz w:val="18"/>
                <w:szCs w:val="18"/>
              </w:rPr>
              <w:t>元</w:t>
            </w:r>
          </w:p>
        </w:tc>
      </w:tr>
      <w:tr>
        <w:trPr>
          <w:trHeight w:val="1278" w:hRule="exact"/>
        </w:trPr>
        <w:tc>
          <w:tcPr>
            <w:tcW w:w="3192" w:type="dxa"/>
            <w:vMerge/>
            <w:tcBorders>
              <w:left w:val="single" w:sz="4" w:space="0" w:color="000000"/>
              <w:bottom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3,818,492.77</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8,085,186.23</w:t>
            </w:r>
            <w:r>
              <w:rPr>
                <w:rFonts w:ascii="宋体" w:hAnsi="宋体" w:cs="宋体" w:eastAsia="宋体" w:hint="default"/>
                <w:sz w:val="18"/>
                <w:szCs w:val="18"/>
              </w:rPr>
              <w:t>元</w:t>
            </w:r>
          </w:p>
        </w:tc>
      </w:tr>
      <w:tr>
        <w:trPr>
          <w:trHeight w:val="1278" w:hRule="exact"/>
        </w:trPr>
        <w:tc>
          <w:tcPr>
            <w:tcW w:w="3192" w:type="dxa"/>
            <w:vMerge w:val="restart"/>
            <w:tcBorders>
              <w:top w:val="single" w:sz="4" w:space="0" w:color="000000"/>
              <w:left w:val="single" w:sz="4" w:space="0" w:color="000000"/>
              <w:right w:val="single" w:sz="4" w:space="0" w:color="000000"/>
            </w:tcBorders>
          </w:tcPr>
          <w:p>
            <w:pPr>
              <w:pStyle w:val="TableParagraph"/>
              <w:spacing w:line="316" w:lineRule="auto" w:before="21"/>
              <w:ind w:left="4" w:right="5" w:firstLine="420"/>
              <w:jc w:val="left"/>
              <w:rPr>
                <w:rFonts w:ascii="宋体" w:hAnsi="宋体" w:cs="宋体" w:eastAsia="宋体" w:hint="default"/>
                <w:sz w:val="18"/>
                <w:szCs w:val="18"/>
              </w:rPr>
            </w:pPr>
            <w:r>
              <w:rPr>
                <w:rFonts w:ascii="宋体" w:hAnsi="宋体" w:cs="宋体" w:eastAsia="宋体" w:hint="default"/>
                <w:sz w:val="18"/>
                <w:szCs w:val="18"/>
              </w:rPr>
              <w:t>根据《财政部关于修订印发</w:t>
            </w:r>
            <w:r>
              <w:rPr>
                <w:rFonts w:ascii="宋体" w:hAnsi="宋体" w:cs="宋体" w:eastAsia="宋体" w:hint="default"/>
                <w:sz w:val="18"/>
                <w:szCs w:val="18"/>
              </w:rPr>
              <w:t>2018</w:t>
            </w:r>
            <w:r>
              <w:rPr>
                <w:rFonts w:ascii="宋体" w:hAnsi="宋体" w:cs="宋体" w:eastAsia="宋体" w:hint="default"/>
                <w:sz w:val="18"/>
                <w:szCs w:val="18"/>
              </w:rPr>
              <w:t>年 </w:t>
            </w:r>
            <w:r>
              <w:rPr>
                <w:rFonts w:ascii="宋体" w:hAnsi="宋体" w:cs="宋体" w:eastAsia="宋体" w:hint="default"/>
                <w:spacing w:val="-5"/>
                <w:sz w:val="18"/>
                <w:szCs w:val="18"/>
              </w:rPr>
              <w:t>度一般企业财务报表格式的通知》（财会</w:t>
            </w:r>
            <w:r>
              <w:rPr>
                <w:rFonts w:ascii="宋体" w:hAnsi="宋体" w:cs="宋体" w:eastAsia="宋体" w:hint="default"/>
                <w:sz w:val="18"/>
                <w:szCs w:val="18"/>
              </w:rPr>
              <w:t> </w:t>
            </w:r>
            <w:r>
              <w:rPr>
                <w:rFonts w:ascii="宋体" w:hAnsi="宋体" w:cs="宋体" w:eastAsia="宋体" w:hint="default"/>
                <w:spacing w:val="-5"/>
                <w:sz w:val="18"/>
                <w:szCs w:val="18"/>
              </w:rPr>
              <w:t>[2018]15</w:t>
            </w:r>
            <w:r>
              <w:rPr>
                <w:rFonts w:ascii="宋体" w:hAnsi="宋体" w:cs="宋体" w:eastAsia="宋体" w:hint="default"/>
                <w:spacing w:val="-5"/>
                <w:sz w:val="18"/>
                <w:szCs w:val="18"/>
              </w:rPr>
              <w:t>号），利润表中将原“权益法下</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在被投资单位以后将重分类进损益的其 他综合收益中享有的份额”项目变更为 </w:t>
            </w:r>
            <w:r>
              <w:rPr>
                <w:rFonts w:ascii="宋体" w:hAnsi="宋体" w:cs="宋体" w:eastAsia="宋体" w:hint="default"/>
                <w:spacing w:val="-4"/>
                <w:sz w:val="18"/>
                <w:szCs w:val="18"/>
              </w:rPr>
              <w:t>“权益法下可转损益的其他综合收益”项</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目。</w:t>
            </w: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权益法下可转损益的其他综合收益</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-135,317.26</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-78,888.41</w:t>
            </w:r>
            <w:r>
              <w:rPr>
                <w:rFonts w:ascii="宋体" w:hAnsi="宋体" w:cs="宋体" w:eastAsia="宋体" w:hint="default"/>
                <w:sz w:val="18"/>
                <w:szCs w:val="18"/>
              </w:rPr>
              <w:t>元</w:t>
            </w:r>
          </w:p>
        </w:tc>
      </w:tr>
      <w:tr>
        <w:trPr>
          <w:trHeight w:val="1278" w:hRule="exact"/>
        </w:trPr>
        <w:tc>
          <w:tcPr>
            <w:tcW w:w="3192" w:type="dxa"/>
            <w:vMerge/>
            <w:tcBorders>
              <w:left w:val="single" w:sz="4" w:space="0" w:color="000000"/>
              <w:bottom w:val="single" w:sz="4" w:space="0" w:color="000000"/>
              <w:right w:val="single" w:sz="4" w:space="0" w:color="000000"/>
            </w:tcBorders>
          </w:tcPr>
          <w:p>
            <w:pPr/>
          </w:p>
        </w:tc>
        <w:tc>
          <w:tcPr>
            <w:tcW w:w="320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124"/>
              <w:jc w:val="left"/>
              <w:rPr>
                <w:rFonts w:ascii="宋体" w:hAnsi="宋体" w:cs="宋体" w:eastAsia="宋体" w:hint="default"/>
                <w:sz w:val="18"/>
                <w:szCs w:val="18"/>
              </w:rPr>
            </w:pPr>
            <w:r>
              <w:rPr>
                <w:rFonts w:ascii="宋体" w:hAnsi="宋体" w:cs="宋体" w:eastAsia="宋体" w:hint="default"/>
                <w:sz w:val="18"/>
                <w:szCs w:val="18"/>
              </w:rPr>
              <w:t>权益法下在被投资单位以后将重分类进 损益的其他综合收益中享有的份额</w:t>
            </w:r>
          </w:p>
        </w:tc>
        <w:tc>
          <w:tcPr>
            <w:tcW w:w="3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-135,317.26</w:t>
            </w:r>
            <w:r>
              <w:rPr>
                <w:rFonts w:ascii="宋体" w:hAnsi="宋体" w:cs="宋体" w:eastAsia="宋体" w:hint="default"/>
                <w:sz w:val="18"/>
                <w:szCs w:val="18"/>
              </w:rPr>
              <w:t>元</w:t>
            </w:r>
          </w:p>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6"/>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-78,888.41</w:t>
            </w:r>
            <w:r>
              <w:rPr>
                <w:rFonts w:ascii="宋体" w:hAnsi="宋体" w:cs="宋体" w:eastAsia="宋体" w:hint="default"/>
                <w:sz w:val="18"/>
                <w:szCs w:val="18"/>
              </w:rPr>
              <w:t>元</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2）重要会计估计变更" w:id="220"/>
      <w:bookmarkEnd w:id="220"/>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7"/>
        <w:gridCol w:w="2388"/>
        <w:gridCol w:w="2392"/>
        <w:gridCol w:w="2392"/>
      </w:tblGrid>
      <w:tr>
        <w:trPr>
          <w:trHeight w:val="402" w:hRule="exact"/>
        </w:trPr>
        <w:tc>
          <w:tcPr>
            <w:tcW w:w="23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2" w:right="0"/>
              <w:jc w:val="left"/>
              <w:rPr>
                <w:rFonts w:ascii="宋体" w:hAnsi="宋体" w:cs="宋体" w:eastAsia="宋体" w:hint="default"/>
                <w:sz w:val="18"/>
                <w:szCs w:val="18"/>
              </w:rPr>
            </w:pPr>
            <w:r>
              <w:rPr>
                <w:rFonts w:ascii="宋体" w:hAnsi="宋体" w:cs="宋体" w:eastAsia="宋体" w:hint="default"/>
                <w:sz w:val="18"/>
                <w:szCs w:val="18"/>
              </w:rPr>
              <w:t>会计估计变更的内容和原因</w:t>
            </w:r>
          </w:p>
        </w:tc>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0" w:right="0"/>
              <w:jc w:val="left"/>
              <w:rPr>
                <w:rFonts w:ascii="宋体" w:hAnsi="宋体" w:cs="宋体" w:eastAsia="宋体" w:hint="default"/>
                <w:sz w:val="18"/>
                <w:szCs w:val="18"/>
              </w:rPr>
            </w:pPr>
            <w:r>
              <w:rPr>
                <w:rFonts w:ascii="宋体" w:hAnsi="宋体" w:cs="宋体" w:eastAsia="宋体" w:hint="default"/>
                <w:sz w:val="18"/>
                <w:szCs w:val="18"/>
              </w:rPr>
              <w:t>开始适用的时点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2859" w:hRule="exact"/>
        </w:trPr>
        <w:tc>
          <w:tcPr>
            <w:tcW w:w="23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23"/>
              <w:jc w:val="both"/>
              <w:rPr>
                <w:rFonts w:ascii="宋体" w:hAnsi="宋体" w:cs="宋体" w:eastAsia="宋体" w:hint="default"/>
                <w:sz w:val="18"/>
                <w:szCs w:val="18"/>
              </w:rPr>
            </w:pPr>
            <w:r>
              <w:rPr>
                <w:rFonts w:ascii="宋体" w:hAnsi="宋体" w:cs="宋体" w:eastAsia="宋体" w:hint="default"/>
                <w:sz w:val="18"/>
                <w:szCs w:val="18"/>
              </w:rPr>
              <w:t>会计估计变更的内容：本报 告期内公司对信用风险特征 组合中应收款项账龄组合的 部分，按照账龄分析法计提 坏账准备的比例根据实际测 算比例进行调整；对应收的 押金、保证金组合不计提坏 账准备。会计估计变更的原 因：公司经营规模持续发展</w:t>
            </w: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314" w:lineRule="auto"/>
              <w:ind w:left="103" w:right="113"/>
              <w:jc w:val="left"/>
              <w:rPr>
                <w:rFonts w:ascii="宋体" w:hAnsi="宋体" w:cs="宋体" w:eastAsia="宋体" w:hint="default"/>
                <w:sz w:val="18"/>
                <w:szCs w:val="18"/>
              </w:rPr>
            </w:pPr>
            <w:r>
              <w:rPr>
                <w:rFonts w:ascii="宋体" w:hAnsi="宋体" w:cs="宋体" w:eastAsia="宋体" w:hint="default"/>
                <w:sz w:val="18"/>
                <w:szCs w:val="18"/>
              </w:rPr>
              <w:t>会计估计变更经公司第四届 董事会第十九次会议、第四 届监事会第十四次会议、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年第三次临时股东大 会会议审议通过。</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2397"/>
        <w:gridCol w:w="2388"/>
        <w:gridCol w:w="2392"/>
        <w:gridCol w:w="2392"/>
      </w:tblGrid>
      <w:tr>
        <w:trPr>
          <w:trHeight w:val="1611" w:hRule="exact"/>
        </w:trPr>
        <w:tc>
          <w:tcPr>
            <w:tcW w:w="23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23"/>
              <w:jc w:val="both"/>
              <w:rPr>
                <w:rFonts w:ascii="宋体" w:hAnsi="宋体" w:cs="宋体" w:eastAsia="宋体" w:hint="default"/>
                <w:sz w:val="18"/>
                <w:szCs w:val="18"/>
              </w:rPr>
            </w:pPr>
            <w:r>
              <w:rPr>
                <w:rFonts w:ascii="宋体" w:hAnsi="宋体" w:cs="宋体" w:eastAsia="宋体" w:hint="default"/>
                <w:sz w:val="18"/>
                <w:szCs w:val="18"/>
              </w:rPr>
              <w:t>及销售渠道拓展，销售客户 结构优化，公司不断加强对 应收款项的坏账风险管控， 实际坏账发生比例远低于前 期测算确定的比例。</w:t>
            </w:r>
          </w:p>
        </w:tc>
        <w:tc>
          <w:tcPr>
            <w:tcW w:w="2388"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bl>
    <w:p>
      <w:pPr>
        <w:pStyle w:val="Heading4"/>
        <w:spacing w:line="260" w:lineRule="exact" w:before="0"/>
        <w:ind w:right="0"/>
        <w:jc w:val="left"/>
      </w:pPr>
      <w:r>
        <w:rPr>
          <w:rFonts w:ascii="宋体" w:hAnsi="宋体" w:cs="宋体" w:eastAsia="宋体" w:hint="default"/>
        </w:rPr>
        <w:t>1.</w:t>
      </w:r>
      <w:r>
        <w:rPr/>
        <w:t>变更前执行的方法：</w:t>
      </w:r>
    </w:p>
    <w:p>
      <w:pPr>
        <w:pStyle w:val="Heading4"/>
        <w:spacing w:line="264" w:lineRule="auto"/>
        <w:ind w:right="1022" w:firstLine="421"/>
        <w:jc w:val="left"/>
      </w:pPr>
      <w:r>
        <w:rPr>
          <w:spacing w:val="-3"/>
        </w:rPr>
        <w:t>对于单项金额重大的应收款项（单项金额超过人民币</w:t>
      </w:r>
      <w:r>
        <w:rPr>
          <w:rFonts w:ascii="Times New Roman" w:hAnsi="Times New Roman" w:cs="Times New Roman" w:eastAsia="Times New Roman" w:hint="default"/>
          <w:spacing w:val="-3"/>
        </w:rPr>
        <w:t>50</w:t>
      </w:r>
      <w:r>
        <w:rPr>
          <w:spacing w:val="-3"/>
        </w:rPr>
        <w:t>万）、其他应收款（单项金额超过人民币</w:t>
      </w:r>
      <w:r>
        <w:rPr>
          <w:rFonts w:ascii="Times New Roman" w:hAnsi="Times New Roman" w:cs="Times New Roman" w:eastAsia="Times New Roman" w:hint="default"/>
          <w:spacing w:val="-3"/>
        </w:rPr>
        <w:t>10</w:t>
      </w:r>
      <w:r>
        <w:rPr>
          <w:spacing w:val="-3"/>
        </w:rPr>
        <w:t>万）</w:t>
      </w:r>
      <w:r>
        <w:rPr>
          <w:spacing w:val="-2"/>
        </w:rPr>
        <w:t> </w:t>
      </w:r>
      <w:r>
        <w:rPr/>
        <w:t>及有减值迹象的单项金额虽不重大的应收款项，应单独进行减值测试，有客观证据表明其发生了减值的，</w:t>
      </w:r>
      <w:r>
        <w:rPr/>
        <w:t> 应根据其未来现金流量现值低于其账面价值的差额，确认减值损失，计提坏账准备。</w:t>
      </w:r>
    </w:p>
    <w:p>
      <w:pPr>
        <w:pStyle w:val="Heading4"/>
        <w:spacing w:line="273" w:lineRule="auto" w:before="16"/>
        <w:ind w:right="1301" w:firstLine="421"/>
        <w:jc w:val="left"/>
      </w:pPr>
      <w:r>
        <w:rPr/>
        <w:t>对于剩余单项金额非重大的应收款项与经单独测试后未减值的单项金额重大的应收款项按照信用风 险特征组合计提坏账准备。</w:t>
      </w:r>
    </w:p>
    <w:tbl>
      <w:tblPr>
        <w:tblW w:w="0" w:type="auto"/>
        <w:jc w:val="left"/>
        <w:tblInd w:w="149" w:type="dxa"/>
        <w:tblLayout w:type="fixed"/>
        <w:tblCellMar>
          <w:top w:w="0" w:type="dxa"/>
          <w:left w:w="0" w:type="dxa"/>
          <w:bottom w:w="0" w:type="dxa"/>
          <w:right w:w="0" w:type="dxa"/>
        </w:tblCellMar>
        <w:tblLook w:val="01E0"/>
      </w:tblPr>
      <w:tblGrid>
        <w:gridCol w:w="4262"/>
        <w:gridCol w:w="4262"/>
      </w:tblGrid>
      <w:tr>
        <w:trPr>
          <w:trHeight w:val="342" w:hRule="exact"/>
        </w:trPr>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342" w:hRule="exact"/>
        </w:trPr>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342" w:hRule="exact"/>
        </w:trPr>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应收出口退税款</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不计提坏账准备</w:t>
            </w:r>
          </w:p>
        </w:tc>
      </w:tr>
      <w:tr>
        <w:trPr>
          <w:trHeight w:val="342" w:hRule="exact"/>
        </w:trPr>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应收集团内公司款项</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不计提坏账准备</w:t>
            </w:r>
          </w:p>
        </w:tc>
      </w:tr>
    </w:tbl>
    <w:p>
      <w:pPr>
        <w:pStyle w:val="Heading4"/>
        <w:spacing w:line="240" w:lineRule="auto" w:before="7"/>
        <w:ind w:left="574" w:right="0"/>
        <w:jc w:val="left"/>
      </w:pPr>
      <w:r>
        <w:rPr/>
        <w:t>组合中，采用账龄分析法计提坏账准备：</w:t>
      </w:r>
    </w:p>
    <w:p>
      <w:pPr>
        <w:spacing w:line="240" w:lineRule="auto" w:before="13"/>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2961"/>
        <w:gridCol w:w="2620"/>
        <w:gridCol w:w="2949"/>
      </w:tblGrid>
      <w:tr>
        <w:trPr>
          <w:trHeight w:val="342"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应收账款计提比例</w:t>
            </w:r>
            <w:r>
              <w:rPr>
                <w:rFonts w:ascii="宋体" w:hAnsi="宋体" w:cs="宋体" w:eastAsia="宋体" w:hint="default"/>
                <w:sz w:val="18"/>
                <w:szCs w:val="18"/>
              </w:rPr>
              <w:t>(%)</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其他应收款计提比例</w:t>
            </w:r>
            <w:r>
              <w:rPr>
                <w:rFonts w:ascii="宋体" w:hAnsi="宋体" w:cs="宋体" w:eastAsia="宋体" w:hint="default"/>
                <w:sz w:val="18"/>
                <w:szCs w:val="18"/>
              </w:rPr>
              <w:t>(%)</w:t>
            </w:r>
          </w:p>
        </w:tc>
      </w:tr>
      <w:tr>
        <w:trPr>
          <w:trHeight w:val="342"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年以内（含</w:t>
            </w:r>
            <w:r>
              <w:rPr>
                <w:rFonts w:ascii="宋体" w:hAnsi="宋体" w:cs="宋体" w:eastAsia="宋体" w:hint="default"/>
                <w:sz w:val="18"/>
                <w:szCs w:val="18"/>
              </w:rPr>
              <w:t>1</w:t>
            </w:r>
            <w:r>
              <w:rPr>
                <w:rFonts w:ascii="宋体" w:hAnsi="宋体" w:cs="宋体" w:eastAsia="宋体" w:hint="default"/>
                <w:sz w:val="18"/>
                <w:szCs w:val="18"/>
              </w:rPr>
              <w:t>年）</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sz w:val="18"/>
              </w:rPr>
              <w:t>5</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sz w:val="18"/>
              </w:rPr>
              <w:t>5</w:t>
            </w:r>
          </w:p>
        </w:tc>
      </w:tr>
      <w:tr>
        <w:trPr>
          <w:trHeight w:val="342"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年</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sz w:val="18"/>
              </w:rPr>
              <w:t>10</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sz w:val="18"/>
              </w:rPr>
              <w:t>10</w:t>
            </w:r>
          </w:p>
        </w:tc>
      </w:tr>
      <w:tr>
        <w:trPr>
          <w:trHeight w:val="342"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年</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sz w:val="18"/>
              </w:rPr>
              <w:t>30</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sz w:val="18"/>
              </w:rPr>
              <w:t>30</w:t>
            </w:r>
          </w:p>
        </w:tc>
      </w:tr>
      <w:tr>
        <w:trPr>
          <w:trHeight w:val="342"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年</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sz w:val="18"/>
              </w:rPr>
              <w:t>80</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sz w:val="18"/>
              </w:rPr>
              <w:t>80</w:t>
            </w:r>
          </w:p>
        </w:tc>
      </w:tr>
      <w:tr>
        <w:trPr>
          <w:trHeight w:val="344" w:hRule="exact"/>
        </w:trPr>
        <w:tc>
          <w:tcPr>
            <w:tcW w:w="2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年以上</w:t>
            </w:r>
          </w:p>
        </w:tc>
        <w:tc>
          <w:tcPr>
            <w:tcW w:w="2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sz w:val="18"/>
              </w:rPr>
              <w:t>100</w:t>
            </w:r>
          </w:p>
        </w:tc>
        <w:tc>
          <w:tcPr>
            <w:tcW w:w="2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sz w:val="18"/>
              </w:rPr>
              <w:t>100</w:t>
            </w:r>
          </w:p>
        </w:tc>
      </w:tr>
    </w:tbl>
    <w:p>
      <w:pPr>
        <w:pStyle w:val="BodyText"/>
        <w:spacing w:line="316" w:lineRule="auto" w:before="10"/>
        <w:ind w:left="514" w:right="1131" w:hanging="360"/>
        <w:jc w:val="left"/>
      </w:pPr>
      <w:r>
        <w:rPr>
          <w:rFonts w:ascii="宋体" w:hAnsi="宋体" w:cs="宋体" w:eastAsia="宋体" w:hint="default"/>
        </w:rPr>
        <w:t>2.</w:t>
      </w:r>
      <w:r>
        <w:rPr/>
        <w:t>变更后执行的方法： </w:t>
      </w:r>
      <w:r>
        <w:rPr>
          <w:spacing w:val="-1"/>
        </w:rPr>
        <w:t>详见“第十一节、五、重要会计政策及会计估计”中“</w:t>
      </w:r>
      <w:r>
        <w:rPr>
          <w:rFonts w:ascii="宋体" w:hAnsi="宋体" w:cs="宋体" w:eastAsia="宋体" w:hint="default"/>
          <w:spacing w:val="-1"/>
        </w:rPr>
        <w:t>11</w:t>
      </w:r>
      <w:r>
        <w:rPr>
          <w:spacing w:val="-1"/>
        </w:rPr>
        <w:t>、应收票据及应收账款”中“</w:t>
      </w:r>
      <w:r>
        <w:rPr>
          <w:rFonts w:ascii="Times New Roman" w:hAnsi="Times New Roman" w:cs="Times New Roman" w:eastAsia="Times New Roman" w:hint="default"/>
          <w:spacing w:val="-1"/>
        </w:rPr>
        <w:t>2.</w:t>
      </w:r>
      <w:r>
        <w:rPr>
          <w:spacing w:val="-1"/>
        </w:rPr>
        <w:t>按信用风险特征组合计提坏账</w:t>
      </w:r>
    </w:p>
    <w:p>
      <w:pPr>
        <w:pStyle w:val="BodyText"/>
        <w:spacing w:line="235" w:lineRule="exact"/>
        <w:ind w:right="0"/>
        <w:jc w:val="left"/>
      </w:pPr>
      <w:r>
        <w:rPr/>
        <w:t>准备的应收款项</w:t>
      </w:r>
      <w:r>
        <w:rPr>
          <w:spacing w:val="-90"/>
        </w:rPr>
        <w:t>”</w:t>
      </w:r>
      <w:r>
        <w:rPr/>
        <w:t>。</w:t>
      </w:r>
    </w:p>
    <w:p>
      <w:pPr>
        <w:spacing w:line="240" w:lineRule="auto" w:before="11"/>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466"/>
        <w:gridCol w:w="4052"/>
      </w:tblGrid>
      <w:tr>
        <w:trPr>
          <w:trHeight w:val="342"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57" w:right="0"/>
              <w:jc w:val="left"/>
              <w:rPr>
                <w:rFonts w:ascii="宋体" w:hAnsi="宋体" w:cs="宋体" w:eastAsia="宋体" w:hint="default"/>
                <w:sz w:val="18"/>
                <w:szCs w:val="18"/>
              </w:rPr>
            </w:pPr>
            <w:r>
              <w:rPr>
                <w:rFonts w:ascii="宋体" w:hAnsi="宋体" w:cs="宋体" w:eastAsia="宋体" w:hint="default"/>
                <w:sz w:val="18"/>
                <w:szCs w:val="18"/>
              </w:rPr>
              <w:t>受影响的资产负债表项目名称</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影响金额</w:t>
            </w:r>
          </w:p>
        </w:tc>
      </w:tr>
      <w:tr>
        <w:trPr>
          <w:trHeight w:val="342"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31,921,373.24</w:t>
            </w:r>
          </w:p>
        </w:tc>
      </w:tr>
      <w:tr>
        <w:trPr>
          <w:trHeight w:val="342"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2,865,297.73</w:t>
            </w:r>
          </w:p>
        </w:tc>
      </w:tr>
      <w:tr>
        <w:trPr>
          <w:trHeight w:val="342"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-6,040,914.87</w:t>
            </w:r>
          </w:p>
        </w:tc>
      </w:tr>
      <w:tr>
        <w:trPr>
          <w:trHeight w:val="342"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28,745,756.10</w:t>
            </w:r>
          </w:p>
        </w:tc>
      </w:tr>
      <w:tr>
        <w:trPr>
          <w:trHeight w:val="342"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pacing w:val="-1"/>
                <w:sz w:val="18"/>
              </w:rPr>
              <w:t>28,760,853.31</w:t>
            </w:r>
          </w:p>
        </w:tc>
      </w:tr>
      <w:tr>
        <w:trPr>
          <w:trHeight w:val="342" w:hRule="exact"/>
        </w:trPr>
        <w:tc>
          <w:tcPr>
            <w:tcW w:w="4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w w:val="95"/>
                <w:sz w:val="18"/>
              </w:rPr>
              <w:t>-15,097.21</w:t>
            </w:r>
            <w:r>
              <w:rPr>
                <w:rFonts w:ascii="Times New Roman"/>
                <w:sz w:val="18"/>
              </w:rPr>
            </w:r>
          </w:p>
        </w:tc>
      </w:tr>
    </w:tbl>
    <w:p>
      <w:pPr>
        <w:pStyle w:val="BodyText"/>
        <w:spacing w:line="240" w:lineRule="auto" w:before="10"/>
        <w:ind w:left="577" w:right="0"/>
        <w:jc w:val="left"/>
      </w:pPr>
      <w:r>
        <w:rPr/>
        <w:t>上述会计估计变更对</w:t>
      </w:r>
      <w:r>
        <w:rPr>
          <w:rFonts w:ascii="Times New Roman" w:hAnsi="Times New Roman" w:cs="Times New Roman" w:eastAsia="Times New Roman" w:hint="default"/>
        </w:rPr>
        <w:t>2018</w:t>
      </w:r>
      <w:r>
        <w:rPr/>
        <w:t>年度净利润的影响如下</w:t>
      </w:r>
    </w:p>
    <w:p>
      <w:pPr>
        <w:spacing w:line="240" w:lineRule="auto" w:before="13"/>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4531"/>
        <w:gridCol w:w="4052"/>
      </w:tblGrid>
      <w:tr>
        <w:trPr>
          <w:trHeight w:val="342"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影响金额</w:t>
            </w:r>
          </w:p>
        </w:tc>
      </w:tr>
      <w:tr>
        <w:trPr>
          <w:trHeight w:val="342"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-34,786,670.97</w:t>
            </w:r>
          </w:p>
        </w:tc>
      </w:tr>
      <w:tr>
        <w:trPr>
          <w:trHeight w:val="342"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6,040,914.87</w:t>
            </w:r>
          </w:p>
        </w:tc>
      </w:tr>
      <w:tr>
        <w:trPr>
          <w:trHeight w:val="342"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28,745,756.10</w:t>
            </w:r>
          </w:p>
        </w:tc>
      </w:tr>
      <w:tr>
        <w:trPr>
          <w:trHeight w:val="342"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w w:val="95"/>
                <w:sz w:val="18"/>
              </w:rPr>
              <w:t>-15,097.21</w:t>
            </w:r>
            <w:r>
              <w:rPr>
                <w:rFonts w:ascii="Times New Roman"/>
                <w:sz w:val="18"/>
              </w:rPr>
            </w:r>
          </w:p>
        </w:tc>
      </w:tr>
      <w:tr>
        <w:trPr>
          <w:trHeight w:val="342" w:hRule="exact"/>
        </w:trPr>
        <w:tc>
          <w:tcPr>
            <w:tcW w:w="4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4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28,760,853.31</w:t>
            </w:r>
          </w:p>
        </w:tc>
      </w:tr>
    </w:tbl>
    <w:p>
      <w:pPr>
        <w:pStyle w:val="BodyText"/>
        <w:spacing w:line="240" w:lineRule="auto" w:before="10"/>
        <w:ind w:right="0"/>
        <w:jc w:val="left"/>
      </w:pPr>
      <w:r>
        <w:rPr/>
        <w:t>注：影响金额为正数表示报表项目列报金额增加，负数表示减少。</w:t>
      </w:r>
    </w:p>
    <w:p>
      <w:pPr>
        <w:spacing w:after="0" w:line="240" w:lineRule="auto"/>
        <w:jc w:val="left"/>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34、其他" w:id="221"/>
      <w:bookmarkEnd w:id="221"/>
      <w:r>
        <w:rPr>
          <w:b w:val="0"/>
          <w:bCs w:val="0"/>
        </w:rPr>
      </w:r>
      <w:r>
        <w:rPr>
          <w:rFonts w:ascii="Times New Roman" w:hAnsi="Times New Roman" w:cs="Times New Roman" w:eastAsia="Times New Roman" w:hint="default"/>
        </w:rPr>
        <w:t>34</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六、税项" w:id="222"/>
      <w:bookmarkEnd w:id="222"/>
      <w:r>
        <w:rPr>
          <w:b w:val="0"/>
          <w:bCs w:val="0"/>
        </w:rPr>
      </w:r>
      <w:r>
        <w:rPr/>
        <w:t>六、税项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主要税种及税率" w:id="223"/>
      <w:bookmarkEnd w:id="223"/>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销售货物、应税销售服务收入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z w:val="18"/>
                <w:szCs w:val="18"/>
              </w:rPr>
              <w:t>、</w:t>
            </w:r>
            <w:r>
              <w:rPr>
                <w:rFonts w:ascii="Times New Roman" w:hAnsi="Times New Roman" w:cs="Times New Roman" w:eastAsia="Times New Roman" w:hint="default"/>
                <w:sz w:val="18"/>
                <w:szCs w:val="18"/>
              </w:rPr>
              <w:t>16%</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消费税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实缴流转税税额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16.5%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实缴流转税税额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p>
        </w:tc>
      </w:tr>
    </w:tbl>
    <w:p>
      <w:pPr>
        <w:pStyle w:val="BodyText"/>
        <w:spacing w:line="240" w:lineRule="auto" w:before="51"/>
        <w:ind w:right="0"/>
        <w:jc w:val="left"/>
      </w:pPr>
      <w:r>
        <w:rPr/>
        <w:t>存在不同企业所得税税率纳税主体的，披露情况说明</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卓翼香港</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卓大精密</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中广物联</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卓翼营销</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天津卓达</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中广互联</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卓翼智造</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翼飞投资</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卓博机器</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江西卓翼</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25%</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翼丰盛</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税收优惠" w:id="224"/>
      <w:bookmarkEnd w:id="224"/>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1131" w:firstLine="420"/>
        <w:jc w:val="right"/>
      </w:pPr>
      <w:r>
        <w:rPr>
          <w:rFonts w:ascii="宋体" w:hAnsi="宋体" w:cs="宋体" w:eastAsia="宋体" w:hint="default"/>
          <w:spacing w:val="-1"/>
        </w:rPr>
        <w:t>1</w:t>
      </w:r>
      <w:r>
        <w:rPr>
          <w:spacing w:val="-1"/>
        </w:rPr>
        <w:t>、</w:t>
      </w:r>
      <w:r>
        <w:rPr>
          <w:rFonts w:ascii="宋体" w:hAnsi="宋体" w:cs="宋体" w:eastAsia="宋体" w:hint="default"/>
          <w:spacing w:val="-1"/>
        </w:rPr>
        <w:t>2017</w:t>
      </w:r>
      <w:r>
        <w:rPr>
          <w:spacing w:val="-1"/>
        </w:rPr>
        <w:t>年</w:t>
      </w:r>
      <w:r>
        <w:rPr>
          <w:rFonts w:ascii="宋体" w:hAnsi="宋体" w:cs="宋体" w:eastAsia="宋体" w:hint="default"/>
          <w:spacing w:val="-1"/>
        </w:rPr>
        <w:t>10</w:t>
      </w:r>
      <w:r>
        <w:rPr>
          <w:spacing w:val="-1"/>
        </w:rPr>
        <w:t>月</w:t>
      </w:r>
      <w:r>
        <w:rPr>
          <w:rFonts w:ascii="宋体" w:hAnsi="宋体" w:cs="宋体" w:eastAsia="宋体" w:hint="default"/>
          <w:spacing w:val="-1"/>
        </w:rPr>
        <w:t>31</w:t>
      </w:r>
      <w:r>
        <w:rPr>
          <w:spacing w:val="-1"/>
        </w:rPr>
        <w:t>日本公司通过深圳市科技工贸和信息化委员会、深圳市财政委员会、深圳市国家税务局、深圳市地方</w:t>
      </w:r>
      <w:r>
        <w:rPr/>
        <w:t> </w:t>
      </w:r>
      <w:r>
        <w:rPr>
          <w:spacing w:val="-2"/>
        </w:rPr>
        <w:t>税务局联合的高新技术企业的复审，并取得证书编号为</w:t>
      </w:r>
      <w:r>
        <w:rPr>
          <w:rFonts w:ascii="宋体" w:hAnsi="宋体" w:cs="宋体" w:eastAsia="宋体" w:hint="default"/>
          <w:spacing w:val="-2"/>
        </w:rPr>
        <w:t>GR201744203325</w:t>
      </w:r>
      <w:r>
        <w:rPr>
          <w:spacing w:val="-2"/>
        </w:rPr>
        <w:t>号高新技术企业证书，有效期为三年。根据相关税收</w:t>
      </w:r>
      <w:r>
        <w:rPr>
          <w:spacing w:val="-61"/>
        </w:rPr>
        <w:t> </w:t>
      </w:r>
      <w:r>
        <w:rPr>
          <w:spacing w:val="-61"/>
        </w:rPr>
      </w:r>
      <w:r>
        <w:rPr/>
        <w:t>规定，公司将自</w:t>
      </w:r>
      <w:r>
        <w:rPr>
          <w:rFonts w:ascii="宋体" w:hAnsi="宋体" w:cs="宋体" w:eastAsia="宋体" w:hint="default"/>
        </w:rPr>
        <w:t>2017</w:t>
      </w:r>
      <w:r>
        <w:rPr/>
        <w:t>年起连续三年享受高新技术企业的相关税收优惠政策，</w:t>
      </w:r>
      <w:r>
        <w:rPr>
          <w:rFonts w:ascii="宋体" w:hAnsi="宋体" w:cs="宋体" w:eastAsia="宋体" w:hint="default"/>
        </w:rPr>
        <w:t>2017</w:t>
      </w:r>
      <w:r>
        <w:rPr/>
        <w:t>年至</w:t>
      </w:r>
      <w:r>
        <w:rPr>
          <w:rFonts w:ascii="宋体" w:hAnsi="宋体" w:cs="宋体" w:eastAsia="宋体" w:hint="default"/>
        </w:rPr>
        <w:t>2019</w:t>
      </w:r>
      <w:r>
        <w:rPr/>
        <w:t>年按</w:t>
      </w:r>
      <w:r>
        <w:rPr>
          <w:rFonts w:ascii="宋体" w:hAnsi="宋体" w:cs="宋体" w:eastAsia="宋体" w:hint="default"/>
        </w:rPr>
        <w:t>15%</w:t>
      </w:r>
      <w:r>
        <w:rPr/>
        <w:t>的税率计缴企业所得税。 </w:t>
      </w:r>
      <w:r>
        <w:rPr>
          <w:rFonts w:ascii="宋体" w:hAnsi="宋体" w:cs="宋体" w:eastAsia="宋体" w:hint="default"/>
        </w:rPr>
        <w:t>2</w:t>
      </w:r>
      <w:r>
        <w:rPr/>
        <w:t>、本公司下属全资子公司卓翼香港的公司利得税税率为</w:t>
      </w:r>
      <w:r>
        <w:rPr>
          <w:rFonts w:ascii="宋体" w:hAnsi="宋体" w:cs="宋体" w:eastAsia="宋体" w:hint="default"/>
        </w:rPr>
        <w:t>16.5%</w:t>
      </w:r>
      <w:r>
        <w:rPr/>
        <w:t>，根据香港税则的规定，仅对来自香港或者在香港产生 </w:t>
      </w:r>
      <w:r>
        <w:rPr>
          <w:spacing w:val="-2"/>
        </w:rPr>
        <w:t>的利润才需要缴纳公司利得税，卓翼香港全部利润均来源于香港以外的地区，已经香港税务主管部门认定通过，卓翼香港不</w:t>
      </w:r>
    </w:p>
    <w:p>
      <w:pPr>
        <w:pStyle w:val="BodyText"/>
        <w:spacing w:line="316" w:lineRule="auto" w:before="17"/>
        <w:ind w:left="574" w:right="1152" w:hanging="420"/>
        <w:jc w:val="left"/>
      </w:pPr>
      <w:r>
        <w:rPr/>
        <w:t>需缴纳公司利得税。 </w:t>
      </w:r>
      <w:r>
        <w:rPr>
          <w:rFonts w:ascii="宋体" w:hAnsi="宋体" w:cs="宋体" w:eastAsia="宋体" w:hint="default"/>
        </w:rPr>
        <w:t>3</w:t>
      </w:r>
      <w:r>
        <w:rPr/>
        <w:t>、本公司下属全资子公司中广物联于</w:t>
      </w:r>
      <w:r>
        <w:rPr>
          <w:rFonts w:ascii="宋体" w:hAnsi="宋体" w:cs="宋体" w:eastAsia="宋体" w:hint="default"/>
        </w:rPr>
        <w:t>2014</w:t>
      </w:r>
      <w:r>
        <w:rPr/>
        <w:t>年</w:t>
      </w:r>
      <w:r>
        <w:rPr>
          <w:rFonts w:ascii="宋体" w:hAnsi="宋体" w:cs="宋体" w:eastAsia="宋体" w:hint="default"/>
        </w:rPr>
        <w:t>10</w:t>
      </w:r>
      <w:r>
        <w:rPr/>
        <w:t>月</w:t>
      </w:r>
      <w:r>
        <w:rPr>
          <w:rFonts w:ascii="宋体" w:hAnsi="宋体" w:cs="宋体" w:eastAsia="宋体" w:hint="default"/>
        </w:rPr>
        <w:t>24</w:t>
      </w:r>
      <w:r>
        <w:rPr/>
        <w:t>日取得深圳市国家税务局深国税南减免备案</w:t>
      </w:r>
      <w:r>
        <w:rPr>
          <w:rFonts w:ascii="宋体" w:hAnsi="宋体" w:cs="宋体" w:eastAsia="宋体" w:hint="default"/>
        </w:rPr>
        <w:t>[2014]738</w:t>
      </w:r>
      <w:r>
        <w:rPr/>
        <w:t>号通知书，</w:t>
      </w:r>
    </w:p>
    <w:p>
      <w:pPr>
        <w:pStyle w:val="BodyText"/>
        <w:spacing w:line="240" w:lineRule="auto" w:before="19"/>
        <w:ind w:left="0" w:right="1041"/>
        <w:jc w:val="right"/>
      </w:pPr>
      <w:r>
        <w:rPr/>
        <w:t>可根</w:t>
      </w:r>
      <w:r>
        <w:rPr>
          <w:spacing w:val="-28"/>
        </w:rPr>
        <w:t>据</w:t>
      </w:r>
      <w:r>
        <w:rPr/>
        <w:t>《财政部国家税务总局关于进一步鼓励软件产业和集成电路产业发展企业得税政策的通知</w:t>
      </w:r>
      <w:r>
        <w:rPr>
          <w:spacing w:val="-118"/>
        </w:rPr>
        <w:t>》</w:t>
      </w:r>
      <w:r>
        <w:rPr/>
        <w:t>（财</w:t>
      </w:r>
      <w:r>
        <w:rPr>
          <w:spacing w:val="1"/>
        </w:rPr>
        <w:t>税</w:t>
      </w:r>
      <w:r>
        <w:rPr>
          <w:rFonts w:ascii="宋体" w:hAnsi="宋体" w:cs="宋体" w:eastAsia="宋体" w:hint="default"/>
        </w:rPr>
        <w:t>[2012]27</w:t>
      </w:r>
      <w:r>
        <w:rPr/>
        <w:t>号</w:t>
      </w:r>
      <w:r>
        <w:rPr>
          <w:spacing w:val="-28"/>
        </w:rPr>
        <w:t>）</w:t>
      </w:r>
      <w:r>
        <w:rPr/>
        <w:t>规定，</w:t>
      </w:r>
    </w:p>
    <w:p>
      <w:pPr>
        <w:spacing w:after="0" w:line="240" w:lineRule="auto"/>
        <w:jc w:val="right"/>
        <w:sectPr>
          <w:footerReference w:type="default" r:id="rId51"/>
          <w:pgSz w:w="11910" w:h="16840"/>
          <w:pgMar w:footer="1019" w:header="917" w:top="1120" w:bottom="1200" w:left="980" w:right="0"/>
          <w:pgNumType w:start="157"/>
        </w:sectPr>
      </w:pPr>
    </w:p>
    <w:p>
      <w:pPr>
        <w:spacing w:line="240" w:lineRule="auto" w:before="9"/>
        <w:rPr>
          <w:rFonts w:ascii="宋体" w:hAnsi="宋体" w:cs="宋体" w:eastAsia="宋体" w:hint="default"/>
          <w:sz w:val="20"/>
          <w:szCs w:val="20"/>
        </w:rPr>
      </w:pPr>
    </w:p>
    <w:p>
      <w:pPr>
        <w:pStyle w:val="BodyText"/>
        <w:spacing w:line="316" w:lineRule="auto" w:before="44"/>
        <w:ind w:left="514" w:right="1032" w:hanging="360"/>
        <w:jc w:val="left"/>
      </w:pPr>
      <w:r>
        <w:rPr/>
        <w:t>从开始获利年度起，享受两免三减半的企业所得税优惠政策，截止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日，中广物联尚未盈利。 </w:t>
      </w:r>
      <w:r>
        <w:rPr>
          <w:rFonts w:ascii="宋体" w:hAnsi="宋体" w:cs="宋体" w:eastAsia="宋体" w:hint="default"/>
        </w:rPr>
        <w:t>4</w:t>
      </w:r>
      <w:r>
        <w:rPr/>
        <w:t>、本公司下属全资子公司天津卓达于</w:t>
      </w:r>
      <w:r>
        <w:rPr>
          <w:rFonts w:ascii="宋体" w:hAnsi="宋体" w:cs="宋体" w:eastAsia="宋体" w:hint="default"/>
        </w:rPr>
        <w:t>2016</w:t>
      </w:r>
      <w:r>
        <w:rPr/>
        <w:t>年</w:t>
      </w:r>
      <w:r>
        <w:rPr>
          <w:rFonts w:ascii="宋体" w:hAnsi="宋体" w:cs="宋体" w:eastAsia="宋体" w:hint="default"/>
        </w:rPr>
        <w:t>12</w:t>
      </w:r>
      <w:r>
        <w:rPr/>
        <w:t>月</w:t>
      </w:r>
      <w:r>
        <w:rPr>
          <w:rFonts w:ascii="宋体" w:hAnsi="宋体" w:cs="宋体" w:eastAsia="宋体" w:hint="default"/>
        </w:rPr>
        <w:t>9</w:t>
      </w:r>
      <w:r>
        <w:rPr/>
        <w:t>日取得天津市科学技术委员会、天津市财政局、天津市国家税务局、</w:t>
      </w:r>
    </w:p>
    <w:p>
      <w:pPr>
        <w:pStyle w:val="BodyText"/>
        <w:spacing w:line="319" w:lineRule="auto" w:before="19"/>
        <w:ind w:right="1130"/>
        <w:jc w:val="both"/>
      </w:pPr>
      <w:r>
        <w:rPr>
          <w:spacing w:val="-2"/>
        </w:rPr>
        <w:t>天津市地方税务局颁发的证书编号为</w:t>
      </w:r>
      <w:r>
        <w:rPr>
          <w:rFonts w:ascii="宋体" w:hAnsi="宋体" w:cs="宋体" w:eastAsia="宋体" w:hint="default"/>
          <w:spacing w:val="-2"/>
        </w:rPr>
        <w:t>GR201612000744</w:t>
      </w:r>
      <w:r>
        <w:rPr>
          <w:spacing w:val="-2"/>
        </w:rPr>
        <w:t>的高新技术企业证书，有效期为三年。天津卓达将自</w:t>
      </w:r>
      <w:r>
        <w:rPr>
          <w:rFonts w:ascii="宋体" w:hAnsi="宋体" w:cs="宋体" w:eastAsia="宋体" w:hint="default"/>
          <w:spacing w:val="-2"/>
        </w:rPr>
        <w:t>2016</w:t>
      </w:r>
      <w:r>
        <w:rPr>
          <w:spacing w:val="-2"/>
        </w:rPr>
        <w:t>年起连续三年</w:t>
      </w:r>
      <w:r>
        <w:rPr>
          <w:spacing w:val="-46"/>
        </w:rPr>
        <w:t> </w:t>
      </w:r>
      <w:r>
        <w:rPr/>
        <w:t>享受关于高新技术企业的相关税收优惠政策，按照</w:t>
      </w:r>
      <w:r>
        <w:rPr>
          <w:rFonts w:ascii="宋体" w:hAnsi="宋体" w:cs="宋体" w:eastAsia="宋体" w:hint="default"/>
        </w:rPr>
        <w:t>15%</w:t>
      </w:r>
      <w:r>
        <w:rPr/>
        <w:t>的优惠税率征收企业所得税。本年度天津卓达实际执行的企业所得税 率为</w:t>
      </w:r>
      <w:r>
        <w:rPr>
          <w:rFonts w:ascii="宋体" w:hAnsi="宋体" w:cs="宋体" w:eastAsia="宋体" w:hint="default"/>
        </w:rPr>
        <w:t>15%</w:t>
      </w:r>
      <w:r>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3"/>
        <w:ind w:right="0"/>
        <w:jc w:val="both"/>
        <w:rPr>
          <w:b w:val="0"/>
          <w:bCs w:val="0"/>
        </w:rPr>
      </w:pPr>
      <w:bookmarkStart w:name="3、其他" w:id="225"/>
      <w:bookmarkEnd w:id="225"/>
      <w:r>
        <w:rPr>
          <w:b w:val="0"/>
          <w:bCs w:val="0"/>
        </w:rPr>
      </w:r>
      <w:r>
        <w:rPr>
          <w:rFonts w:ascii="Times New Roman" w:hAnsi="Times New Roman" w:cs="Times New Roman" w:eastAsia="Times New Roman" w:hint="default"/>
        </w:rPr>
        <w:t>3</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无</w:t>
      </w:r>
    </w:p>
    <w:p>
      <w:pPr>
        <w:spacing w:line="240" w:lineRule="auto" w:before="2"/>
        <w:rPr>
          <w:rFonts w:ascii="宋体" w:hAnsi="宋体" w:cs="宋体" w:eastAsia="宋体" w:hint="default"/>
          <w:sz w:val="25"/>
          <w:szCs w:val="25"/>
        </w:rPr>
      </w:pPr>
    </w:p>
    <w:p>
      <w:pPr>
        <w:pStyle w:val="Heading2"/>
        <w:spacing w:line="240" w:lineRule="auto"/>
        <w:ind w:right="0"/>
        <w:jc w:val="both"/>
        <w:rPr>
          <w:b w:val="0"/>
          <w:bCs w:val="0"/>
        </w:rPr>
      </w:pPr>
      <w:bookmarkStart w:name="七、合并财务报表项目注释" w:id="226"/>
      <w:bookmarkEnd w:id="226"/>
      <w:r>
        <w:rPr>
          <w:b w:val="0"/>
          <w:bCs w:val="0"/>
        </w:rPr>
      </w:r>
      <w:r>
        <w:rPr/>
        <w:t>七、合并财务报表项目注释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bookmarkStart w:name="1、货币资金" w:id="227"/>
      <w:bookmarkEnd w:id="227"/>
      <w:r>
        <w:rPr>
          <w:b w:val="0"/>
          <w:bCs w:val="0"/>
        </w:rPr>
      </w:r>
      <w:r>
        <w:rPr>
          <w:rFonts w:ascii="Times New Roman" w:hAnsi="Times New Roman" w:cs="Times New Roman" w:eastAsia="Times New Roman" w:hint="default"/>
        </w:rPr>
        <w:t>1</w:t>
      </w:r>
      <w:r>
        <w:rPr/>
        <w:t>、货币资金</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70,476.83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87,100.94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362,129,615.52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446,754,873.18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73,337,222.69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61,106,916.23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435,537,315.04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507,948,890.35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10,585,070.97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34,890,142.76</w:t>
            </w:r>
          </w:p>
        </w:tc>
      </w:tr>
    </w:tbl>
    <w:p>
      <w:pPr>
        <w:pStyle w:val="BodyText"/>
        <w:spacing w:line="240" w:lineRule="auto" w:before="51"/>
        <w:ind w:right="0"/>
        <w:jc w:val="left"/>
      </w:pPr>
      <w:r>
        <w:rPr/>
        <w:t>其他说明</w:t>
      </w:r>
    </w:p>
    <w:p>
      <w:pPr>
        <w:pStyle w:val="Heading4"/>
        <w:spacing w:line="240" w:lineRule="auto" w:before="90"/>
        <w:ind w:left="574" w:right="0"/>
        <w:jc w:val="left"/>
      </w:pPr>
      <w:r>
        <w:rPr/>
        <w:t>其中受限制的货币资金明细如下：</w:t>
      </w:r>
    </w:p>
    <w:p>
      <w:pPr>
        <w:spacing w:line="240" w:lineRule="auto" w:before="13"/>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3192"/>
        <w:gridCol w:w="3180"/>
        <w:gridCol w:w="3210"/>
      </w:tblGrid>
      <w:tr>
        <w:trPr>
          <w:trHeight w:val="342" w:hRule="exact"/>
        </w:trPr>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410"/>
              <w:jc w:val="right"/>
              <w:rPr>
                <w:rFonts w:ascii="宋体" w:hAnsi="宋体" w:cs="宋体" w:eastAsia="宋体" w:hint="default"/>
                <w:sz w:val="18"/>
                <w:szCs w:val="18"/>
              </w:rPr>
            </w:pPr>
            <w:r>
              <w:rPr>
                <w:rFonts w:ascii="宋体" w:hAnsi="宋体" w:cs="宋体" w:eastAsia="宋体" w:hint="default"/>
                <w:sz w:val="18"/>
                <w:szCs w:val="18"/>
              </w:rPr>
              <w:t>项目</w:t>
            </w:r>
          </w:p>
        </w:tc>
        <w:tc>
          <w:tcPr>
            <w:tcW w:w="3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42" w:hRule="exact"/>
        </w:trPr>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银行承兑汇票保证金</w:t>
            </w:r>
          </w:p>
        </w:tc>
        <w:tc>
          <w:tcPr>
            <w:tcW w:w="3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z w:val="18"/>
              </w:rPr>
              <w:t>72</w:t>
            </w:r>
            <w:r>
              <w:rPr>
                <w:rFonts w:ascii="Times New Roman"/>
                <w:sz w:val="18"/>
              </w:rPr>
              <w:t>,</w:t>
            </w:r>
            <w:r>
              <w:rPr>
                <w:rFonts w:ascii="宋体"/>
                <w:sz w:val="18"/>
              </w:rPr>
              <w:t>395</w:t>
            </w:r>
            <w:r>
              <w:rPr>
                <w:rFonts w:ascii="Times New Roman"/>
                <w:sz w:val="18"/>
              </w:rPr>
              <w:t>,</w:t>
            </w:r>
            <w:r>
              <w:rPr>
                <w:rFonts w:ascii="宋体"/>
                <w:sz w:val="18"/>
              </w:rPr>
              <w:t>659.63</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z w:val="18"/>
              </w:rPr>
              <w:t>29,889,725.55</w:t>
            </w:r>
          </w:p>
        </w:tc>
      </w:tr>
      <w:tr>
        <w:trPr>
          <w:trHeight w:val="342" w:hRule="exact"/>
        </w:trPr>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借款保证金</w:t>
            </w:r>
          </w:p>
        </w:tc>
        <w:tc>
          <w:tcPr>
            <w:tcW w:w="3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z w:val="18"/>
              </w:rPr>
              <w:t>941</w:t>
            </w:r>
            <w:r>
              <w:rPr>
                <w:rFonts w:ascii="Times New Roman"/>
                <w:sz w:val="18"/>
              </w:rPr>
              <w:t>,</w:t>
            </w:r>
            <w:r>
              <w:rPr>
                <w:rFonts w:ascii="宋体"/>
                <w:sz w:val="18"/>
              </w:rPr>
              <w:t>563.06</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pacing w:val="-1"/>
                <w:sz w:val="18"/>
              </w:rPr>
              <w:t>18</w:t>
            </w:r>
            <w:r>
              <w:rPr>
                <w:rFonts w:ascii="Times New Roman"/>
                <w:spacing w:val="-1"/>
                <w:sz w:val="18"/>
              </w:rPr>
              <w:t>,</w:t>
            </w:r>
            <w:r>
              <w:rPr>
                <w:rFonts w:ascii="宋体"/>
                <w:spacing w:val="-1"/>
                <w:sz w:val="18"/>
              </w:rPr>
              <w:t>535</w:t>
            </w:r>
            <w:r>
              <w:rPr>
                <w:rFonts w:ascii="Times New Roman"/>
                <w:spacing w:val="-1"/>
                <w:sz w:val="18"/>
              </w:rPr>
              <w:t>,</w:t>
            </w:r>
            <w:r>
              <w:rPr>
                <w:rFonts w:ascii="宋体"/>
                <w:spacing w:val="-1"/>
                <w:sz w:val="18"/>
              </w:rPr>
              <w:t>681</w:t>
            </w:r>
            <w:r>
              <w:rPr>
                <w:rFonts w:ascii="Times New Roman"/>
                <w:spacing w:val="-1"/>
                <w:sz w:val="18"/>
              </w:rPr>
              <w:t>.</w:t>
            </w:r>
            <w:r>
              <w:rPr>
                <w:rFonts w:ascii="宋体"/>
                <w:spacing w:val="-1"/>
                <w:sz w:val="18"/>
              </w:rPr>
              <w:t>79</w:t>
            </w:r>
          </w:p>
        </w:tc>
      </w:tr>
      <w:tr>
        <w:trPr>
          <w:trHeight w:val="342" w:hRule="exact"/>
        </w:trPr>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诉讼冻结资金</w:t>
            </w:r>
          </w:p>
        </w:tc>
        <w:tc>
          <w:tcPr>
            <w:tcW w:w="3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
              <w:jc w:val="right"/>
              <w:rPr>
                <w:rFonts w:ascii="宋体" w:hAnsi="宋体" w:cs="宋体" w:eastAsia="宋体" w:hint="default"/>
                <w:sz w:val="18"/>
                <w:szCs w:val="18"/>
              </w:rPr>
            </w:pPr>
            <w:r>
              <w:rPr>
                <w:rFonts w:ascii="宋体"/>
                <w:sz w:val="18"/>
              </w:rPr>
              <w:t>7</w:t>
            </w:r>
            <w:r>
              <w:rPr>
                <w:rFonts w:ascii="Times New Roman"/>
                <w:sz w:val="18"/>
              </w:rPr>
              <w:t>,</w:t>
            </w:r>
            <w:r>
              <w:rPr>
                <w:rFonts w:ascii="宋体"/>
                <w:sz w:val="18"/>
              </w:rPr>
              <w:t>402</w:t>
            </w:r>
            <w:r>
              <w:rPr>
                <w:rFonts w:ascii="Times New Roman"/>
                <w:sz w:val="18"/>
              </w:rPr>
              <w:t>,</w:t>
            </w:r>
            <w:r>
              <w:rPr>
                <w:rFonts w:ascii="宋体"/>
                <w:sz w:val="18"/>
              </w:rPr>
              <w:t>112.93</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z w:val="18"/>
              </w:rPr>
              <w:t>1,593,760.89</w:t>
            </w:r>
          </w:p>
        </w:tc>
      </w:tr>
      <w:tr>
        <w:trPr>
          <w:trHeight w:val="342" w:hRule="exact"/>
        </w:trPr>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信用证保证金</w:t>
            </w:r>
          </w:p>
        </w:tc>
        <w:tc>
          <w:tcPr>
            <w:tcW w:w="3180" w:type="dxa"/>
            <w:tcBorders>
              <w:top w:val="single" w:sz="4" w:space="0" w:color="000000"/>
              <w:left w:val="single" w:sz="4" w:space="0" w:color="000000"/>
              <w:bottom w:val="single" w:sz="4" w:space="0" w:color="000000"/>
              <w:right w:val="single" w:sz="4" w:space="0" w:color="000000"/>
            </w:tcBorders>
          </w:tcPr>
          <w:p>
            <w:pP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z w:val="18"/>
              </w:rPr>
              <w:t>11,087,748.00</w:t>
            </w:r>
          </w:p>
        </w:tc>
      </w:tr>
      <w:tr>
        <w:trPr>
          <w:trHeight w:val="342" w:hRule="exact"/>
        </w:trPr>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410"/>
              <w:jc w:val="right"/>
              <w:rPr>
                <w:rFonts w:ascii="宋体" w:hAnsi="宋体" w:cs="宋体" w:eastAsia="宋体" w:hint="default"/>
                <w:sz w:val="18"/>
                <w:szCs w:val="18"/>
              </w:rPr>
            </w:pPr>
            <w:r>
              <w:rPr>
                <w:rFonts w:ascii="宋体" w:hAnsi="宋体" w:cs="宋体" w:eastAsia="宋体" w:hint="default"/>
                <w:sz w:val="18"/>
                <w:szCs w:val="18"/>
              </w:rPr>
              <w:t>合计</w:t>
            </w:r>
          </w:p>
        </w:tc>
        <w:tc>
          <w:tcPr>
            <w:tcW w:w="3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z w:val="18"/>
              </w:rPr>
              <w:t>80,739,335.62</w:t>
            </w:r>
          </w:p>
        </w:tc>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z w:val="18"/>
              </w:rPr>
              <w:t>61,106,916.23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Heading3"/>
        <w:spacing w:line="240" w:lineRule="auto" w:before="35"/>
        <w:ind w:right="0"/>
        <w:jc w:val="left"/>
        <w:rPr>
          <w:b w:val="0"/>
          <w:bCs w:val="0"/>
        </w:rPr>
      </w:pPr>
      <w:bookmarkStart w:name="2、以公允价值计量且其变动计入当期损益的金融资产" w:id="228"/>
      <w:bookmarkEnd w:id="228"/>
      <w:r>
        <w:rPr>
          <w:b w:val="0"/>
          <w:bCs w:val="0"/>
        </w:rPr>
      </w:r>
      <w:r>
        <w:rPr>
          <w:rFonts w:ascii="Times New Roman" w:hAnsi="Times New Roman" w:cs="Times New Roman" w:eastAsia="Times New Roman" w:hint="default"/>
        </w:rPr>
        <w:t>2</w:t>
      </w:r>
      <w:r>
        <w:rPr/>
        <w:t>、以公允价值计量且其变动计入当期损益的金融资产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2"/>
        <w:ind w:right="0"/>
        <w:jc w:val="left"/>
      </w:pPr>
      <w:r>
        <w:rPr/>
        <w:t>其他说明：</w:t>
      </w:r>
    </w:p>
    <w:p>
      <w:pPr>
        <w:spacing w:after="0" w:line="240" w:lineRule="auto"/>
        <w:jc w:val="left"/>
        <w:sectPr>
          <w:pgSz w:w="11910" w:h="16840"/>
          <w:pgMar w:header="917" w:footer="1019" w:top="112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3、衍生金融资产" w:id="229"/>
      <w:bookmarkEnd w:id="229"/>
      <w:r>
        <w:rPr>
          <w:b w:val="0"/>
          <w:bCs w:val="0"/>
        </w:rPr>
      </w:r>
      <w:r>
        <w:rPr>
          <w:rFonts w:ascii="Times New Roman" w:hAnsi="Times New Roman" w:cs="Times New Roman" w:eastAsia="Times New Roman" w:hint="default"/>
        </w:rPr>
        <w:t>3</w:t>
      </w:r>
      <w:r>
        <w:rPr/>
        <w:t>、衍生金融资产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4、应收票据及应收账款" w:id="230"/>
      <w:bookmarkEnd w:id="230"/>
      <w:r>
        <w:rPr>
          <w:b w:val="0"/>
          <w:bCs w:val="0"/>
        </w:rPr>
      </w:r>
      <w:r>
        <w:rPr>
          <w:rFonts w:ascii="Times New Roman" w:hAnsi="Times New Roman" w:cs="Times New Roman" w:eastAsia="Times New Roman" w:hint="default"/>
        </w:rPr>
        <w:t>4</w:t>
      </w:r>
      <w:r>
        <w:rPr/>
        <w:t>、应收票据及应收账款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7,045,503.53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489,549,253.77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691,991,457.68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296,802,835.87</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699,036,961.21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786,352,089.64</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应收票据" w:id="231"/>
      <w:bookmarkEnd w:id="231"/>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应收票据分类列示</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7,024,276.62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11,053,083.01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21,226.91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478,496,170.76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7,045,503.53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489,549,253.77</w:t>
            </w:r>
          </w:p>
        </w:tc>
      </w:tr>
    </w:tbl>
    <w:p>
      <w:pPr>
        <w:pStyle w:val="BodyText"/>
        <w:spacing w:line="240" w:lineRule="auto" w:before="51"/>
        <w:ind w:right="0"/>
        <w:jc w:val="left"/>
      </w:pPr>
      <w:r>
        <w:rPr>
          <w:rFonts w:ascii="Times New Roman" w:hAnsi="Times New Roman" w:cs="Times New Roman" w:eastAsia="Times New Roman" w:hint="default"/>
        </w:rPr>
        <w:t>2)</w:t>
      </w:r>
      <w:r>
        <w:rPr/>
        <w:t>期末公司已质押的应收票据</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bl>
    <w:p>
      <w:pPr>
        <w:pStyle w:val="BodyText"/>
        <w:spacing w:line="240" w:lineRule="auto" w:before="51"/>
        <w:ind w:right="0"/>
        <w:jc w:val="left"/>
      </w:pPr>
      <w:r>
        <w:rPr>
          <w:rFonts w:ascii="Times New Roman" w:hAnsi="Times New Roman" w:cs="Times New Roman" w:eastAsia="Times New Roman" w:hint="default"/>
        </w:rPr>
        <w:t>3)</w:t>
      </w:r>
      <w:r>
        <w:rPr/>
        <w:t>期末公司已背书或贴现且在资产负债表日尚未到期的应收票据</w:t>
      </w:r>
    </w:p>
    <w:p>
      <w:pPr>
        <w:pStyle w:val="BodyText"/>
        <w:spacing w:line="240" w:lineRule="auto" w:before="103"/>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69"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128,167,416.36</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128,167,416.36</w:t>
            </w:r>
          </w:p>
        </w:tc>
        <w:tc>
          <w:tcPr>
            <w:tcW w:w="31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rFonts w:ascii="Times New Roman" w:hAnsi="Times New Roman" w:cs="Times New Roman" w:eastAsia="Times New Roman" w:hint="default"/>
        </w:rPr>
        <w:t>4)</w:t>
      </w:r>
      <w:r>
        <w:rPr/>
        <w:t>期末公司因出票人未履约而将其转应收账款的票据</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期末转应收账款金额</w:t>
            </w:r>
          </w:p>
        </w:tc>
      </w:tr>
    </w:tbl>
    <w:p>
      <w:pPr>
        <w:pStyle w:val="BodyText"/>
        <w:spacing w:line="240" w:lineRule="auto" w:before="51"/>
        <w:ind w:right="0"/>
        <w:jc w:val="left"/>
      </w:pPr>
      <w:r>
        <w:rPr/>
        <w:t>其他说明</w:t>
      </w:r>
    </w:p>
    <w:p>
      <w:pPr>
        <w:pStyle w:val="BodyText"/>
        <w:spacing w:line="240" w:lineRule="auto" w:before="116"/>
        <w:ind w:left="424" w:right="0"/>
        <w:jc w:val="left"/>
      </w:pPr>
      <w:r>
        <w:rPr/>
        <w:t>应收票据期末余额较期初减少</w:t>
      </w:r>
      <w:r>
        <w:rPr>
          <w:rFonts w:ascii="宋体" w:hAnsi="宋体" w:cs="宋体" w:eastAsia="宋体" w:hint="default"/>
        </w:rPr>
        <w:t>482</w:t>
      </w:r>
      <w:r>
        <w:rPr>
          <w:rFonts w:ascii="Times New Roman" w:hAnsi="Times New Roman" w:cs="Times New Roman" w:eastAsia="Times New Roman" w:hint="default"/>
        </w:rPr>
        <w:t>,</w:t>
      </w:r>
      <w:r>
        <w:rPr>
          <w:rFonts w:ascii="宋体" w:hAnsi="宋体" w:cs="宋体" w:eastAsia="宋体" w:hint="default"/>
        </w:rPr>
        <w:t>503</w:t>
      </w:r>
      <w:r>
        <w:rPr>
          <w:rFonts w:ascii="Times New Roman" w:hAnsi="Times New Roman" w:cs="Times New Roman" w:eastAsia="Times New Roman" w:hint="default"/>
        </w:rPr>
        <w:t>,</w:t>
      </w:r>
      <w:r>
        <w:rPr>
          <w:rFonts w:ascii="宋体" w:hAnsi="宋体" w:cs="宋体" w:eastAsia="宋体" w:hint="default"/>
        </w:rPr>
        <w:t>750.24</w:t>
      </w:r>
      <w:r>
        <w:rPr/>
        <w:t>元，减少比例为</w:t>
      </w:r>
      <w:r>
        <w:rPr>
          <w:rFonts w:ascii="宋体" w:hAnsi="宋体" w:cs="宋体" w:eastAsia="宋体" w:hint="default"/>
        </w:rPr>
        <w:t>98.56%</w:t>
      </w:r>
      <w:r>
        <w:rPr/>
        <w:t>，主要系本期商业承兑汇票减少所致。</w:t>
      </w:r>
    </w:p>
    <w:p>
      <w:pPr>
        <w:spacing w:line="240" w:lineRule="auto" w:before="11"/>
        <w:rPr>
          <w:rFonts w:ascii="宋体" w:hAnsi="宋体" w:cs="宋体" w:eastAsia="宋体" w:hint="default"/>
          <w:sz w:val="25"/>
          <w:szCs w:val="25"/>
        </w:rPr>
      </w:pPr>
    </w:p>
    <w:p>
      <w:pPr>
        <w:pStyle w:val="Heading3"/>
        <w:spacing w:line="240" w:lineRule="auto"/>
        <w:ind w:right="0"/>
        <w:jc w:val="left"/>
        <w:rPr>
          <w:b w:val="0"/>
          <w:bCs w:val="0"/>
        </w:rPr>
      </w:pPr>
      <w:bookmarkStart w:name="（2）应收账款" w:id="232"/>
      <w:bookmarkEnd w:id="232"/>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应收账款分类披露</w:t>
      </w:r>
    </w:p>
    <w:p>
      <w:pPr>
        <w:pStyle w:val="BodyText"/>
        <w:spacing w:line="240" w:lineRule="auto" w:before="102"/>
        <w:ind w:left="0" w:right="1130"/>
        <w:jc w:val="right"/>
      </w:pPr>
      <w:r>
        <w:rPr/>
        <w:t>单位： 元</w:t>
      </w:r>
    </w:p>
    <w:p>
      <w:pPr>
        <w:spacing w:after="0" w:line="240" w:lineRule="auto"/>
        <w:jc w:val="right"/>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6" w:lineRule="auto"/>
              <w:ind w:left="298" w:right="119"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6" w:lineRule="auto"/>
              <w:ind w:left="370" w:right="191"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70" w:right="191"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单项金额重大并 单独计提坏账准 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11,044,</w:t>
            </w:r>
          </w:p>
          <w:p>
            <w:pPr>
              <w:pStyle w:val="TableParagraph"/>
              <w:spacing w:line="240" w:lineRule="auto" w:before="106"/>
              <w:ind w:left="155" w:right="0"/>
              <w:jc w:val="left"/>
              <w:rPr>
                <w:rFonts w:ascii="Times New Roman" w:hAnsi="Times New Roman" w:cs="Times New Roman" w:eastAsia="Times New Roman" w:hint="default"/>
                <w:sz w:val="18"/>
                <w:szCs w:val="18"/>
              </w:rPr>
            </w:pPr>
            <w:r>
              <w:rPr>
                <w:rFonts w:ascii="Times New Roman"/>
                <w:sz w:val="18"/>
              </w:rPr>
              <w:t>863.97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3" w:right="0"/>
              <w:jc w:val="left"/>
              <w:rPr>
                <w:rFonts w:ascii="Times New Roman" w:hAnsi="Times New Roman" w:cs="Times New Roman" w:eastAsia="Times New Roman" w:hint="default"/>
                <w:sz w:val="18"/>
                <w:szCs w:val="18"/>
              </w:rPr>
            </w:pPr>
            <w:r>
              <w:rPr>
                <w:rFonts w:ascii="Times New Roman"/>
                <w:sz w:val="18"/>
              </w:rPr>
              <w:t>1.56%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11,044,</w:t>
            </w:r>
          </w:p>
          <w:p>
            <w:pPr>
              <w:pStyle w:val="TableParagraph"/>
              <w:spacing w:line="240" w:lineRule="auto" w:before="106"/>
              <w:ind w:left="153" w:right="0"/>
              <w:jc w:val="left"/>
              <w:rPr>
                <w:rFonts w:ascii="Times New Roman" w:hAnsi="Times New Roman" w:cs="Times New Roman" w:eastAsia="Times New Roman" w:hint="default"/>
                <w:sz w:val="18"/>
                <w:szCs w:val="18"/>
              </w:rPr>
            </w:pPr>
            <w:r>
              <w:rPr>
                <w:rFonts w:ascii="Times New Roman"/>
                <w:sz w:val="18"/>
              </w:rPr>
              <w:t>863.97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按信用风险特征 组合计提坏账准 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696,01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3,124.9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3" w:right="0"/>
              <w:jc w:val="left"/>
              <w:rPr>
                <w:rFonts w:ascii="Times New Roman" w:hAnsi="Times New Roman" w:cs="Times New Roman" w:eastAsia="Times New Roman" w:hint="default"/>
                <w:sz w:val="18"/>
                <w:szCs w:val="18"/>
              </w:rPr>
            </w:pPr>
            <w:r>
              <w:rPr>
                <w:rFonts w:ascii="Times New Roman"/>
                <w:sz w:val="18"/>
              </w:rPr>
              <w:t>98.44</w:t>
            </w:r>
          </w:p>
          <w:p>
            <w:pPr>
              <w:pStyle w:val="TableParagraph"/>
              <w:spacing w:line="240" w:lineRule="auto" w:before="106"/>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4,021,6</w:t>
            </w:r>
          </w:p>
          <w:p>
            <w:pPr>
              <w:pStyle w:val="TableParagraph"/>
              <w:spacing w:line="240" w:lineRule="auto" w:before="106"/>
              <w:ind w:left="139" w:right="0"/>
              <w:jc w:val="center"/>
              <w:rPr>
                <w:rFonts w:ascii="Times New Roman" w:hAnsi="Times New Roman" w:cs="Times New Roman" w:eastAsia="Times New Roman" w:hint="default"/>
                <w:sz w:val="18"/>
                <w:szCs w:val="18"/>
              </w:rPr>
            </w:pPr>
            <w:r>
              <w:rPr>
                <w:rFonts w:ascii="Times New Roman"/>
                <w:sz w:val="18"/>
              </w:rPr>
              <w:t>67.22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0.58%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691,99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1,457.6</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8</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313,2</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85,81</w:t>
            </w:r>
          </w:p>
          <w:p>
            <w:pPr>
              <w:pStyle w:val="TableParagraph"/>
              <w:spacing w:line="240" w:lineRule="auto" w:before="106"/>
              <w:ind w:left="226" w:right="0"/>
              <w:jc w:val="left"/>
              <w:rPr>
                <w:rFonts w:ascii="Times New Roman" w:hAnsi="Times New Roman" w:cs="Times New Roman" w:eastAsia="Times New Roman" w:hint="default"/>
                <w:sz w:val="18"/>
                <w:szCs w:val="18"/>
              </w:rPr>
            </w:pPr>
            <w:r>
              <w:rPr>
                <w:rFonts w:ascii="Times New Roman"/>
                <w:sz w:val="18"/>
              </w:rPr>
              <w:t>6.47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16,482,</w:t>
            </w:r>
          </w:p>
          <w:p>
            <w:pPr>
              <w:pStyle w:val="TableParagraph"/>
              <w:spacing w:line="240" w:lineRule="auto" w:before="106"/>
              <w:ind w:left="206" w:right="0"/>
              <w:jc w:val="left"/>
              <w:rPr>
                <w:rFonts w:ascii="Times New Roman" w:hAnsi="Times New Roman" w:cs="Times New Roman" w:eastAsia="Times New Roman" w:hint="default"/>
                <w:sz w:val="18"/>
                <w:szCs w:val="18"/>
              </w:rPr>
            </w:pPr>
            <w:r>
              <w:rPr>
                <w:rFonts w:ascii="Times New Roman"/>
                <w:sz w:val="18"/>
              </w:rPr>
              <w:t>980.60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5.26%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center"/>
              <w:rPr>
                <w:rFonts w:ascii="Times New Roman" w:hAnsi="Times New Roman" w:cs="Times New Roman" w:eastAsia="Times New Roman" w:hint="default"/>
                <w:sz w:val="18"/>
                <w:szCs w:val="18"/>
              </w:rPr>
            </w:pPr>
            <w:r>
              <w:rPr>
                <w:rFonts w:ascii="Times New Roman"/>
                <w:sz w:val="18"/>
              </w:rPr>
              <w:t>296,802,</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835.87</w:t>
            </w: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707,05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7,988.8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15,066,</w:t>
            </w:r>
          </w:p>
          <w:p>
            <w:pPr>
              <w:pStyle w:val="TableParagraph"/>
              <w:spacing w:line="240" w:lineRule="auto" w:before="106"/>
              <w:ind w:left="153" w:right="0"/>
              <w:jc w:val="left"/>
              <w:rPr>
                <w:rFonts w:ascii="Times New Roman" w:hAnsi="Times New Roman" w:cs="Times New Roman" w:eastAsia="Times New Roman" w:hint="default"/>
                <w:sz w:val="18"/>
                <w:szCs w:val="18"/>
              </w:rPr>
            </w:pPr>
            <w:r>
              <w:rPr>
                <w:rFonts w:ascii="Times New Roman"/>
                <w:sz w:val="18"/>
              </w:rPr>
              <w:t>531.19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2.13%</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691,99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1,457.6</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8</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313,2</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85,81</w:t>
            </w:r>
          </w:p>
          <w:p>
            <w:pPr>
              <w:pStyle w:val="TableParagraph"/>
              <w:spacing w:line="240" w:lineRule="auto" w:before="106"/>
              <w:ind w:left="226" w:right="0"/>
              <w:jc w:val="left"/>
              <w:rPr>
                <w:rFonts w:ascii="Times New Roman" w:hAnsi="Times New Roman" w:cs="Times New Roman" w:eastAsia="Times New Roman" w:hint="default"/>
                <w:sz w:val="18"/>
                <w:szCs w:val="18"/>
              </w:rPr>
            </w:pPr>
            <w:r>
              <w:rPr>
                <w:rFonts w:ascii="Times New Roman"/>
                <w:sz w:val="18"/>
              </w:rPr>
              <w:t>6.47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16,482,</w:t>
            </w:r>
          </w:p>
          <w:p>
            <w:pPr>
              <w:pStyle w:val="TableParagraph"/>
              <w:spacing w:line="240" w:lineRule="auto" w:before="106"/>
              <w:ind w:left="206" w:right="0"/>
              <w:jc w:val="left"/>
              <w:rPr>
                <w:rFonts w:ascii="Times New Roman" w:hAnsi="Times New Roman" w:cs="Times New Roman" w:eastAsia="Times New Roman" w:hint="default"/>
                <w:sz w:val="18"/>
                <w:szCs w:val="18"/>
              </w:rPr>
            </w:pPr>
            <w:r>
              <w:rPr>
                <w:rFonts w:ascii="Times New Roman"/>
                <w:sz w:val="18"/>
              </w:rPr>
              <w:t>980.60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5.26%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center"/>
              <w:rPr>
                <w:rFonts w:ascii="Times New Roman" w:hAnsi="Times New Roman" w:cs="Times New Roman" w:eastAsia="Times New Roman" w:hint="default"/>
                <w:sz w:val="18"/>
                <w:szCs w:val="18"/>
              </w:rPr>
            </w:pPr>
            <w:r>
              <w:rPr>
                <w:rFonts w:ascii="Times New Roman"/>
                <w:sz w:val="18"/>
              </w:rPr>
              <w:t>296,802,</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835.87</w:t>
            </w:r>
          </w:p>
        </w:tc>
      </w:tr>
    </w:tbl>
    <w:p>
      <w:pPr>
        <w:spacing w:after="0" w:line="240" w:lineRule="auto"/>
        <w:jc w:val="center"/>
        <w:rPr>
          <w:rFonts w:ascii="Times New Roman" w:hAnsi="Times New Roman" w:cs="Times New Roman" w:eastAsia="Times New Roman" w:hint="default"/>
          <w:sz w:val="18"/>
          <w:szCs w:val="18"/>
        </w:rPr>
        <w:sectPr>
          <w:pgSz w:w="11910" w:h="16840"/>
          <w:pgMar w:header="917" w:footer="1019" w:top="1120" w:bottom="1200" w:left="980" w:right="0"/>
        </w:sectPr>
      </w:pPr>
    </w:p>
    <w:p>
      <w:pPr>
        <w:pStyle w:val="BodyText"/>
        <w:spacing w:line="240" w:lineRule="auto" w:before="51"/>
        <w:ind w:right="-20"/>
        <w:jc w:val="left"/>
      </w:pPr>
      <w:r>
        <w:rPr/>
        <w:t>期末单项金额重大并单项计提坏账准备的应收账款：</w:t>
      </w:r>
    </w:p>
    <w:p>
      <w:pPr>
        <w:pStyle w:val="BodyText"/>
        <w:spacing w:line="240" w:lineRule="auto" w:before="117"/>
        <w:ind w:right="-20"/>
        <w:jc w:val="left"/>
      </w:pPr>
      <w:r>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4295" w:space="4535"/>
            <w:col w:w="210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765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5,044,863.97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5,044,863.97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9"/>
              <w:jc w:val="left"/>
              <w:rPr>
                <w:rFonts w:ascii="宋体" w:hAnsi="宋体" w:cs="宋体" w:eastAsia="宋体" w:hint="default"/>
                <w:sz w:val="18"/>
                <w:szCs w:val="18"/>
              </w:rPr>
            </w:pPr>
            <w:r>
              <w:rPr>
                <w:rFonts w:ascii="宋体" w:hAnsi="宋体" w:cs="宋体" w:eastAsia="宋体" w:hint="default"/>
                <w:sz w:val="18"/>
                <w:szCs w:val="18"/>
              </w:rPr>
              <w:t>产品质量存在争议， 收回机率较低</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9"/>
              <w:jc w:val="left"/>
              <w:rPr>
                <w:rFonts w:ascii="宋体" w:hAnsi="宋体" w:cs="宋体" w:eastAsia="宋体" w:hint="default"/>
                <w:sz w:val="18"/>
                <w:szCs w:val="18"/>
              </w:rPr>
            </w:pPr>
            <w:r>
              <w:rPr>
                <w:rFonts w:ascii="宋体" w:hAnsi="宋体" w:cs="宋体" w:eastAsia="宋体" w:hint="default"/>
                <w:sz w:val="18"/>
                <w:szCs w:val="18"/>
              </w:rPr>
              <w:t>产品品质存在争议， 收回机率较低</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11,044,863.97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11,044,863.97</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100" w:bottom="1200" w:left="980" w:right="0"/>
        </w:sectPr>
      </w:pPr>
    </w:p>
    <w:p>
      <w:pPr>
        <w:pStyle w:val="BodyText"/>
        <w:spacing w:line="240" w:lineRule="auto" w:before="51"/>
        <w:ind w:right="-20"/>
        <w:jc w:val="left"/>
      </w:pPr>
      <w:r>
        <w:rPr/>
        <w:t>组合中，按账龄分析法计提坏账准备的应收账款：</w:t>
      </w:r>
    </w:p>
    <w:p>
      <w:pPr>
        <w:pStyle w:val="BodyText"/>
        <w:spacing w:line="240" w:lineRule="auto" w:before="117"/>
        <w:ind w:right="-20"/>
        <w:jc w:val="left"/>
      </w:pPr>
      <w:r>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4115" w:space="4715"/>
            <w:col w:w="210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1"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673,965,120.39</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15,738,824.67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1,573,882.47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689,703,945.06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1,573,882.47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3,429,682.11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857,420.53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2,377,446.54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1,188,723.27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502,051.19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401,640.95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80.00%</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696,013,124.90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4,021,667.22</w:t>
            </w:r>
          </w:p>
        </w:tc>
        <w:tc>
          <w:tcPr>
            <w:tcW w:w="2392"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确定该组合依据的说明：</w:t>
      </w:r>
    </w:p>
    <w:p>
      <w:pPr>
        <w:spacing w:after="0" w:line="240" w:lineRule="auto"/>
        <w:jc w:val="left"/>
        <w:sectPr>
          <w:type w:val="continuous"/>
          <w:pgSz w:w="11910" w:h="16840"/>
          <w:pgMar w:top="1100" w:bottom="1200" w:left="980" w:right="0"/>
        </w:sect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917" w:footer="1019" w:top="1120" w:bottom="1200" w:left="980" w:right="0"/>
        </w:sectPr>
      </w:pPr>
    </w:p>
    <w:p>
      <w:pPr>
        <w:pStyle w:val="BodyText"/>
        <w:spacing w:line="360" w:lineRule="auto" w:before="44"/>
        <w:ind w:right="1959"/>
        <w:jc w:val="left"/>
      </w:pPr>
      <w:r>
        <w:rPr/>
        <w:t>无 组合中，采用余额百分比法计提坏账准备的应收账款：</w:t>
      </w:r>
    </w:p>
    <w:p>
      <w:pPr>
        <w:pStyle w:val="BodyText"/>
        <w:spacing w:line="357" w:lineRule="auto" w:before="27"/>
        <w:ind w:right="2319"/>
        <w:jc w:val="left"/>
      </w:pPr>
      <w:r>
        <w:rPr/>
        <w:t>□ 适用 √ 不适用 组合中，采用其他方法计提坏账准备的应收账款： </w:t>
      </w:r>
      <w:r>
        <w:rPr>
          <w:rFonts w:ascii="Times New Roman" w:hAnsi="Times New Roman" w:cs="Times New Roman" w:eastAsia="Times New Roman" w:hint="default"/>
        </w:rPr>
        <w:t>2)</w:t>
      </w:r>
      <w:r>
        <w:rPr/>
        <w:t>本期计提、收回或转回的坏账准备情况</w:t>
      </w:r>
    </w:p>
    <w:p>
      <w:pPr>
        <w:pStyle w:val="BodyText"/>
        <w:spacing w:line="338" w:lineRule="auto" w:before="6"/>
        <w:ind w:right="-14"/>
        <w:jc w:val="left"/>
      </w:pPr>
      <w:r>
        <w:rPr/>
        <w:t>本期计提坏账准备金额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元；本期收回或转回坏账准备金额</w:t>
      </w:r>
      <w:r>
        <w:rPr>
          <w:spacing w:val="-47"/>
        </w:rPr>
        <w:t> </w:t>
      </w:r>
      <w:r>
        <w:rPr>
          <w:rFonts w:ascii="Times New Roman" w:hAnsi="Times New Roman" w:cs="Times New Roman" w:eastAsia="Times New Roman" w:hint="default"/>
        </w:rPr>
        <w:t>1,315,843.39</w:t>
      </w:r>
      <w:r>
        <w:rPr>
          <w:rFonts w:ascii="Times New Roman" w:hAnsi="Times New Roman" w:cs="Times New Roman" w:eastAsia="Times New Roman" w:hint="default"/>
          <w:spacing w:val="-1"/>
        </w:rPr>
        <w:t> </w:t>
      </w:r>
      <w:r>
        <w:rPr/>
        <w:t>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4"/>
        <w:ind w:left="153" w:right="0"/>
        <w:jc w:val="left"/>
      </w:pPr>
      <w:r>
        <w:rPr/>
        <w:t>单位： 元</w:t>
      </w:r>
    </w:p>
    <w:p>
      <w:pPr>
        <w:spacing w:after="0" w:line="240" w:lineRule="auto"/>
        <w:jc w:val="left"/>
        <w:sectPr>
          <w:type w:val="continuous"/>
          <w:pgSz w:w="11910" w:h="16840"/>
          <w:pgMar w:top="1100" w:bottom="1200" w:left="980" w:right="0"/>
          <w:cols w:num="2" w:equalWidth="0">
            <w:col w:w="6454" w:space="2375"/>
            <w:col w:w="210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59"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980" w:right="0"/>
        </w:sectPr>
      </w:pPr>
    </w:p>
    <w:p>
      <w:pPr>
        <w:pStyle w:val="BodyText"/>
        <w:spacing w:line="240" w:lineRule="auto" w:before="10"/>
        <w:ind w:right="-20"/>
        <w:jc w:val="left"/>
      </w:pPr>
      <w:r>
        <w:rPr/>
        <w:t>无</w:t>
      </w:r>
    </w:p>
    <w:p>
      <w:pPr>
        <w:spacing w:before="26"/>
        <w:ind w:left="154" w:right="-2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本期实际核销的应收账款情况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5"/>
          <w:szCs w:val="15"/>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3475" w:space="5355"/>
            <w:col w:w="210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38,675.91</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12,990.57</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C</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11,608.10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D</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5,000.00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E</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w w:val="95"/>
                <w:sz w:val="18"/>
              </w:rPr>
              <w:t>4,311.72</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F</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1,548.98</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G</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24,100.74</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H</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2,370.00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100,606.02</w:t>
            </w:r>
          </w:p>
        </w:tc>
      </w:tr>
    </w:tbl>
    <w:p>
      <w:pPr>
        <w:pStyle w:val="BodyText"/>
        <w:spacing w:line="240" w:lineRule="auto" w:before="51"/>
        <w:ind w:right="0"/>
        <w:jc w:val="left"/>
      </w:pPr>
      <w:r>
        <w:rPr/>
        <w:t>其中重要的应收账款核销情况：</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1" w:right="161"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38,675.91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确认坏账</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12,990.57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确认坏账</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C</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11,608.10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确认坏账</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D</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确认坏账</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E</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w w:val="95"/>
                <w:sz w:val="18"/>
              </w:rPr>
              <w:t>4,311.72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确认坏账</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F</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1,548.98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确认坏账</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G</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24,100.74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确认坏账</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H</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2,370.00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确认坏账</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100,606.02</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100" w:bottom="1200" w:left="980" w:right="0"/>
        </w:sectPr>
      </w:pPr>
    </w:p>
    <w:p>
      <w:pPr>
        <w:spacing w:line="240" w:lineRule="auto" w:before="10"/>
        <w:rPr>
          <w:rFonts w:ascii="宋体" w:hAnsi="宋体" w:cs="宋体" w:eastAsia="宋体" w:hint="default"/>
          <w:sz w:val="20"/>
          <w:szCs w:val="20"/>
        </w:rPr>
      </w:pPr>
    </w:p>
    <w:p>
      <w:pPr>
        <w:pStyle w:val="BodyText"/>
        <w:spacing w:line="357" w:lineRule="auto" w:before="44"/>
        <w:ind w:right="9132"/>
        <w:jc w:val="left"/>
      </w:pPr>
      <w:r>
        <w:rPr/>
        <w:t>应收账款核销说明： 无</w:t>
      </w:r>
    </w:p>
    <w:p>
      <w:pPr>
        <w:pStyle w:val="BodyText"/>
        <w:spacing w:line="240" w:lineRule="auto" w:before="29"/>
        <w:ind w:right="0"/>
        <w:jc w:val="left"/>
      </w:pPr>
      <w:r>
        <w:rPr>
          <w:rFonts w:ascii="Times New Roman" w:hAnsi="Times New Roman" w:cs="Times New Roman" w:eastAsia="Times New Roman" w:hint="default"/>
        </w:rPr>
        <w:t>4)</w:t>
      </w:r>
      <w:r>
        <w:rPr/>
        <w:t>按欠款方归集的期末余额前五名的应收账款情况</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76"/>
        <w:gridCol w:w="2268"/>
        <w:gridCol w:w="1847"/>
        <w:gridCol w:w="2199"/>
      </w:tblGrid>
      <w:tr>
        <w:trPr>
          <w:trHeight w:val="654"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21"/>
              <w:ind w:left="243" w:right="241" w:firstLine="44"/>
              <w:jc w:val="left"/>
              <w:rPr>
                <w:rFonts w:ascii="宋体" w:hAnsi="宋体" w:cs="宋体" w:eastAsia="宋体" w:hint="default"/>
                <w:sz w:val="18"/>
                <w:szCs w:val="18"/>
              </w:rPr>
            </w:pPr>
            <w:r>
              <w:rPr>
                <w:rFonts w:ascii="宋体" w:hAnsi="宋体" w:cs="宋体" w:eastAsia="宋体" w:hint="default"/>
                <w:sz w:val="18"/>
                <w:szCs w:val="18"/>
              </w:rPr>
              <w:t>占应收账款期末 余额的比例（</w:t>
            </w:r>
            <w:r>
              <w:rPr>
                <w:rFonts w:ascii="宋体" w:hAnsi="宋体" w:cs="宋体" w:eastAsia="宋体" w:hint="default"/>
                <w:sz w:val="18"/>
                <w:szCs w:val="18"/>
              </w:rPr>
              <w:t>%</w:t>
            </w:r>
            <w:r>
              <w:rPr>
                <w:rFonts w:ascii="宋体" w:hAnsi="宋体" w:cs="宋体" w:eastAsia="宋体" w:hint="default"/>
                <w:sz w:val="18"/>
                <w:szCs w:val="18"/>
              </w:rPr>
              <w:t>）</w:t>
            </w:r>
          </w:p>
        </w:tc>
        <w:tc>
          <w:tcPr>
            <w:tcW w:w="2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64" w:right="0"/>
              <w:jc w:val="left"/>
              <w:rPr>
                <w:rFonts w:ascii="宋体" w:hAnsi="宋体" w:cs="宋体" w:eastAsia="宋体" w:hint="default"/>
                <w:sz w:val="18"/>
                <w:szCs w:val="18"/>
              </w:rPr>
            </w:pPr>
            <w:r>
              <w:rPr>
                <w:rFonts w:ascii="宋体" w:hAnsi="宋体" w:cs="宋体" w:eastAsia="宋体" w:hint="default"/>
                <w:sz w:val="18"/>
                <w:szCs w:val="18"/>
              </w:rPr>
              <w:t>已计提坏账准备</w:t>
            </w:r>
          </w:p>
        </w:tc>
      </w:tr>
      <w:tr>
        <w:trPr>
          <w:trHeight w:val="34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
              <w:jc w:val="right"/>
              <w:rPr>
                <w:rFonts w:ascii="宋体" w:hAnsi="宋体" w:cs="宋体" w:eastAsia="宋体" w:hint="default"/>
                <w:sz w:val="18"/>
                <w:szCs w:val="18"/>
              </w:rPr>
            </w:pPr>
            <w:r>
              <w:rPr>
                <w:rFonts w:ascii="宋体"/>
                <w:sz w:val="18"/>
              </w:rPr>
              <w:t>173,232,831.74</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right"/>
              <w:rPr>
                <w:rFonts w:ascii="宋体" w:hAnsi="宋体" w:cs="宋体" w:eastAsia="宋体" w:hint="default"/>
                <w:sz w:val="18"/>
                <w:szCs w:val="18"/>
              </w:rPr>
            </w:pPr>
            <w:r>
              <w:rPr>
                <w:rFonts w:ascii="宋体"/>
                <w:sz w:val="18"/>
              </w:rPr>
              <w:t>24.50</w:t>
            </w:r>
          </w:p>
        </w:tc>
        <w:tc>
          <w:tcPr>
            <w:tcW w:w="2199"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
              <w:jc w:val="right"/>
              <w:rPr>
                <w:rFonts w:ascii="宋体" w:hAnsi="宋体" w:cs="宋体" w:eastAsia="宋体" w:hint="default"/>
                <w:sz w:val="18"/>
                <w:szCs w:val="18"/>
              </w:rPr>
            </w:pPr>
            <w:r>
              <w:rPr>
                <w:rFonts w:ascii="宋体"/>
                <w:sz w:val="18"/>
              </w:rPr>
              <w:t>124,133,417.28</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right"/>
              <w:rPr>
                <w:rFonts w:ascii="宋体" w:hAnsi="宋体" w:cs="宋体" w:eastAsia="宋体" w:hint="default"/>
                <w:sz w:val="18"/>
                <w:szCs w:val="18"/>
              </w:rPr>
            </w:pPr>
            <w:r>
              <w:rPr>
                <w:rFonts w:ascii="宋体"/>
                <w:sz w:val="18"/>
              </w:rPr>
              <w:t>17.56</w:t>
            </w:r>
          </w:p>
        </w:tc>
        <w:tc>
          <w:tcPr>
            <w:tcW w:w="2199"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
              <w:jc w:val="right"/>
              <w:rPr>
                <w:rFonts w:ascii="宋体" w:hAnsi="宋体" w:cs="宋体" w:eastAsia="宋体" w:hint="default"/>
                <w:sz w:val="18"/>
                <w:szCs w:val="18"/>
              </w:rPr>
            </w:pPr>
            <w:r>
              <w:rPr>
                <w:rFonts w:ascii="宋体"/>
                <w:sz w:val="18"/>
              </w:rPr>
              <w:t>97,714,446.64</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right"/>
              <w:rPr>
                <w:rFonts w:ascii="宋体" w:hAnsi="宋体" w:cs="宋体" w:eastAsia="宋体" w:hint="default"/>
                <w:sz w:val="18"/>
                <w:szCs w:val="18"/>
              </w:rPr>
            </w:pPr>
            <w:r>
              <w:rPr>
                <w:rFonts w:ascii="宋体"/>
                <w:sz w:val="18"/>
              </w:rPr>
              <w:t>13.82</w:t>
            </w:r>
          </w:p>
        </w:tc>
        <w:tc>
          <w:tcPr>
            <w:tcW w:w="2199"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
              <w:jc w:val="right"/>
              <w:rPr>
                <w:rFonts w:ascii="宋体" w:hAnsi="宋体" w:cs="宋体" w:eastAsia="宋体" w:hint="default"/>
                <w:sz w:val="18"/>
                <w:szCs w:val="18"/>
              </w:rPr>
            </w:pPr>
            <w:r>
              <w:rPr>
                <w:rFonts w:ascii="宋体"/>
                <w:sz w:val="18"/>
              </w:rPr>
              <w:t>76,256,143.24</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right"/>
              <w:rPr>
                <w:rFonts w:ascii="宋体" w:hAnsi="宋体" w:cs="宋体" w:eastAsia="宋体" w:hint="default"/>
                <w:sz w:val="18"/>
                <w:szCs w:val="18"/>
              </w:rPr>
            </w:pPr>
            <w:r>
              <w:rPr>
                <w:rFonts w:ascii="宋体"/>
                <w:sz w:val="18"/>
              </w:rPr>
              <w:t>10.78</w:t>
            </w:r>
          </w:p>
        </w:tc>
        <w:tc>
          <w:tcPr>
            <w:tcW w:w="2199"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
              <w:jc w:val="right"/>
              <w:rPr>
                <w:rFonts w:ascii="宋体" w:hAnsi="宋体" w:cs="宋体" w:eastAsia="宋体" w:hint="default"/>
                <w:sz w:val="18"/>
                <w:szCs w:val="18"/>
              </w:rPr>
            </w:pPr>
            <w:r>
              <w:rPr>
                <w:rFonts w:ascii="宋体"/>
                <w:sz w:val="18"/>
              </w:rPr>
              <w:t>34,493,931.50</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right"/>
              <w:rPr>
                <w:rFonts w:ascii="宋体" w:hAnsi="宋体" w:cs="宋体" w:eastAsia="宋体" w:hint="default"/>
                <w:sz w:val="18"/>
                <w:szCs w:val="18"/>
              </w:rPr>
            </w:pPr>
            <w:r>
              <w:rPr>
                <w:rFonts w:ascii="宋体"/>
                <w:sz w:val="18"/>
              </w:rPr>
              <w:t>4.88</w:t>
            </w:r>
          </w:p>
        </w:tc>
        <w:tc>
          <w:tcPr>
            <w:tcW w:w="2199"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
              <w:jc w:val="right"/>
              <w:rPr>
                <w:rFonts w:ascii="宋体" w:hAnsi="宋体" w:cs="宋体" w:eastAsia="宋体" w:hint="default"/>
                <w:sz w:val="18"/>
                <w:szCs w:val="18"/>
              </w:rPr>
            </w:pPr>
            <w:r>
              <w:rPr>
                <w:rFonts w:ascii="宋体"/>
                <w:sz w:val="18"/>
              </w:rPr>
              <w:t>505,830,770.40</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right"/>
              <w:rPr>
                <w:rFonts w:ascii="宋体" w:hAnsi="宋体" w:cs="宋体" w:eastAsia="宋体" w:hint="default"/>
                <w:sz w:val="18"/>
                <w:szCs w:val="18"/>
              </w:rPr>
            </w:pPr>
            <w:r>
              <w:rPr>
                <w:rFonts w:ascii="宋体"/>
                <w:sz w:val="18"/>
              </w:rPr>
              <w:t>71.54</w:t>
            </w:r>
          </w:p>
        </w:tc>
        <w:tc>
          <w:tcPr>
            <w:tcW w:w="219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24"/>
          <w:szCs w:val="24"/>
        </w:rPr>
      </w:pPr>
    </w:p>
    <w:p>
      <w:pPr>
        <w:pStyle w:val="BodyText"/>
        <w:spacing w:line="338" w:lineRule="auto" w:before="44"/>
        <w:ind w:right="7542"/>
        <w:jc w:val="left"/>
      </w:pPr>
      <w:r>
        <w:rPr>
          <w:rFonts w:ascii="Times New Roman" w:hAnsi="Times New Roman" w:cs="Times New Roman" w:eastAsia="Times New Roman" w:hint="default"/>
        </w:rPr>
        <w:t>5)</w:t>
      </w:r>
      <w:r>
        <w:rPr/>
        <w:t>因金融资产转移而终止确认的应收账款</w:t>
      </w:r>
      <w:r>
        <w:rPr>
          <w:w w:val="99"/>
        </w:rPr>
        <w:t> </w:t>
      </w:r>
      <w:r>
        <w:rPr/>
        <w:t>无</w:t>
      </w:r>
    </w:p>
    <w:p>
      <w:pPr>
        <w:pStyle w:val="BodyText"/>
        <w:spacing w:line="338" w:lineRule="auto" w:before="43"/>
        <w:ind w:right="6822"/>
        <w:jc w:val="left"/>
      </w:pPr>
      <w:r>
        <w:rPr>
          <w:rFonts w:ascii="Times New Roman" w:hAnsi="Times New Roman" w:cs="Times New Roman" w:eastAsia="Times New Roman" w:hint="default"/>
        </w:rPr>
        <w:t>6)</w:t>
      </w:r>
      <w:r>
        <w:rPr/>
        <w:t>转移应收账款且继续涉入形成的资产、负债金额</w:t>
      </w:r>
      <w:r>
        <w:rPr>
          <w:w w:val="99"/>
        </w:rPr>
        <w:t> </w:t>
      </w:r>
      <w:r>
        <w:rPr/>
        <w:t>无</w:t>
      </w:r>
    </w:p>
    <w:p>
      <w:pPr>
        <w:pStyle w:val="BodyText"/>
        <w:spacing w:line="357" w:lineRule="auto" w:before="43"/>
        <w:ind w:right="4362"/>
        <w:jc w:val="left"/>
      </w:pPr>
      <w:r>
        <w:rPr/>
        <w:t>其他说明： </w:t>
      </w:r>
      <w:r>
        <w:rPr>
          <w:rFonts w:ascii="宋体" w:hAnsi="宋体" w:cs="宋体" w:eastAsia="宋体" w:hint="default"/>
        </w:rPr>
        <w:t>1</w:t>
      </w:r>
      <w:r>
        <w:rPr/>
        <w:t>、期末应收账款中无应收持本公司</w:t>
      </w:r>
      <w:r>
        <w:rPr>
          <w:rFonts w:ascii="宋体" w:hAnsi="宋体" w:cs="宋体" w:eastAsia="宋体" w:hint="default"/>
        </w:rPr>
        <w:t>5%</w:t>
      </w:r>
      <w:r>
        <w:rPr/>
        <w:t>以上</w:t>
      </w:r>
      <w:r>
        <w:rPr>
          <w:rFonts w:ascii="宋体" w:hAnsi="宋体" w:cs="宋体" w:eastAsia="宋体" w:hint="default"/>
        </w:rPr>
        <w:t>(</w:t>
      </w:r>
      <w:r>
        <w:rPr/>
        <w:t>含</w:t>
      </w:r>
      <w:r>
        <w:rPr>
          <w:rFonts w:ascii="宋体" w:hAnsi="宋体" w:cs="宋体" w:eastAsia="宋体" w:hint="default"/>
        </w:rPr>
        <w:t>5%)</w:t>
      </w:r>
      <w:r>
        <w:rPr/>
        <w:t>表决权股份的股东单位的款项。</w:t>
      </w:r>
    </w:p>
    <w:p>
      <w:pPr>
        <w:pStyle w:val="BodyText"/>
        <w:spacing w:line="224" w:lineRule="exact"/>
        <w:ind w:right="0"/>
        <w:jc w:val="left"/>
      </w:pPr>
      <w:r>
        <w:rPr>
          <w:rFonts w:ascii="宋体" w:hAnsi="宋体" w:cs="宋体" w:eastAsia="宋体" w:hint="default"/>
        </w:rPr>
        <w:t>2</w:t>
      </w:r>
      <w:r>
        <w:rPr/>
        <w:t>、期末应收账款中应收其他关联方的款项</w:t>
      </w:r>
      <w:r>
        <w:rPr>
          <w:rFonts w:ascii="宋体" w:hAnsi="宋体" w:cs="宋体" w:eastAsia="宋体" w:hint="default"/>
        </w:rPr>
        <w:t>2,563,884.81</w:t>
      </w:r>
      <w:r>
        <w:rPr/>
        <w:t>元，详见“第十一节、十二、关联方及关联交易</w:t>
      </w:r>
      <w:r>
        <w:rPr>
          <w:spacing w:val="-90"/>
        </w:rPr>
        <w:t>”</w:t>
      </w:r>
      <w:r>
        <w:rPr/>
        <w:t>。</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5、预付款项" w:id="233"/>
      <w:bookmarkEnd w:id="233"/>
      <w:r>
        <w:rPr>
          <w:b w:val="0"/>
          <w:bCs w:val="0"/>
        </w:rPr>
      </w:r>
      <w:r>
        <w:rPr>
          <w:rFonts w:ascii="Times New Roman" w:hAnsi="Times New Roman" w:cs="Times New Roman" w:eastAsia="Times New Roman" w:hint="default"/>
        </w:rPr>
        <w:t>5</w:t>
      </w:r>
      <w:r>
        <w:rPr/>
        <w:t>、预付款项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预付款项按账龄列示" w:id="234"/>
      <w:bookmarkEnd w:id="234"/>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5"/>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2,372,693.55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67.02%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38,180,699.49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96.26%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631,050.70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17.82%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1,262,303.45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3.18%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356,738.19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222,143.94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0.56%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179,889.12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3,540,371.56</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39,665,146.88</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38" w:lineRule="auto" w:before="51"/>
        <w:ind w:right="5894"/>
        <w:jc w:val="left"/>
      </w:pPr>
      <w:r>
        <w:rPr/>
        <w:t>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年且金额重要的预付款项未及时结算原因的说明： 无</w:t>
      </w:r>
    </w:p>
    <w:p>
      <w:pPr>
        <w:spacing w:line="240" w:lineRule="auto" w:before="4"/>
        <w:rPr>
          <w:rFonts w:ascii="宋体" w:hAnsi="宋体" w:cs="宋体" w:eastAsia="宋体" w:hint="default"/>
          <w:sz w:val="21"/>
          <w:szCs w:val="21"/>
        </w:rPr>
      </w:pPr>
    </w:p>
    <w:p>
      <w:pPr>
        <w:pStyle w:val="Heading3"/>
        <w:spacing w:line="240" w:lineRule="auto"/>
        <w:ind w:right="0"/>
        <w:jc w:val="left"/>
        <w:rPr>
          <w:b w:val="0"/>
          <w:bCs w:val="0"/>
        </w:rPr>
      </w:pPr>
      <w:bookmarkStart w:name="（2）按预付对象归集的期末余额前五名的预付款情况" w:id="235"/>
      <w:bookmarkEnd w:id="235"/>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694"/>
        <w:gridCol w:w="1559"/>
        <w:gridCol w:w="1418"/>
        <w:gridCol w:w="1134"/>
        <w:gridCol w:w="2271"/>
      </w:tblGrid>
      <w:tr>
        <w:trPr>
          <w:trHeight w:val="65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13"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118" w:right="119" w:firstLine="134"/>
              <w:jc w:val="left"/>
              <w:rPr>
                <w:rFonts w:ascii="宋体" w:hAnsi="宋体" w:cs="宋体" w:eastAsia="宋体" w:hint="default"/>
                <w:sz w:val="18"/>
                <w:szCs w:val="18"/>
              </w:rPr>
            </w:pPr>
            <w:r>
              <w:rPr>
                <w:rFonts w:ascii="宋体" w:hAnsi="宋体" w:cs="宋体" w:eastAsia="宋体" w:hint="default"/>
                <w:sz w:val="18"/>
                <w:szCs w:val="18"/>
              </w:rPr>
              <w:t>占预付款项 总额的比例</w:t>
            </w:r>
            <w:r>
              <w:rPr>
                <w:rFonts w:ascii="宋体" w:hAnsi="宋体" w:cs="宋体" w:eastAsia="宋体" w:hint="default"/>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34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643" w:right="0"/>
              <w:jc w:val="left"/>
              <w:rPr>
                <w:rFonts w:ascii="宋体" w:hAnsi="宋体" w:cs="宋体" w:eastAsia="宋体" w:hint="default"/>
                <w:sz w:val="18"/>
                <w:szCs w:val="18"/>
              </w:rPr>
            </w:pPr>
            <w:r>
              <w:rPr>
                <w:rFonts w:ascii="宋体"/>
                <w:sz w:val="18"/>
              </w:rPr>
              <w:t>452,553.14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5"/>
              <w:jc w:val="right"/>
              <w:rPr>
                <w:rFonts w:ascii="宋体" w:hAnsi="宋体" w:cs="宋体" w:eastAsia="宋体" w:hint="default"/>
                <w:sz w:val="18"/>
                <w:szCs w:val="18"/>
              </w:rPr>
            </w:pPr>
            <w:r>
              <w:rPr>
                <w:rFonts w:ascii="宋体"/>
                <w:sz w:val="18"/>
              </w:rPr>
              <w:t>12.78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合同执行中</w:t>
            </w:r>
          </w:p>
        </w:tc>
      </w:tr>
    </w:tbl>
    <w:p>
      <w:pPr>
        <w:spacing w:after="0" w:line="240" w:lineRule="auto"/>
        <w:jc w:val="center"/>
        <w:rPr>
          <w:rFonts w:ascii="宋体" w:hAnsi="宋体" w:cs="宋体" w:eastAsia="宋体"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b/>
          <w:bCs/>
          <w:sz w:val="23"/>
          <w:szCs w:val="23"/>
        </w:rPr>
      </w:pPr>
    </w:p>
    <w:tbl>
      <w:tblPr>
        <w:tblW w:w="0" w:type="auto"/>
        <w:jc w:val="left"/>
        <w:tblInd w:w="149" w:type="dxa"/>
        <w:tblLayout w:type="fixed"/>
        <w:tblCellMar>
          <w:top w:w="0" w:type="dxa"/>
          <w:left w:w="0" w:type="dxa"/>
          <w:bottom w:w="0" w:type="dxa"/>
          <w:right w:w="0" w:type="dxa"/>
        </w:tblCellMar>
        <w:tblLook w:val="01E0"/>
      </w:tblPr>
      <w:tblGrid>
        <w:gridCol w:w="2694"/>
        <w:gridCol w:w="1559"/>
        <w:gridCol w:w="1418"/>
        <w:gridCol w:w="1134"/>
        <w:gridCol w:w="2271"/>
      </w:tblGrid>
      <w:tr>
        <w:trPr>
          <w:trHeight w:val="34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
              <w:jc w:val="right"/>
              <w:rPr>
                <w:rFonts w:ascii="宋体" w:hAnsi="宋体" w:cs="宋体" w:eastAsia="宋体" w:hint="default"/>
                <w:sz w:val="18"/>
                <w:szCs w:val="18"/>
              </w:rPr>
            </w:pPr>
            <w:r>
              <w:rPr>
                <w:rFonts w:ascii="宋体"/>
                <w:sz w:val="18"/>
              </w:rPr>
              <w:t>343,367.71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9.70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合同执行中</w:t>
            </w:r>
          </w:p>
        </w:tc>
      </w:tr>
      <w:tr>
        <w:trPr>
          <w:trHeight w:val="34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
              <w:jc w:val="right"/>
              <w:rPr>
                <w:rFonts w:ascii="宋体" w:hAnsi="宋体" w:cs="宋体" w:eastAsia="宋体" w:hint="default"/>
                <w:sz w:val="18"/>
                <w:szCs w:val="18"/>
              </w:rPr>
            </w:pPr>
            <w:r>
              <w:rPr>
                <w:rFonts w:ascii="宋体"/>
                <w:sz w:val="18"/>
              </w:rPr>
              <w:t>342,187.46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9.67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采购退货，协商退款中</w:t>
            </w:r>
          </w:p>
        </w:tc>
      </w:tr>
      <w:tr>
        <w:trPr>
          <w:trHeight w:val="34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
              <w:jc w:val="right"/>
              <w:rPr>
                <w:rFonts w:ascii="宋体" w:hAnsi="宋体" w:cs="宋体" w:eastAsia="宋体" w:hint="default"/>
                <w:sz w:val="18"/>
                <w:szCs w:val="18"/>
              </w:rPr>
            </w:pPr>
            <w:r>
              <w:rPr>
                <w:rFonts w:ascii="宋体"/>
                <w:sz w:val="18"/>
              </w:rPr>
              <w:t>273,007.14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7.71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合同执行中</w:t>
            </w:r>
          </w:p>
        </w:tc>
      </w:tr>
      <w:tr>
        <w:trPr>
          <w:trHeight w:val="34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
              <w:jc w:val="right"/>
              <w:rPr>
                <w:rFonts w:ascii="宋体" w:hAnsi="宋体" w:cs="宋体" w:eastAsia="宋体" w:hint="default"/>
                <w:sz w:val="18"/>
                <w:szCs w:val="18"/>
              </w:rPr>
            </w:pPr>
            <w:r>
              <w:rPr>
                <w:rFonts w:ascii="宋体"/>
                <w:sz w:val="18"/>
              </w:rPr>
              <w:t>235,445.00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6.65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2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合同执行中</w:t>
            </w:r>
          </w:p>
        </w:tc>
      </w:tr>
      <w:tr>
        <w:trPr>
          <w:trHeight w:val="34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4"/>
              <w:jc w:val="right"/>
              <w:rPr>
                <w:rFonts w:ascii="宋体" w:hAnsi="宋体" w:cs="宋体" w:eastAsia="宋体" w:hint="default"/>
                <w:sz w:val="18"/>
                <w:szCs w:val="18"/>
              </w:rPr>
            </w:pPr>
            <w:r>
              <w:rPr>
                <w:rFonts w:ascii="宋体"/>
                <w:sz w:val="18"/>
              </w:rPr>
              <w:t>1,646,560.45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46.51</w:t>
            </w:r>
          </w:p>
        </w:tc>
        <w:tc>
          <w:tcPr>
            <w:tcW w:w="1134" w:type="dxa"/>
            <w:tcBorders>
              <w:top w:val="single" w:sz="4" w:space="0" w:color="000000"/>
              <w:left w:val="single" w:sz="4" w:space="0" w:color="000000"/>
              <w:bottom w:val="single" w:sz="4" w:space="0" w:color="000000"/>
              <w:right w:val="single" w:sz="4" w:space="0" w:color="000000"/>
            </w:tcBorders>
          </w:tcPr>
          <w:p>
            <w:pPr/>
          </w:p>
        </w:tc>
        <w:tc>
          <w:tcPr>
            <w:tcW w:w="227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b/>
          <w:bCs/>
          <w:sz w:val="24"/>
          <w:szCs w:val="24"/>
        </w:rPr>
      </w:pPr>
    </w:p>
    <w:p>
      <w:pPr>
        <w:pStyle w:val="BodyText"/>
        <w:spacing w:line="240" w:lineRule="auto" w:before="44"/>
        <w:ind w:right="0"/>
        <w:jc w:val="left"/>
      </w:pPr>
      <w:r>
        <w:rPr/>
        <w:t>其他说明：</w:t>
      </w:r>
    </w:p>
    <w:p>
      <w:pPr>
        <w:pStyle w:val="Heading4"/>
        <w:spacing w:line="240" w:lineRule="auto" w:before="90"/>
        <w:ind w:right="0"/>
        <w:jc w:val="left"/>
      </w:pPr>
      <w:r>
        <w:rPr>
          <w:rFonts w:ascii="宋体" w:hAnsi="宋体" w:cs="宋体" w:eastAsia="宋体" w:hint="default"/>
        </w:rPr>
        <w:t>1</w:t>
      </w:r>
      <w:r>
        <w:rPr/>
        <w:t>、期末预付款项中无预付持本公司</w:t>
      </w:r>
      <w:r>
        <w:rPr>
          <w:rFonts w:ascii="宋体" w:hAnsi="宋体" w:cs="宋体" w:eastAsia="宋体" w:hint="default"/>
        </w:rPr>
        <w:t>5%</w:t>
      </w:r>
      <w:r>
        <w:rPr/>
        <w:t>以上</w:t>
      </w:r>
      <w:r>
        <w:rPr>
          <w:rFonts w:ascii="宋体" w:hAnsi="宋体" w:cs="宋体" w:eastAsia="宋体" w:hint="default"/>
        </w:rPr>
        <w:t>(</w:t>
      </w:r>
      <w:r>
        <w:rPr/>
        <w:t>含</w:t>
      </w:r>
      <w:r>
        <w:rPr>
          <w:rFonts w:ascii="宋体" w:hAnsi="宋体" w:cs="宋体" w:eastAsia="宋体" w:hint="default"/>
        </w:rPr>
        <w:t>5%)</w:t>
      </w:r>
      <w:r>
        <w:rPr/>
        <w:t>表决权股份的股东单位及其他关联方的款项。</w:t>
      </w:r>
    </w:p>
    <w:p>
      <w:pPr>
        <w:pStyle w:val="Heading4"/>
        <w:spacing w:line="240" w:lineRule="auto"/>
        <w:ind w:right="0"/>
        <w:jc w:val="left"/>
      </w:pPr>
      <w:r>
        <w:rPr>
          <w:rFonts w:ascii="宋体" w:hAnsi="宋体" w:cs="宋体" w:eastAsia="宋体" w:hint="default"/>
        </w:rPr>
        <w:t>2</w:t>
      </w:r>
      <w:r>
        <w:rPr/>
        <w:t>、预付款项期末余额较期初减少</w:t>
      </w:r>
      <w:r>
        <w:rPr>
          <w:rFonts w:ascii="宋体" w:hAnsi="宋体" w:cs="宋体" w:eastAsia="宋体" w:hint="default"/>
        </w:rPr>
        <w:t>36,124,775.32</w:t>
      </w:r>
      <w:r>
        <w:rPr/>
        <w:t>元，减少比例为</w:t>
      </w:r>
      <w:r>
        <w:rPr>
          <w:rFonts w:ascii="宋体" w:hAnsi="宋体" w:cs="宋体" w:eastAsia="宋体" w:hint="default"/>
        </w:rPr>
        <w:t>91.07%</w:t>
      </w:r>
      <w:r>
        <w:rPr/>
        <w:t>，主要系预付工程款减少所致。</w:t>
      </w:r>
    </w:p>
    <w:p>
      <w:pPr>
        <w:spacing w:line="240" w:lineRule="auto" w:before="11"/>
        <w:rPr>
          <w:rFonts w:ascii="宋体" w:hAnsi="宋体" w:cs="宋体" w:eastAsia="宋体" w:hint="default"/>
          <w:sz w:val="25"/>
          <w:szCs w:val="25"/>
        </w:rPr>
      </w:pPr>
    </w:p>
    <w:p>
      <w:pPr>
        <w:pStyle w:val="Heading3"/>
        <w:spacing w:line="240" w:lineRule="auto"/>
        <w:ind w:right="0"/>
        <w:jc w:val="left"/>
        <w:rPr>
          <w:b w:val="0"/>
          <w:bCs w:val="0"/>
        </w:rPr>
      </w:pPr>
      <w:bookmarkStart w:name="6、其他应收款" w:id="236"/>
      <w:bookmarkEnd w:id="236"/>
      <w:r>
        <w:rPr>
          <w:b w:val="0"/>
          <w:bCs w:val="0"/>
        </w:rPr>
      </w:r>
      <w:r>
        <w:rPr>
          <w:rFonts w:ascii="Times New Roman" w:hAnsi="Times New Roman" w:cs="Times New Roman" w:eastAsia="Times New Roman" w:hint="default"/>
        </w:rPr>
        <w:t>6</w:t>
      </w:r>
      <w:r>
        <w:rPr/>
        <w:t>、其他应收款</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324,236.89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325,694.44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36,040,123.96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27,782,696.26</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36,364,360.85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28,108,390.70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应收利息" w:id="237"/>
      <w:bookmarkEnd w:id="237"/>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应收利息分类</w:t>
      </w:r>
    </w:p>
    <w:p>
      <w:pPr>
        <w:pStyle w:val="BodyText"/>
        <w:spacing w:line="240" w:lineRule="auto" w:before="102"/>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89"/>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闲置资金利息</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324,236.89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325,694.44</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324,236.89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325,694.44</w:t>
            </w:r>
          </w:p>
        </w:tc>
      </w:tr>
    </w:tbl>
    <w:p>
      <w:pPr>
        <w:pStyle w:val="BodyText"/>
        <w:spacing w:line="240" w:lineRule="auto" w:before="51"/>
        <w:ind w:right="0"/>
        <w:jc w:val="left"/>
      </w:pPr>
      <w:r>
        <w:rPr>
          <w:rFonts w:ascii="Times New Roman" w:hAnsi="Times New Roman" w:cs="Times New Roman" w:eastAsia="Times New Roman" w:hint="default"/>
        </w:rPr>
        <w:t>2)</w:t>
      </w:r>
      <w:r>
        <w:rPr/>
        <w:t>重要逾期利息</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应收股利" w:id="238"/>
      <w:bookmarkEnd w:id="238"/>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应收股利</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rFonts w:ascii="Times New Roman" w:hAnsi="Times New Roman" w:cs="Times New Roman" w:eastAsia="Times New Roman" w:hint="default"/>
        </w:rPr>
        <w:t>2)</w:t>
      </w:r>
      <w:r>
        <w:rPr/>
        <w:t>重要的账龄超过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年的应收股利</w:t>
      </w:r>
    </w:p>
    <w:p>
      <w:pPr>
        <w:pStyle w:val="BodyText"/>
        <w:spacing w:line="240" w:lineRule="auto" w:before="103"/>
        <w:ind w:left="0" w:right="1130"/>
        <w:jc w:val="right"/>
      </w:pPr>
      <w:r>
        <w:rPr/>
        <w:t>单位： 元</w:t>
      </w:r>
    </w:p>
    <w:p>
      <w:pPr>
        <w:spacing w:after="0" w:line="240" w:lineRule="auto"/>
        <w:jc w:val="right"/>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pStyle w:val="BodyText"/>
        <w:spacing w:line="357" w:lineRule="auto" w:before="51"/>
        <w:ind w:right="9852"/>
        <w:jc w:val="left"/>
      </w:pPr>
      <w:r>
        <w:rPr/>
        <w:t>其他说明： 无</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3）其他应收款" w:id="239"/>
      <w:bookmarkEnd w:id="239"/>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其他应收款分类披露</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6" w:lineRule="auto"/>
              <w:ind w:left="298" w:right="119"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6" w:lineRule="auto"/>
              <w:ind w:left="370" w:right="191"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70" w:right="191"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单项金额重大并 单独计提坏账准 备的其他应收款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928,29</w:t>
            </w:r>
          </w:p>
          <w:p>
            <w:pPr>
              <w:pStyle w:val="TableParagraph"/>
              <w:spacing w:line="240" w:lineRule="auto" w:before="105"/>
              <w:ind w:left="233" w:right="0"/>
              <w:jc w:val="center"/>
              <w:rPr>
                <w:rFonts w:ascii="Times New Roman" w:hAnsi="Times New Roman" w:cs="Times New Roman" w:eastAsia="Times New Roman" w:hint="default"/>
                <w:sz w:val="18"/>
                <w:szCs w:val="18"/>
              </w:rPr>
            </w:pPr>
            <w:r>
              <w:rPr>
                <w:rFonts w:ascii="Times New Roman"/>
                <w:sz w:val="18"/>
              </w:rPr>
              <w:t>9.55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3" w:right="0"/>
              <w:jc w:val="left"/>
              <w:rPr>
                <w:rFonts w:ascii="Times New Roman" w:hAnsi="Times New Roman" w:cs="Times New Roman" w:eastAsia="Times New Roman" w:hint="default"/>
                <w:sz w:val="18"/>
                <w:szCs w:val="18"/>
              </w:rPr>
            </w:pPr>
            <w:r>
              <w:rPr>
                <w:rFonts w:ascii="Times New Roman"/>
                <w:sz w:val="18"/>
              </w:rPr>
              <w:t>2.29%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9" w:right="0"/>
              <w:jc w:val="center"/>
              <w:rPr>
                <w:rFonts w:ascii="Times New Roman" w:hAnsi="Times New Roman" w:cs="Times New Roman" w:eastAsia="Times New Roman" w:hint="default"/>
                <w:sz w:val="18"/>
                <w:szCs w:val="18"/>
              </w:rPr>
            </w:pPr>
            <w:r>
              <w:rPr>
                <w:rFonts w:ascii="Times New Roman"/>
                <w:sz w:val="18"/>
              </w:rPr>
              <w:t>928,29</w:t>
            </w:r>
          </w:p>
          <w:p>
            <w:pPr>
              <w:pStyle w:val="TableParagraph"/>
              <w:spacing w:line="240" w:lineRule="auto" w:before="105"/>
              <w:ind w:left="229" w:right="0"/>
              <w:jc w:val="center"/>
              <w:rPr>
                <w:rFonts w:ascii="Times New Roman" w:hAnsi="Times New Roman" w:cs="Times New Roman" w:eastAsia="Times New Roman" w:hint="default"/>
                <w:sz w:val="18"/>
                <w:szCs w:val="18"/>
              </w:rPr>
            </w:pPr>
            <w:r>
              <w:rPr>
                <w:rFonts w:ascii="Times New Roman"/>
                <w:sz w:val="18"/>
              </w:rPr>
              <w:t>9.55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按信用风险特征 组合计提坏账准 备的其他应收款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39,630,</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124.39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3" w:right="0"/>
              <w:jc w:val="left"/>
              <w:rPr>
                <w:rFonts w:ascii="Times New Roman" w:hAnsi="Times New Roman" w:cs="Times New Roman" w:eastAsia="Times New Roman" w:hint="default"/>
                <w:sz w:val="18"/>
                <w:szCs w:val="18"/>
              </w:rPr>
            </w:pPr>
            <w:r>
              <w:rPr>
                <w:rFonts w:ascii="Times New Roman"/>
                <w:sz w:val="18"/>
              </w:rPr>
              <w:t>97.71</w:t>
            </w:r>
          </w:p>
          <w:p>
            <w:pPr>
              <w:pStyle w:val="TableParagraph"/>
              <w:spacing w:line="240" w:lineRule="auto" w:before="105"/>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3,590,0</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00.43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9.06%</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5" w:right="0"/>
              <w:jc w:val="left"/>
              <w:rPr>
                <w:rFonts w:ascii="Times New Roman" w:hAnsi="Times New Roman" w:cs="Times New Roman" w:eastAsia="Times New Roman" w:hint="default"/>
                <w:sz w:val="18"/>
                <w:szCs w:val="18"/>
              </w:rPr>
            </w:pPr>
            <w:r>
              <w:rPr>
                <w:rFonts w:ascii="Times New Roman"/>
                <w:sz w:val="18"/>
              </w:rPr>
              <w:t>36,040,</w:t>
            </w:r>
          </w:p>
          <w:p>
            <w:pPr>
              <w:pStyle w:val="TableParagraph"/>
              <w:spacing w:line="240" w:lineRule="auto" w:before="105"/>
              <w:ind w:left="181" w:right="0"/>
              <w:jc w:val="left"/>
              <w:rPr>
                <w:rFonts w:ascii="Times New Roman" w:hAnsi="Times New Roman" w:cs="Times New Roman" w:eastAsia="Times New Roman" w:hint="default"/>
                <w:sz w:val="18"/>
                <w:szCs w:val="18"/>
              </w:rPr>
            </w:pPr>
            <w:r>
              <w:rPr>
                <w:rFonts w:ascii="Times New Roman"/>
                <w:sz w:val="18"/>
              </w:rPr>
              <w:t>123.96</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30,80</w:t>
            </w:r>
          </w:p>
          <w:p>
            <w:pPr>
              <w:pStyle w:val="TableParagraph"/>
              <w:spacing w:line="240" w:lineRule="auto" w:before="104"/>
              <w:ind w:left="34" w:right="0"/>
              <w:jc w:val="center"/>
              <w:rPr>
                <w:rFonts w:ascii="Times New Roman" w:hAnsi="Times New Roman" w:cs="Times New Roman" w:eastAsia="Times New Roman" w:hint="default"/>
                <w:sz w:val="18"/>
                <w:szCs w:val="18"/>
              </w:rPr>
            </w:pPr>
            <w:r>
              <w:rPr>
                <w:rFonts w:ascii="Times New Roman"/>
                <w:sz w:val="18"/>
              </w:rPr>
              <w:t>3,208</w:t>
            </w:r>
          </w:p>
          <w:p>
            <w:pPr>
              <w:pStyle w:val="TableParagraph"/>
              <w:spacing w:line="240" w:lineRule="auto" w:before="106"/>
              <w:ind w:left="214" w:right="0"/>
              <w:jc w:val="center"/>
              <w:rPr>
                <w:rFonts w:ascii="Times New Roman" w:hAnsi="Times New Roman" w:cs="Times New Roman" w:eastAsia="Times New Roman" w:hint="default"/>
                <w:sz w:val="18"/>
                <w:szCs w:val="18"/>
              </w:rPr>
            </w:pPr>
            <w:r>
              <w:rPr>
                <w:rFonts w:ascii="Times New Roman"/>
                <w:sz w:val="18"/>
              </w:rPr>
              <w:t>.14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3,020,5</w:t>
            </w:r>
          </w:p>
          <w:p>
            <w:pPr>
              <w:pStyle w:val="TableParagraph"/>
              <w:spacing w:line="240" w:lineRule="auto" w:before="105"/>
              <w:ind w:left="200" w:right="0"/>
              <w:jc w:val="center"/>
              <w:rPr>
                <w:rFonts w:ascii="Times New Roman" w:hAnsi="Times New Roman" w:cs="Times New Roman" w:eastAsia="Times New Roman" w:hint="default"/>
                <w:sz w:val="18"/>
                <w:szCs w:val="18"/>
              </w:rPr>
            </w:pPr>
            <w:r>
              <w:rPr>
                <w:rFonts w:ascii="Times New Roman"/>
                <w:sz w:val="18"/>
              </w:rPr>
              <w:t>11.88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9.81%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27,782,6</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96.26</w:t>
            </w: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40,558,</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423.94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4,518,2</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99.98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0" w:right="0"/>
              <w:jc w:val="left"/>
              <w:rPr>
                <w:rFonts w:ascii="Times New Roman" w:hAnsi="Times New Roman" w:cs="Times New Roman" w:eastAsia="Times New Roman" w:hint="default"/>
                <w:sz w:val="18"/>
                <w:szCs w:val="18"/>
              </w:rPr>
            </w:pPr>
            <w:r>
              <w:rPr>
                <w:rFonts w:ascii="Times New Roman"/>
                <w:sz w:val="18"/>
              </w:rPr>
              <w:t>11.14</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5" w:right="0"/>
              <w:jc w:val="left"/>
              <w:rPr>
                <w:rFonts w:ascii="Times New Roman" w:hAnsi="Times New Roman" w:cs="Times New Roman" w:eastAsia="Times New Roman" w:hint="default"/>
                <w:sz w:val="18"/>
                <w:szCs w:val="18"/>
              </w:rPr>
            </w:pPr>
            <w:r>
              <w:rPr>
                <w:rFonts w:ascii="Times New Roman"/>
                <w:sz w:val="18"/>
              </w:rPr>
              <w:t>36,040,</w:t>
            </w:r>
          </w:p>
          <w:p>
            <w:pPr>
              <w:pStyle w:val="TableParagraph"/>
              <w:spacing w:line="240" w:lineRule="auto" w:before="105"/>
              <w:ind w:left="181" w:right="0"/>
              <w:jc w:val="left"/>
              <w:rPr>
                <w:rFonts w:ascii="Times New Roman" w:hAnsi="Times New Roman" w:cs="Times New Roman" w:eastAsia="Times New Roman" w:hint="default"/>
                <w:sz w:val="18"/>
                <w:szCs w:val="18"/>
              </w:rPr>
            </w:pPr>
            <w:r>
              <w:rPr>
                <w:rFonts w:ascii="Times New Roman"/>
                <w:sz w:val="18"/>
              </w:rPr>
              <w:t>123.96</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30,80</w:t>
            </w:r>
          </w:p>
          <w:p>
            <w:pPr>
              <w:pStyle w:val="TableParagraph"/>
              <w:spacing w:line="240" w:lineRule="auto" w:before="104"/>
              <w:ind w:left="34" w:right="0"/>
              <w:jc w:val="center"/>
              <w:rPr>
                <w:rFonts w:ascii="Times New Roman" w:hAnsi="Times New Roman" w:cs="Times New Roman" w:eastAsia="Times New Roman" w:hint="default"/>
                <w:sz w:val="18"/>
                <w:szCs w:val="18"/>
              </w:rPr>
            </w:pPr>
            <w:r>
              <w:rPr>
                <w:rFonts w:ascii="Times New Roman"/>
                <w:sz w:val="18"/>
              </w:rPr>
              <w:t>3,208</w:t>
            </w:r>
          </w:p>
          <w:p>
            <w:pPr>
              <w:pStyle w:val="TableParagraph"/>
              <w:spacing w:line="240" w:lineRule="auto" w:before="106"/>
              <w:ind w:left="214" w:right="0"/>
              <w:jc w:val="center"/>
              <w:rPr>
                <w:rFonts w:ascii="Times New Roman" w:hAnsi="Times New Roman" w:cs="Times New Roman" w:eastAsia="Times New Roman" w:hint="default"/>
                <w:sz w:val="18"/>
                <w:szCs w:val="18"/>
              </w:rPr>
            </w:pPr>
            <w:r>
              <w:rPr>
                <w:rFonts w:ascii="Times New Roman"/>
                <w:sz w:val="18"/>
              </w:rPr>
              <w:t>.14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3,020,5</w:t>
            </w:r>
          </w:p>
          <w:p>
            <w:pPr>
              <w:pStyle w:val="TableParagraph"/>
              <w:spacing w:line="240" w:lineRule="auto" w:before="105"/>
              <w:ind w:left="200" w:right="0"/>
              <w:jc w:val="center"/>
              <w:rPr>
                <w:rFonts w:ascii="Times New Roman" w:hAnsi="Times New Roman" w:cs="Times New Roman" w:eastAsia="Times New Roman" w:hint="default"/>
                <w:sz w:val="18"/>
                <w:szCs w:val="18"/>
              </w:rPr>
            </w:pPr>
            <w:r>
              <w:rPr>
                <w:rFonts w:ascii="Times New Roman"/>
                <w:sz w:val="18"/>
              </w:rPr>
              <w:t>11.88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9.81%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27,782,6</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96.26</w:t>
            </w:r>
          </w:p>
        </w:tc>
      </w:tr>
    </w:tbl>
    <w:p>
      <w:pPr>
        <w:spacing w:after="0" w:line="240" w:lineRule="auto"/>
        <w:jc w:val="left"/>
        <w:rPr>
          <w:rFonts w:ascii="Times New Roman" w:hAnsi="Times New Roman" w:cs="Times New Roman" w:eastAsia="Times New Roman" w:hint="default"/>
          <w:sz w:val="18"/>
          <w:szCs w:val="18"/>
        </w:rPr>
        <w:sectPr>
          <w:pgSz w:w="11910" w:h="16840"/>
          <w:pgMar w:header="917" w:footer="1019" w:top="1120" w:bottom="1200" w:left="980" w:right="0"/>
        </w:sectPr>
      </w:pPr>
    </w:p>
    <w:p>
      <w:pPr>
        <w:pStyle w:val="BodyText"/>
        <w:spacing w:line="240" w:lineRule="auto" w:before="51"/>
        <w:ind w:right="-20"/>
        <w:jc w:val="left"/>
      </w:pPr>
      <w:r>
        <w:rPr/>
        <w:t>期末单项金额重大并单项计提坏账准备的其他应收款：</w:t>
      </w:r>
    </w:p>
    <w:p>
      <w:pPr>
        <w:pStyle w:val="BodyText"/>
        <w:spacing w:line="240" w:lineRule="auto" w:before="117"/>
        <w:ind w:right="-20"/>
        <w:jc w:val="left"/>
      </w:pPr>
      <w:r>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4475" w:space="4355"/>
            <w:col w:w="210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5"/>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其他应收款（按单位）</w:t>
            </w:r>
          </w:p>
        </w:tc>
        <w:tc>
          <w:tcPr>
            <w:tcW w:w="76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928,299.55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928,299.55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56" w:right="0"/>
              <w:jc w:val="left"/>
              <w:rPr>
                <w:rFonts w:ascii="Times New Roman" w:hAnsi="Times New Roman" w:cs="Times New Roman" w:eastAsia="Times New Roman" w:hint="default"/>
                <w:sz w:val="18"/>
                <w:szCs w:val="18"/>
              </w:rPr>
            </w:pPr>
            <w:r>
              <w:rPr>
                <w:rFonts w:ascii="Times New Roman"/>
                <w:sz w:val="18"/>
              </w:rPr>
              <w:t>100.00%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80"/>
              <w:jc w:val="left"/>
              <w:rPr>
                <w:rFonts w:ascii="宋体" w:hAnsi="宋体" w:cs="宋体" w:eastAsia="宋体" w:hint="default"/>
                <w:sz w:val="18"/>
                <w:szCs w:val="18"/>
              </w:rPr>
            </w:pPr>
            <w:r>
              <w:rPr>
                <w:rFonts w:ascii="宋体" w:hAnsi="宋体" w:cs="宋体" w:eastAsia="宋体" w:hint="default"/>
                <w:sz w:val="18"/>
                <w:szCs w:val="18"/>
              </w:rPr>
              <w:t>破产普通债权，收回 可能性低</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928,299.55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928,299.55</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100" w:bottom="1200" w:left="980" w:right="0"/>
        </w:sectPr>
      </w:pPr>
    </w:p>
    <w:p>
      <w:pPr>
        <w:pStyle w:val="BodyText"/>
        <w:spacing w:line="240" w:lineRule="auto" w:before="51"/>
        <w:ind w:right="-20"/>
        <w:jc w:val="left"/>
      </w:pPr>
      <w:r>
        <w:rPr/>
        <w:t>组合中，按账龄分析法计提坏账准备的其他应收款：</w:t>
      </w:r>
    </w:p>
    <w:p>
      <w:pPr>
        <w:pStyle w:val="BodyText"/>
        <w:spacing w:line="240" w:lineRule="auto" w:before="116"/>
        <w:ind w:right="-20"/>
        <w:jc w:val="left"/>
      </w:pPr>
      <w:r>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4295" w:space="4535"/>
            <w:col w:w="210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5,066,370.36</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3,134,873.24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68" w:right="0"/>
              <w:jc w:val="left"/>
              <w:rPr>
                <w:rFonts w:ascii="Times New Roman" w:hAnsi="Times New Roman" w:cs="Times New Roman" w:eastAsia="Times New Roman" w:hint="default"/>
                <w:sz w:val="18"/>
                <w:szCs w:val="18"/>
              </w:rPr>
            </w:pPr>
            <w:r>
              <w:rPr>
                <w:rFonts w:ascii="Times New Roman"/>
                <w:sz w:val="18"/>
              </w:rPr>
              <w:t>313,487.32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2391"/>
        <w:gridCol w:w="2394"/>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8,201,243.60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313,487.32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860,276.44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215,069.11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3,104,540.58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1,552,270.30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1,834,935.96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1,467,948.77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2,090.00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2,090.00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39,134.93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39,134.93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14,042,221.51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3,590,000.43</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pStyle w:val="BodyText"/>
        <w:spacing w:line="357" w:lineRule="auto" w:before="51"/>
        <w:ind w:right="4299"/>
        <w:jc w:val="left"/>
      </w:pPr>
      <w:r>
        <w:rPr/>
        <w:t>确定该组合依据的说明： 无</w:t>
      </w:r>
    </w:p>
    <w:p>
      <w:pPr>
        <w:pStyle w:val="BodyText"/>
        <w:spacing w:line="240" w:lineRule="auto" w:before="29"/>
        <w:ind w:right="-14"/>
        <w:jc w:val="left"/>
      </w:pPr>
      <w:r>
        <w:rPr/>
        <w:t>组合中，采用余额百分比法计提坏账准备的其他应收款：</w:t>
      </w:r>
    </w:p>
    <w:p>
      <w:pPr>
        <w:pStyle w:val="BodyText"/>
        <w:spacing w:line="357" w:lineRule="auto" w:before="117"/>
        <w:ind w:right="2139"/>
        <w:jc w:val="left"/>
      </w:pPr>
      <w:r>
        <w:rPr/>
        <w:t>□ 适用 √ 不适用 组合中，采用其他方法计提坏账准备的其他应收款：</w:t>
      </w:r>
    </w:p>
    <w:p>
      <w:pPr>
        <w:pStyle w:val="BodyText"/>
        <w:spacing w:line="240" w:lineRule="auto" w:before="28"/>
        <w:ind w:right="1959"/>
        <w:jc w:val="left"/>
      </w:pPr>
      <w:r>
        <w:rPr/>
        <w:t>□ 适用 √ 不适用</w:t>
      </w:r>
    </w:p>
    <w:p>
      <w:pPr>
        <w:pStyle w:val="BodyText"/>
        <w:spacing w:line="240" w:lineRule="auto" w:before="117"/>
        <w:ind w:right="1959"/>
        <w:jc w:val="left"/>
      </w:pPr>
      <w:r>
        <w:rPr>
          <w:rFonts w:ascii="Times New Roman" w:hAnsi="Times New Roman" w:cs="Times New Roman" w:eastAsia="Times New Roman" w:hint="default"/>
        </w:rPr>
        <w:t>2)</w:t>
      </w:r>
      <w:r>
        <w:rPr/>
        <w:t>本期计提、收回或转回的坏账准备情况</w:t>
      </w:r>
    </w:p>
    <w:p>
      <w:pPr>
        <w:pStyle w:val="BodyText"/>
        <w:spacing w:line="338" w:lineRule="auto" w:before="102"/>
        <w:ind w:right="-13"/>
        <w:jc w:val="left"/>
      </w:pPr>
      <w:r>
        <w:rPr/>
        <w:t>本期计提坏账准备金额</w:t>
      </w:r>
      <w:r>
        <w:rPr>
          <w:spacing w:val="-47"/>
        </w:rPr>
        <w:t> </w:t>
      </w:r>
      <w:r>
        <w:rPr>
          <w:rFonts w:ascii="Times New Roman" w:hAnsi="Times New Roman" w:cs="Times New Roman" w:eastAsia="Times New Roman" w:hint="default"/>
        </w:rPr>
        <w:t>1,497,788.10</w:t>
      </w:r>
      <w:r>
        <w:rPr>
          <w:rFonts w:ascii="Times New Roman" w:hAnsi="Times New Roman" w:cs="Times New Roman" w:eastAsia="Times New Roman" w:hint="default"/>
          <w:spacing w:val="-2"/>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left="153" w:right="0"/>
        <w:jc w:val="left"/>
      </w:pPr>
      <w:r>
        <w:rPr/>
        <w:t>单位： 元</w:t>
      </w:r>
    </w:p>
    <w:p>
      <w:pPr>
        <w:spacing w:after="0" w:line="240" w:lineRule="auto"/>
        <w:jc w:val="left"/>
        <w:sectPr>
          <w:type w:val="continuous"/>
          <w:pgSz w:w="11910" w:h="16840"/>
          <w:pgMar w:top="1100" w:bottom="1200" w:left="980" w:right="0"/>
          <w:cols w:num="2" w:equalWidth="0">
            <w:col w:w="6454" w:space="2375"/>
            <w:col w:w="2101"/>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after="0" w:line="240" w:lineRule="auto"/>
        <w:jc w:val="center"/>
        <w:rPr>
          <w:rFonts w:ascii="宋体" w:hAnsi="宋体" w:cs="宋体" w:eastAsia="宋体" w:hint="default"/>
          <w:sz w:val="18"/>
          <w:szCs w:val="18"/>
        </w:rPr>
        <w:sectPr>
          <w:type w:val="continuous"/>
          <w:pgSz w:w="11910" w:h="16840"/>
          <w:pgMar w:top="1100" w:bottom="1200" w:left="980" w:right="0"/>
        </w:sectPr>
      </w:pPr>
    </w:p>
    <w:p>
      <w:pPr>
        <w:pStyle w:val="BodyText"/>
        <w:spacing w:line="240" w:lineRule="auto" w:before="11"/>
        <w:ind w:right="-20"/>
        <w:jc w:val="left"/>
      </w:pPr>
      <w:r>
        <w:rPr/>
        <w:t>无</w:t>
      </w:r>
    </w:p>
    <w:p>
      <w:pPr>
        <w:pStyle w:val="BodyText"/>
        <w:spacing w:line="240" w:lineRule="auto" w:before="76"/>
        <w:ind w:right="-20"/>
        <w:jc w:val="left"/>
      </w:pPr>
      <w:r>
        <w:rPr>
          <w:rFonts w:ascii="Times New Roman" w:hAnsi="Times New Roman" w:cs="Times New Roman" w:eastAsia="Times New Roman" w:hint="default"/>
        </w:rPr>
        <w:t>3)</w:t>
      </w:r>
      <w:r>
        <w:rPr/>
        <w:t>本期实际核销的其他应收款情况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5"/>
          <w:szCs w:val="15"/>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2825" w:space="6005"/>
            <w:col w:w="210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pStyle w:val="BodyText"/>
        <w:spacing w:line="240" w:lineRule="auto" w:before="51"/>
        <w:ind w:right="0"/>
        <w:jc w:val="left"/>
      </w:pPr>
      <w:r>
        <w:rPr/>
        <w:t>其中重要的其他应收款核销情况：</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0" w:right="162"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spacing w:after="0" w:line="316" w:lineRule="auto"/>
        <w:jc w:val="left"/>
        <w:rPr>
          <w:rFonts w:ascii="宋体" w:hAnsi="宋体" w:cs="宋体" w:eastAsia="宋体" w:hint="default"/>
          <w:sz w:val="18"/>
          <w:szCs w:val="18"/>
        </w:rPr>
        <w:sectPr>
          <w:type w:val="continuous"/>
          <w:pgSz w:w="11910" w:h="16840"/>
          <w:pgMar w:top="1100" w:bottom="1200" w:left="980" w:right="0"/>
        </w:sectPr>
      </w:pPr>
    </w:p>
    <w:p>
      <w:pPr>
        <w:pStyle w:val="BodyText"/>
        <w:spacing w:line="357" w:lineRule="auto" w:before="52"/>
        <w:ind w:right="850"/>
        <w:jc w:val="left"/>
      </w:pPr>
      <w:r>
        <w:rPr/>
        <w:t>其他应收款核销说明： 无</w:t>
      </w:r>
    </w:p>
    <w:p>
      <w:pPr>
        <w:pStyle w:val="BodyText"/>
        <w:spacing w:line="240" w:lineRule="auto" w:before="29"/>
        <w:ind w:right="-20"/>
        <w:jc w:val="left"/>
      </w:pPr>
      <w:r>
        <w:rPr>
          <w:rFonts w:ascii="Times New Roman" w:hAnsi="Times New Roman" w:cs="Times New Roman" w:eastAsia="Times New Roman" w:hint="default"/>
        </w:rPr>
        <w:t>4)</w:t>
      </w:r>
      <w:r>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2"/>
          <w:szCs w:val="12"/>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2825" w:space="6005"/>
            <w:col w:w="210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25,587,902.88</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8,781,026.90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出口退税</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8,500,529.24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15,032.09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代垫（付款）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3,629,369.26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4,338,989.54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11,311,151.80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9,167,630.37</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43" w:right="0"/>
              <w:jc w:val="left"/>
              <w:rPr>
                <w:rFonts w:ascii="Times New Roman" w:hAnsi="Times New Roman" w:cs="Times New Roman" w:eastAsia="Times New Roman" w:hint="default"/>
                <w:sz w:val="18"/>
                <w:szCs w:val="18"/>
              </w:rPr>
            </w:pPr>
            <w:r>
              <w:rPr>
                <w:rFonts w:ascii="Times New Roman"/>
                <w:sz w:val="18"/>
              </w:rPr>
              <w:t>40,558,423.94</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43" w:right="0"/>
              <w:jc w:val="left"/>
              <w:rPr>
                <w:rFonts w:ascii="Times New Roman" w:hAnsi="Times New Roman" w:cs="Times New Roman" w:eastAsia="Times New Roman" w:hint="default"/>
                <w:sz w:val="18"/>
                <w:szCs w:val="18"/>
              </w:rPr>
            </w:pPr>
            <w:r>
              <w:rPr>
                <w:rFonts w:ascii="Times New Roman"/>
                <w:sz w:val="18"/>
              </w:rPr>
              <w:t>30,803,208.14</w:t>
            </w:r>
          </w:p>
        </w:tc>
      </w:tr>
    </w:tbl>
    <w:p>
      <w:pPr>
        <w:pStyle w:val="BodyText"/>
        <w:spacing w:line="240" w:lineRule="auto" w:before="51"/>
        <w:ind w:right="0"/>
        <w:jc w:val="left"/>
      </w:pPr>
      <w:r>
        <w:rPr>
          <w:rFonts w:ascii="Times New Roman" w:hAnsi="Times New Roman" w:cs="Times New Roman" w:eastAsia="Times New Roman" w:hint="default"/>
        </w:rPr>
        <w:t>5)</w:t>
      </w:r>
      <w:r>
        <w:rPr/>
        <w:t>按欠款方归集的期末余额前五名的其他应收款情况</w:t>
      </w:r>
    </w:p>
    <w:p>
      <w:pPr>
        <w:pStyle w:val="BodyText"/>
        <w:spacing w:line="240" w:lineRule="auto" w:before="103"/>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1026"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42"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2" w:right="162"/>
              <w:jc w:val="center"/>
              <w:rPr>
                <w:rFonts w:ascii="宋体" w:hAnsi="宋体" w:cs="宋体" w:eastAsia="宋体" w:hint="default"/>
                <w:sz w:val="18"/>
                <w:szCs w:val="18"/>
              </w:rPr>
            </w:pPr>
            <w:r>
              <w:rPr>
                <w:rFonts w:ascii="宋体" w:hAnsi="宋体" w:cs="宋体" w:eastAsia="宋体" w:hint="default"/>
                <w:sz w:val="18"/>
                <w:szCs w:val="18"/>
              </w:rPr>
              <w:t>占其他应收款期 末余额合计数的 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700" w:right="162" w:hanging="540"/>
              <w:jc w:val="left"/>
              <w:rPr>
                <w:rFonts w:ascii="宋体" w:hAnsi="宋体" w:cs="宋体" w:eastAsia="宋体" w:hint="default"/>
                <w:sz w:val="18"/>
                <w:szCs w:val="18"/>
              </w:rPr>
            </w:pPr>
            <w:r>
              <w:rPr>
                <w:rFonts w:ascii="宋体" w:hAnsi="宋体" w:cs="宋体" w:eastAsia="宋体" w:hint="default"/>
                <w:sz w:val="18"/>
                <w:szCs w:val="18"/>
              </w:rPr>
              <w:t>坏账准备期末余 额</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19"/>
              <w:jc w:val="left"/>
              <w:rPr>
                <w:rFonts w:ascii="宋体" w:hAnsi="宋体" w:cs="宋体" w:eastAsia="宋体" w:hint="default"/>
                <w:sz w:val="18"/>
                <w:szCs w:val="18"/>
              </w:rPr>
            </w:pPr>
            <w:r>
              <w:rPr>
                <w:rFonts w:ascii="宋体" w:hAnsi="宋体" w:cs="宋体" w:eastAsia="宋体" w:hint="default"/>
                <w:sz w:val="18"/>
                <w:szCs w:val="18"/>
              </w:rPr>
              <w:t>深圳市汇怡通投 资有限公司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36.98%</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19"/>
              <w:jc w:val="left"/>
              <w:rPr>
                <w:rFonts w:ascii="宋体" w:hAnsi="宋体" w:cs="宋体" w:eastAsia="宋体" w:hint="default"/>
                <w:sz w:val="18"/>
                <w:szCs w:val="18"/>
              </w:rPr>
            </w:pPr>
            <w:r>
              <w:rPr>
                <w:rFonts w:ascii="宋体" w:hAnsi="宋体" w:cs="宋体" w:eastAsia="宋体" w:hint="default"/>
                <w:sz w:val="18"/>
                <w:szCs w:val="18"/>
              </w:rPr>
              <w:t>至高建设集团有 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3,059,955.30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个月、</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7.54%</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方俊基</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2,920,806.00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7.20%</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2"/>
              <w:ind w:left="103" w:right="354"/>
              <w:jc w:val="left"/>
              <w:rPr>
                <w:rFonts w:ascii="Times New Roman" w:hAnsi="Times New Roman" w:cs="Times New Roman" w:eastAsia="Times New Roman" w:hint="default"/>
                <w:sz w:val="18"/>
                <w:szCs w:val="18"/>
              </w:rPr>
            </w:pPr>
            <w:r>
              <w:rPr>
                <w:rFonts w:ascii="Times New Roman"/>
                <w:sz w:val="18"/>
              </w:rPr>
              <w:t>Itasca</w:t>
            </w:r>
            <w:r>
              <w:rPr>
                <w:rFonts w:ascii="Times New Roman"/>
                <w:spacing w:val="-1"/>
                <w:sz w:val="18"/>
              </w:rPr>
              <w:t> </w:t>
            </w:r>
            <w:r>
              <w:rPr>
                <w:rFonts w:ascii="Times New Roman"/>
                <w:sz w:val="18"/>
              </w:rPr>
              <w:t>Holdings</w:t>
            </w:r>
            <w:r>
              <w:rPr>
                <w:rFonts w:ascii="Times New Roman"/>
                <w:sz w:val="18"/>
              </w:rPr>
              <w:t> Ltd</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2,539,527.17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 </w:t>
            </w:r>
            <w:r>
              <w:rPr>
                <w:rFonts w:ascii="宋体" w:hAnsi="宋体" w:cs="宋体" w:eastAsia="宋体" w:hint="default"/>
                <w:sz w:val="18"/>
                <w:szCs w:val="18"/>
              </w:rPr>
              <w:t>年、</w:t>
            </w: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6.26%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1,820,244.38</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19"/>
              <w:jc w:val="left"/>
              <w:rPr>
                <w:rFonts w:ascii="宋体" w:hAnsi="宋体" w:cs="宋体" w:eastAsia="宋体" w:hint="default"/>
                <w:sz w:val="18"/>
                <w:szCs w:val="18"/>
              </w:rPr>
            </w:pPr>
            <w:r>
              <w:rPr>
                <w:rFonts w:ascii="宋体" w:hAnsi="宋体" w:cs="宋体" w:eastAsia="宋体" w:hint="default"/>
                <w:sz w:val="18"/>
                <w:szCs w:val="18"/>
              </w:rPr>
              <w:t>北京行云时空科 技有限公司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投资款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4.93%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25,520,288.47</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62.91%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2,020,244.38</w:t>
            </w:r>
          </w:p>
        </w:tc>
      </w:tr>
    </w:tbl>
    <w:p>
      <w:pPr>
        <w:pStyle w:val="BodyText"/>
        <w:spacing w:line="240" w:lineRule="auto" w:before="51"/>
        <w:ind w:right="0"/>
        <w:jc w:val="left"/>
      </w:pPr>
      <w:r>
        <w:rPr>
          <w:rFonts w:ascii="Times New Roman" w:hAnsi="Times New Roman" w:cs="Times New Roman" w:eastAsia="Times New Roman" w:hint="default"/>
        </w:rPr>
        <w:t>6)</w:t>
      </w:r>
      <w:r>
        <w:rPr/>
        <w:t>涉及政府补助的应收款项</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4"/>
        <w:gridCol w:w="1914"/>
        <w:gridCol w:w="1914"/>
        <w:gridCol w:w="1916"/>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92" w:right="143" w:hanging="450"/>
              <w:jc w:val="left"/>
              <w:rPr>
                <w:rFonts w:ascii="宋体" w:hAnsi="宋体" w:cs="宋体" w:eastAsia="宋体" w:hint="default"/>
                <w:sz w:val="18"/>
                <w:szCs w:val="18"/>
              </w:rPr>
            </w:pPr>
            <w:r>
              <w:rPr>
                <w:rFonts w:ascii="宋体" w:hAnsi="宋体" w:cs="宋体" w:eastAsia="宋体" w:hint="default"/>
                <w:sz w:val="18"/>
                <w:szCs w:val="18"/>
              </w:rPr>
              <w:t>预计收取的时间、金 额及依据</w:t>
            </w:r>
          </w:p>
        </w:tc>
      </w:tr>
    </w:tbl>
    <w:p>
      <w:pPr>
        <w:pStyle w:val="BodyText"/>
        <w:spacing w:line="338" w:lineRule="auto" w:before="51"/>
        <w:ind w:right="7362"/>
        <w:jc w:val="left"/>
      </w:pPr>
      <w:r>
        <w:rPr>
          <w:rFonts w:ascii="Times New Roman" w:hAnsi="Times New Roman" w:cs="Times New Roman" w:eastAsia="Times New Roman" w:hint="default"/>
        </w:rPr>
        <w:t>7)</w:t>
      </w:r>
      <w:r>
        <w:rPr/>
        <w:t>因金融资产转移而终止确认的其他应收款</w:t>
      </w:r>
      <w:r>
        <w:rPr>
          <w:w w:val="99"/>
        </w:rPr>
        <w:t> </w:t>
      </w:r>
      <w:r>
        <w:rPr/>
        <w:t>无</w:t>
      </w:r>
    </w:p>
    <w:p>
      <w:pPr>
        <w:pStyle w:val="BodyText"/>
        <w:spacing w:line="338" w:lineRule="auto" w:before="43"/>
        <w:ind w:right="6642"/>
        <w:jc w:val="left"/>
      </w:pPr>
      <w:r>
        <w:rPr>
          <w:rFonts w:ascii="Times New Roman" w:hAnsi="Times New Roman" w:cs="Times New Roman" w:eastAsia="Times New Roman" w:hint="default"/>
        </w:rPr>
        <w:t>8)</w:t>
      </w:r>
      <w:r>
        <w:rPr/>
        <w:t>转移其他应收款且继续涉入形成的资产、负债金额</w:t>
      </w:r>
      <w:r>
        <w:rPr>
          <w:w w:val="99"/>
        </w:rPr>
        <w:t> </w:t>
      </w:r>
      <w:r>
        <w:rPr/>
        <w:t>无</w:t>
      </w:r>
    </w:p>
    <w:p>
      <w:pPr>
        <w:pStyle w:val="BodyText"/>
        <w:spacing w:line="360" w:lineRule="auto" w:before="43"/>
        <w:ind w:right="3624"/>
        <w:jc w:val="left"/>
      </w:pPr>
      <w:r>
        <w:rPr/>
        <w:t>其他说明： </w:t>
      </w:r>
      <w:r>
        <w:rPr>
          <w:spacing w:val="-3"/>
        </w:rPr>
        <w:t>期末其他应收款中应收关联方的款项详见“第十一节、十二、关联方及关联交易”。</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7、存货" w:id="240"/>
      <w:bookmarkEnd w:id="240"/>
      <w:r>
        <w:rPr>
          <w:b w:val="0"/>
          <w:bCs w:val="0"/>
        </w:rPr>
      </w:r>
      <w:r>
        <w:rPr>
          <w:rFonts w:ascii="Times New Roman" w:hAnsi="Times New Roman" w:cs="Times New Roman" w:eastAsia="Times New Roman" w:hint="default"/>
        </w:rPr>
        <w:t>7</w:t>
      </w:r>
      <w:r>
        <w:rPr/>
        <w:t>、存货</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7512"/>
        <w:jc w:val="left"/>
      </w:pPr>
      <w:r>
        <w:rPr/>
        <w:t>公司是否需要遵守房地产行业的披露要求 否</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1）存货分类" w:id="241"/>
      <w:bookmarkEnd w:id="241"/>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182,428,608.56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29,021,214.43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153,407,394.13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334,431,860.68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8" w:right="0"/>
              <w:jc w:val="left"/>
              <w:rPr>
                <w:rFonts w:ascii="Times New Roman" w:hAnsi="Times New Roman" w:cs="Times New Roman" w:eastAsia="Times New Roman" w:hint="default"/>
                <w:sz w:val="18"/>
                <w:szCs w:val="18"/>
              </w:rPr>
            </w:pPr>
            <w:r>
              <w:rPr>
                <w:rFonts w:ascii="Times New Roman"/>
                <w:sz w:val="18"/>
              </w:rPr>
              <w:t>6,154,500.17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328,277,360.51</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57,567,377.34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6" w:right="0"/>
              <w:jc w:val="center"/>
              <w:rPr>
                <w:rFonts w:ascii="Times New Roman" w:hAnsi="Times New Roman" w:cs="Times New Roman" w:eastAsia="Times New Roman" w:hint="default"/>
                <w:sz w:val="18"/>
                <w:szCs w:val="18"/>
              </w:rPr>
            </w:pPr>
            <w:r>
              <w:rPr>
                <w:rFonts w:ascii="Times New Roman"/>
                <w:sz w:val="18"/>
              </w:rPr>
              <w:t>57,567,377.34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187,085,551.45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187,085,551.45</w:t>
            </w:r>
          </w:p>
        </w:tc>
      </w:tr>
    </w:tbl>
    <w:p>
      <w:pPr>
        <w:spacing w:after="0" w:line="240" w:lineRule="auto"/>
        <w:jc w:val="center"/>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116,276,449.30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34,311,643.57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81,964,805.73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97,300,669.93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3,562,497.00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93,738,172.93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10,685,355.91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10,685,355.91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5,354,914.33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5,354,914.33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委托加工物资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3,301,524.51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3,301,524.51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4,330,728.96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4,330,728.96</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80,525,075.13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2,173,068.51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78,352,006.62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59,340,329.26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59,340,329.26</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开发产品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5,830,909.30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5,830,909.30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456,615,300.05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65,505,926.51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391,109,373.54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687,844,054.61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9,716,997.17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678,127,057.44</w:t>
            </w:r>
          </w:p>
        </w:tc>
      </w:tr>
    </w:tbl>
    <w:p>
      <w:pPr>
        <w:pStyle w:val="BodyText"/>
        <w:spacing w:line="340" w:lineRule="auto" w:before="51"/>
        <w:ind w:right="2473"/>
        <w:jc w:val="left"/>
      </w:pPr>
      <w:r>
        <w:rPr/>
        <w:t>公司是否需遵守《深圳证券交易所行业信息披露指引第</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号—上市公司从事种业、种植业务》的披露要求 否</w:t>
      </w:r>
    </w:p>
    <w:p>
      <w:pPr>
        <w:pStyle w:val="BodyText"/>
        <w:spacing w:line="340" w:lineRule="auto" w:before="40"/>
        <w:ind w:right="2751"/>
        <w:jc w:val="left"/>
      </w:pPr>
      <w:r>
        <w:rPr/>
        <w:t>公司需遵守《深圳证券交易所行业信息披露指引第</w:t>
      </w:r>
      <w:r>
        <w:rPr>
          <w:spacing w:val="-45"/>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号——上市公司从事珠宝相关业务》的披露要求 否</w:t>
      </w:r>
    </w:p>
    <w:p>
      <w:pPr>
        <w:spacing w:line="240" w:lineRule="auto" w:before="12"/>
        <w:rPr>
          <w:rFonts w:ascii="宋体" w:hAnsi="宋体" w:cs="宋体" w:eastAsia="宋体" w:hint="default"/>
          <w:sz w:val="20"/>
          <w:szCs w:val="20"/>
        </w:rPr>
      </w:pPr>
    </w:p>
    <w:p>
      <w:pPr>
        <w:pStyle w:val="Heading3"/>
        <w:spacing w:line="240" w:lineRule="auto"/>
        <w:ind w:right="0"/>
        <w:jc w:val="left"/>
        <w:rPr>
          <w:b w:val="0"/>
          <w:bCs w:val="0"/>
        </w:rPr>
      </w:pPr>
      <w:bookmarkStart w:name="（2）存货跌价准备" w:id="242"/>
      <w:bookmarkEnd w:id="242"/>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1"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7"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6,154,500.17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22,866,714.26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29,021,214.43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3,562,497.00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30,749,146.57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34,311,643.57</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2,173,068.51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2,173,068.51</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9,716,997.17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55,788,929.34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65,505,926.51</w:t>
            </w:r>
          </w:p>
        </w:tc>
      </w:tr>
    </w:tbl>
    <w:p>
      <w:pPr>
        <w:spacing w:line="240" w:lineRule="auto" w:before="8"/>
        <w:rPr>
          <w:rFonts w:ascii="宋体" w:hAnsi="宋体" w:cs="宋体" w:eastAsia="宋体" w:hint="default"/>
          <w:sz w:val="6"/>
          <w:szCs w:val="6"/>
        </w:rPr>
      </w:pPr>
    </w:p>
    <w:p>
      <w:pPr>
        <w:pStyle w:val="BodyText"/>
        <w:spacing w:line="316" w:lineRule="auto" w:before="44"/>
        <w:ind w:right="1131" w:firstLine="420"/>
        <w:jc w:val="both"/>
      </w:pPr>
      <w:r>
        <w:rPr/>
        <w:t>存货跌价准备说明：库存商品和用于出售的材料等直接用于出售的商品存货，在正常生产经营过程中，以该存货的估 </w:t>
      </w:r>
      <w:r>
        <w:rPr>
          <w:spacing w:val="-2"/>
        </w:rPr>
        <w:t>计售价减去估计的销售费用和相关税费后的金额，确定其可变现净值；需要经过加工的存货，在正常生产经营过程中，以所</w:t>
      </w:r>
      <w:r>
        <w:rPr>
          <w:spacing w:val="-66"/>
        </w:rPr>
        <w:t> </w:t>
      </w:r>
      <w:r>
        <w:rPr>
          <w:spacing w:val="-66"/>
        </w:rPr>
      </w:r>
      <w:r>
        <w:rPr>
          <w:spacing w:val="-3"/>
        </w:rPr>
        <w:t>生产的产成品的估计售价减去至完工时估计将要发生的成本、估计的销售费用和相关税费后的金额，确定其可变现净值；为</w:t>
      </w:r>
      <w:r>
        <w:rPr>
          <w:spacing w:val="-39"/>
        </w:rPr>
        <w:t> </w:t>
      </w:r>
      <w:r>
        <w:rPr>
          <w:spacing w:val="-39"/>
        </w:rPr>
      </w:r>
      <w:r>
        <w:rPr/>
        <w:t>执行销售合同或者劳务合同而持有的存货，其可变现净值以合同价格为基础计算。</w:t>
      </w:r>
    </w:p>
    <w:p>
      <w:pPr>
        <w:pStyle w:val="BodyText"/>
        <w:spacing w:line="300" w:lineRule="auto" w:before="19"/>
        <w:ind w:left="514" w:right="1122" w:firstLine="60"/>
        <w:jc w:val="left"/>
      </w:pPr>
      <w:r>
        <w:rPr/>
        <w:t>本期存货账面余额较上年减少</w:t>
      </w:r>
      <w:r>
        <w:rPr>
          <w:rFonts w:ascii="宋体" w:hAnsi="宋体" w:cs="宋体" w:eastAsia="宋体" w:hint="default"/>
        </w:rPr>
        <w:t>231</w:t>
      </w:r>
      <w:r>
        <w:rPr>
          <w:rFonts w:ascii="Times New Roman" w:hAnsi="Times New Roman" w:cs="Times New Roman" w:eastAsia="Times New Roman" w:hint="default"/>
        </w:rPr>
        <w:t>,</w:t>
      </w:r>
      <w:r>
        <w:rPr>
          <w:rFonts w:ascii="宋体" w:hAnsi="宋体" w:cs="宋体" w:eastAsia="宋体" w:hint="default"/>
        </w:rPr>
        <w:t>228</w:t>
      </w:r>
      <w:r>
        <w:rPr>
          <w:rFonts w:ascii="Times New Roman" w:hAnsi="Times New Roman" w:cs="Times New Roman" w:eastAsia="Times New Roman" w:hint="default"/>
        </w:rPr>
        <w:t>,</w:t>
      </w:r>
      <w:r>
        <w:rPr>
          <w:rFonts w:ascii="宋体" w:hAnsi="宋体" w:cs="宋体" w:eastAsia="宋体" w:hint="default"/>
        </w:rPr>
        <w:t>754.56</w:t>
      </w:r>
      <w:r>
        <w:rPr/>
        <w:t>元，减少比例为</w:t>
      </w:r>
      <w:r>
        <w:rPr>
          <w:rFonts w:ascii="宋体" w:hAnsi="宋体" w:cs="宋体" w:eastAsia="宋体" w:hint="default"/>
        </w:rPr>
        <w:t>33.62%</w:t>
      </w:r>
      <w:r>
        <w:rPr/>
        <w:t>，主要系本期存货储备减少所致。 本期存货跌价准备较上年增加</w:t>
      </w:r>
      <w:r>
        <w:rPr>
          <w:rFonts w:ascii="宋体" w:hAnsi="宋体" w:cs="宋体" w:eastAsia="宋体" w:hint="default"/>
        </w:rPr>
        <w:t>55</w:t>
      </w:r>
      <w:r>
        <w:rPr>
          <w:rFonts w:ascii="Times New Roman" w:hAnsi="Times New Roman" w:cs="Times New Roman" w:eastAsia="Times New Roman" w:hint="default"/>
        </w:rPr>
        <w:t>,</w:t>
      </w:r>
      <w:r>
        <w:rPr>
          <w:rFonts w:ascii="宋体" w:hAnsi="宋体" w:cs="宋体" w:eastAsia="宋体" w:hint="default"/>
        </w:rPr>
        <w:t>788</w:t>
      </w:r>
      <w:r>
        <w:rPr>
          <w:rFonts w:ascii="Times New Roman" w:hAnsi="Times New Roman" w:cs="Times New Roman" w:eastAsia="Times New Roman" w:hint="default"/>
        </w:rPr>
        <w:t>,</w:t>
      </w:r>
      <w:r>
        <w:rPr>
          <w:rFonts w:ascii="宋体" w:hAnsi="宋体" w:cs="宋体" w:eastAsia="宋体" w:hint="default"/>
        </w:rPr>
        <w:t>929.34</w:t>
      </w:r>
      <w:r>
        <w:rPr/>
        <w:t>元，增长比例为</w:t>
      </w:r>
      <w:r>
        <w:rPr>
          <w:rFonts w:ascii="宋体" w:hAnsi="宋体" w:cs="宋体" w:eastAsia="宋体" w:hint="default"/>
        </w:rPr>
        <w:t>574.14%</w:t>
      </w:r>
      <w:r>
        <w:rPr/>
        <w:t>，主要系对库龄较长的原材料单项测试加计减值和</w:t>
      </w:r>
    </w:p>
    <w:p>
      <w:pPr>
        <w:pStyle w:val="BodyText"/>
        <w:spacing w:line="240" w:lineRule="auto" w:before="13"/>
        <w:ind w:right="0"/>
        <w:jc w:val="left"/>
      </w:pPr>
      <w:r>
        <w:rPr/>
        <w:t>对呆滞物料的后期订单需求预期减少加计减值计提所致。</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3）存货期末余额含有借款费用资本化金额的说明" w:id="243"/>
      <w:bookmarkEnd w:id="243"/>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期末建造合同形成的已完工未结算资产情况" w:id="244"/>
      <w:bookmarkEnd w:id="244"/>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4"/>
        <w:gridCol w:w="4785"/>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r>
    </w:tbl>
    <w:p>
      <w:pPr>
        <w:pStyle w:val="BodyText"/>
        <w:spacing w:line="357" w:lineRule="auto" w:before="51"/>
        <w:ind w:right="9852"/>
        <w:jc w:val="left"/>
      </w:pPr>
      <w:r>
        <w:rPr/>
        <w:t>其他说明： 无</w:t>
      </w:r>
    </w:p>
    <w:p>
      <w:pPr>
        <w:spacing w:after="0" w:line="357" w:lineRule="auto"/>
        <w:jc w:val="left"/>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8、持有待售资产" w:id="245"/>
      <w:bookmarkEnd w:id="245"/>
      <w:r>
        <w:rPr>
          <w:b w:val="0"/>
          <w:bCs w:val="0"/>
        </w:rPr>
      </w:r>
      <w:r>
        <w:rPr>
          <w:rFonts w:ascii="Times New Roman" w:hAnsi="Times New Roman" w:cs="Times New Roman" w:eastAsia="Times New Roman" w:hint="default"/>
        </w:rPr>
        <w:t>8</w:t>
      </w:r>
      <w:r>
        <w:rPr/>
        <w:t>、持有待售资产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4"/>
        <w:gridCol w:w="1914"/>
        <w:gridCol w:w="1914"/>
        <w:gridCol w:w="1916"/>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11"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11" w:right="0"/>
              <w:jc w:val="left"/>
              <w:rPr>
                <w:rFonts w:ascii="宋体" w:hAnsi="宋体" w:cs="宋体" w:eastAsia="宋体" w:hint="default"/>
                <w:sz w:val="18"/>
                <w:szCs w:val="18"/>
              </w:rPr>
            </w:pPr>
            <w:r>
              <w:rPr>
                <w:rFonts w:ascii="宋体" w:hAnsi="宋体" w:cs="宋体" w:eastAsia="宋体" w:hint="default"/>
                <w:sz w:val="18"/>
                <w:szCs w:val="18"/>
              </w:rPr>
              <w:t>预计处置费用</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12" w:right="0"/>
              <w:jc w:val="left"/>
              <w:rPr>
                <w:rFonts w:ascii="宋体" w:hAnsi="宋体" w:cs="宋体" w:eastAsia="宋体" w:hint="default"/>
                <w:sz w:val="18"/>
                <w:szCs w:val="18"/>
              </w:rPr>
            </w:pPr>
            <w:r>
              <w:rPr>
                <w:rFonts w:ascii="宋体" w:hAnsi="宋体" w:cs="宋体" w:eastAsia="宋体" w:hint="default"/>
                <w:sz w:val="18"/>
                <w:szCs w:val="18"/>
              </w:rPr>
              <w:t>预计处置时间</w:t>
            </w:r>
          </w:p>
        </w:tc>
      </w:tr>
    </w:tbl>
    <w:p>
      <w:pPr>
        <w:pStyle w:val="BodyText"/>
        <w:spacing w:line="357" w:lineRule="auto" w:before="52"/>
        <w:ind w:right="985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9、一年内到期的非流动资产" w:id="246"/>
      <w:bookmarkEnd w:id="246"/>
      <w:r>
        <w:rPr>
          <w:b w:val="0"/>
          <w:bCs w:val="0"/>
        </w:rPr>
      </w:r>
      <w:r>
        <w:rPr>
          <w:rFonts w:ascii="Times New Roman" w:hAnsi="Times New Roman" w:cs="Times New Roman" w:eastAsia="Times New Roman" w:hint="default"/>
        </w:rPr>
        <w:t>9</w:t>
      </w:r>
      <w:r>
        <w:rPr/>
        <w:t>、一年内到期的非流动资产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10、其他流动资产" w:id="247"/>
      <w:bookmarkEnd w:id="247"/>
      <w:r>
        <w:rPr>
          <w:b w:val="0"/>
          <w:bCs w:val="0"/>
        </w:rPr>
      </w:r>
      <w:r>
        <w:rPr>
          <w:rFonts w:ascii="Times New Roman" w:hAnsi="Times New Roman" w:cs="Times New Roman" w:eastAsia="Times New Roman" w:hint="default"/>
        </w:rPr>
        <w:t>10</w:t>
      </w:r>
      <w:r>
        <w:rPr/>
        <w:t>、其他流动资产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增值税留抵扣额</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9,073,262.83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24,273,238.63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理财产品</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235,000,000.00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预缴其他税金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6,598,288.36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4,628,171.73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15,671,551.19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263,901,410.36</w:t>
            </w:r>
          </w:p>
        </w:tc>
      </w:tr>
    </w:tbl>
    <w:p>
      <w:pPr>
        <w:pStyle w:val="BodyText"/>
        <w:spacing w:line="439" w:lineRule="auto" w:before="51"/>
        <w:ind w:left="424" w:right="2112" w:hanging="270"/>
        <w:jc w:val="left"/>
      </w:pPr>
      <w:r>
        <w:rPr/>
        <w:t>其他说明： 其他流动资产期末余额较期初减少</w:t>
      </w:r>
      <w:r>
        <w:rPr>
          <w:rFonts w:ascii="宋体" w:hAnsi="宋体" w:cs="宋体" w:eastAsia="宋体" w:hint="default"/>
        </w:rPr>
        <w:t>248</w:t>
      </w:r>
      <w:r>
        <w:rPr>
          <w:rFonts w:ascii="Times New Roman" w:hAnsi="Times New Roman" w:cs="Times New Roman" w:eastAsia="Times New Roman" w:hint="default"/>
        </w:rPr>
        <w:t>,</w:t>
      </w:r>
      <w:r>
        <w:rPr>
          <w:rFonts w:ascii="宋体" w:hAnsi="宋体" w:cs="宋体" w:eastAsia="宋体" w:hint="default"/>
        </w:rPr>
        <w:t>229</w:t>
      </w:r>
      <w:r>
        <w:rPr>
          <w:rFonts w:ascii="Times New Roman" w:hAnsi="Times New Roman" w:cs="Times New Roman" w:eastAsia="Times New Roman" w:hint="default"/>
        </w:rPr>
        <w:t>,</w:t>
      </w:r>
      <w:r>
        <w:rPr>
          <w:rFonts w:ascii="宋体" w:hAnsi="宋体" w:cs="宋体" w:eastAsia="宋体" w:hint="default"/>
        </w:rPr>
        <w:t>859.17</w:t>
      </w:r>
      <w:r>
        <w:rPr/>
        <w:t>元，减少比例为</w:t>
      </w:r>
      <w:r>
        <w:rPr>
          <w:rFonts w:ascii="宋体" w:hAnsi="宋体" w:cs="宋体" w:eastAsia="宋体" w:hint="default"/>
        </w:rPr>
        <w:t>94.06%</w:t>
      </w:r>
      <w:r>
        <w:rPr/>
        <w:t>，主要系本期理财产品减少所致。</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9"/>
          <w:szCs w:val="19"/>
        </w:rPr>
      </w:pPr>
    </w:p>
    <w:p>
      <w:pPr>
        <w:pStyle w:val="Heading3"/>
        <w:spacing w:line="240" w:lineRule="auto"/>
        <w:ind w:right="0"/>
        <w:jc w:val="left"/>
        <w:rPr>
          <w:b w:val="0"/>
          <w:bCs w:val="0"/>
        </w:rPr>
      </w:pPr>
      <w:bookmarkStart w:name="11、可供出售金融资产" w:id="248"/>
      <w:bookmarkEnd w:id="248"/>
      <w:r>
        <w:rPr>
          <w:b w:val="0"/>
          <w:bCs w:val="0"/>
        </w:rPr>
      </w:r>
      <w:r>
        <w:rPr>
          <w:rFonts w:ascii="Times New Roman" w:hAnsi="Times New Roman" w:cs="Times New Roman" w:eastAsia="Times New Roman" w:hint="default"/>
        </w:rPr>
        <w:t>11</w:t>
      </w:r>
      <w:r>
        <w:rPr/>
        <w:t>、可供出售金融资产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可供出售金融资产情况" w:id="249"/>
      <w:bookmarkEnd w:id="249"/>
      <w:r>
        <w:rPr>
          <w:b w:val="0"/>
          <w:bCs w:val="0"/>
        </w:rPr>
      </w:r>
      <w:r>
        <w:rPr/>
        <w:t>（</w:t>
      </w:r>
      <w:r>
        <w:rPr>
          <w:rFonts w:ascii="Times New Roman" w:hAnsi="Times New Roman" w:cs="Times New Roman" w:eastAsia="Times New Roman" w:hint="default"/>
        </w:rPr>
        <w:t>1</w:t>
      </w:r>
      <w:r>
        <w:rPr/>
        <w:t>）可供出售金融资产情况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001"/>
        <w:gridCol w:w="1297"/>
        <w:gridCol w:w="1020"/>
        <w:gridCol w:w="1270"/>
        <w:gridCol w:w="1340"/>
        <w:gridCol w:w="1275"/>
        <w:gridCol w:w="1367"/>
      </w:tblGrid>
      <w:tr>
        <w:trPr>
          <w:trHeight w:val="402" w:hRule="exact"/>
        </w:trPr>
        <w:tc>
          <w:tcPr>
            <w:tcW w:w="20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2001" w:type="dxa"/>
            <w:vMerge/>
            <w:tcBorders>
              <w:left w:val="single" w:sz="4" w:space="0" w:color="000000"/>
              <w:bottom w:val="single" w:sz="4" w:space="0" w:color="000000"/>
              <w:right w:val="single" w:sz="4" w:space="0" w:color="000000"/>
            </w:tcBorders>
            <w:shd w:val="clear" w:color="auto" w:fill="D2D2D2"/>
          </w:tcPr>
          <w:p>
            <w:pPr/>
          </w:p>
        </w:tc>
        <w:tc>
          <w:tcPr>
            <w:tcW w:w="1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0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3"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2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3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7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 w:right="0"/>
              <w:jc w:val="center"/>
              <w:rPr>
                <w:rFonts w:ascii="Times New Roman" w:hAnsi="Times New Roman" w:cs="Times New Roman" w:eastAsia="Times New Roman" w:hint="default"/>
                <w:sz w:val="18"/>
                <w:szCs w:val="18"/>
              </w:rPr>
            </w:pPr>
            <w:r>
              <w:rPr>
                <w:rFonts w:ascii="Times New Roman"/>
                <w:sz w:val="18"/>
              </w:rPr>
              <w:t>98,344,148.68</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 w:right="0"/>
              <w:jc w:val="center"/>
              <w:rPr>
                <w:rFonts w:ascii="Times New Roman" w:hAnsi="Times New Roman" w:cs="Times New Roman" w:eastAsia="Times New Roman" w:hint="default"/>
                <w:sz w:val="18"/>
                <w:szCs w:val="18"/>
              </w:rPr>
            </w:pPr>
            <w:r>
              <w:rPr>
                <w:rFonts w:ascii="Times New Roman"/>
                <w:sz w:val="18"/>
              </w:rPr>
              <w:t>98,344,148.68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0" w:right="0"/>
              <w:jc w:val="center"/>
              <w:rPr>
                <w:rFonts w:ascii="Times New Roman" w:hAnsi="Times New Roman" w:cs="Times New Roman" w:eastAsia="Times New Roman" w:hint="default"/>
                <w:sz w:val="18"/>
                <w:szCs w:val="18"/>
              </w:rPr>
            </w:pPr>
            <w:r>
              <w:rPr>
                <w:rFonts w:ascii="Times New Roman"/>
                <w:sz w:val="18"/>
              </w:rPr>
              <w:t>72,012,500.00</w:t>
            </w:r>
          </w:p>
        </w:tc>
        <w:tc>
          <w:tcPr>
            <w:tcW w:w="1275"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6" w:right="0"/>
              <w:jc w:val="center"/>
              <w:rPr>
                <w:rFonts w:ascii="Times New Roman" w:hAnsi="Times New Roman" w:cs="Times New Roman" w:eastAsia="Times New Roman" w:hint="default"/>
                <w:sz w:val="18"/>
                <w:szCs w:val="18"/>
              </w:rPr>
            </w:pPr>
            <w:r>
              <w:rPr>
                <w:rFonts w:ascii="Times New Roman"/>
                <w:sz w:val="18"/>
              </w:rPr>
              <w:t>72,012,500.00</w:t>
            </w:r>
          </w:p>
        </w:tc>
      </w:tr>
      <w:tr>
        <w:trPr>
          <w:trHeight w:val="402"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3"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 w:right="0"/>
              <w:jc w:val="center"/>
              <w:rPr>
                <w:rFonts w:ascii="Times New Roman" w:hAnsi="Times New Roman" w:cs="Times New Roman" w:eastAsia="Times New Roman" w:hint="default"/>
                <w:sz w:val="18"/>
                <w:szCs w:val="18"/>
              </w:rPr>
            </w:pPr>
            <w:r>
              <w:rPr>
                <w:rFonts w:ascii="Times New Roman"/>
                <w:sz w:val="18"/>
              </w:rPr>
              <w:t>98,344,148.68</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 w:right="0"/>
              <w:jc w:val="center"/>
              <w:rPr>
                <w:rFonts w:ascii="Times New Roman" w:hAnsi="Times New Roman" w:cs="Times New Roman" w:eastAsia="Times New Roman" w:hint="default"/>
                <w:sz w:val="18"/>
                <w:szCs w:val="18"/>
              </w:rPr>
            </w:pPr>
            <w:r>
              <w:rPr>
                <w:rFonts w:ascii="Times New Roman"/>
                <w:sz w:val="18"/>
              </w:rPr>
              <w:t>98,344,148.68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0" w:right="0"/>
              <w:jc w:val="center"/>
              <w:rPr>
                <w:rFonts w:ascii="Times New Roman" w:hAnsi="Times New Roman" w:cs="Times New Roman" w:eastAsia="Times New Roman" w:hint="default"/>
                <w:sz w:val="18"/>
                <w:szCs w:val="18"/>
              </w:rPr>
            </w:pPr>
            <w:r>
              <w:rPr>
                <w:rFonts w:ascii="Times New Roman"/>
                <w:sz w:val="18"/>
              </w:rPr>
              <w:t>72,012,500.00</w:t>
            </w:r>
          </w:p>
        </w:tc>
        <w:tc>
          <w:tcPr>
            <w:tcW w:w="1275"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6" w:right="0"/>
              <w:jc w:val="center"/>
              <w:rPr>
                <w:rFonts w:ascii="Times New Roman" w:hAnsi="Times New Roman" w:cs="Times New Roman" w:eastAsia="Times New Roman" w:hint="default"/>
                <w:sz w:val="18"/>
                <w:szCs w:val="18"/>
              </w:rPr>
            </w:pPr>
            <w:r>
              <w:rPr>
                <w:rFonts w:ascii="Times New Roman"/>
                <w:sz w:val="18"/>
              </w:rPr>
              <w:t>72,012,500.00</w:t>
            </w:r>
          </w:p>
        </w:tc>
      </w:tr>
      <w:tr>
        <w:trPr>
          <w:trHeight w:val="404"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 w:right="0"/>
              <w:jc w:val="center"/>
              <w:rPr>
                <w:rFonts w:ascii="Times New Roman" w:hAnsi="Times New Roman" w:cs="Times New Roman" w:eastAsia="Times New Roman" w:hint="default"/>
                <w:sz w:val="18"/>
                <w:szCs w:val="18"/>
              </w:rPr>
            </w:pPr>
            <w:r>
              <w:rPr>
                <w:rFonts w:ascii="Times New Roman"/>
                <w:sz w:val="18"/>
              </w:rPr>
              <w:t>98,344,148.68</w:t>
            </w:r>
          </w:p>
        </w:tc>
        <w:tc>
          <w:tcPr>
            <w:tcW w:w="102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 w:right="0"/>
              <w:jc w:val="center"/>
              <w:rPr>
                <w:rFonts w:ascii="Times New Roman" w:hAnsi="Times New Roman" w:cs="Times New Roman" w:eastAsia="Times New Roman" w:hint="default"/>
                <w:sz w:val="18"/>
                <w:szCs w:val="18"/>
              </w:rPr>
            </w:pPr>
            <w:r>
              <w:rPr>
                <w:rFonts w:ascii="Times New Roman"/>
                <w:sz w:val="18"/>
              </w:rPr>
              <w:t>98,344,148.68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0" w:right="0"/>
              <w:jc w:val="center"/>
              <w:rPr>
                <w:rFonts w:ascii="Times New Roman" w:hAnsi="Times New Roman" w:cs="Times New Roman" w:eastAsia="Times New Roman" w:hint="default"/>
                <w:sz w:val="18"/>
                <w:szCs w:val="18"/>
              </w:rPr>
            </w:pPr>
            <w:r>
              <w:rPr>
                <w:rFonts w:ascii="Times New Roman"/>
                <w:sz w:val="18"/>
              </w:rPr>
              <w:t>72,012,500.00</w:t>
            </w:r>
          </w:p>
        </w:tc>
        <w:tc>
          <w:tcPr>
            <w:tcW w:w="1275"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6" w:right="0"/>
              <w:jc w:val="center"/>
              <w:rPr>
                <w:rFonts w:ascii="Times New Roman" w:hAnsi="Times New Roman" w:cs="Times New Roman" w:eastAsia="Times New Roman" w:hint="default"/>
                <w:sz w:val="18"/>
                <w:szCs w:val="18"/>
              </w:rPr>
            </w:pPr>
            <w:r>
              <w:rPr>
                <w:rFonts w:ascii="Times New Roman"/>
                <w:sz w:val="18"/>
              </w:rPr>
              <w:t>72,012,500.00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期末按公允价值计量的可供出售金融资产" w:id="250"/>
      <w:bookmarkEnd w:id="250"/>
      <w:r>
        <w:rPr>
          <w:b w:val="0"/>
          <w:bCs w:val="0"/>
        </w:rPr>
      </w:r>
      <w:r>
        <w:rPr/>
        <w:t>（</w:t>
      </w:r>
      <w:r>
        <w:rPr>
          <w:rFonts w:ascii="Times New Roman" w:hAnsi="Times New Roman" w:cs="Times New Roman" w:eastAsia="Times New Roman" w:hint="default"/>
        </w:rPr>
        <w:t>2</w:t>
      </w:r>
      <w:r>
        <w:rPr/>
        <w:t>）期末按公允价值计量的可供出售金融资产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862" w:right="141" w:hanging="721"/>
              <w:jc w:val="left"/>
              <w:rPr>
                <w:rFonts w:ascii="宋体" w:hAnsi="宋体" w:cs="宋体" w:eastAsia="宋体" w:hint="default"/>
                <w:sz w:val="18"/>
                <w:szCs w:val="18"/>
              </w:rPr>
            </w:pPr>
            <w:r>
              <w:rPr>
                <w:rFonts w:ascii="宋体" w:hAnsi="宋体" w:cs="宋体" w:eastAsia="宋体" w:hint="default"/>
                <w:sz w:val="18"/>
                <w:szCs w:val="18"/>
              </w:rPr>
              <w:t>可供出售金融资产分 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期末按成本计量的可供出售金融资产" w:id="251"/>
      <w:bookmarkEnd w:id="251"/>
      <w:r>
        <w:rPr>
          <w:b w:val="0"/>
          <w:bCs w:val="0"/>
        </w:rPr>
      </w:r>
      <w:r>
        <w:rPr/>
        <w:t>（</w:t>
      </w:r>
      <w:r>
        <w:rPr>
          <w:rFonts w:ascii="Times New Roman" w:hAnsi="Times New Roman" w:cs="Times New Roman" w:eastAsia="Times New Roman" w:hint="default"/>
        </w:rPr>
        <w:t>3</w:t>
      </w:r>
      <w:r>
        <w:rPr/>
        <w:t>）期末按成本计量的可供出售金融资产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25"/>
        <w:gridCol w:w="1250"/>
        <w:gridCol w:w="1252"/>
        <w:gridCol w:w="1160"/>
        <w:gridCol w:w="1252"/>
        <w:gridCol w:w="434"/>
        <w:gridCol w:w="513"/>
        <w:gridCol w:w="512"/>
        <w:gridCol w:w="434"/>
        <w:gridCol w:w="1033"/>
        <w:gridCol w:w="589"/>
      </w:tblGrid>
      <w:tr>
        <w:trPr>
          <w:trHeight w:val="402" w:hRule="exact"/>
        </w:trPr>
        <w:tc>
          <w:tcPr>
            <w:tcW w:w="142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491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89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0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51" w:right="150"/>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5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09" w:right="108"/>
              <w:jc w:val="both"/>
              <w:rPr>
                <w:rFonts w:ascii="宋体" w:hAnsi="宋体" w:cs="宋体" w:eastAsia="宋体" w:hint="default"/>
                <w:sz w:val="18"/>
                <w:szCs w:val="18"/>
              </w:rPr>
            </w:pPr>
            <w:r>
              <w:rPr>
                <w:rFonts w:ascii="宋体" w:hAnsi="宋体" w:cs="宋体" w:eastAsia="宋体" w:hint="default"/>
                <w:sz w:val="18"/>
                <w:szCs w:val="18"/>
              </w:rPr>
              <w:t>本期 现金 红利</w:t>
            </w:r>
          </w:p>
        </w:tc>
      </w:tr>
      <w:tr>
        <w:trPr>
          <w:trHeight w:val="1338" w:hRule="exact"/>
        </w:trPr>
        <w:tc>
          <w:tcPr>
            <w:tcW w:w="1425" w:type="dxa"/>
            <w:vMerge/>
            <w:tcBorders>
              <w:left w:val="single" w:sz="4" w:space="0" w:color="000000"/>
              <w:bottom w:val="single" w:sz="4" w:space="0" w:color="000000"/>
              <w:right w:val="single" w:sz="4" w:space="0" w:color="000000"/>
            </w:tcBorders>
            <w:shd w:val="clear" w:color="auto" w:fill="D2D2D2"/>
          </w:tcPr>
          <w:p>
            <w:pPr/>
          </w:p>
        </w:tc>
        <w:tc>
          <w:tcPr>
            <w:tcW w:w="12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期初</w:t>
            </w:r>
          </w:p>
        </w:tc>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期末</w:t>
            </w:r>
          </w:p>
        </w:tc>
        <w:tc>
          <w:tcPr>
            <w:tcW w:w="4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22" w:right="120"/>
              <w:jc w:val="left"/>
              <w:rPr>
                <w:rFonts w:ascii="宋体" w:hAnsi="宋体" w:cs="宋体" w:eastAsia="宋体" w:hint="default"/>
                <w:sz w:val="18"/>
                <w:szCs w:val="18"/>
              </w:rPr>
            </w:pPr>
            <w:r>
              <w:rPr>
                <w:rFonts w:ascii="宋体" w:hAnsi="宋体" w:cs="宋体" w:eastAsia="宋体" w:hint="default"/>
                <w:sz w:val="18"/>
                <w:szCs w:val="18"/>
              </w:rPr>
              <w:t>期 初</w:t>
            </w:r>
          </w:p>
        </w:tc>
        <w:tc>
          <w:tcPr>
            <w:tcW w:w="5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0" w:right="160"/>
              <w:jc w:val="both"/>
              <w:rPr>
                <w:rFonts w:ascii="宋体" w:hAnsi="宋体" w:cs="宋体" w:eastAsia="宋体" w:hint="default"/>
                <w:sz w:val="18"/>
                <w:szCs w:val="18"/>
              </w:rPr>
            </w:pPr>
            <w:r>
              <w:rPr>
                <w:rFonts w:ascii="宋体" w:hAnsi="宋体" w:cs="宋体" w:eastAsia="宋体" w:hint="default"/>
                <w:sz w:val="18"/>
                <w:szCs w:val="18"/>
              </w:rPr>
              <w:t>本 期 增 加</w:t>
            </w:r>
          </w:p>
        </w:tc>
        <w:tc>
          <w:tcPr>
            <w:tcW w:w="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0" w:right="161"/>
              <w:jc w:val="both"/>
              <w:rPr>
                <w:rFonts w:ascii="宋体" w:hAnsi="宋体" w:cs="宋体" w:eastAsia="宋体" w:hint="default"/>
                <w:sz w:val="18"/>
                <w:szCs w:val="18"/>
              </w:rPr>
            </w:pPr>
            <w:r>
              <w:rPr>
                <w:rFonts w:ascii="宋体" w:hAnsi="宋体" w:cs="宋体" w:eastAsia="宋体" w:hint="default"/>
                <w:sz w:val="18"/>
                <w:szCs w:val="18"/>
              </w:rPr>
              <w:t>本 期 减 少</w:t>
            </w:r>
          </w:p>
        </w:tc>
        <w:tc>
          <w:tcPr>
            <w:tcW w:w="4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21" w:right="121"/>
              <w:jc w:val="left"/>
              <w:rPr>
                <w:rFonts w:ascii="宋体" w:hAnsi="宋体" w:cs="宋体" w:eastAsia="宋体" w:hint="default"/>
                <w:sz w:val="18"/>
                <w:szCs w:val="18"/>
              </w:rPr>
            </w:pPr>
            <w:r>
              <w:rPr>
                <w:rFonts w:ascii="宋体" w:hAnsi="宋体" w:cs="宋体" w:eastAsia="宋体" w:hint="default"/>
                <w:sz w:val="18"/>
                <w:szCs w:val="18"/>
              </w:rPr>
              <w:t>期 末</w:t>
            </w:r>
          </w:p>
        </w:tc>
        <w:tc>
          <w:tcPr>
            <w:tcW w:w="1033" w:type="dxa"/>
            <w:vMerge/>
            <w:tcBorders>
              <w:left w:val="single" w:sz="4" w:space="0" w:color="000000"/>
              <w:bottom w:val="single" w:sz="4" w:space="0" w:color="000000"/>
              <w:right w:val="single" w:sz="4" w:space="0" w:color="000000"/>
            </w:tcBorders>
            <w:shd w:val="clear" w:color="auto" w:fill="D2D2D2"/>
          </w:tcPr>
          <w:p>
            <w:pPr/>
          </w:p>
        </w:tc>
        <w:tc>
          <w:tcPr>
            <w:tcW w:w="589"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9"/>
              <w:jc w:val="both"/>
              <w:rPr>
                <w:rFonts w:ascii="宋体" w:hAnsi="宋体" w:cs="宋体" w:eastAsia="宋体" w:hint="default"/>
                <w:sz w:val="18"/>
                <w:szCs w:val="18"/>
              </w:rPr>
            </w:pPr>
            <w:r>
              <w:rPr>
                <w:rFonts w:ascii="宋体" w:hAnsi="宋体" w:cs="宋体" w:eastAsia="宋体" w:hint="default"/>
                <w:sz w:val="18"/>
                <w:szCs w:val="18"/>
              </w:rPr>
              <w:t>深圳市格兰莫 尔科技有限公 司</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5,000,000.00</w:t>
            </w:r>
          </w:p>
        </w:tc>
        <w:tc>
          <w:tcPr>
            <w:tcW w:w="125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5,000,000.00</w:t>
            </w:r>
          </w:p>
        </w:tc>
        <w:tc>
          <w:tcPr>
            <w:tcW w:w="434" w:type="dxa"/>
            <w:tcBorders>
              <w:top w:val="single" w:sz="4" w:space="0" w:color="000000"/>
              <w:left w:val="single" w:sz="4" w:space="0" w:color="000000"/>
              <w:bottom w:val="single" w:sz="4" w:space="0" w:color="000000"/>
              <w:right w:val="single" w:sz="4" w:space="0" w:color="000000"/>
            </w:tcBorders>
          </w:tcPr>
          <w:p>
            <w:pPr/>
          </w:p>
        </w:tc>
        <w:tc>
          <w:tcPr>
            <w:tcW w:w="513" w:type="dxa"/>
            <w:tcBorders>
              <w:top w:val="single" w:sz="4" w:space="0" w:color="000000"/>
              <w:left w:val="single" w:sz="4" w:space="0" w:color="000000"/>
              <w:bottom w:val="single" w:sz="4" w:space="0" w:color="000000"/>
              <w:right w:val="single" w:sz="4" w:space="0" w:color="000000"/>
            </w:tcBorders>
          </w:tcPr>
          <w:p>
            <w:pPr/>
          </w:p>
        </w:tc>
        <w:tc>
          <w:tcPr>
            <w:tcW w:w="512"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4.80%</w:t>
            </w:r>
          </w:p>
        </w:tc>
        <w:tc>
          <w:tcPr>
            <w:tcW w:w="5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31"/>
              <w:jc w:val="left"/>
              <w:rPr>
                <w:rFonts w:ascii="宋体" w:hAnsi="宋体" w:cs="宋体" w:eastAsia="宋体" w:hint="default"/>
                <w:sz w:val="18"/>
                <w:szCs w:val="18"/>
              </w:rPr>
            </w:pPr>
            <w:r>
              <w:rPr>
                <w:rFonts w:ascii="宋体" w:hAnsi="宋体" w:cs="宋体" w:eastAsia="宋体" w:hint="default"/>
                <w:sz w:val="18"/>
                <w:szCs w:val="18"/>
              </w:rPr>
              <w:t>北京行云时空 科技有限公司</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2,000,000.00</w:t>
            </w:r>
          </w:p>
        </w:tc>
        <w:tc>
          <w:tcPr>
            <w:tcW w:w="125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2,000,000.00</w:t>
            </w:r>
          </w:p>
        </w:tc>
        <w:tc>
          <w:tcPr>
            <w:tcW w:w="1252"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513" w:type="dxa"/>
            <w:tcBorders>
              <w:top w:val="single" w:sz="4" w:space="0" w:color="000000"/>
              <w:left w:val="single" w:sz="4" w:space="0" w:color="000000"/>
              <w:bottom w:val="single" w:sz="4" w:space="0" w:color="000000"/>
              <w:right w:val="single" w:sz="4" w:space="0" w:color="000000"/>
            </w:tcBorders>
          </w:tcPr>
          <w:p>
            <w:pPr/>
          </w:p>
        </w:tc>
        <w:tc>
          <w:tcPr>
            <w:tcW w:w="512"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033" w:type="dxa"/>
            <w:tcBorders>
              <w:top w:val="single" w:sz="4" w:space="0" w:color="000000"/>
              <w:left w:val="single" w:sz="4" w:space="0" w:color="000000"/>
              <w:bottom w:val="single" w:sz="4" w:space="0" w:color="000000"/>
              <w:right w:val="single" w:sz="4" w:space="0" w:color="000000"/>
            </w:tcBorders>
          </w:tcPr>
          <w:p>
            <w:pPr/>
          </w:p>
        </w:tc>
        <w:tc>
          <w:tcPr>
            <w:tcW w:w="5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31"/>
              <w:jc w:val="left"/>
              <w:rPr>
                <w:rFonts w:ascii="宋体" w:hAnsi="宋体" w:cs="宋体" w:eastAsia="宋体" w:hint="default"/>
                <w:sz w:val="18"/>
                <w:szCs w:val="18"/>
              </w:rPr>
            </w:pPr>
            <w:r>
              <w:rPr>
                <w:rFonts w:ascii="宋体" w:hAnsi="宋体" w:cs="宋体" w:eastAsia="宋体" w:hint="default"/>
                <w:sz w:val="18"/>
                <w:szCs w:val="18"/>
              </w:rPr>
              <w:t>宁波容百锂电 材料有限公司</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25,012,500.00</w:t>
            </w:r>
          </w:p>
        </w:tc>
        <w:tc>
          <w:tcPr>
            <w:tcW w:w="125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25,012,500.00</w:t>
            </w:r>
          </w:p>
        </w:tc>
        <w:tc>
          <w:tcPr>
            <w:tcW w:w="434" w:type="dxa"/>
            <w:tcBorders>
              <w:top w:val="single" w:sz="4" w:space="0" w:color="000000"/>
              <w:left w:val="single" w:sz="4" w:space="0" w:color="000000"/>
              <w:bottom w:val="single" w:sz="4" w:space="0" w:color="000000"/>
              <w:right w:val="single" w:sz="4" w:space="0" w:color="000000"/>
            </w:tcBorders>
          </w:tcPr>
          <w:p>
            <w:pPr/>
          </w:p>
        </w:tc>
        <w:tc>
          <w:tcPr>
            <w:tcW w:w="513" w:type="dxa"/>
            <w:tcBorders>
              <w:top w:val="single" w:sz="4" w:space="0" w:color="000000"/>
              <w:left w:val="single" w:sz="4" w:space="0" w:color="000000"/>
              <w:bottom w:val="single" w:sz="4" w:space="0" w:color="000000"/>
              <w:right w:val="single" w:sz="4" w:space="0" w:color="000000"/>
            </w:tcBorders>
          </w:tcPr>
          <w:p>
            <w:pPr/>
          </w:p>
        </w:tc>
        <w:tc>
          <w:tcPr>
            <w:tcW w:w="512"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0.47%</w:t>
            </w:r>
          </w:p>
        </w:tc>
        <w:tc>
          <w:tcPr>
            <w:tcW w:w="58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31"/>
              <w:jc w:val="both"/>
              <w:rPr>
                <w:rFonts w:ascii="宋体" w:hAnsi="宋体" w:cs="宋体" w:eastAsia="宋体" w:hint="default"/>
                <w:sz w:val="18"/>
                <w:szCs w:val="18"/>
              </w:rPr>
            </w:pPr>
            <w:r>
              <w:rPr>
                <w:rFonts w:ascii="宋体" w:hAnsi="宋体" w:cs="宋体" w:eastAsia="宋体" w:hint="default"/>
                <w:sz w:val="18"/>
                <w:szCs w:val="18"/>
              </w:rPr>
              <w:t>深圳南山架桥 卓越智能装备 投资合伙企业</w:t>
            </w:r>
          </w:p>
          <w:p>
            <w:pPr>
              <w:pStyle w:val="TableParagraph"/>
              <w:spacing w:line="240" w:lineRule="auto" w:before="20"/>
              <w:ind w:left="103" w:right="0"/>
              <w:jc w:val="both"/>
              <w:rPr>
                <w:rFonts w:ascii="宋体" w:hAnsi="宋体" w:cs="宋体" w:eastAsia="宋体" w:hint="default"/>
                <w:sz w:val="18"/>
                <w:szCs w:val="18"/>
              </w:rPr>
            </w:pPr>
            <w:r>
              <w:rPr>
                <w:rFonts w:ascii="宋体" w:hAnsi="宋体" w:cs="宋体" w:eastAsia="宋体" w:hint="default"/>
                <w:sz w:val="18"/>
                <w:szCs w:val="18"/>
              </w:rPr>
              <w:t>（有限合伙）</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40,000,000.00</w:t>
            </w:r>
          </w:p>
        </w:tc>
        <w:tc>
          <w:tcPr>
            <w:tcW w:w="125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40,000,000.00</w:t>
            </w:r>
          </w:p>
        </w:tc>
        <w:tc>
          <w:tcPr>
            <w:tcW w:w="434" w:type="dxa"/>
            <w:tcBorders>
              <w:top w:val="single" w:sz="4" w:space="0" w:color="000000"/>
              <w:left w:val="single" w:sz="4" w:space="0" w:color="000000"/>
              <w:bottom w:val="single" w:sz="4" w:space="0" w:color="000000"/>
              <w:right w:val="single" w:sz="4" w:space="0" w:color="000000"/>
            </w:tcBorders>
          </w:tcPr>
          <w:p>
            <w:pPr/>
          </w:p>
        </w:tc>
        <w:tc>
          <w:tcPr>
            <w:tcW w:w="513" w:type="dxa"/>
            <w:tcBorders>
              <w:top w:val="single" w:sz="4" w:space="0" w:color="000000"/>
              <w:left w:val="single" w:sz="4" w:space="0" w:color="000000"/>
              <w:bottom w:val="single" w:sz="4" w:space="0" w:color="000000"/>
              <w:right w:val="single" w:sz="4" w:space="0" w:color="000000"/>
            </w:tcBorders>
          </w:tcPr>
          <w:p>
            <w:pPr/>
          </w:p>
        </w:tc>
        <w:tc>
          <w:tcPr>
            <w:tcW w:w="512"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11.71%</w:t>
            </w:r>
          </w:p>
        </w:tc>
        <w:tc>
          <w:tcPr>
            <w:tcW w:w="58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31"/>
              <w:jc w:val="both"/>
              <w:rPr>
                <w:rFonts w:ascii="宋体" w:hAnsi="宋体" w:cs="宋体" w:eastAsia="宋体" w:hint="default"/>
                <w:sz w:val="18"/>
                <w:szCs w:val="18"/>
              </w:rPr>
            </w:pPr>
            <w:r>
              <w:rPr>
                <w:rFonts w:ascii="宋体" w:hAnsi="宋体" w:cs="宋体" w:eastAsia="宋体" w:hint="default"/>
                <w:sz w:val="18"/>
                <w:szCs w:val="18"/>
              </w:rPr>
              <w:t>北京朝歌数码 科技股份有限 公司</w:t>
            </w:r>
          </w:p>
        </w:tc>
        <w:tc>
          <w:tcPr>
            <w:tcW w:w="1250"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28,331,648.68</w:t>
            </w:r>
          </w:p>
        </w:tc>
        <w:tc>
          <w:tcPr>
            <w:tcW w:w="1160"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28,331,648.68</w:t>
            </w:r>
          </w:p>
        </w:tc>
        <w:tc>
          <w:tcPr>
            <w:tcW w:w="434" w:type="dxa"/>
            <w:tcBorders>
              <w:top w:val="single" w:sz="4" w:space="0" w:color="000000"/>
              <w:left w:val="single" w:sz="4" w:space="0" w:color="000000"/>
              <w:bottom w:val="single" w:sz="4" w:space="0" w:color="000000"/>
              <w:right w:val="single" w:sz="4" w:space="0" w:color="000000"/>
            </w:tcBorders>
          </w:tcPr>
          <w:p>
            <w:pPr/>
          </w:p>
        </w:tc>
        <w:tc>
          <w:tcPr>
            <w:tcW w:w="513" w:type="dxa"/>
            <w:tcBorders>
              <w:top w:val="single" w:sz="4" w:space="0" w:color="000000"/>
              <w:left w:val="single" w:sz="4" w:space="0" w:color="000000"/>
              <w:bottom w:val="single" w:sz="4" w:space="0" w:color="000000"/>
              <w:right w:val="single" w:sz="4" w:space="0" w:color="000000"/>
            </w:tcBorders>
          </w:tcPr>
          <w:p>
            <w:pPr/>
          </w:p>
        </w:tc>
        <w:tc>
          <w:tcPr>
            <w:tcW w:w="512"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4.62%</w:t>
            </w:r>
          </w:p>
        </w:tc>
        <w:tc>
          <w:tcPr>
            <w:tcW w:w="5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72,012,500.00</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28,331,648.68</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2,000,000.00</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98,344,148.68</w:t>
            </w:r>
          </w:p>
        </w:tc>
        <w:tc>
          <w:tcPr>
            <w:tcW w:w="434" w:type="dxa"/>
            <w:tcBorders>
              <w:top w:val="single" w:sz="4" w:space="0" w:color="000000"/>
              <w:left w:val="single" w:sz="4" w:space="0" w:color="000000"/>
              <w:bottom w:val="single" w:sz="4" w:space="0" w:color="000000"/>
              <w:right w:val="single" w:sz="4" w:space="0" w:color="000000"/>
            </w:tcBorders>
          </w:tcPr>
          <w:p>
            <w:pPr/>
          </w:p>
        </w:tc>
        <w:tc>
          <w:tcPr>
            <w:tcW w:w="513" w:type="dxa"/>
            <w:tcBorders>
              <w:top w:val="single" w:sz="4" w:space="0" w:color="000000"/>
              <w:left w:val="single" w:sz="4" w:space="0" w:color="000000"/>
              <w:bottom w:val="single" w:sz="4" w:space="0" w:color="000000"/>
              <w:right w:val="single" w:sz="4" w:space="0" w:color="000000"/>
            </w:tcBorders>
          </w:tcPr>
          <w:p>
            <w:pPr/>
          </w:p>
        </w:tc>
        <w:tc>
          <w:tcPr>
            <w:tcW w:w="512"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0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报告期内可供出售金融资产减值的变动情况" w:id="252"/>
      <w:bookmarkEnd w:id="252"/>
      <w:r>
        <w:rPr>
          <w:b w:val="0"/>
          <w:bCs w:val="0"/>
        </w:rPr>
      </w:r>
      <w:r>
        <w:rPr/>
        <w:t>（</w:t>
      </w:r>
      <w:r>
        <w:rPr>
          <w:rFonts w:ascii="Times New Roman" w:hAnsi="Times New Roman" w:cs="Times New Roman" w:eastAsia="Times New Roman" w:hint="default"/>
        </w:rPr>
        <w:t>4</w:t>
      </w:r>
      <w:r>
        <w:rPr/>
        <w:t>）报告期内可供出售金融资产减值的变动情况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5"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62" w:right="141" w:hanging="721"/>
              <w:jc w:val="left"/>
              <w:rPr>
                <w:rFonts w:ascii="宋体" w:hAnsi="宋体" w:cs="宋体" w:eastAsia="宋体" w:hint="default"/>
                <w:sz w:val="18"/>
                <w:szCs w:val="18"/>
              </w:rPr>
            </w:pPr>
            <w:r>
              <w:rPr>
                <w:rFonts w:ascii="宋体" w:hAnsi="宋体" w:cs="宋体" w:eastAsia="宋体" w:hint="default"/>
                <w:sz w:val="18"/>
                <w:szCs w:val="18"/>
              </w:rPr>
              <w:t>可供出售金融资产分 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可供出售权益工具期末公允价值严重下跌或非暂时性下跌但未计提减值准备的相关说" w:id="253"/>
      <w:bookmarkEnd w:id="253"/>
      <w:r>
        <w:rPr>
          <w:b w:val="0"/>
          <w:bCs w:val="0"/>
        </w:rPr>
      </w:r>
      <w:r>
        <w:rPr/>
        <w:t>（</w:t>
      </w:r>
      <w:r>
        <w:rPr>
          <w:rFonts w:ascii="Times New Roman" w:hAnsi="Times New Roman" w:cs="Times New Roman" w:eastAsia="Times New Roman" w:hint="default"/>
        </w:rPr>
        <w:t>5</w:t>
      </w:r>
      <w:r>
        <w:rPr/>
        <w:t>）可供出售权益工具期末公允价值严重下跌或非暂时性下跌但未计提减值准备的相关说明</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19" w:right="137" w:hanging="180"/>
              <w:jc w:val="left"/>
              <w:rPr>
                <w:rFonts w:ascii="宋体" w:hAnsi="宋体" w:cs="宋体" w:eastAsia="宋体" w:hint="default"/>
                <w:sz w:val="18"/>
                <w:szCs w:val="18"/>
              </w:rPr>
            </w:pPr>
            <w:r>
              <w:rPr>
                <w:rFonts w:ascii="宋体" w:hAnsi="宋体" w:cs="宋体" w:eastAsia="宋体" w:hint="default"/>
                <w:sz w:val="18"/>
                <w:szCs w:val="18"/>
              </w:rPr>
              <w:t>可供出售权益 工具项目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19"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38" w:right="0"/>
              <w:jc w:val="left"/>
              <w:rPr>
                <w:rFonts w:ascii="宋体" w:hAnsi="宋体" w:cs="宋体" w:eastAsia="宋体" w:hint="default"/>
                <w:sz w:val="18"/>
                <w:szCs w:val="18"/>
              </w:rPr>
            </w:pPr>
            <w:r>
              <w:rPr>
                <w:rFonts w:ascii="宋体" w:hAnsi="宋体" w:cs="宋体" w:eastAsia="宋体" w:hint="default"/>
                <w:sz w:val="18"/>
                <w:szCs w:val="18"/>
              </w:rPr>
              <w:t>期末公允价值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37" w:right="137"/>
              <w:jc w:val="center"/>
              <w:rPr>
                <w:rFonts w:ascii="宋体" w:hAnsi="宋体" w:cs="宋体" w:eastAsia="宋体" w:hint="default"/>
                <w:sz w:val="18"/>
                <w:szCs w:val="18"/>
              </w:rPr>
            </w:pPr>
            <w:r>
              <w:rPr>
                <w:rFonts w:ascii="宋体" w:hAnsi="宋体" w:cs="宋体" w:eastAsia="宋体" w:hint="default"/>
                <w:sz w:val="18"/>
                <w:szCs w:val="18"/>
              </w:rPr>
              <w:t>公允价值相对 于成本的下跌 幅度</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持续下跌时间</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（个月）</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587" w:right="138" w:hanging="451"/>
              <w:jc w:val="left"/>
              <w:rPr>
                <w:rFonts w:ascii="宋体" w:hAnsi="宋体" w:cs="宋体" w:eastAsia="宋体" w:hint="default"/>
                <w:sz w:val="18"/>
                <w:szCs w:val="18"/>
              </w:rPr>
            </w:pPr>
            <w:r>
              <w:rPr>
                <w:rFonts w:ascii="宋体" w:hAnsi="宋体" w:cs="宋体" w:eastAsia="宋体" w:hint="default"/>
                <w:sz w:val="18"/>
                <w:szCs w:val="18"/>
              </w:rPr>
              <w:t>已计提减值金 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587" w:right="137" w:hanging="450"/>
              <w:jc w:val="left"/>
              <w:rPr>
                <w:rFonts w:ascii="宋体" w:hAnsi="宋体" w:cs="宋体" w:eastAsia="宋体" w:hint="default"/>
                <w:sz w:val="18"/>
                <w:szCs w:val="18"/>
              </w:rPr>
            </w:pPr>
            <w:r>
              <w:rPr>
                <w:rFonts w:ascii="宋体" w:hAnsi="宋体" w:cs="宋体" w:eastAsia="宋体" w:hint="default"/>
                <w:sz w:val="18"/>
                <w:szCs w:val="18"/>
              </w:rPr>
              <w:t>未计提减值原 因</w:t>
            </w:r>
          </w:p>
        </w:tc>
      </w:tr>
    </w:tbl>
    <w:p>
      <w:pPr>
        <w:pStyle w:val="BodyText"/>
        <w:spacing w:line="240" w:lineRule="auto" w:before="51"/>
        <w:ind w:right="0"/>
        <w:jc w:val="left"/>
      </w:pPr>
      <w:r>
        <w:rPr/>
        <w:t>其他说明</w:t>
      </w:r>
    </w:p>
    <w:p>
      <w:pPr>
        <w:spacing w:after="0" w:line="240" w:lineRule="auto"/>
        <w:jc w:val="left"/>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300" w:lineRule="auto" w:before="44"/>
        <w:ind w:right="1143" w:firstLine="429"/>
        <w:jc w:val="left"/>
      </w:pPr>
      <w:r>
        <w:rPr/>
        <w:t>可供出售金融资产期末余额较期初增加</w:t>
      </w:r>
      <w:r>
        <w:rPr>
          <w:rFonts w:ascii="宋体" w:hAnsi="宋体" w:cs="宋体" w:eastAsia="宋体" w:hint="default"/>
        </w:rPr>
        <w:t>26</w:t>
      </w:r>
      <w:r>
        <w:rPr>
          <w:rFonts w:ascii="Times New Roman" w:hAnsi="Times New Roman" w:cs="Times New Roman" w:eastAsia="Times New Roman" w:hint="default"/>
        </w:rPr>
        <w:t>,</w:t>
      </w:r>
      <w:r>
        <w:rPr>
          <w:rFonts w:ascii="宋体" w:hAnsi="宋体" w:cs="宋体" w:eastAsia="宋体" w:hint="default"/>
        </w:rPr>
        <w:t>331</w:t>
      </w:r>
      <w:r>
        <w:rPr>
          <w:rFonts w:ascii="Times New Roman" w:hAnsi="Times New Roman" w:cs="Times New Roman" w:eastAsia="Times New Roman" w:hint="default"/>
        </w:rPr>
        <w:t>,</w:t>
      </w:r>
      <w:r>
        <w:rPr>
          <w:rFonts w:ascii="宋体" w:hAnsi="宋体" w:cs="宋体" w:eastAsia="宋体" w:hint="default"/>
        </w:rPr>
        <w:t>648.68</w:t>
      </w:r>
      <w:r>
        <w:rPr/>
        <w:t>元，增加比例为</w:t>
      </w:r>
      <w:r>
        <w:rPr>
          <w:rFonts w:ascii="宋体" w:hAnsi="宋体" w:cs="宋体" w:eastAsia="宋体" w:hint="default"/>
        </w:rPr>
        <w:t>36.57%</w:t>
      </w:r>
      <w:r>
        <w:rPr/>
        <w:t>，主要系本期长期股权投资减持北京朝歌 数码科技股份有限公司股权，期末剩余</w:t>
      </w:r>
      <w:r>
        <w:rPr>
          <w:rFonts w:ascii="宋体" w:hAnsi="宋体" w:cs="宋体" w:eastAsia="宋体" w:hint="default"/>
        </w:rPr>
        <w:t>4.6188%</w:t>
      </w:r>
      <w:r>
        <w:rPr/>
        <w:t>股权转为可供出售金融资产所致。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0"/>
          <w:szCs w:val="20"/>
        </w:rPr>
      </w:pPr>
    </w:p>
    <w:p>
      <w:pPr>
        <w:pStyle w:val="Heading3"/>
        <w:spacing w:line="240" w:lineRule="auto"/>
        <w:ind w:right="0"/>
        <w:jc w:val="left"/>
        <w:rPr>
          <w:b w:val="0"/>
          <w:bCs w:val="0"/>
        </w:rPr>
      </w:pPr>
      <w:bookmarkStart w:name="12、持有至到期投资" w:id="254"/>
      <w:bookmarkEnd w:id="254"/>
      <w:r>
        <w:rPr>
          <w:b w:val="0"/>
          <w:bCs w:val="0"/>
        </w:rPr>
      </w:r>
      <w:r>
        <w:rPr>
          <w:rFonts w:ascii="Times New Roman" w:hAnsi="Times New Roman" w:cs="Times New Roman" w:eastAsia="Times New Roman" w:hint="default"/>
        </w:rPr>
        <w:t>12</w:t>
      </w:r>
      <w:r>
        <w:rPr/>
        <w:t>、持有至到期投资</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持有至到期投资情况" w:id="255"/>
      <w:bookmarkEnd w:id="255"/>
      <w:r>
        <w:rPr>
          <w:b w:val="0"/>
          <w:bCs w:val="0"/>
        </w:rPr>
      </w:r>
      <w:r>
        <w:rPr/>
        <w:t>（</w:t>
      </w:r>
      <w:r>
        <w:rPr>
          <w:rFonts w:ascii="Times New Roman" w:hAnsi="Times New Roman" w:cs="Times New Roman" w:eastAsia="Times New Roman" w:hint="default"/>
        </w:rPr>
        <w:t>1</w:t>
      </w:r>
      <w:r>
        <w:rPr/>
        <w:t>）持有至到期投资情况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期末重要的持有至到期投资" w:id="256"/>
      <w:bookmarkEnd w:id="256"/>
      <w:r>
        <w:rPr>
          <w:b w:val="0"/>
          <w:bCs w:val="0"/>
        </w:rPr>
      </w:r>
      <w:r>
        <w:rPr/>
        <w:t>（</w:t>
      </w:r>
      <w:r>
        <w:rPr>
          <w:rFonts w:ascii="Times New Roman" w:hAnsi="Times New Roman" w:cs="Times New Roman" w:eastAsia="Times New Roman" w:hint="default"/>
        </w:rPr>
        <w:t>2</w:t>
      </w:r>
      <w:r>
        <w:rPr/>
        <w:t>）期末重要的持有至到期投资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0" w:right="0"/>
              <w:jc w:val="left"/>
              <w:rPr>
                <w:rFonts w:ascii="宋体" w:hAnsi="宋体" w:cs="宋体" w:eastAsia="宋体" w:hint="default"/>
                <w:sz w:val="18"/>
                <w:szCs w:val="18"/>
              </w:rPr>
            </w:pPr>
            <w:r>
              <w:rPr>
                <w:rFonts w:ascii="宋体" w:hAnsi="宋体" w:cs="宋体" w:eastAsia="宋体" w:hint="default"/>
                <w:sz w:val="18"/>
                <w:szCs w:val="18"/>
              </w:rPr>
              <w:t>债券项目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面值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到期日</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3）本期重分类的持有至到期投资" w:id="257"/>
      <w:bookmarkEnd w:id="257"/>
      <w:r>
        <w:rPr>
          <w:b w:val="0"/>
          <w:bCs w:val="0"/>
        </w:rPr>
      </w:r>
      <w:r>
        <w:rPr/>
        <w:t>（</w:t>
      </w:r>
      <w:r>
        <w:rPr>
          <w:rFonts w:ascii="Times New Roman" w:hAnsi="Times New Roman" w:cs="Times New Roman" w:eastAsia="Times New Roman" w:hint="default"/>
        </w:rPr>
        <w:t>3</w:t>
      </w:r>
      <w:r>
        <w:rPr/>
        <w:t>）本期重分类的持有至到期投资</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13、长期应收款" w:id="258"/>
      <w:bookmarkEnd w:id="258"/>
      <w:r>
        <w:rPr>
          <w:b w:val="0"/>
          <w:bCs w:val="0"/>
        </w:rPr>
      </w:r>
      <w:r>
        <w:rPr>
          <w:rFonts w:ascii="Times New Roman" w:hAnsi="Times New Roman" w:cs="Times New Roman" w:eastAsia="Times New Roman" w:hint="default"/>
        </w:rPr>
        <w:t>13</w:t>
      </w:r>
      <w:r>
        <w:rPr/>
        <w:t>、长期应收款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长期应收款情况" w:id="259"/>
      <w:bookmarkEnd w:id="259"/>
      <w:r>
        <w:rPr>
          <w:b w:val="0"/>
          <w:bCs w:val="0"/>
        </w:rPr>
      </w:r>
      <w:r>
        <w:rPr/>
        <w:t>（</w:t>
      </w:r>
      <w:r>
        <w:rPr>
          <w:rFonts w:ascii="Times New Roman" w:hAnsi="Times New Roman" w:cs="Times New Roman" w:eastAsia="Times New Roman" w:hint="default"/>
        </w:rPr>
        <w:t>1</w:t>
      </w:r>
      <w:r>
        <w:rPr/>
        <w:t>）长期应收款情况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03"/>
        <w:gridCol w:w="1168"/>
        <w:gridCol w:w="1167"/>
        <w:gridCol w:w="1168"/>
        <w:gridCol w:w="1166"/>
        <w:gridCol w:w="1169"/>
        <w:gridCol w:w="1164"/>
        <w:gridCol w:w="1165"/>
      </w:tblGrid>
      <w:tr>
        <w:trPr>
          <w:trHeight w:val="402" w:hRule="exact"/>
        </w:trPr>
        <w:tc>
          <w:tcPr>
            <w:tcW w:w="14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402" w:hRule="exact"/>
        </w:trPr>
        <w:tc>
          <w:tcPr>
            <w:tcW w:w="1403" w:type="dxa"/>
            <w:vMerge/>
            <w:tcBorders>
              <w:left w:val="single" w:sz="4" w:space="0" w:color="000000"/>
              <w:bottom w:val="single" w:sz="4" w:space="0" w:color="000000"/>
              <w:right w:val="single" w:sz="4" w:space="0" w:color="000000"/>
            </w:tcBorders>
            <w:shd w:val="clear" w:color="auto" w:fill="D2D2D2"/>
          </w:tcPr>
          <w:p>
            <w:pP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5" w:type="dxa"/>
            <w:vMerge/>
            <w:tcBorders>
              <w:left w:val="single" w:sz="4" w:space="0" w:color="000000"/>
              <w:bottom w:val="single" w:sz="4" w:space="0" w:color="000000"/>
              <w:right w:val="single" w:sz="4" w:space="0" w:color="000000"/>
            </w:tcBorders>
            <w:shd w:val="clear" w:color="auto" w:fill="D2D2D2"/>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因金融资产转移而终止确认的长期应收款" w:id="260"/>
      <w:bookmarkEnd w:id="260"/>
      <w:r>
        <w:rPr>
          <w:b w:val="0"/>
          <w:bCs w:val="0"/>
        </w:rPr>
      </w:r>
      <w:r>
        <w:rPr/>
        <w:t>（</w:t>
      </w:r>
      <w:r>
        <w:rPr>
          <w:rFonts w:ascii="Times New Roman" w:hAnsi="Times New Roman" w:cs="Times New Roman" w:eastAsia="Times New Roman" w:hint="default"/>
        </w:rPr>
        <w:t>2</w:t>
      </w:r>
      <w:r>
        <w:rPr/>
        <w:t>）因金融资产转移而终止确认的长期应收款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3）转移长期应收款且继续涉入形成的资产、负债金额" w:id="261"/>
      <w:bookmarkEnd w:id="261"/>
      <w:r>
        <w:rPr>
          <w:b w:val="0"/>
          <w:bCs w:val="0"/>
        </w:rPr>
      </w:r>
      <w:r>
        <w:rPr/>
        <w:t>（</w:t>
      </w:r>
      <w:r>
        <w:rPr>
          <w:rFonts w:ascii="Times New Roman" w:hAnsi="Times New Roman" w:cs="Times New Roman" w:eastAsia="Times New Roman" w:hint="default"/>
        </w:rPr>
        <w:t>3</w:t>
      </w:r>
      <w:r>
        <w:rPr/>
        <w:t>）转移长期应收款且继续涉入形成的资产、负债金额</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14、长期股权投资" w:id="262"/>
      <w:bookmarkEnd w:id="262"/>
      <w:r>
        <w:rPr>
          <w:b w:val="0"/>
          <w:bCs w:val="0"/>
        </w:rPr>
      </w:r>
      <w:r>
        <w:rPr>
          <w:rFonts w:ascii="Times New Roman" w:hAnsi="Times New Roman" w:cs="Times New Roman" w:eastAsia="Times New Roman" w:hint="default"/>
        </w:rPr>
        <w:t>14</w:t>
      </w:r>
      <w:r>
        <w:rPr/>
        <w:t>、长期股权投资</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7"/>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316" w:lineRule="auto"/>
              <w:ind w:left="212" w:right="123" w:hanging="90"/>
              <w:jc w:val="left"/>
              <w:rPr>
                <w:rFonts w:ascii="宋体" w:hAnsi="宋体" w:cs="宋体" w:eastAsia="宋体" w:hint="default"/>
                <w:sz w:val="18"/>
                <w:szCs w:val="18"/>
              </w:rPr>
            </w:pPr>
            <w:r>
              <w:rPr>
                <w:rFonts w:ascii="宋体" w:hAnsi="宋体" w:cs="宋体" w:eastAsia="宋体" w:hint="default"/>
                <w:sz w:val="18"/>
                <w:szCs w:val="18"/>
              </w:rPr>
              <w:t>被投资 单位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123" w:right="122"/>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02" w:right="122"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减少投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123" w:right="123"/>
              <w:jc w:val="both"/>
              <w:rPr>
                <w:rFonts w:ascii="宋体" w:hAnsi="宋体" w:cs="宋体" w:eastAsia="宋体" w:hint="default"/>
                <w:sz w:val="18"/>
                <w:szCs w:val="18"/>
              </w:rPr>
            </w:pPr>
            <w:r>
              <w:rPr>
                <w:rFonts w:ascii="宋体" w:hAnsi="宋体" w:cs="宋体" w:eastAsia="宋体" w:hint="default"/>
                <w:sz w:val="18"/>
                <w:szCs w:val="18"/>
              </w:rPr>
              <w:t>权益法 下确认 的投资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23" w:right="122"/>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23" w:right="122"/>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123" w:right="122"/>
              <w:jc w:val="both"/>
              <w:rPr>
                <w:rFonts w:ascii="宋体" w:hAnsi="宋体" w:cs="宋体" w:eastAsia="宋体" w:hint="default"/>
                <w:sz w:val="18"/>
                <w:szCs w:val="18"/>
              </w:rPr>
            </w:pPr>
            <w:r>
              <w:rPr>
                <w:rFonts w:ascii="宋体" w:hAnsi="宋体" w:cs="宋体" w:eastAsia="宋体" w:hint="default"/>
                <w:sz w:val="18"/>
                <w:szCs w:val="18"/>
              </w:rPr>
              <w:t>宣告发 放现金 股利或</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23" w:right="123"/>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362"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13" w:right="0"/>
              <w:jc w:val="left"/>
              <w:rPr>
                <w:rFonts w:ascii="宋体" w:hAnsi="宋体" w:cs="宋体" w:eastAsia="宋体" w:hint="default"/>
                <w:sz w:val="18"/>
                <w:szCs w:val="18"/>
              </w:rPr>
            </w:pPr>
            <w:r>
              <w:rPr>
                <w:rFonts w:ascii="宋体" w:hAnsi="宋体" w:cs="宋体" w:eastAsia="宋体" w:hint="default"/>
                <w:sz w:val="18"/>
                <w:szCs w:val="18"/>
              </w:rPr>
              <w:t>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13" w:right="0"/>
              <w:jc w:val="left"/>
              <w:rPr>
                <w:rFonts w:ascii="宋体" w:hAnsi="宋体" w:cs="宋体" w:eastAsia="宋体" w:hint="default"/>
                <w:sz w:val="18"/>
                <w:szCs w:val="18"/>
              </w:rPr>
            </w:pPr>
            <w:r>
              <w:rPr>
                <w:rFonts w:ascii="宋体" w:hAnsi="宋体" w:cs="宋体" w:eastAsia="宋体" w:hint="default"/>
                <w:sz w:val="18"/>
                <w:szCs w:val="18"/>
              </w:rPr>
              <w:t>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650"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41"/>
              <w:jc w:val="both"/>
              <w:rPr>
                <w:rFonts w:ascii="宋体" w:hAnsi="宋体" w:cs="宋体" w:eastAsia="宋体" w:hint="default"/>
                <w:sz w:val="18"/>
                <w:szCs w:val="18"/>
              </w:rPr>
            </w:pPr>
            <w:r>
              <w:rPr>
                <w:rFonts w:ascii="宋体" w:hAnsi="宋体" w:cs="宋体" w:eastAsia="宋体" w:hint="default"/>
                <w:sz w:val="18"/>
                <w:szCs w:val="18"/>
              </w:rPr>
              <w:t>北京朝 歌数码 科技股 份有限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pacing w:val="-3"/>
                <w:sz w:val="18"/>
              </w:rPr>
              <w:t>111,395</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,848.25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84,994,</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946.03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8,996,3</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82.23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74,364.</w:t>
            </w:r>
          </w:p>
          <w:p>
            <w:pPr>
              <w:pStyle w:val="TableParagraph"/>
              <w:spacing w:line="240" w:lineRule="auto" w:before="105"/>
              <w:ind w:left="505" w:right="0"/>
              <w:jc w:val="left"/>
              <w:rPr>
                <w:rFonts w:ascii="Times New Roman" w:hAnsi="Times New Roman" w:cs="Times New Roman" w:eastAsia="Times New Roman" w:hint="default"/>
                <w:sz w:val="18"/>
                <w:szCs w:val="18"/>
              </w:rPr>
            </w:pPr>
            <w:r>
              <w:rPr>
                <w:rFonts w:ascii="Times New Roman"/>
                <w:sz w:val="18"/>
              </w:rPr>
              <w:t>23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7,140,0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-28,331</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,648.68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41"/>
              <w:jc w:val="both"/>
              <w:rPr>
                <w:rFonts w:ascii="宋体" w:hAnsi="宋体" w:cs="宋体" w:eastAsia="宋体" w:hint="default"/>
                <w:sz w:val="18"/>
                <w:szCs w:val="18"/>
              </w:rPr>
            </w:pPr>
            <w:r>
              <w:rPr>
                <w:rFonts w:ascii="宋体" w:hAnsi="宋体" w:cs="宋体" w:eastAsia="宋体" w:hint="default"/>
                <w:sz w:val="18"/>
                <w:szCs w:val="18"/>
              </w:rPr>
              <w:t>深圳市 深创谷 技术服 务有限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5,248,8</w:t>
            </w:r>
          </w:p>
          <w:p>
            <w:pPr>
              <w:pStyle w:val="TableParagraph"/>
              <w:spacing w:line="240" w:lineRule="auto" w:before="105"/>
              <w:ind w:left="176" w:right="0"/>
              <w:jc w:val="center"/>
              <w:rPr>
                <w:rFonts w:ascii="Times New Roman" w:hAnsi="Times New Roman" w:cs="Times New Roman" w:eastAsia="Times New Roman" w:hint="default"/>
                <w:sz w:val="18"/>
                <w:szCs w:val="18"/>
              </w:rPr>
            </w:pPr>
            <w:r>
              <w:rPr>
                <w:rFonts w:ascii="Times New Roman"/>
                <w:sz w:val="18"/>
              </w:rPr>
              <w:t>91.48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-7,328,</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149.30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-194,82</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6.68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4,555,0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72.29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6" w:right="0"/>
              <w:jc w:val="left"/>
              <w:rPr>
                <w:rFonts w:ascii="Times New Roman" w:hAnsi="Times New Roman" w:cs="Times New Roman" w:eastAsia="Times New Roman" w:hint="default"/>
                <w:sz w:val="18"/>
                <w:szCs w:val="18"/>
              </w:rPr>
            </w:pPr>
            <w:r>
              <w:rPr>
                <w:rFonts w:ascii="Times New Roman"/>
                <w:sz w:val="18"/>
              </w:rPr>
              <w:t>119,100</w:t>
            </w:r>
          </w:p>
          <w:p>
            <w:pPr>
              <w:pStyle w:val="TableParagraph"/>
              <w:spacing w:line="240" w:lineRule="auto" w:before="105"/>
              <w:ind w:left="460" w:right="0"/>
              <w:jc w:val="lef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2,400,0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87.79</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116,644</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,739.73</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5" w:right="0"/>
              <w:jc w:val="left"/>
              <w:rPr>
                <w:rFonts w:ascii="Times New Roman" w:hAnsi="Times New Roman" w:cs="Times New Roman" w:eastAsia="Times New Roman" w:hint="default"/>
                <w:sz w:val="18"/>
                <w:szCs w:val="18"/>
              </w:rPr>
            </w:pPr>
            <w:r>
              <w:rPr>
                <w:rFonts w:ascii="Times New Roman"/>
                <w:sz w:val="18"/>
              </w:rPr>
              <w:t>84,994,</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946.03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 w:right="0"/>
              <w:jc w:val="center"/>
              <w:rPr>
                <w:rFonts w:ascii="Times New Roman" w:hAnsi="Times New Roman" w:cs="Times New Roman" w:eastAsia="Times New Roman" w:hint="default"/>
                <w:sz w:val="18"/>
                <w:szCs w:val="18"/>
              </w:rPr>
            </w:pPr>
            <w:r>
              <w:rPr>
                <w:rFonts w:ascii="Times New Roman"/>
                <w:sz w:val="18"/>
              </w:rPr>
              <w:t>1,668,2</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32.93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0" w:right="0"/>
              <w:jc w:val="left"/>
              <w:rPr>
                <w:rFonts w:ascii="Times New Roman" w:hAnsi="Times New Roman" w:cs="Times New Roman" w:eastAsia="Times New Roman" w:hint="default"/>
                <w:sz w:val="18"/>
                <w:szCs w:val="18"/>
              </w:rPr>
            </w:pPr>
            <w:r>
              <w:rPr>
                <w:rFonts w:ascii="Times New Roman"/>
                <w:sz w:val="18"/>
              </w:rPr>
              <w:t>-120,46</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2.45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 w:right="0"/>
              <w:jc w:val="center"/>
              <w:rPr>
                <w:rFonts w:ascii="Times New Roman" w:hAnsi="Times New Roman" w:cs="Times New Roman" w:eastAsia="Times New Roman" w:hint="default"/>
                <w:sz w:val="18"/>
                <w:szCs w:val="18"/>
              </w:rPr>
            </w:pPr>
            <w:r>
              <w:rPr>
                <w:rFonts w:ascii="Times New Roman"/>
                <w:sz w:val="18"/>
              </w:rPr>
              <w:t>4,555,0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72.29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 w:right="0"/>
              <w:jc w:val="center"/>
              <w:rPr>
                <w:rFonts w:ascii="Times New Roman" w:hAnsi="Times New Roman" w:cs="Times New Roman" w:eastAsia="Times New Roman" w:hint="default"/>
                <w:sz w:val="18"/>
                <w:szCs w:val="18"/>
              </w:rPr>
            </w:pPr>
            <w:r>
              <w:rPr>
                <w:rFonts w:ascii="Times New Roman"/>
                <w:sz w:val="18"/>
              </w:rPr>
              <w:t>7,140,0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0" w:right="0"/>
              <w:jc w:val="left"/>
              <w:rPr>
                <w:rFonts w:ascii="Times New Roman" w:hAnsi="Times New Roman" w:cs="Times New Roman" w:eastAsia="Times New Roman" w:hint="default"/>
                <w:sz w:val="18"/>
                <w:szCs w:val="18"/>
              </w:rPr>
            </w:pPr>
            <w:r>
              <w:rPr>
                <w:rFonts w:ascii="Times New Roman"/>
                <w:sz w:val="18"/>
              </w:rPr>
              <w:t>-28,212</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,548.68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 w:right="0"/>
              <w:jc w:val="center"/>
              <w:rPr>
                <w:rFonts w:ascii="Times New Roman" w:hAnsi="Times New Roman" w:cs="Times New Roman" w:eastAsia="Times New Roman" w:hint="default"/>
                <w:sz w:val="18"/>
                <w:szCs w:val="18"/>
              </w:rPr>
            </w:pPr>
            <w:r>
              <w:rPr>
                <w:rFonts w:ascii="Times New Roman"/>
                <w:sz w:val="18"/>
              </w:rPr>
              <w:t>2,400,0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87.79</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116,644</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,739.73</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5" w:right="0"/>
              <w:jc w:val="left"/>
              <w:rPr>
                <w:rFonts w:ascii="Times New Roman" w:hAnsi="Times New Roman" w:cs="Times New Roman" w:eastAsia="Times New Roman" w:hint="default"/>
                <w:sz w:val="18"/>
                <w:szCs w:val="18"/>
              </w:rPr>
            </w:pPr>
            <w:r>
              <w:rPr>
                <w:rFonts w:ascii="Times New Roman"/>
                <w:sz w:val="18"/>
              </w:rPr>
              <w:t>84,994,</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946.03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 w:right="0"/>
              <w:jc w:val="center"/>
              <w:rPr>
                <w:rFonts w:ascii="Times New Roman" w:hAnsi="Times New Roman" w:cs="Times New Roman" w:eastAsia="Times New Roman" w:hint="default"/>
                <w:sz w:val="18"/>
                <w:szCs w:val="18"/>
              </w:rPr>
            </w:pPr>
            <w:r>
              <w:rPr>
                <w:rFonts w:ascii="Times New Roman"/>
                <w:sz w:val="18"/>
              </w:rPr>
              <w:t>1,668,2</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32.93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0" w:right="0"/>
              <w:jc w:val="left"/>
              <w:rPr>
                <w:rFonts w:ascii="Times New Roman" w:hAnsi="Times New Roman" w:cs="Times New Roman" w:eastAsia="Times New Roman" w:hint="default"/>
                <w:sz w:val="18"/>
                <w:szCs w:val="18"/>
              </w:rPr>
            </w:pPr>
            <w:r>
              <w:rPr>
                <w:rFonts w:ascii="Times New Roman"/>
                <w:sz w:val="18"/>
              </w:rPr>
              <w:t>-120,46</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2.45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 w:right="0"/>
              <w:jc w:val="center"/>
              <w:rPr>
                <w:rFonts w:ascii="Times New Roman" w:hAnsi="Times New Roman" w:cs="Times New Roman" w:eastAsia="Times New Roman" w:hint="default"/>
                <w:sz w:val="18"/>
                <w:szCs w:val="18"/>
              </w:rPr>
            </w:pPr>
            <w:r>
              <w:rPr>
                <w:rFonts w:ascii="Times New Roman"/>
                <w:sz w:val="18"/>
              </w:rPr>
              <w:t>4,555,0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72.29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 w:right="0"/>
              <w:jc w:val="center"/>
              <w:rPr>
                <w:rFonts w:ascii="Times New Roman" w:hAnsi="Times New Roman" w:cs="Times New Roman" w:eastAsia="Times New Roman" w:hint="default"/>
                <w:sz w:val="18"/>
                <w:szCs w:val="18"/>
              </w:rPr>
            </w:pPr>
            <w:r>
              <w:rPr>
                <w:rFonts w:ascii="Times New Roman"/>
                <w:sz w:val="18"/>
              </w:rPr>
              <w:t>7,140,0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0" w:right="0"/>
              <w:jc w:val="left"/>
              <w:rPr>
                <w:rFonts w:ascii="Times New Roman" w:hAnsi="Times New Roman" w:cs="Times New Roman" w:eastAsia="Times New Roman" w:hint="default"/>
                <w:sz w:val="18"/>
                <w:szCs w:val="18"/>
              </w:rPr>
            </w:pPr>
            <w:r>
              <w:rPr>
                <w:rFonts w:ascii="Times New Roman"/>
                <w:sz w:val="18"/>
              </w:rPr>
              <w:t>-28,212</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,548.68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 w:right="0"/>
              <w:jc w:val="center"/>
              <w:rPr>
                <w:rFonts w:ascii="Times New Roman" w:hAnsi="Times New Roman" w:cs="Times New Roman" w:eastAsia="Times New Roman" w:hint="default"/>
                <w:sz w:val="18"/>
                <w:szCs w:val="18"/>
              </w:rPr>
            </w:pPr>
            <w:r>
              <w:rPr>
                <w:rFonts w:ascii="Times New Roman"/>
                <w:sz w:val="18"/>
              </w:rPr>
              <w:t>2,400,0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87.79</w:t>
            </w:r>
          </w:p>
        </w:tc>
        <w:tc>
          <w:tcPr>
            <w:tcW w:w="798"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其他说明</w:t>
      </w:r>
    </w:p>
    <w:p>
      <w:pPr>
        <w:spacing w:line="240" w:lineRule="auto" w:before="0"/>
        <w:rPr>
          <w:rFonts w:ascii="宋体" w:hAnsi="宋体" w:cs="宋体" w:eastAsia="宋体" w:hint="default"/>
          <w:sz w:val="15"/>
          <w:szCs w:val="15"/>
        </w:rPr>
      </w:pPr>
    </w:p>
    <w:p>
      <w:pPr>
        <w:pStyle w:val="BodyText"/>
        <w:spacing w:line="300" w:lineRule="auto"/>
        <w:ind w:right="1122" w:firstLine="360"/>
        <w:jc w:val="left"/>
      </w:pPr>
      <w:r>
        <w:rPr/>
        <w:t>长期股权投资期末余额较期初减少</w:t>
      </w:r>
      <w:r>
        <w:rPr>
          <w:rFonts w:ascii="宋体" w:hAnsi="宋体" w:cs="宋体" w:eastAsia="宋体" w:hint="default"/>
        </w:rPr>
        <w:t>114</w:t>
      </w:r>
      <w:r>
        <w:rPr>
          <w:rFonts w:ascii="Times New Roman" w:hAnsi="Times New Roman" w:cs="Times New Roman" w:eastAsia="Times New Roman" w:hint="default"/>
        </w:rPr>
        <w:t>,</w:t>
      </w:r>
      <w:r>
        <w:rPr>
          <w:rFonts w:ascii="宋体" w:hAnsi="宋体" w:cs="宋体" w:eastAsia="宋体" w:hint="default"/>
        </w:rPr>
        <w:t>244</w:t>
      </w:r>
      <w:r>
        <w:rPr>
          <w:rFonts w:ascii="Times New Roman" w:hAnsi="Times New Roman" w:cs="Times New Roman" w:eastAsia="Times New Roman" w:hint="default"/>
        </w:rPr>
        <w:t>,</w:t>
      </w:r>
      <w:r>
        <w:rPr>
          <w:rFonts w:ascii="宋体" w:hAnsi="宋体" w:cs="宋体" w:eastAsia="宋体" w:hint="default"/>
        </w:rPr>
        <w:t>651.94</w:t>
      </w:r>
      <w:r>
        <w:rPr/>
        <w:t>元，减少比例为</w:t>
      </w:r>
      <w:r>
        <w:rPr>
          <w:rFonts w:ascii="宋体" w:hAnsi="宋体" w:cs="宋体" w:eastAsia="宋体" w:hint="default"/>
        </w:rPr>
        <w:t>97.94%</w:t>
      </w:r>
      <w:r>
        <w:rPr/>
        <w:t>，主要系本期减持北京朝歌数码科技股份有限 公司股权，期末剩余</w:t>
      </w:r>
      <w:r>
        <w:rPr>
          <w:rFonts w:ascii="宋体" w:hAnsi="宋体" w:cs="宋体" w:eastAsia="宋体" w:hint="default"/>
        </w:rPr>
        <w:t>4.6188%</w:t>
      </w:r>
      <w:r>
        <w:rPr/>
        <w:t>股权转为可供出售金融资产所致。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48"/>
        <w:ind w:right="0"/>
        <w:jc w:val="left"/>
        <w:rPr>
          <w:b w:val="0"/>
          <w:bCs w:val="0"/>
        </w:rPr>
      </w:pPr>
      <w:bookmarkStart w:name="15、投资性房地产" w:id="263"/>
      <w:bookmarkEnd w:id="263"/>
      <w:r>
        <w:rPr>
          <w:b w:val="0"/>
          <w:bCs w:val="0"/>
        </w:rPr>
      </w:r>
      <w:r>
        <w:rPr>
          <w:rFonts w:ascii="Times New Roman" w:hAnsi="Times New Roman" w:cs="Times New Roman" w:eastAsia="Times New Roman" w:hint="default"/>
        </w:rPr>
        <w:t>15</w:t>
      </w:r>
      <w:r>
        <w:rPr/>
        <w:t>、投资性房地产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采用成本计量模式的投资性房地产" w:id="264"/>
      <w:bookmarkEnd w:id="264"/>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2"/>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184,916,117.17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184,916,117.17</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01" w:firstLine="327"/>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）存货</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固定资</w:t>
            </w:r>
            <w:r>
              <w:rPr>
                <w:rFonts w:ascii="宋体" w:hAnsi="宋体" w:cs="宋体" w:eastAsia="宋体" w:hint="default"/>
                <w:sz w:val="18"/>
                <w:szCs w:val="18"/>
              </w:rPr>
              <w:t> 产</w:t>
            </w: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184,916,117.17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184,916,117.17</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加</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2"/>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184,916,117.17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184,916,117.17</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77"/>
              <w:jc w:val="left"/>
              <w:rPr>
                <w:rFonts w:ascii="宋体" w:hAnsi="宋体" w:cs="宋体" w:eastAsia="宋体" w:hint="default"/>
                <w:sz w:val="18"/>
                <w:szCs w:val="18"/>
              </w:rPr>
            </w:pPr>
            <w:r>
              <w:rPr>
                <w:rFonts w:ascii="宋体" w:hAnsi="宋体" w:cs="宋体" w:eastAsia="宋体" w:hint="default"/>
                <w:sz w:val="18"/>
                <w:szCs w:val="18"/>
              </w:rPr>
              <w:t>二、累计折旧和累计 摊销</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4,391,757.78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4,391,757.78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pacing w:val="-1"/>
                <w:w w:val="95"/>
                <w:sz w:val="18"/>
                <w:szCs w:val="18"/>
              </w:rPr>
              <w:t>（</w:t>
            </w:r>
            <w:r>
              <w:rPr>
                <w:rFonts w:ascii="Times New Roman" w:hAnsi="Times New Roman" w:cs="Times New Roman" w:eastAsia="Times New Roman" w:hint="default"/>
                <w:spacing w:val="-1"/>
                <w:w w:val="95"/>
                <w:sz w:val="18"/>
                <w:szCs w:val="18"/>
              </w:rPr>
              <w:t>1</w:t>
            </w:r>
            <w:r>
              <w:rPr>
                <w:rFonts w:ascii="宋体" w:hAnsi="宋体" w:cs="宋体" w:eastAsia="宋体" w:hint="default"/>
                <w:spacing w:val="-1"/>
                <w:w w:val="95"/>
                <w:sz w:val="18"/>
                <w:szCs w:val="18"/>
              </w:rPr>
              <w:t>）计提或摊销</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4,391,757.78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4,391,757.78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4,391,757.78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4,391,757.78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1"/>
              <w:jc w:val="righ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180,524,359.39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180,524,359.39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采用公允价值计量模式的投资性房地产" w:id="265"/>
      <w:bookmarkEnd w:id="265"/>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未办妥产权证书的投资性房地产情况" w:id="266"/>
      <w:bookmarkEnd w:id="266"/>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180,524,359.39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正在办理中</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180,524,359.39</w:t>
            </w:r>
          </w:p>
        </w:tc>
        <w:tc>
          <w:tcPr>
            <w:tcW w:w="3191"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其他说明</w:t>
      </w:r>
    </w:p>
    <w:p>
      <w:pPr>
        <w:pStyle w:val="BodyText"/>
        <w:spacing w:line="316" w:lineRule="auto" w:before="116"/>
        <w:ind w:right="0" w:firstLine="315"/>
        <w:jc w:val="left"/>
      </w:pPr>
      <w:r>
        <w:rPr>
          <w:spacing w:val="-1"/>
        </w:rPr>
        <w:t>投资性房地产期末余额较期初增加</w:t>
      </w:r>
      <w:r>
        <w:rPr>
          <w:rFonts w:ascii="宋体" w:hAnsi="宋体" w:cs="宋体" w:eastAsia="宋体" w:hint="default"/>
          <w:spacing w:val="-1"/>
        </w:rPr>
        <w:t>180,524,359.39</w:t>
      </w:r>
      <w:r>
        <w:rPr>
          <w:spacing w:val="-1"/>
        </w:rPr>
        <w:t>元，增加比例为</w:t>
      </w:r>
      <w:r>
        <w:rPr>
          <w:rFonts w:ascii="宋体" w:hAnsi="宋体" w:cs="宋体" w:eastAsia="宋体" w:hint="default"/>
          <w:spacing w:val="-1"/>
        </w:rPr>
        <w:t>100%</w:t>
      </w:r>
      <w:r>
        <w:rPr>
          <w:spacing w:val="-1"/>
        </w:rPr>
        <w:t>，主要系本期将厦门软件园三期办公楼转为投资</w:t>
      </w:r>
      <w:r>
        <w:rPr/>
        <w:t> 性房地产所致。</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16、固定资产" w:id="267"/>
      <w:bookmarkEnd w:id="267"/>
      <w:r>
        <w:rPr>
          <w:b w:val="0"/>
          <w:bCs w:val="0"/>
        </w:rPr>
      </w:r>
      <w:r>
        <w:rPr>
          <w:rFonts w:ascii="Times New Roman" w:hAnsi="Times New Roman" w:cs="Times New Roman" w:eastAsia="Times New Roman" w:hint="default"/>
        </w:rPr>
        <w:t>16</w:t>
      </w:r>
      <w:r>
        <w:rPr/>
        <w:t>、固定资产</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5"/>
        <w:gridCol w:w="3188"/>
        <w:gridCol w:w="3188"/>
      </w:tblGrid>
      <w:tr>
        <w:trPr>
          <w:trHeight w:val="401"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1,234,307,153.03</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1,033,044,877.92</w:t>
            </w:r>
          </w:p>
        </w:tc>
      </w:tr>
      <w:tr>
        <w:trPr>
          <w:trHeight w:val="403"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1,234,307,153.03</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1,033,044,877.92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固定资产情况" w:id="268"/>
      <w:bookmarkEnd w:id="268"/>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197"/>
        <w:gridCol w:w="1195"/>
        <w:gridCol w:w="1196"/>
        <w:gridCol w:w="1197"/>
        <w:gridCol w:w="1195"/>
        <w:gridCol w:w="1197"/>
        <w:gridCol w:w="1196"/>
        <w:gridCol w:w="1195"/>
      </w:tblGrid>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195"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9" w:lineRule="auto" w:before="51"/>
              <w:ind w:left="502" w:right="140" w:hanging="360"/>
              <w:jc w:val="left"/>
              <w:rPr>
                <w:rFonts w:ascii="宋体" w:hAnsi="宋体" w:cs="宋体" w:eastAsia="宋体" w:hint="default"/>
                <w:sz w:val="18"/>
                <w:szCs w:val="18"/>
              </w:rPr>
            </w:pPr>
            <w:r>
              <w:rPr>
                <w:rFonts w:ascii="宋体" w:hAnsi="宋体" w:cs="宋体" w:eastAsia="宋体" w:hint="default"/>
                <w:sz w:val="18"/>
                <w:szCs w:val="18"/>
              </w:rPr>
              <w:t>房屋及建筑 物</w:t>
            </w:r>
          </w:p>
        </w:tc>
        <w:tc>
          <w:tcPr>
            <w:tcW w:w="119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机器设备</w:t>
            </w:r>
          </w:p>
        </w:tc>
        <w:tc>
          <w:tcPr>
            <w:tcW w:w="119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仪器仪表</w:t>
            </w:r>
          </w:p>
        </w:tc>
        <w:tc>
          <w:tcPr>
            <w:tcW w:w="1195"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19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电子设备</w:t>
            </w:r>
          </w:p>
        </w:tc>
        <w:tc>
          <w:tcPr>
            <w:tcW w:w="119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办公设备</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83"/>
              <w:jc w:val="left"/>
              <w:rPr>
                <w:rFonts w:ascii="宋体" w:hAnsi="宋体" w:cs="宋体" w:eastAsia="宋体" w:hint="default"/>
                <w:sz w:val="18"/>
                <w:szCs w:val="18"/>
              </w:rPr>
            </w:pPr>
            <w:r>
              <w:rPr>
                <w:rFonts w:ascii="宋体" w:hAnsi="宋体" w:cs="宋体" w:eastAsia="宋体" w:hint="default"/>
                <w:sz w:val="18"/>
                <w:szCs w:val="18"/>
              </w:rPr>
              <w:t>一、账面原 值：</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 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442,939,860.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17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1,013,639,33</w:t>
            </w:r>
          </w:p>
          <w:p>
            <w:pPr>
              <w:pStyle w:val="TableParagraph"/>
              <w:spacing w:line="240" w:lineRule="auto" w:before="106"/>
              <w:ind w:left="769" w:right="0"/>
              <w:jc w:val="left"/>
              <w:rPr>
                <w:rFonts w:ascii="Times New Roman" w:hAnsi="Times New Roman" w:cs="Times New Roman" w:eastAsia="Times New Roman" w:hint="default"/>
                <w:sz w:val="18"/>
                <w:szCs w:val="18"/>
              </w:rPr>
            </w:pPr>
            <w:r>
              <w:rPr>
                <w:rFonts w:ascii="Times New Roman"/>
                <w:sz w:val="18"/>
              </w:rPr>
              <w:t>1.52</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75,473,219.4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3,941,678.55</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39,421,664.2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11,341,190.5</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7</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1,586,756,94</w:t>
            </w:r>
          </w:p>
          <w:p>
            <w:pPr>
              <w:pStyle w:val="TableParagraph"/>
              <w:spacing w:line="240" w:lineRule="auto" w:before="106"/>
              <w:ind w:left="769" w:right="0"/>
              <w:jc w:val="left"/>
              <w:rPr>
                <w:rFonts w:ascii="Times New Roman" w:hAnsi="Times New Roman" w:cs="Times New Roman" w:eastAsia="Times New Roman" w:hint="default"/>
                <w:sz w:val="18"/>
                <w:szCs w:val="18"/>
              </w:rPr>
            </w:pPr>
            <w:r>
              <w:rPr>
                <w:rFonts w:ascii="Times New Roman"/>
                <w:sz w:val="18"/>
              </w:rPr>
              <w:t>4.52</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 加金额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132,333,259.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49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154,017,451.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10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26,550,541.3</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1,776,222.34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19,797,927.7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2,711,717.25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337,187,119.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18</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8"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）购</w:t>
            </w:r>
            <w:r>
              <w:rPr>
                <w:rFonts w:ascii="宋体" w:hAnsi="宋体" w:cs="宋体" w:eastAsia="宋体" w:hint="default"/>
                <w:sz w:val="18"/>
                <w:szCs w:val="18"/>
              </w:rPr>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3" w:right="0"/>
              <w:jc w:val="left"/>
              <w:rPr>
                <w:rFonts w:ascii="Times New Roman" w:hAnsi="Times New Roman" w:cs="Times New Roman" w:eastAsia="Times New Roman" w:hint="default"/>
                <w:sz w:val="18"/>
                <w:szCs w:val="18"/>
              </w:rPr>
            </w:pPr>
            <w:r>
              <w:rPr>
                <w:rFonts w:ascii="Times New Roman"/>
                <w:sz w:val="18"/>
              </w:rPr>
              <w:t>694,230.49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147,922,122.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50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26,550,541.3</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1,776,222.34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19,797,927.7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2,711,717.25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199,452,761.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58</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07" w:firstLine="355"/>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）在</w:t>
            </w:r>
            <w:r>
              <w:rPr>
                <w:rFonts w:ascii="宋体" w:hAnsi="宋体" w:cs="宋体" w:eastAsia="宋体" w:hint="default"/>
                <w:spacing w:val="-5"/>
                <w:sz w:val="18"/>
                <w:szCs w:val="18"/>
              </w:rPr>
              <w:t> </w:t>
            </w:r>
            <w:r>
              <w:rPr>
                <w:rFonts w:ascii="宋体" w:hAnsi="宋体" w:cs="宋体" w:eastAsia="宋体" w:hint="default"/>
                <w:sz w:val="18"/>
                <w:szCs w:val="18"/>
              </w:rPr>
              <w:t>建工程转入</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131,639,029.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6,095,328.60</w:t>
            </w: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137,734,357.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60</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07" w:firstLine="355"/>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）企</w:t>
            </w:r>
            <w:r>
              <w:rPr>
                <w:rFonts w:ascii="宋体" w:hAnsi="宋体" w:cs="宋体" w:eastAsia="宋体" w:hint="default"/>
                <w:spacing w:val="-5"/>
                <w:sz w:val="18"/>
                <w:szCs w:val="18"/>
              </w:rPr>
              <w:t> </w:t>
            </w:r>
            <w:r>
              <w:rPr>
                <w:rFonts w:ascii="宋体" w:hAnsi="宋体" w:cs="宋体" w:eastAsia="宋体" w:hint="default"/>
                <w:sz w:val="18"/>
                <w:szCs w:val="18"/>
              </w:rPr>
              <w:t>业合并增加</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 少金额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15,940,018.5</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1,007,545.83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703,736.84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1,536,771.93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538,105.84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19,726,179.0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07" w:firstLine="355"/>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）处</w:t>
            </w:r>
            <w:r>
              <w:rPr>
                <w:rFonts w:ascii="宋体" w:hAnsi="宋体" w:cs="宋体" w:eastAsia="宋体" w:hint="default"/>
                <w:spacing w:val="-5"/>
                <w:sz w:val="18"/>
                <w:szCs w:val="18"/>
              </w:rPr>
              <w:t> </w:t>
            </w:r>
            <w:r>
              <w:rPr>
                <w:rFonts w:ascii="宋体" w:hAnsi="宋体" w:cs="宋体" w:eastAsia="宋体" w:hint="default"/>
                <w:sz w:val="18"/>
                <w:szCs w:val="18"/>
              </w:rPr>
              <w:t>置或报废</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15,940,018.5</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1,007,545.83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703,736.84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1,536,771.93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538,105.84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19,726,179.0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 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575,273,119.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1,151,716,76</w:t>
            </w:r>
          </w:p>
          <w:p>
            <w:pPr>
              <w:pStyle w:val="TableParagraph"/>
              <w:spacing w:line="240" w:lineRule="auto" w:before="106"/>
              <w:ind w:left="769" w:right="0"/>
              <w:jc w:val="left"/>
              <w:rPr>
                <w:rFonts w:ascii="Times New Roman" w:hAnsi="Times New Roman" w:cs="Times New Roman" w:eastAsia="Times New Roman" w:hint="default"/>
                <w:sz w:val="18"/>
                <w:szCs w:val="18"/>
              </w:rPr>
            </w:pPr>
            <w:r>
              <w:rPr>
                <w:rFonts w:ascii="Times New Roman"/>
                <w:sz w:val="18"/>
              </w:rPr>
              <w:t>4.06</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101,016,214.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93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5,014,164.05</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57,682,820.0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13,514,801.9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1,904,217,88</w:t>
            </w:r>
          </w:p>
          <w:p>
            <w:pPr>
              <w:pStyle w:val="TableParagraph"/>
              <w:spacing w:line="240" w:lineRule="auto" w:before="106"/>
              <w:ind w:left="769" w:right="0"/>
              <w:jc w:val="left"/>
              <w:rPr>
                <w:rFonts w:ascii="Times New Roman" w:hAnsi="Times New Roman" w:cs="Times New Roman" w:eastAsia="Times New Roman" w:hint="default"/>
                <w:sz w:val="18"/>
                <w:szCs w:val="18"/>
              </w:rPr>
            </w:pPr>
            <w:r>
              <w:rPr>
                <w:rFonts w:ascii="Times New Roman"/>
                <w:sz w:val="18"/>
              </w:rPr>
              <w:t>4.70</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83"/>
              <w:jc w:val="left"/>
              <w:rPr>
                <w:rFonts w:ascii="宋体" w:hAnsi="宋体" w:cs="宋体" w:eastAsia="宋体" w:hint="default"/>
                <w:sz w:val="18"/>
                <w:szCs w:val="18"/>
              </w:rPr>
            </w:pPr>
            <w:r>
              <w:rPr>
                <w:rFonts w:ascii="宋体" w:hAnsi="宋体" w:cs="宋体" w:eastAsia="宋体" w:hint="default"/>
                <w:sz w:val="18"/>
                <w:szCs w:val="18"/>
              </w:rPr>
              <w:t>二、累计折 旧</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197"/>
        <w:gridCol w:w="1195"/>
        <w:gridCol w:w="1196"/>
        <w:gridCol w:w="1197"/>
        <w:gridCol w:w="1195"/>
        <w:gridCol w:w="1197"/>
        <w:gridCol w:w="1196"/>
        <w:gridCol w:w="1195"/>
      </w:tblGrid>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 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43,279,953.9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413,147,145.</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51</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60,370,140.9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1,873,651.23</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29,332,058.2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5,709,116.76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553,712,066.</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60</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 加金额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3"/>
              <w:jc w:val="right"/>
              <w:rPr>
                <w:rFonts w:ascii="Times New Roman" w:hAnsi="Times New Roman" w:cs="Times New Roman" w:eastAsia="Times New Roman" w:hint="default"/>
                <w:sz w:val="18"/>
                <w:szCs w:val="18"/>
              </w:rPr>
            </w:pPr>
            <w:r>
              <w:rPr>
                <w:rFonts w:ascii="Times New Roman"/>
                <w:spacing w:val="-1"/>
                <w:sz w:val="18"/>
              </w:rPr>
              <w:t>14,199,901.1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103,874,911.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62</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5,960,434.21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585,153.24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4,270,700.60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1,980,408.31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130,871,509.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09</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8"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）计</w:t>
            </w:r>
            <w:r>
              <w:rPr>
                <w:rFonts w:ascii="宋体" w:hAnsi="宋体" w:cs="宋体" w:eastAsia="宋体" w:hint="default"/>
                <w:sz w:val="18"/>
                <w:szCs w:val="18"/>
              </w:rPr>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提</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3"/>
              <w:jc w:val="right"/>
              <w:rPr>
                <w:rFonts w:ascii="Times New Roman" w:hAnsi="Times New Roman" w:cs="Times New Roman" w:eastAsia="Times New Roman" w:hint="default"/>
                <w:sz w:val="18"/>
                <w:szCs w:val="18"/>
              </w:rPr>
            </w:pPr>
            <w:r>
              <w:rPr>
                <w:rFonts w:ascii="Times New Roman"/>
                <w:spacing w:val="-1"/>
                <w:sz w:val="18"/>
              </w:rPr>
              <w:t>14,199,901.1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103,874,911.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62</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5,960,434.21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585,153.24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4,270,700.60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1,980,408.31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130,871,509.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09</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 少金额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11,433,280.1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9</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912,317.03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674,857.82</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1,447,275.17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205,113.81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14,672,844.0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07" w:firstLine="355"/>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）处</w:t>
            </w:r>
            <w:r>
              <w:rPr>
                <w:rFonts w:ascii="宋体" w:hAnsi="宋体" w:cs="宋体" w:eastAsia="宋体" w:hint="default"/>
                <w:spacing w:val="-5"/>
                <w:sz w:val="18"/>
                <w:szCs w:val="18"/>
              </w:rPr>
              <w:t> </w:t>
            </w:r>
            <w:r>
              <w:rPr>
                <w:rFonts w:ascii="宋体" w:hAnsi="宋体" w:cs="宋体" w:eastAsia="宋体" w:hint="default"/>
                <w:sz w:val="18"/>
                <w:szCs w:val="18"/>
              </w:rPr>
              <w:t>置或报废</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 额</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57,479,855.0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505,588,776.</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94</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4"/>
              <w:jc w:val="right"/>
              <w:rPr>
                <w:rFonts w:ascii="Times New Roman" w:hAnsi="Times New Roman" w:cs="Times New Roman" w:eastAsia="Times New Roman" w:hint="default"/>
                <w:sz w:val="18"/>
                <w:szCs w:val="18"/>
              </w:rPr>
            </w:pPr>
            <w:r>
              <w:rPr>
                <w:rFonts w:ascii="Times New Roman"/>
                <w:spacing w:val="-1"/>
                <w:sz w:val="18"/>
              </w:rPr>
              <w:t>65,418,258.1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1,783,946.65</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32,155,483.6</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7,484,411.26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669,910,731.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67</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83"/>
              <w:jc w:val="left"/>
              <w:rPr>
                <w:rFonts w:ascii="宋体" w:hAnsi="宋体" w:cs="宋体" w:eastAsia="宋体" w:hint="default"/>
                <w:sz w:val="18"/>
                <w:szCs w:val="18"/>
              </w:rPr>
            </w:pPr>
            <w:r>
              <w:rPr>
                <w:rFonts w:ascii="宋体" w:hAnsi="宋体" w:cs="宋体" w:eastAsia="宋体" w:hint="default"/>
                <w:sz w:val="18"/>
                <w:szCs w:val="18"/>
              </w:rPr>
              <w:t>三、减值准 备</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 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 加金额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8"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）计</w:t>
            </w:r>
            <w:r>
              <w:rPr>
                <w:rFonts w:ascii="宋体" w:hAnsi="宋体" w:cs="宋体" w:eastAsia="宋体" w:hint="default"/>
                <w:sz w:val="18"/>
                <w:szCs w:val="18"/>
              </w:rPr>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提</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 少金额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07" w:firstLine="355"/>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）处</w:t>
            </w:r>
            <w:r>
              <w:rPr>
                <w:rFonts w:ascii="宋体" w:hAnsi="宋体" w:cs="宋体" w:eastAsia="宋体" w:hint="default"/>
                <w:spacing w:val="-5"/>
                <w:sz w:val="18"/>
                <w:szCs w:val="18"/>
              </w:rPr>
              <w:t> </w:t>
            </w:r>
            <w:r>
              <w:rPr>
                <w:rFonts w:ascii="宋体" w:hAnsi="宋体" w:cs="宋体" w:eastAsia="宋体" w:hint="default"/>
                <w:sz w:val="18"/>
                <w:szCs w:val="18"/>
              </w:rPr>
              <w:t>置或报废</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 额</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83"/>
              <w:jc w:val="left"/>
              <w:rPr>
                <w:rFonts w:ascii="宋体" w:hAnsi="宋体" w:cs="宋体" w:eastAsia="宋体" w:hint="default"/>
                <w:sz w:val="18"/>
                <w:szCs w:val="18"/>
              </w:rPr>
            </w:pPr>
            <w:r>
              <w:rPr>
                <w:rFonts w:ascii="宋体" w:hAnsi="宋体" w:cs="宋体" w:eastAsia="宋体" w:hint="default"/>
                <w:sz w:val="18"/>
                <w:szCs w:val="18"/>
              </w:rPr>
              <w:t>四、账面价 值</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 面价值</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517,793,264.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646,127,987.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12</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35,597,956.8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3,230,217.40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25,527,336.3</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6,030,390.72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1,234,307,15</w:t>
            </w:r>
          </w:p>
          <w:p>
            <w:pPr>
              <w:pStyle w:val="TableParagraph"/>
              <w:spacing w:line="240" w:lineRule="auto" w:before="106"/>
              <w:ind w:left="769" w:right="0"/>
              <w:jc w:val="left"/>
              <w:rPr>
                <w:rFonts w:ascii="Times New Roman" w:hAnsi="Times New Roman" w:cs="Times New Roman" w:eastAsia="Times New Roman" w:hint="default"/>
                <w:sz w:val="18"/>
                <w:szCs w:val="18"/>
              </w:rPr>
            </w:pPr>
            <w:r>
              <w:rPr>
                <w:rFonts w:ascii="Times New Roman"/>
                <w:sz w:val="18"/>
              </w:rPr>
              <w:t>3.03</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26"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 面价值</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399,659,906.</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600,492,186.</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01</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15,103,078.5</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2,068,027.32</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10,089,606.0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5,632,073.81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9" w:right="0"/>
              <w:jc w:val="left"/>
              <w:rPr>
                <w:rFonts w:ascii="Times New Roman" w:hAnsi="Times New Roman" w:cs="Times New Roman" w:eastAsia="Times New Roman" w:hint="default"/>
                <w:sz w:val="18"/>
                <w:szCs w:val="18"/>
              </w:rPr>
            </w:pPr>
            <w:r>
              <w:rPr>
                <w:rFonts w:ascii="Times New Roman"/>
                <w:sz w:val="18"/>
              </w:rPr>
              <w:t>1,033,044,87</w:t>
            </w:r>
          </w:p>
          <w:p>
            <w:pPr>
              <w:pStyle w:val="TableParagraph"/>
              <w:spacing w:line="240" w:lineRule="auto" w:before="106"/>
              <w:ind w:left="769" w:right="0"/>
              <w:jc w:val="left"/>
              <w:rPr>
                <w:rFonts w:ascii="Times New Roman" w:hAnsi="Times New Roman" w:cs="Times New Roman" w:eastAsia="Times New Roman" w:hint="default"/>
                <w:sz w:val="18"/>
                <w:szCs w:val="18"/>
              </w:rPr>
            </w:pPr>
            <w:r>
              <w:rPr>
                <w:rFonts w:ascii="Times New Roman"/>
                <w:sz w:val="18"/>
              </w:rPr>
              <w:t>7.92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暂时闲置的固定资产情况" w:id="269"/>
      <w:bookmarkEnd w:id="269"/>
      <w:r>
        <w:rPr>
          <w:b w:val="0"/>
          <w:bCs w:val="0"/>
        </w:rPr>
      </w: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after="0" w:line="240" w:lineRule="auto"/>
        <w:jc w:val="center"/>
        <w:rPr>
          <w:rFonts w:ascii="宋体" w:hAnsi="宋体" w:cs="宋体" w:eastAsia="宋体" w:hint="default"/>
          <w:sz w:val="18"/>
          <w:szCs w:val="18"/>
        </w:rPr>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3）通过融资租赁租入的固定资产情况" w:id="270"/>
      <w:bookmarkEnd w:id="270"/>
      <w:r>
        <w:rPr>
          <w:b w:val="0"/>
          <w:bCs w:val="0"/>
        </w:rPr>
      </w: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4）通过经营租赁租出的固定资产" w:id="271"/>
      <w:bookmarkEnd w:id="271"/>
      <w:r>
        <w:rPr>
          <w:b w:val="0"/>
          <w:bCs w:val="0"/>
        </w:rPr>
      </w: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未办妥产权证书的固定资产情况" w:id="272"/>
      <w:bookmarkEnd w:id="272"/>
      <w:r>
        <w:rPr>
          <w:b w:val="0"/>
          <w:bCs w:val="0"/>
        </w:rPr>
      </w: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131,984,348.25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正在办理中</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131,984,348.25</w:t>
            </w: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51"/>
        <w:ind w:right="7242"/>
        <w:jc w:val="left"/>
      </w:pPr>
      <w:r>
        <w:rPr/>
        <w:t>其他说明 </w:t>
      </w:r>
      <w:r>
        <w:rPr>
          <w:rFonts w:ascii="宋体" w:hAnsi="宋体" w:cs="宋体" w:eastAsia="宋体" w:hint="default"/>
        </w:rPr>
        <w:t>1</w:t>
      </w:r>
      <w:r>
        <w:rPr/>
        <w:t>、期末固定资产无用于抵押或担保的情况。</w:t>
      </w:r>
    </w:p>
    <w:p>
      <w:pPr>
        <w:pStyle w:val="BodyText"/>
        <w:spacing w:line="224" w:lineRule="exact"/>
        <w:ind w:right="0"/>
        <w:jc w:val="left"/>
      </w:pPr>
      <w:r>
        <w:rPr>
          <w:rFonts w:ascii="宋体" w:hAnsi="宋体" w:cs="宋体" w:eastAsia="宋体" w:hint="default"/>
        </w:rPr>
        <w:t>2</w:t>
      </w:r>
      <w:r>
        <w:rPr/>
        <w:t>、期末固定资产不存在可收回金额低于其账面价值的情况，未计提固定资产减值准备。</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6）固定资产清理" w:id="273"/>
      <w:bookmarkEnd w:id="273"/>
      <w:r>
        <w:rPr>
          <w:b w:val="0"/>
          <w:bCs w:val="0"/>
        </w:rPr>
      </w:r>
      <w:r>
        <w:rPr/>
        <w:t>（</w:t>
      </w:r>
      <w:r>
        <w:rPr>
          <w:rFonts w:ascii="Times New Roman" w:hAnsi="Times New Roman" w:cs="Times New Roman" w:eastAsia="Times New Roman" w:hint="default"/>
        </w:rPr>
        <w:t>6</w:t>
      </w:r>
      <w:r>
        <w:rPr/>
        <w:t>）固定资产清理</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2"/>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17、在建工程" w:id="274"/>
      <w:bookmarkEnd w:id="274"/>
      <w:r>
        <w:rPr>
          <w:b w:val="0"/>
          <w:bCs w:val="0"/>
        </w:rPr>
      </w:r>
      <w:r>
        <w:rPr>
          <w:rFonts w:ascii="Times New Roman" w:hAnsi="Times New Roman" w:cs="Times New Roman" w:eastAsia="Times New Roman" w:hint="default"/>
        </w:rPr>
        <w:t>17</w:t>
      </w:r>
      <w:r>
        <w:rPr/>
        <w:t>、在建工程</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895"/>
        <w:gridCol w:w="3815"/>
        <w:gridCol w:w="3858"/>
      </w:tblGrid>
      <w:tr>
        <w:trPr>
          <w:trHeight w:val="401" w:hRule="exact"/>
        </w:trPr>
        <w:tc>
          <w:tcPr>
            <w:tcW w:w="1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165,595,023.06</w:t>
            </w:r>
          </w:p>
        </w:tc>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378,545,016.60</w:t>
            </w:r>
          </w:p>
        </w:tc>
      </w:tr>
      <w:tr>
        <w:trPr>
          <w:trHeight w:val="403" w:hRule="exact"/>
        </w:trPr>
        <w:tc>
          <w:tcPr>
            <w:tcW w:w="1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165,595,023.06</w:t>
            </w:r>
          </w:p>
        </w:tc>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378,545,016.60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在建工程情况" w:id="275"/>
      <w:bookmarkEnd w:id="275"/>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center"/>
              <w:rPr>
                <w:rFonts w:ascii="Times New Roman" w:hAnsi="Times New Roman" w:cs="Times New Roman" w:eastAsia="Times New Roman" w:hint="default"/>
                <w:sz w:val="18"/>
                <w:szCs w:val="18"/>
              </w:rPr>
            </w:pPr>
            <w:r>
              <w:rPr>
                <w:rFonts w:ascii="Times New Roman"/>
                <w:sz w:val="18"/>
              </w:rPr>
              <w:t>165,595,023.06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165,595,023.06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378,545,016.60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378,545,016.60</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center"/>
              <w:rPr>
                <w:rFonts w:ascii="Times New Roman" w:hAnsi="Times New Roman" w:cs="Times New Roman" w:eastAsia="Times New Roman" w:hint="default"/>
                <w:sz w:val="18"/>
                <w:szCs w:val="18"/>
              </w:rPr>
            </w:pPr>
            <w:r>
              <w:rPr>
                <w:rFonts w:ascii="Times New Roman"/>
                <w:sz w:val="18"/>
              </w:rPr>
              <w:t>165,595,023.06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165,595,023.06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378,545,016.60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378,545,016.60</w:t>
            </w:r>
          </w:p>
        </w:tc>
      </w:tr>
    </w:tbl>
    <w:p>
      <w:pPr>
        <w:spacing w:after="0" w:line="240" w:lineRule="auto"/>
        <w:jc w:val="center"/>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2）重要在建工程项目本期变动情况" w:id="276"/>
      <w:bookmarkEnd w:id="276"/>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2"/>
        <w:gridCol w:w="736"/>
        <w:gridCol w:w="737"/>
        <w:gridCol w:w="736"/>
        <w:gridCol w:w="736"/>
        <w:gridCol w:w="737"/>
        <w:gridCol w:w="736"/>
        <w:gridCol w:w="736"/>
        <w:gridCol w:w="737"/>
        <w:gridCol w:w="736"/>
        <w:gridCol w:w="736"/>
        <w:gridCol w:w="737"/>
        <w:gridCol w:w="736"/>
      </w:tblGrid>
      <w:tr>
        <w:trPr>
          <w:trHeight w:val="1962"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1" w:right="179"/>
              <w:jc w:val="left"/>
              <w:rPr>
                <w:rFonts w:ascii="宋体" w:hAnsi="宋体" w:cs="宋体" w:eastAsia="宋体" w:hint="default"/>
                <w:sz w:val="18"/>
                <w:szCs w:val="18"/>
              </w:rPr>
            </w:pPr>
            <w:r>
              <w:rPr>
                <w:rFonts w:ascii="宋体" w:hAnsi="宋体" w:cs="宋体" w:eastAsia="宋体" w:hint="default"/>
                <w:sz w:val="18"/>
                <w:szCs w:val="18"/>
              </w:rPr>
              <w:t>项目 名称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72" w:right="181" w:hanging="90"/>
              <w:jc w:val="left"/>
              <w:rPr>
                <w:rFonts w:ascii="宋体" w:hAnsi="宋体" w:cs="宋体" w:eastAsia="宋体" w:hint="default"/>
                <w:sz w:val="18"/>
                <w:szCs w:val="18"/>
              </w:rPr>
            </w:pPr>
            <w:r>
              <w:rPr>
                <w:rFonts w:ascii="宋体" w:hAnsi="宋体" w:cs="宋体" w:eastAsia="宋体" w:hint="default"/>
                <w:sz w:val="18"/>
                <w:szCs w:val="18"/>
              </w:rPr>
              <w:t>预算 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2"/>
              <w:jc w:val="left"/>
              <w:rPr>
                <w:rFonts w:ascii="宋体" w:hAnsi="宋体" w:cs="宋体" w:eastAsia="宋体" w:hint="default"/>
                <w:sz w:val="18"/>
                <w:szCs w:val="18"/>
              </w:rPr>
            </w:pPr>
            <w:r>
              <w:rPr>
                <w:rFonts w:ascii="宋体" w:hAnsi="宋体" w:cs="宋体" w:eastAsia="宋体" w:hint="default"/>
                <w:sz w:val="18"/>
                <w:szCs w:val="18"/>
              </w:rPr>
              <w:t>期初 余额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82" w:right="181"/>
              <w:jc w:val="both"/>
              <w:rPr>
                <w:rFonts w:ascii="宋体" w:hAnsi="宋体" w:cs="宋体" w:eastAsia="宋体" w:hint="default"/>
                <w:sz w:val="18"/>
                <w:szCs w:val="18"/>
              </w:rPr>
            </w:pPr>
            <w:r>
              <w:rPr>
                <w:rFonts w:ascii="宋体" w:hAnsi="宋体" w:cs="宋体" w:eastAsia="宋体" w:hint="default"/>
                <w:sz w:val="18"/>
                <w:szCs w:val="18"/>
              </w:rPr>
              <w:t>本期 增加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82" w:right="181"/>
              <w:jc w:val="both"/>
              <w:rPr>
                <w:rFonts w:ascii="宋体" w:hAnsi="宋体" w:cs="宋体" w:eastAsia="宋体" w:hint="default"/>
                <w:sz w:val="18"/>
                <w:szCs w:val="18"/>
              </w:rPr>
            </w:pPr>
            <w:r>
              <w:rPr>
                <w:rFonts w:ascii="宋体" w:hAnsi="宋体" w:cs="宋体" w:eastAsia="宋体" w:hint="default"/>
                <w:sz w:val="18"/>
                <w:szCs w:val="18"/>
              </w:rPr>
              <w:t>本期 转入 固定 资产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82" w:right="182"/>
              <w:jc w:val="both"/>
              <w:rPr>
                <w:rFonts w:ascii="宋体" w:hAnsi="宋体" w:cs="宋体" w:eastAsia="宋体" w:hint="default"/>
                <w:sz w:val="18"/>
                <w:szCs w:val="18"/>
              </w:rPr>
            </w:pPr>
            <w:r>
              <w:rPr>
                <w:rFonts w:ascii="宋体" w:hAnsi="宋体" w:cs="宋体" w:eastAsia="宋体" w:hint="default"/>
                <w:sz w:val="18"/>
                <w:szCs w:val="18"/>
              </w:rPr>
              <w:t>本期 其他 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期末 余额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2" w:right="181"/>
              <w:jc w:val="both"/>
              <w:rPr>
                <w:rFonts w:ascii="宋体" w:hAnsi="宋体" w:cs="宋体" w:eastAsia="宋体" w:hint="default"/>
                <w:sz w:val="18"/>
                <w:szCs w:val="18"/>
              </w:rPr>
            </w:pPr>
            <w:r>
              <w:rPr>
                <w:rFonts w:ascii="宋体" w:hAnsi="宋体" w:cs="宋体" w:eastAsia="宋体" w:hint="default"/>
                <w:sz w:val="18"/>
                <w:szCs w:val="18"/>
              </w:rPr>
              <w:t>工程 累计 投入 占预 算比 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2"/>
              <w:jc w:val="left"/>
              <w:rPr>
                <w:rFonts w:ascii="宋体" w:hAnsi="宋体" w:cs="宋体" w:eastAsia="宋体" w:hint="default"/>
                <w:sz w:val="18"/>
                <w:szCs w:val="18"/>
              </w:rPr>
            </w:pPr>
            <w:r>
              <w:rPr>
                <w:rFonts w:ascii="宋体" w:hAnsi="宋体" w:cs="宋体" w:eastAsia="宋体" w:hint="default"/>
                <w:sz w:val="18"/>
                <w:szCs w:val="18"/>
              </w:rPr>
              <w:t>工程 进度</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82" w:right="183"/>
              <w:jc w:val="both"/>
              <w:rPr>
                <w:rFonts w:ascii="宋体" w:hAnsi="宋体" w:cs="宋体" w:eastAsia="宋体" w:hint="default"/>
                <w:sz w:val="18"/>
                <w:szCs w:val="18"/>
              </w:rPr>
            </w:pPr>
            <w:r>
              <w:rPr>
                <w:rFonts w:ascii="宋体" w:hAnsi="宋体" w:cs="宋体" w:eastAsia="宋体" w:hint="default"/>
                <w:sz w:val="18"/>
                <w:szCs w:val="18"/>
              </w:rPr>
              <w:t>利息 资本 化累 计金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2" w:right="80" w:hanging="80"/>
              <w:jc w:val="left"/>
              <w:rPr>
                <w:rFonts w:ascii="宋体" w:hAnsi="宋体" w:cs="宋体" w:eastAsia="宋体" w:hint="default"/>
                <w:sz w:val="18"/>
                <w:szCs w:val="18"/>
              </w:rPr>
            </w:pPr>
            <w:r>
              <w:rPr>
                <w:rFonts w:ascii="宋体" w:hAnsi="宋体" w:cs="宋体" w:eastAsia="宋体" w:hint="default"/>
                <w:sz w:val="18"/>
                <w:szCs w:val="18"/>
              </w:rPr>
              <w:t>其中： 本期 利息 资本 化金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82" w:right="182"/>
              <w:jc w:val="both"/>
              <w:rPr>
                <w:rFonts w:ascii="宋体" w:hAnsi="宋体" w:cs="宋体" w:eastAsia="宋体" w:hint="default"/>
                <w:sz w:val="18"/>
                <w:szCs w:val="18"/>
              </w:rPr>
            </w:pPr>
            <w:r>
              <w:rPr>
                <w:rFonts w:ascii="宋体" w:hAnsi="宋体" w:cs="宋体" w:eastAsia="宋体" w:hint="default"/>
                <w:sz w:val="18"/>
                <w:szCs w:val="18"/>
              </w:rPr>
              <w:t>本期 利息 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资金 来源</w:t>
            </w:r>
          </w:p>
        </w:tc>
      </w:tr>
      <w:tr>
        <w:trPr>
          <w:trHeight w:val="1026"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57"/>
              <w:jc w:val="both"/>
              <w:rPr>
                <w:rFonts w:ascii="宋体" w:hAnsi="宋体" w:cs="宋体" w:eastAsia="宋体" w:hint="default"/>
                <w:sz w:val="18"/>
                <w:szCs w:val="18"/>
              </w:rPr>
            </w:pPr>
            <w:r>
              <w:rPr>
                <w:rFonts w:ascii="宋体" w:hAnsi="宋体" w:cs="宋体" w:eastAsia="宋体" w:hint="default"/>
                <w:sz w:val="18"/>
                <w:szCs w:val="18"/>
              </w:rPr>
              <w:t>天津 基地 项目</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179,61</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7,335.</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32</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107,56</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7,818.</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45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121,60</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8,605.</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46</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165,57</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6,548.</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31</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60"/>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1026"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57"/>
              <w:jc w:val="both"/>
              <w:rPr>
                <w:rFonts w:ascii="宋体" w:hAnsi="宋体" w:cs="宋体" w:eastAsia="宋体" w:hint="default"/>
                <w:sz w:val="18"/>
                <w:szCs w:val="18"/>
              </w:rPr>
            </w:pPr>
            <w:r>
              <w:rPr>
                <w:rFonts w:ascii="宋体" w:hAnsi="宋体" w:cs="宋体" w:eastAsia="宋体" w:hint="default"/>
                <w:sz w:val="18"/>
                <w:szCs w:val="18"/>
              </w:rPr>
              <w:t>深圳 基地 项目</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08" w:right="0"/>
              <w:jc w:val="left"/>
              <w:rPr>
                <w:rFonts w:ascii="Times New Roman" w:hAnsi="Times New Roman" w:cs="Times New Roman" w:eastAsia="Times New Roman" w:hint="default"/>
                <w:sz w:val="18"/>
                <w:szCs w:val="18"/>
              </w:rPr>
            </w:pPr>
            <w:r>
              <w:rPr>
                <w:rFonts w:ascii="Times New Roman"/>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2,018,</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474.75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2,000,</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000.00</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18,474</w:t>
            </w:r>
          </w:p>
          <w:p>
            <w:pPr>
              <w:pStyle w:val="TableParagraph"/>
              <w:spacing w:line="240" w:lineRule="auto" w:before="105"/>
              <w:ind w:left="398" w:right="0"/>
              <w:jc w:val="left"/>
              <w:rPr>
                <w:rFonts w:ascii="Times New Roman" w:hAnsi="Times New Roman" w:cs="Times New Roman" w:eastAsia="Times New Roman" w:hint="default"/>
                <w:sz w:val="18"/>
                <w:szCs w:val="18"/>
              </w:rPr>
            </w:pPr>
            <w:r>
              <w:rPr>
                <w:rFonts w:ascii="Times New Roman"/>
                <w:sz w:val="18"/>
              </w:rPr>
              <w:t>.75</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60"/>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1026"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257"/>
              <w:jc w:val="left"/>
              <w:rPr>
                <w:rFonts w:ascii="宋体" w:hAnsi="宋体" w:cs="宋体" w:eastAsia="宋体" w:hint="default"/>
                <w:sz w:val="18"/>
                <w:szCs w:val="18"/>
              </w:rPr>
            </w:pPr>
            <w:r>
              <w:rPr>
                <w:rFonts w:ascii="宋体" w:hAnsi="宋体" w:cs="宋体" w:eastAsia="宋体" w:hint="default"/>
                <w:sz w:val="18"/>
                <w:szCs w:val="18"/>
              </w:rPr>
              <w:t>其他 工程</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198,92</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7,681.</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28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0" w:right="0"/>
              <w:jc w:val="center"/>
              <w:rPr>
                <w:rFonts w:ascii="Times New Roman" w:hAnsi="Times New Roman" w:cs="Times New Roman" w:eastAsia="Times New Roman" w:hint="default"/>
                <w:sz w:val="18"/>
                <w:szCs w:val="18"/>
              </w:rPr>
            </w:pPr>
            <w:r>
              <w:rPr>
                <w:rFonts w:ascii="Times New Roman"/>
                <w:sz w:val="18"/>
              </w:rPr>
              <w:t>114,18</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8.03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14,125</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,752.1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184,91</w:t>
            </w:r>
          </w:p>
          <w:p>
            <w:pPr>
              <w:pStyle w:val="TableParagraph"/>
              <w:spacing w:line="240" w:lineRule="auto" w:before="104"/>
              <w:ind w:left="180" w:right="0"/>
              <w:jc w:val="left"/>
              <w:rPr>
                <w:rFonts w:ascii="Times New Roman" w:hAnsi="Times New Roman" w:cs="Times New Roman" w:eastAsia="Times New Roman" w:hint="default"/>
                <w:sz w:val="18"/>
                <w:szCs w:val="18"/>
              </w:rPr>
            </w:pPr>
            <w:r>
              <w:rPr>
                <w:rFonts w:ascii="Times New Roman"/>
                <w:sz w:val="18"/>
              </w:rPr>
              <w:t>6,117.</w:t>
            </w:r>
          </w:p>
          <w:p>
            <w:pPr>
              <w:pStyle w:val="TableParagraph"/>
              <w:spacing w:line="240" w:lineRule="auto" w:before="106"/>
              <w:ind w:left="443" w:right="0"/>
              <w:jc w:val="left"/>
              <w:rPr>
                <w:rFonts w:ascii="Times New Roman" w:hAnsi="Times New Roman" w:cs="Times New Roman" w:eastAsia="Times New Roman" w:hint="default"/>
                <w:sz w:val="18"/>
                <w:szCs w:val="18"/>
              </w:rPr>
            </w:pPr>
            <w:r>
              <w:rPr>
                <w:rFonts w:ascii="Times New Roman"/>
                <w:sz w:val="18"/>
              </w:rPr>
              <w:t>17</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60"/>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1028"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378,54</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5,016.</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60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109,70</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0,481.</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23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137,73</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4,357.</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60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184,91</w:t>
            </w:r>
          </w:p>
          <w:p>
            <w:pPr>
              <w:pStyle w:val="TableParagraph"/>
              <w:spacing w:line="240" w:lineRule="auto" w:before="104"/>
              <w:ind w:left="180" w:right="0"/>
              <w:jc w:val="left"/>
              <w:rPr>
                <w:rFonts w:ascii="Times New Roman" w:hAnsi="Times New Roman" w:cs="Times New Roman" w:eastAsia="Times New Roman" w:hint="default"/>
                <w:sz w:val="18"/>
                <w:szCs w:val="18"/>
              </w:rPr>
            </w:pPr>
            <w:r>
              <w:rPr>
                <w:rFonts w:ascii="Times New Roman"/>
                <w:sz w:val="18"/>
              </w:rPr>
              <w:t>6,117.</w:t>
            </w:r>
          </w:p>
          <w:p>
            <w:pPr>
              <w:pStyle w:val="TableParagraph"/>
              <w:spacing w:line="240" w:lineRule="auto" w:before="106"/>
              <w:ind w:left="443" w:right="0"/>
              <w:jc w:val="left"/>
              <w:rPr>
                <w:rFonts w:ascii="Times New Roman" w:hAnsi="Times New Roman" w:cs="Times New Roman" w:eastAsia="Times New Roman" w:hint="default"/>
                <w:sz w:val="18"/>
                <w:szCs w:val="18"/>
              </w:rPr>
            </w:pPr>
            <w:r>
              <w:rPr>
                <w:rFonts w:ascii="Times New Roman"/>
                <w:sz w:val="18"/>
              </w:rPr>
              <w:t>17</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165,59</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5,023.</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06</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301"/>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本期计提在建工程减值准备情况" w:id="277"/>
      <w:bookmarkEnd w:id="277"/>
      <w:r>
        <w:rPr>
          <w:b w:val="0"/>
          <w:bCs w:val="0"/>
        </w:rPr>
      </w: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本期计提金额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计提原因</w:t>
            </w:r>
          </w:p>
        </w:tc>
      </w:tr>
    </w:tbl>
    <w:p>
      <w:pPr>
        <w:pStyle w:val="BodyText"/>
        <w:spacing w:line="240" w:lineRule="auto" w:before="51"/>
        <w:ind w:right="0"/>
        <w:jc w:val="left"/>
      </w:pPr>
      <w:r>
        <w:rPr/>
        <w:t>其他说明</w:t>
      </w:r>
    </w:p>
    <w:p>
      <w:pPr>
        <w:pStyle w:val="BodyText"/>
        <w:spacing w:line="316" w:lineRule="auto" w:before="116"/>
        <w:ind w:left="565" w:right="0"/>
        <w:jc w:val="left"/>
      </w:pPr>
      <w:r>
        <w:rPr/>
        <w:t>截止期末在建工程不存在减值情况，故未计提在建工程减值准备。 </w:t>
      </w:r>
      <w:r>
        <w:rPr>
          <w:spacing w:val="-1"/>
        </w:rPr>
        <w:t>在建工程期末余额较期初减少</w:t>
      </w:r>
      <w:r>
        <w:rPr>
          <w:rFonts w:ascii="宋体" w:hAnsi="宋体" w:cs="宋体" w:eastAsia="宋体" w:hint="default"/>
          <w:spacing w:val="-1"/>
        </w:rPr>
        <w:t>212</w:t>
      </w:r>
      <w:r>
        <w:rPr>
          <w:rFonts w:ascii="Times New Roman" w:hAnsi="Times New Roman" w:cs="Times New Roman" w:eastAsia="Times New Roman" w:hint="default"/>
          <w:spacing w:val="-1"/>
        </w:rPr>
        <w:t>,</w:t>
      </w:r>
      <w:r>
        <w:rPr>
          <w:rFonts w:ascii="宋体" w:hAnsi="宋体" w:cs="宋体" w:eastAsia="宋体" w:hint="default"/>
          <w:spacing w:val="-1"/>
        </w:rPr>
        <w:t>949</w:t>
      </w:r>
      <w:r>
        <w:rPr>
          <w:rFonts w:ascii="Times New Roman" w:hAnsi="Times New Roman" w:cs="Times New Roman" w:eastAsia="Times New Roman" w:hint="default"/>
          <w:spacing w:val="-1"/>
        </w:rPr>
        <w:t>,</w:t>
      </w:r>
      <w:r>
        <w:rPr>
          <w:rFonts w:ascii="宋体" w:hAnsi="宋体" w:cs="宋体" w:eastAsia="宋体" w:hint="default"/>
          <w:spacing w:val="-1"/>
        </w:rPr>
        <w:t>993.54</w:t>
      </w:r>
      <w:r>
        <w:rPr>
          <w:spacing w:val="-1"/>
        </w:rPr>
        <w:t>元，减少比例为</w:t>
      </w:r>
      <w:r>
        <w:rPr>
          <w:rFonts w:ascii="宋体" w:hAnsi="宋体" w:cs="宋体" w:eastAsia="宋体" w:hint="default"/>
          <w:spacing w:val="-1"/>
        </w:rPr>
        <w:t>56.25%</w:t>
      </w:r>
      <w:r>
        <w:rPr>
          <w:spacing w:val="-1"/>
        </w:rPr>
        <w:t>，主要系本期天津基地房屋及建筑物达到可使用状</w:t>
      </w:r>
    </w:p>
    <w:p>
      <w:pPr>
        <w:pStyle w:val="BodyText"/>
        <w:spacing w:line="235" w:lineRule="exact"/>
        <w:ind w:right="0"/>
        <w:jc w:val="left"/>
      </w:pPr>
      <w:r>
        <w:rPr/>
        <w:t>态转为固定资产与厦门软件园三期办公楼转为投资性房地产所致。</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工程物资" w:id="278"/>
      <w:bookmarkEnd w:id="278"/>
      <w:r>
        <w:rPr>
          <w:b w:val="0"/>
          <w:bCs w:val="0"/>
        </w:rPr>
      </w:r>
      <w:r>
        <w:rPr/>
        <w:t>（</w:t>
      </w:r>
      <w:r>
        <w:rPr>
          <w:rFonts w:ascii="Times New Roman" w:hAnsi="Times New Roman" w:cs="Times New Roman" w:eastAsia="Times New Roman" w:hint="default"/>
        </w:rPr>
        <w:t>4</w:t>
      </w:r>
      <w:r>
        <w:rPr/>
        <w:t>）工程物资</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133"/>
        <w:gridCol w:w="1328"/>
        <w:gridCol w:w="1329"/>
        <w:gridCol w:w="1196"/>
        <w:gridCol w:w="1196"/>
        <w:gridCol w:w="1196"/>
        <w:gridCol w:w="1193"/>
      </w:tblGrid>
      <w:tr>
        <w:trPr>
          <w:trHeight w:val="402" w:hRule="exact"/>
        </w:trPr>
        <w:tc>
          <w:tcPr>
            <w:tcW w:w="2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5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8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133" w:type="dxa"/>
            <w:vMerge/>
            <w:tcBorders>
              <w:left w:val="single" w:sz="4" w:space="0" w:color="000000"/>
              <w:bottom w:val="single" w:sz="4" w:space="0" w:color="000000"/>
              <w:right w:val="single" w:sz="4" w:space="0" w:color="000000"/>
            </w:tcBorders>
            <w:shd w:val="clear" w:color="auto" w:fill="D2D2D2"/>
          </w:tcPr>
          <w:p>
            <w:pPr/>
          </w:p>
        </w:tc>
        <w:tc>
          <w:tcPr>
            <w:tcW w:w="1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240" w:lineRule="auto" w:before="51"/>
        <w:ind w:right="0"/>
        <w:jc w:val="left"/>
      </w:pPr>
      <w:r>
        <w:rPr/>
        <w:t>其他说明：</w:t>
      </w:r>
    </w:p>
    <w:p>
      <w:pPr>
        <w:spacing w:after="0" w:line="240" w:lineRule="auto"/>
        <w:jc w:val="left"/>
        <w:sectPr>
          <w:pgSz w:w="11910" w:h="16840"/>
          <w:pgMar w:header="917" w:footer="1019" w:top="112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18、生产性生物资产" w:id="279"/>
      <w:bookmarkEnd w:id="279"/>
      <w:r>
        <w:rPr>
          <w:b w:val="0"/>
          <w:bCs w:val="0"/>
        </w:rPr>
      </w:r>
      <w:r>
        <w:rPr>
          <w:rFonts w:ascii="Times New Roman" w:hAnsi="Times New Roman" w:cs="Times New Roman" w:eastAsia="Times New Roman" w:hint="default"/>
        </w:rPr>
        <w:t>18</w:t>
      </w:r>
      <w:r>
        <w:rPr/>
        <w:t>、生产性生物资产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采用成本计量模式的生产性生物资产" w:id="280"/>
      <w:bookmarkEnd w:id="280"/>
      <w:r>
        <w:rPr>
          <w:b w:val="0"/>
          <w:bCs w:val="0"/>
        </w:rPr>
      </w:r>
      <w:r>
        <w:rPr/>
        <w:t>（</w:t>
      </w:r>
      <w:r>
        <w:rPr>
          <w:rFonts w:ascii="Times New Roman" w:hAnsi="Times New Roman" w:cs="Times New Roman" w:eastAsia="Times New Roman" w:hint="default"/>
        </w:rPr>
        <w:t>1</w:t>
      </w:r>
      <w:r>
        <w:rPr/>
        <w:t>）采用成本计量模式的生产性生物资产</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采用公允价值计量模式的生产性生物资产" w:id="281"/>
      <w:bookmarkEnd w:id="281"/>
      <w:r>
        <w:rPr>
          <w:b w:val="0"/>
          <w:bCs w:val="0"/>
        </w:rPr>
      </w:r>
      <w:r>
        <w:rPr/>
        <w:t>（</w:t>
      </w:r>
      <w:r>
        <w:rPr>
          <w:rFonts w:ascii="Times New Roman" w:hAnsi="Times New Roman" w:cs="Times New Roman" w:eastAsia="Times New Roman" w:hint="default"/>
        </w:rPr>
        <w:t>2</w:t>
      </w:r>
      <w:r>
        <w:rPr/>
        <w:t>）采用公允价值计量模式的生产性生物资产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19、油气资产" w:id="282"/>
      <w:bookmarkEnd w:id="282"/>
      <w:r>
        <w:rPr>
          <w:b w:val="0"/>
          <w:bCs w:val="0"/>
        </w:rPr>
      </w:r>
      <w:r>
        <w:rPr>
          <w:rFonts w:ascii="Times New Roman" w:hAnsi="Times New Roman" w:cs="Times New Roman" w:eastAsia="Times New Roman" w:hint="default"/>
        </w:rPr>
        <w:t>19</w:t>
      </w:r>
      <w:r>
        <w:rPr/>
        <w:t>、油气资产</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0、无形资产" w:id="283"/>
      <w:bookmarkEnd w:id="283"/>
      <w:r>
        <w:rPr>
          <w:b w:val="0"/>
          <w:bCs w:val="0"/>
        </w:rPr>
      </w:r>
      <w:r>
        <w:rPr>
          <w:rFonts w:ascii="Times New Roman" w:hAnsi="Times New Roman" w:cs="Times New Roman" w:eastAsia="Times New Roman" w:hint="default"/>
        </w:rPr>
        <w:t>20</w:t>
      </w:r>
      <w:r>
        <w:rPr/>
        <w:t>、无形资产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无形资产情况" w:id="284"/>
      <w:bookmarkEnd w:id="284"/>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5"/>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1"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2"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595"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right="161"/>
              <w:jc w:val="right"/>
              <w:rPr>
                <w:rFonts w:ascii="宋体" w:hAnsi="宋体" w:cs="宋体" w:eastAsia="宋体" w:hint="default"/>
                <w:sz w:val="18"/>
                <w:szCs w:val="18"/>
              </w:rPr>
            </w:pPr>
            <w:r>
              <w:rPr>
                <w:rFonts w:ascii="宋体" w:hAnsi="宋体" w:cs="宋体" w:eastAsia="宋体" w:hint="default"/>
                <w:sz w:val="18"/>
                <w:szCs w:val="18"/>
              </w:rPr>
              <w:t>生产经营用软件</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26,594,890.82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6,493,702.94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13,298,600.00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35,401,385.35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81,788,579.11</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4,201,095.93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5,944,083.65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10,145,179.58</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5,944,083.65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5,944,083.65</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4,201,095.93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4,201,095.93</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28" w:firstLine="54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 合并增加</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26,594,890.82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10,694,798.87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13,298,600.00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41,345,469.00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91,933,758.69</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4,934,426.66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1,320,904.23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664,929.99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19,432,724.93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26,352,985.81</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531,897.84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1,483,875.81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2,659,719.96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4,448,189.67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9,123,683.28</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531,897.84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1,483,875.81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2,659,719.96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4,448,189.67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9,123,683.28</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5"/>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5,466,324.50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2,804,780.04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3,324,649.95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23,880,914.60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35,476,669.09</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 价值</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21,128,566.32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7,890,018.83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9,973,950.05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17,464,554.40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56,457,089.60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 价值</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21,660,464.16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5,172,798.71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12,633,670.01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15,968,660.42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55,435,593.30</w:t>
            </w:r>
          </w:p>
        </w:tc>
      </w:tr>
    </w:tbl>
    <w:p>
      <w:pPr>
        <w:pStyle w:val="BodyText"/>
        <w:spacing w:line="240" w:lineRule="auto" w:before="51"/>
        <w:ind w:right="0"/>
        <w:jc w:val="left"/>
      </w:pPr>
      <w:r>
        <w:rPr/>
        <w:t>本期末通过公司内部研发形成的无形资产占无形资产余额的比例</w:t>
      </w:r>
      <w:r>
        <w:rPr>
          <w:spacing w:val="-45"/>
        </w:rPr>
        <w:t> </w:t>
      </w:r>
      <w:r>
        <w:rPr>
          <w:rFonts w:ascii="Times New Roman" w:hAnsi="Times New Roman" w:cs="Times New Roman" w:eastAsia="Times New Roman" w:hint="default"/>
        </w:rPr>
        <w:t>8.98%</w:t>
      </w:r>
      <w:r>
        <w:rPr/>
        <w:t>。</w:t>
      </w:r>
    </w:p>
    <w:p>
      <w:pPr>
        <w:spacing w:line="240" w:lineRule="auto" w:before="10"/>
        <w:rPr>
          <w:rFonts w:ascii="宋体" w:hAnsi="宋体" w:cs="宋体" w:eastAsia="宋体" w:hint="default"/>
          <w:sz w:val="25"/>
          <w:szCs w:val="25"/>
        </w:rPr>
      </w:pPr>
    </w:p>
    <w:p>
      <w:pPr>
        <w:pStyle w:val="Heading3"/>
        <w:spacing w:line="240" w:lineRule="auto"/>
        <w:ind w:right="0"/>
        <w:jc w:val="left"/>
        <w:rPr>
          <w:b w:val="0"/>
          <w:bCs w:val="0"/>
        </w:rPr>
      </w:pPr>
      <w:bookmarkStart w:name="（2）未办妥产权证书的土地使用权情况" w:id="285"/>
      <w:bookmarkEnd w:id="285"/>
      <w:r>
        <w:rPr>
          <w:b w:val="0"/>
          <w:bCs w:val="0"/>
        </w:rPr>
      </w: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1、开发支出" w:id="286"/>
      <w:bookmarkEnd w:id="286"/>
      <w:r>
        <w:rPr>
          <w:b w:val="0"/>
          <w:bCs w:val="0"/>
        </w:rPr>
      </w:r>
      <w:r>
        <w:rPr>
          <w:rFonts w:ascii="Times New Roman" w:hAnsi="Times New Roman" w:cs="Times New Roman" w:eastAsia="Times New Roman" w:hint="default"/>
        </w:rPr>
        <w:t>21</w:t>
      </w:r>
      <w:r>
        <w:rPr/>
        <w:t>、开发支出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64"/>
        <w:gridCol w:w="1063"/>
        <w:gridCol w:w="3189"/>
        <w:gridCol w:w="3190"/>
        <w:gridCol w:w="1063"/>
      </w:tblGrid>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48"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6"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2、商誉" w:id="287"/>
      <w:bookmarkEnd w:id="287"/>
      <w:r>
        <w:rPr>
          <w:b w:val="0"/>
          <w:bCs w:val="0"/>
        </w:rPr>
      </w:r>
      <w:r>
        <w:rPr>
          <w:rFonts w:ascii="Times New Roman" w:hAnsi="Times New Roman" w:cs="Times New Roman" w:eastAsia="Times New Roman" w:hint="default"/>
        </w:rPr>
        <w:t>22</w:t>
      </w:r>
      <w:r>
        <w:rPr/>
        <w:t>、商誉</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商誉账面原值" w:id="288"/>
      <w:bookmarkEnd w:id="288"/>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2735"/>
        <w:gridCol w:w="2734"/>
        <w:gridCol w:w="1367"/>
      </w:tblGrid>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37" w:right="137"/>
              <w:jc w:val="center"/>
              <w:rPr>
                <w:rFonts w:ascii="宋体" w:hAnsi="宋体" w:cs="宋体" w:eastAsia="宋体" w:hint="default"/>
                <w:sz w:val="18"/>
                <w:szCs w:val="18"/>
              </w:rPr>
            </w:pPr>
            <w:r>
              <w:rPr>
                <w:rFonts w:ascii="宋体" w:hAnsi="宋体" w:cs="宋体" w:eastAsia="宋体" w:hint="default"/>
                <w:sz w:val="18"/>
                <w:szCs w:val="18"/>
              </w:rPr>
              <w:t>被投资单位名 称或形成商誉 的事项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2）商誉减值准备" w:id="289"/>
      <w:bookmarkEnd w:id="289"/>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2735"/>
        <w:gridCol w:w="2734"/>
        <w:gridCol w:w="1367"/>
      </w:tblGrid>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38" w:right="137"/>
              <w:jc w:val="center"/>
              <w:rPr>
                <w:rFonts w:ascii="宋体" w:hAnsi="宋体" w:cs="宋体" w:eastAsia="宋体" w:hint="default"/>
                <w:sz w:val="18"/>
                <w:szCs w:val="18"/>
              </w:rPr>
            </w:pPr>
            <w:r>
              <w:rPr>
                <w:rFonts w:ascii="宋体" w:hAnsi="宋体" w:cs="宋体" w:eastAsia="宋体" w:hint="default"/>
                <w:sz w:val="18"/>
                <w:szCs w:val="18"/>
              </w:rPr>
              <w:t>被投资单位名 称或形成商誉 的事项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338" w:lineRule="auto" w:before="52"/>
        <w:ind w:right="0"/>
        <w:jc w:val="left"/>
      </w:pPr>
      <w:r>
        <w:rPr/>
        <w:t>商誉所在资产组或资产组组合的相关信息 </w:t>
      </w:r>
      <w:r>
        <w:rPr>
          <w:spacing w:val="-2"/>
        </w:rPr>
        <w:t>说明商誉减值测试过程、关键参数（如预计未来现金流量现值时的预测期增长率、稳定期增长率、利润率、折现率、预测期</w:t>
      </w:r>
      <w:r>
        <w:rPr>
          <w:spacing w:val="-68"/>
        </w:rPr>
        <w:t> </w:t>
      </w:r>
      <w:r>
        <w:rPr>
          <w:spacing w:val="-68"/>
        </w:rPr>
      </w:r>
      <w:r>
        <w:rPr/>
        <w:t>等）及商誉减值损失的确认方法：</w:t>
      </w:r>
    </w:p>
    <w:p>
      <w:pPr>
        <w:pStyle w:val="BodyText"/>
        <w:spacing w:line="357" w:lineRule="auto" w:before="43"/>
        <w:ind w:right="8463"/>
        <w:jc w:val="left"/>
      </w:pPr>
      <w:r>
        <w:rPr/>
        <w:t>商誉减值测试的影响 其他说明</w:t>
      </w:r>
    </w:p>
    <w:p>
      <w:pPr>
        <w:spacing w:line="240" w:lineRule="auto" w:before="13"/>
        <w:rPr>
          <w:rFonts w:ascii="宋体" w:hAnsi="宋体" w:cs="宋体" w:eastAsia="宋体" w:hint="default"/>
          <w:sz w:val="19"/>
          <w:szCs w:val="19"/>
        </w:rPr>
      </w:pPr>
    </w:p>
    <w:p>
      <w:pPr>
        <w:pStyle w:val="Heading3"/>
        <w:spacing w:line="240" w:lineRule="auto"/>
        <w:ind w:right="0"/>
        <w:jc w:val="left"/>
        <w:rPr>
          <w:b w:val="0"/>
          <w:bCs w:val="0"/>
        </w:rPr>
      </w:pPr>
      <w:bookmarkStart w:name="23、长期待摊费用" w:id="290"/>
      <w:bookmarkEnd w:id="290"/>
      <w:r>
        <w:rPr>
          <w:b w:val="0"/>
          <w:bCs w:val="0"/>
        </w:rPr>
      </w:r>
      <w:r>
        <w:rPr>
          <w:rFonts w:ascii="Times New Roman" w:hAnsi="Times New Roman" w:cs="Times New Roman" w:eastAsia="Times New Roman" w:hint="default"/>
        </w:rPr>
        <w:t>23</w:t>
      </w:r>
      <w:r>
        <w:rPr/>
        <w:t>、长期待摊费用</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2"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19"/>
              <w:jc w:val="left"/>
              <w:rPr>
                <w:rFonts w:ascii="宋体" w:hAnsi="宋体" w:cs="宋体" w:eastAsia="宋体" w:hint="default"/>
                <w:sz w:val="18"/>
                <w:szCs w:val="18"/>
              </w:rPr>
            </w:pPr>
            <w:r>
              <w:rPr>
                <w:rFonts w:ascii="宋体" w:hAnsi="宋体" w:cs="宋体" w:eastAsia="宋体" w:hint="default"/>
                <w:sz w:val="18"/>
                <w:szCs w:val="18"/>
              </w:rPr>
              <w:t>租入固定资产改 良</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29,640,218.87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13,398,501.37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9,811,933.05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33,226,787.19</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生产用模具</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4,995,592.14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18,705,237.09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8,315,661.04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172,425.37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15,212,742.82</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生产用工、夹具</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4,633,539.35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23,949,494.32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2,063,433.93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26,519,599.74</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3,827,754.76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4,968,840.45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4,524,452.61</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4,272,142.60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43,097,105.12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61,022,073.23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24,715,480.63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172,425.37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79,231,272.35</w:t>
            </w:r>
          </w:p>
        </w:tc>
      </w:tr>
    </w:tbl>
    <w:p>
      <w:pPr>
        <w:pStyle w:val="BodyText"/>
        <w:spacing w:line="240" w:lineRule="auto" w:before="51"/>
        <w:ind w:right="0"/>
        <w:jc w:val="left"/>
      </w:pPr>
      <w:r>
        <w:rPr/>
        <w:t>其他说明</w:t>
      </w:r>
    </w:p>
    <w:p>
      <w:pPr>
        <w:pStyle w:val="BodyText"/>
        <w:spacing w:line="300" w:lineRule="auto" w:before="115"/>
        <w:ind w:right="1161" w:firstLine="411"/>
        <w:jc w:val="left"/>
      </w:pPr>
      <w:r>
        <w:rPr/>
        <w:t>长期待摊费用期末余额较期初增加</w:t>
      </w:r>
      <w:r>
        <w:rPr>
          <w:rFonts w:ascii="宋体" w:hAnsi="宋体" w:cs="宋体" w:eastAsia="宋体" w:hint="default"/>
        </w:rPr>
        <w:t>36</w:t>
      </w:r>
      <w:r>
        <w:rPr>
          <w:rFonts w:ascii="Times New Roman" w:hAnsi="Times New Roman" w:cs="Times New Roman" w:eastAsia="Times New Roman" w:hint="default"/>
        </w:rPr>
        <w:t>,</w:t>
      </w:r>
      <w:r>
        <w:rPr>
          <w:rFonts w:ascii="宋体" w:hAnsi="宋体" w:cs="宋体" w:eastAsia="宋体" w:hint="default"/>
        </w:rPr>
        <w:t>134</w:t>
      </w:r>
      <w:r>
        <w:rPr>
          <w:rFonts w:ascii="Times New Roman" w:hAnsi="Times New Roman" w:cs="Times New Roman" w:eastAsia="Times New Roman" w:hint="default"/>
        </w:rPr>
        <w:t>,</w:t>
      </w:r>
      <w:r>
        <w:rPr>
          <w:rFonts w:ascii="宋体" w:hAnsi="宋体" w:cs="宋体" w:eastAsia="宋体" w:hint="default"/>
        </w:rPr>
        <w:t>167.23</w:t>
      </w:r>
      <w:r>
        <w:rPr/>
        <w:t>元，增加比例为</w:t>
      </w:r>
      <w:r>
        <w:rPr>
          <w:rFonts w:ascii="宋体" w:hAnsi="宋体" w:cs="宋体" w:eastAsia="宋体" w:hint="default"/>
        </w:rPr>
        <w:t>83.84%</w:t>
      </w:r>
      <w:r>
        <w:rPr/>
        <w:t>，主要系本期扩大生产，加大生产用工、治具 投入所致。</w:t>
      </w:r>
    </w:p>
    <w:p>
      <w:pPr>
        <w:spacing w:line="240" w:lineRule="auto" w:before="6"/>
        <w:rPr>
          <w:rFonts w:ascii="宋体" w:hAnsi="宋体" w:cs="宋体" w:eastAsia="宋体" w:hint="default"/>
          <w:sz w:val="23"/>
          <w:szCs w:val="23"/>
        </w:rPr>
      </w:pPr>
    </w:p>
    <w:p>
      <w:pPr>
        <w:pStyle w:val="Heading3"/>
        <w:spacing w:line="240" w:lineRule="auto"/>
        <w:ind w:right="0"/>
        <w:jc w:val="left"/>
        <w:rPr>
          <w:b w:val="0"/>
          <w:bCs w:val="0"/>
        </w:rPr>
      </w:pPr>
      <w:bookmarkStart w:name="24、递延所得税资产/递延所得税负债" w:id="291"/>
      <w:bookmarkEnd w:id="291"/>
      <w:r>
        <w:rPr>
          <w:b w:val="0"/>
          <w:bCs w:val="0"/>
        </w:rPr>
      </w:r>
      <w:r>
        <w:rPr>
          <w:rFonts w:ascii="Times New Roman" w:hAnsi="Times New Roman" w:cs="Times New Roman" w:eastAsia="Times New Roman" w:hint="default"/>
        </w:rPr>
        <w:t>24</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未经抵销的递延所得税资产" w:id="292"/>
      <w:bookmarkEnd w:id="292"/>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78,925,397.92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15,867,063.41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27,053,889.99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5,546,580.16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1,782,886.78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267,433.01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1,329,860.00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199,479.00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129,057,137.87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29,226,033.77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29,128,680.21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4,369,302.03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5,180,797.63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914,887.81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4,067,843.53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705,729.72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214,946,220.20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46,275,418.00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61,580,273.73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10,821,090.91</w:t>
            </w:r>
          </w:p>
        </w:tc>
      </w:tr>
    </w:tbl>
    <w:p>
      <w:pPr>
        <w:spacing w:after="0" w:line="240" w:lineRule="auto"/>
        <w:jc w:val="righ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2）未经抵销的递延所得税负债" w:id="293"/>
      <w:bookmarkEnd w:id="293"/>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3）以抵销后净额列示的递延所得税资产或负债" w:id="294"/>
      <w:bookmarkEnd w:id="294"/>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22" w:right="142"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债期末互抵金额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31" w:right="140" w:hanging="90"/>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21" w:right="141"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债期初互抵金额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31" w:right="140" w:hanging="90"/>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产或负债期初余额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6" w:right="0"/>
              <w:jc w:val="left"/>
              <w:rPr>
                <w:rFonts w:ascii="Times New Roman" w:hAnsi="Times New Roman" w:cs="Times New Roman" w:eastAsia="Times New Roman" w:hint="default"/>
                <w:sz w:val="18"/>
                <w:szCs w:val="18"/>
              </w:rPr>
            </w:pPr>
            <w:r>
              <w:rPr>
                <w:rFonts w:ascii="Times New Roman"/>
                <w:sz w:val="18"/>
              </w:rPr>
              <w:t>46,275,418.00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6" w:right="0"/>
              <w:jc w:val="left"/>
              <w:rPr>
                <w:rFonts w:ascii="Times New Roman" w:hAnsi="Times New Roman" w:cs="Times New Roman" w:eastAsia="Times New Roman" w:hint="default"/>
                <w:sz w:val="18"/>
                <w:szCs w:val="18"/>
              </w:rPr>
            </w:pPr>
            <w:r>
              <w:rPr>
                <w:rFonts w:ascii="Times New Roman"/>
                <w:sz w:val="18"/>
              </w:rPr>
              <w:t>10,821,090.91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未确认递延所得税资产明细" w:id="295"/>
      <w:bookmarkEnd w:id="295"/>
      <w:r>
        <w:rPr>
          <w:b w:val="0"/>
          <w:bCs w:val="0"/>
        </w:rPr>
      </w: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6,165,359.76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1,593,741.31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212,535,842.13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203,228,912.09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49,367.51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38,727.25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218,750,569.40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204,861,380.65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未确认递延所得税资产的可抵扣亏损将于以下年度到期" w:id="296"/>
      <w:bookmarkEnd w:id="296"/>
      <w:r>
        <w:rPr>
          <w:b w:val="0"/>
          <w:bCs w:val="0"/>
        </w:rPr>
      </w: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17,466,057.03</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16,431,523.22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16,431,523.22</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30,119,832.80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30,119,832.80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28,245,037.16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28,245,037.16</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22,415,715.21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22,415,715.21</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23,953,285.56</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121,165,393.95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114,678,165.42</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t>其他说明：</w:t>
      </w:r>
    </w:p>
    <w:p>
      <w:pPr>
        <w:spacing w:line="240" w:lineRule="auto" w:before="1"/>
        <w:rPr>
          <w:rFonts w:ascii="宋体" w:hAnsi="宋体" w:cs="宋体" w:eastAsia="宋体" w:hint="default"/>
          <w:sz w:val="15"/>
          <w:szCs w:val="15"/>
        </w:rPr>
      </w:pPr>
    </w:p>
    <w:p>
      <w:pPr>
        <w:pStyle w:val="BodyText"/>
        <w:spacing w:line="316" w:lineRule="auto"/>
        <w:ind w:right="1032" w:firstLine="420"/>
        <w:jc w:val="left"/>
      </w:pPr>
      <w:r>
        <w:rPr/>
        <w:t>期末未确认递延所得税资产的可抵扣暂时性差异主要系本公司全资子公司翼飞投资、卓博机器人、中广物联及其子公 司卓翼营销、卓大精密及其控股子公司翼丰盛的可抵扣暂时性差异，由于未来能否获得足够的应纳税所得额具有不确定性， 因此未确认递延所得税资产。</w:t>
      </w:r>
    </w:p>
    <w:p>
      <w:pPr>
        <w:spacing w:after="0" w:line="316" w:lineRule="auto"/>
        <w:jc w:val="left"/>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25、其他非流动资产" w:id="297"/>
      <w:bookmarkEnd w:id="297"/>
      <w:r>
        <w:rPr>
          <w:b w:val="0"/>
          <w:bCs w:val="0"/>
        </w:rPr>
      </w:r>
      <w:r>
        <w:rPr>
          <w:rFonts w:ascii="Times New Roman" w:hAnsi="Times New Roman" w:cs="Times New Roman" w:eastAsia="Times New Roman" w:hint="default"/>
        </w:rPr>
        <w:t>25</w:t>
      </w:r>
      <w:r>
        <w:rPr/>
        <w:t>、其他非流动资产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预付设备、工程款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25,156,060.87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57,715,983.58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25,156,060.87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57,715,983.58</w:t>
            </w:r>
          </w:p>
        </w:tc>
      </w:tr>
    </w:tbl>
    <w:p>
      <w:pPr>
        <w:pStyle w:val="BodyText"/>
        <w:spacing w:line="240" w:lineRule="auto" w:before="51"/>
        <w:ind w:right="0"/>
        <w:jc w:val="left"/>
      </w:pPr>
      <w:r>
        <w:rPr/>
        <w:t>其他说明：</w:t>
      </w:r>
    </w:p>
    <w:p>
      <w:pPr>
        <w:spacing w:line="240" w:lineRule="auto" w:before="12"/>
        <w:rPr>
          <w:rFonts w:ascii="宋体" w:hAnsi="宋体" w:cs="宋体" w:eastAsia="宋体" w:hint="default"/>
          <w:sz w:val="14"/>
          <w:szCs w:val="14"/>
        </w:rPr>
      </w:pPr>
    </w:p>
    <w:p>
      <w:pPr>
        <w:pStyle w:val="BodyText"/>
        <w:spacing w:line="240" w:lineRule="auto"/>
        <w:ind w:left="574" w:right="0"/>
        <w:jc w:val="left"/>
      </w:pPr>
      <w:r>
        <w:rPr/>
        <w:t>其他非流动资产期末余额较期初减少</w:t>
      </w:r>
      <w:r>
        <w:rPr>
          <w:rFonts w:ascii="宋体" w:hAnsi="宋体" w:cs="宋体" w:eastAsia="宋体" w:hint="default"/>
        </w:rPr>
        <w:t>32</w:t>
      </w:r>
      <w:r>
        <w:rPr>
          <w:rFonts w:ascii="Times New Roman" w:hAnsi="Times New Roman" w:cs="Times New Roman" w:eastAsia="Times New Roman" w:hint="default"/>
        </w:rPr>
        <w:t>,</w:t>
      </w:r>
      <w:r>
        <w:rPr>
          <w:rFonts w:ascii="宋体" w:hAnsi="宋体" w:cs="宋体" w:eastAsia="宋体" w:hint="default"/>
        </w:rPr>
        <w:t>559</w:t>
      </w:r>
      <w:r>
        <w:rPr>
          <w:rFonts w:ascii="Times New Roman" w:hAnsi="Times New Roman" w:cs="Times New Roman" w:eastAsia="Times New Roman" w:hint="default"/>
        </w:rPr>
        <w:t>,</w:t>
      </w:r>
      <w:r>
        <w:rPr>
          <w:rFonts w:ascii="宋体" w:hAnsi="宋体" w:cs="宋体" w:eastAsia="宋体" w:hint="default"/>
        </w:rPr>
        <w:t>922.71</w:t>
      </w:r>
      <w:r>
        <w:rPr/>
        <w:t>元，减少比例</w:t>
      </w:r>
      <w:r>
        <w:rPr>
          <w:rFonts w:ascii="宋体" w:hAnsi="宋体" w:cs="宋体" w:eastAsia="宋体" w:hint="default"/>
        </w:rPr>
        <w:t>56.41%</w:t>
      </w:r>
      <w:r>
        <w:rPr/>
        <w:t>，主要系本期预付设备、工程款减少所致。</w:t>
      </w:r>
    </w:p>
    <w:p>
      <w:pPr>
        <w:spacing w:line="240" w:lineRule="auto" w:before="11"/>
        <w:rPr>
          <w:rFonts w:ascii="宋体" w:hAnsi="宋体" w:cs="宋体" w:eastAsia="宋体" w:hint="default"/>
          <w:sz w:val="25"/>
          <w:szCs w:val="25"/>
        </w:rPr>
      </w:pPr>
    </w:p>
    <w:p>
      <w:pPr>
        <w:pStyle w:val="Heading3"/>
        <w:spacing w:line="240" w:lineRule="auto"/>
        <w:ind w:right="0"/>
        <w:jc w:val="left"/>
        <w:rPr>
          <w:b w:val="0"/>
          <w:bCs w:val="0"/>
        </w:rPr>
      </w:pPr>
      <w:bookmarkStart w:name="26、短期借款" w:id="298"/>
      <w:bookmarkEnd w:id="298"/>
      <w:r>
        <w:rPr>
          <w:b w:val="0"/>
          <w:bCs w:val="0"/>
        </w:rPr>
      </w:r>
      <w:r>
        <w:rPr>
          <w:rFonts w:ascii="Times New Roman" w:hAnsi="Times New Roman" w:cs="Times New Roman" w:eastAsia="Times New Roman" w:hint="default"/>
        </w:rPr>
        <w:t>26</w:t>
      </w:r>
      <w:r>
        <w:rPr/>
        <w:t>、短期借款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短期借款分类" w:id="299"/>
      <w:bookmarkEnd w:id="299"/>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45,281,903.60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157,021,636.02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189,500,000.00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303,000,000.00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保证</w:t>
            </w:r>
            <w:r>
              <w:rPr>
                <w:rFonts w:ascii="Times New Roman" w:hAnsi="Times New Roman" w:cs="Times New Roman" w:eastAsia="Times New Roman" w:hint="default"/>
                <w:sz w:val="18"/>
                <w:szCs w:val="18"/>
              </w:rPr>
              <w:t>+</w:t>
            </w:r>
            <w:r>
              <w:rPr>
                <w:rFonts w:ascii="宋体" w:hAnsi="宋体" w:cs="宋体" w:eastAsia="宋体" w:hint="default"/>
                <w:sz w:val="18"/>
                <w:szCs w:val="18"/>
              </w:rPr>
              <w:t>质押借款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264,781,903.60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490,021,636.02</w:t>
            </w:r>
          </w:p>
        </w:tc>
      </w:tr>
    </w:tbl>
    <w:p>
      <w:pPr>
        <w:pStyle w:val="BodyText"/>
        <w:spacing w:line="240" w:lineRule="auto" w:before="51"/>
        <w:ind w:right="0"/>
        <w:jc w:val="left"/>
      </w:pPr>
      <w:r>
        <w:rPr/>
        <w:t>短期借款分类的说明：</w:t>
      </w:r>
    </w:p>
    <w:p>
      <w:pPr>
        <w:pStyle w:val="Heading3"/>
        <w:spacing w:line="240" w:lineRule="auto" w:before="90"/>
        <w:ind w:right="0"/>
        <w:jc w:val="left"/>
        <w:rPr>
          <w:b w:val="0"/>
          <w:bCs w:val="0"/>
        </w:rPr>
      </w:pPr>
      <w:r>
        <w:rPr/>
        <w:t>短期借款明细：</w:t>
      </w:r>
      <w:r>
        <w:rPr>
          <w:b w:val="0"/>
          <w:bCs w:val="0"/>
        </w:rPr>
      </w:r>
    </w:p>
    <w:p>
      <w:pPr>
        <w:spacing w:line="240" w:lineRule="auto" w:before="13"/>
        <w:rPr>
          <w:rFonts w:ascii="宋体" w:hAnsi="宋体" w:cs="宋体" w:eastAsia="宋体" w:hint="default"/>
          <w:b/>
          <w:bCs/>
          <w:sz w:val="3"/>
          <w:szCs w:val="3"/>
        </w:rPr>
      </w:pPr>
    </w:p>
    <w:tbl>
      <w:tblPr>
        <w:tblW w:w="0" w:type="auto"/>
        <w:jc w:val="left"/>
        <w:tblInd w:w="146" w:type="dxa"/>
        <w:tblLayout w:type="fixed"/>
        <w:tblCellMar>
          <w:top w:w="0" w:type="dxa"/>
          <w:left w:w="0" w:type="dxa"/>
          <w:bottom w:w="0" w:type="dxa"/>
          <w:right w:w="0" w:type="dxa"/>
        </w:tblCellMar>
        <w:tblLook w:val="01E0"/>
      </w:tblPr>
      <w:tblGrid>
        <w:gridCol w:w="491"/>
        <w:gridCol w:w="1906"/>
        <w:gridCol w:w="775"/>
        <w:gridCol w:w="1316"/>
        <w:gridCol w:w="730"/>
        <w:gridCol w:w="1357"/>
        <w:gridCol w:w="851"/>
        <w:gridCol w:w="1909"/>
      </w:tblGrid>
      <w:tr>
        <w:trPr>
          <w:trHeight w:val="347"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center"/>
              <w:rPr>
                <w:rFonts w:ascii="宋体" w:hAnsi="宋体" w:cs="宋体" w:eastAsia="宋体" w:hint="default"/>
                <w:sz w:val="15"/>
                <w:szCs w:val="15"/>
              </w:rPr>
            </w:pPr>
            <w:r>
              <w:rPr>
                <w:rFonts w:ascii="宋体" w:hAnsi="宋体" w:cs="宋体" w:eastAsia="宋体" w:hint="default"/>
                <w:sz w:val="15"/>
                <w:szCs w:val="15"/>
              </w:rPr>
              <w:t>序号</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宋体" w:hAnsi="宋体" w:cs="宋体" w:eastAsia="宋体" w:hint="default"/>
                <w:sz w:val="15"/>
                <w:szCs w:val="15"/>
              </w:rPr>
            </w:pPr>
            <w:r>
              <w:rPr>
                <w:rFonts w:ascii="宋体" w:hAnsi="宋体" w:cs="宋体" w:eastAsia="宋体" w:hint="default"/>
                <w:sz w:val="15"/>
                <w:szCs w:val="15"/>
              </w:rPr>
              <w:t>银行名称</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宋体" w:hAnsi="宋体" w:cs="宋体" w:eastAsia="宋体" w:hint="default"/>
                <w:sz w:val="15"/>
                <w:szCs w:val="15"/>
              </w:rPr>
            </w:pPr>
            <w:r>
              <w:rPr>
                <w:rFonts w:ascii="宋体" w:hAnsi="宋体" w:cs="宋体" w:eastAsia="宋体" w:hint="default"/>
                <w:sz w:val="15"/>
                <w:szCs w:val="15"/>
              </w:rPr>
              <w:t>币种</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350" w:right="0"/>
              <w:jc w:val="left"/>
              <w:rPr>
                <w:rFonts w:ascii="宋体" w:hAnsi="宋体" w:cs="宋体" w:eastAsia="宋体" w:hint="default"/>
                <w:sz w:val="15"/>
                <w:szCs w:val="15"/>
              </w:rPr>
            </w:pPr>
            <w:r>
              <w:rPr>
                <w:rFonts w:ascii="宋体" w:hAnsi="宋体" w:cs="宋体" w:eastAsia="宋体" w:hint="default"/>
                <w:sz w:val="15"/>
                <w:szCs w:val="15"/>
              </w:rPr>
              <w:t>借款金额</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207" w:right="0"/>
              <w:jc w:val="left"/>
              <w:rPr>
                <w:rFonts w:ascii="宋体" w:hAnsi="宋体" w:cs="宋体" w:eastAsia="宋体" w:hint="default"/>
                <w:sz w:val="15"/>
                <w:szCs w:val="15"/>
              </w:rPr>
            </w:pPr>
            <w:r>
              <w:rPr>
                <w:rFonts w:ascii="宋体" w:hAnsi="宋体" w:cs="宋体" w:eastAsia="宋体" w:hint="default"/>
                <w:sz w:val="15"/>
                <w:szCs w:val="15"/>
              </w:rPr>
              <w:t>汇率</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295" w:right="0"/>
              <w:jc w:val="left"/>
              <w:rPr>
                <w:rFonts w:ascii="宋体" w:hAnsi="宋体" w:cs="宋体" w:eastAsia="宋体" w:hint="default"/>
                <w:sz w:val="15"/>
                <w:szCs w:val="15"/>
              </w:rPr>
            </w:pPr>
            <w:r>
              <w:rPr>
                <w:rFonts w:ascii="宋体" w:hAnsi="宋体" w:cs="宋体" w:eastAsia="宋体" w:hint="default"/>
                <w:sz w:val="15"/>
                <w:szCs w:val="15"/>
              </w:rPr>
              <w:t>折合人民币</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center"/>
              <w:rPr>
                <w:rFonts w:ascii="宋体" w:hAnsi="宋体" w:cs="宋体" w:eastAsia="宋体" w:hint="default"/>
                <w:sz w:val="15"/>
                <w:szCs w:val="15"/>
              </w:rPr>
            </w:pPr>
            <w:r>
              <w:rPr>
                <w:rFonts w:ascii="宋体" w:hAnsi="宋体" w:cs="宋体" w:eastAsia="宋体" w:hint="default"/>
                <w:sz w:val="15"/>
                <w:szCs w:val="15"/>
              </w:rPr>
              <w:t>种类</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center"/>
              <w:rPr>
                <w:rFonts w:ascii="宋体" w:hAnsi="宋体" w:cs="宋体" w:eastAsia="宋体" w:hint="default"/>
                <w:sz w:val="15"/>
                <w:szCs w:val="15"/>
              </w:rPr>
            </w:pPr>
            <w:r>
              <w:rPr>
                <w:rFonts w:ascii="宋体" w:hAnsi="宋体" w:cs="宋体" w:eastAsia="宋体" w:hint="default"/>
                <w:sz w:val="15"/>
                <w:szCs w:val="15"/>
              </w:rPr>
              <w:t>期限</w:t>
            </w:r>
          </w:p>
        </w:tc>
      </w:tr>
      <w:tr>
        <w:trPr>
          <w:trHeight w:val="347"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sz w:val="15"/>
              </w:rPr>
              <w:t>1</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宋体" w:hAnsi="宋体" w:cs="宋体" w:eastAsia="宋体" w:hint="default"/>
                <w:sz w:val="15"/>
                <w:szCs w:val="15"/>
              </w:rPr>
              <w:t>平安银行深圳市红树湾</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人民币</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49,500,000.00</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33" w:right="0"/>
              <w:jc w:val="left"/>
              <w:rPr>
                <w:rFonts w:ascii="宋体" w:hAnsi="宋体" w:cs="宋体" w:eastAsia="宋体" w:hint="default"/>
                <w:sz w:val="15"/>
                <w:szCs w:val="15"/>
              </w:rPr>
            </w:pPr>
            <w:r>
              <w:rPr>
                <w:rFonts w:ascii="宋体"/>
                <w:sz w:val="15"/>
              </w:rPr>
              <w:t>1.0000</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49,500,000.00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信用借款</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宋体" w:hAnsi="宋体" w:cs="宋体" w:eastAsia="宋体" w:hint="default"/>
                <w:sz w:val="15"/>
                <w:szCs w:val="15"/>
              </w:rPr>
            </w:pPr>
            <w:r>
              <w:rPr>
                <w:rFonts w:ascii="宋体" w:hAnsi="宋体" w:cs="宋体" w:eastAsia="宋体" w:hint="default"/>
                <w:spacing w:val="-1"/>
                <w:sz w:val="15"/>
                <w:szCs w:val="15"/>
              </w:rPr>
              <w:t>2018-2-28</w:t>
            </w:r>
            <w:r>
              <w:rPr>
                <w:rFonts w:ascii="宋体" w:hAnsi="宋体" w:cs="宋体" w:eastAsia="宋体" w:hint="default"/>
                <w:spacing w:val="-1"/>
                <w:sz w:val="15"/>
                <w:szCs w:val="15"/>
              </w:rPr>
              <w:t>至</w:t>
            </w:r>
            <w:r>
              <w:rPr>
                <w:rFonts w:ascii="宋体" w:hAnsi="宋体" w:cs="宋体" w:eastAsia="宋体" w:hint="default"/>
                <w:spacing w:val="-1"/>
                <w:sz w:val="15"/>
                <w:szCs w:val="15"/>
              </w:rPr>
              <w:t>2019-2-28</w:t>
            </w:r>
          </w:p>
        </w:tc>
      </w:tr>
      <w:tr>
        <w:trPr>
          <w:trHeight w:val="347"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sz w:val="15"/>
              </w:rPr>
              <w:t>2</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宋体" w:hAnsi="宋体" w:cs="宋体" w:eastAsia="宋体" w:hint="default"/>
                <w:sz w:val="15"/>
                <w:szCs w:val="15"/>
              </w:rPr>
              <w:t>中国银行深圳湾支行</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人民币</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40,000,000.00</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33" w:right="0"/>
              <w:jc w:val="left"/>
              <w:rPr>
                <w:rFonts w:ascii="宋体" w:hAnsi="宋体" w:cs="宋体" w:eastAsia="宋体" w:hint="default"/>
                <w:sz w:val="15"/>
                <w:szCs w:val="15"/>
              </w:rPr>
            </w:pPr>
            <w:r>
              <w:rPr>
                <w:rFonts w:ascii="宋体"/>
                <w:sz w:val="15"/>
              </w:rPr>
              <w:t>1.0000</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40,000,000.00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信用借款</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宋体" w:hAnsi="宋体" w:cs="宋体" w:eastAsia="宋体" w:hint="default"/>
                <w:sz w:val="15"/>
                <w:szCs w:val="15"/>
              </w:rPr>
            </w:pPr>
            <w:r>
              <w:rPr>
                <w:rFonts w:ascii="宋体" w:hAnsi="宋体" w:cs="宋体" w:eastAsia="宋体" w:hint="default"/>
                <w:spacing w:val="-1"/>
                <w:sz w:val="15"/>
                <w:szCs w:val="15"/>
              </w:rPr>
              <w:t>2018-5-23</w:t>
            </w:r>
            <w:r>
              <w:rPr>
                <w:rFonts w:ascii="宋体" w:hAnsi="宋体" w:cs="宋体" w:eastAsia="宋体" w:hint="default"/>
                <w:spacing w:val="-1"/>
                <w:sz w:val="15"/>
                <w:szCs w:val="15"/>
              </w:rPr>
              <w:t>至</w:t>
            </w:r>
            <w:r>
              <w:rPr>
                <w:rFonts w:ascii="宋体" w:hAnsi="宋体" w:cs="宋体" w:eastAsia="宋体" w:hint="default"/>
                <w:spacing w:val="-1"/>
                <w:sz w:val="15"/>
                <w:szCs w:val="15"/>
              </w:rPr>
              <w:t>2019-5-23</w:t>
            </w:r>
          </w:p>
        </w:tc>
      </w:tr>
      <w:tr>
        <w:trPr>
          <w:trHeight w:val="347"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sz w:val="15"/>
              </w:rPr>
              <w:t>3</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宋体" w:hAnsi="宋体" w:cs="宋体" w:eastAsia="宋体" w:hint="default"/>
                <w:sz w:val="15"/>
                <w:szCs w:val="15"/>
              </w:rPr>
              <w:t>中国银行深圳湾支行</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人民币</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50,000,000.00</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33" w:right="0"/>
              <w:jc w:val="left"/>
              <w:rPr>
                <w:rFonts w:ascii="宋体" w:hAnsi="宋体" w:cs="宋体" w:eastAsia="宋体" w:hint="default"/>
                <w:sz w:val="15"/>
                <w:szCs w:val="15"/>
              </w:rPr>
            </w:pPr>
            <w:r>
              <w:rPr>
                <w:rFonts w:ascii="宋体"/>
                <w:sz w:val="15"/>
              </w:rPr>
              <w:t>1.0000</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50,000,000.00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信用借款</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宋体" w:hAnsi="宋体" w:cs="宋体" w:eastAsia="宋体" w:hint="default"/>
                <w:sz w:val="15"/>
                <w:szCs w:val="15"/>
              </w:rPr>
            </w:pPr>
            <w:r>
              <w:rPr>
                <w:rFonts w:ascii="宋体" w:hAnsi="宋体" w:cs="宋体" w:eastAsia="宋体" w:hint="default"/>
                <w:spacing w:val="-1"/>
                <w:sz w:val="15"/>
                <w:szCs w:val="15"/>
              </w:rPr>
              <w:t>2018-4-13</w:t>
            </w:r>
            <w:r>
              <w:rPr>
                <w:rFonts w:ascii="宋体" w:hAnsi="宋体" w:cs="宋体" w:eastAsia="宋体" w:hint="default"/>
                <w:spacing w:val="-1"/>
                <w:sz w:val="15"/>
                <w:szCs w:val="15"/>
              </w:rPr>
              <w:t>至</w:t>
            </w:r>
            <w:r>
              <w:rPr>
                <w:rFonts w:ascii="宋体" w:hAnsi="宋体" w:cs="宋体" w:eastAsia="宋体" w:hint="default"/>
                <w:spacing w:val="-1"/>
                <w:sz w:val="15"/>
                <w:szCs w:val="15"/>
              </w:rPr>
              <w:t>2019-4-13</w:t>
            </w:r>
          </w:p>
        </w:tc>
      </w:tr>
      <w:tr>
        <w:trPr>
          <w:trHeight w:val="659"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sz w:val="15"/>
              </w:rPr>
              <w:t>4</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381" w:lineRule="auto" w:before="44"/>
              <w:ind w:left="3" w:right="85"/>
              <w:jc w:val="left"/>
              <w:rPr>
                <w:rFonts w:ascii="宋体" w:hAnsi="宋体" w:cs="宋体" w:eastAsia="宋体" w:hint="default"/>
                <w:sz w:val="15"/>
                <w:szCs w:val="15"/>
              </w:rPr>
            </w:pPr>
            <w:r>
              <w:rPr>
                <w:rFonts w:ascii="宋体" w:hAnsi="宋体" w:cs="宋体" w:eastAsia="宋体" w:hint="default"/>
                <w:sz w:val="15"/>
                <w:szCs w:val="15"/>
              </w:rPr>
              <w:t>中国农业银行股份有限公司 深圳松岗支行</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人民币</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50,000,000.00</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33" w:right="0"/>
              <w:jc w:val="left"/>
              <w:rPr>
                <w:rFonts w:ascii="宋体" w:hAnsi="宋体" w:cs="宋体" w:eastAsia="宋体" w:hint="default"/>
                <w:sz w:val="15"/>
                <w:szCs w:val="15"/>
              </w:rPr>
            </w:pPr>
            <w:r>
              <w:rPr>
                <w:rFonts w:ascii="宋体"/>
                <w:sz w:val="15"/>
              </w:rPr>
              <w:t>1.0000</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50,000,000.00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信用借款</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宋体" w:hAnsi="宋体" w:cs="宋体" w:eastAsia="宋体" w:hint="default"/>
                <w:sz w:val="15"/>
                <w:szCs w:val="15"/>
              </w:rPr>
            </w:pPr>
            <w:r>
              <w:rPr>
                <w:rFonts w:ascii="宋体" w:hAnsi="宋体" w:cs="宋体" w:eastAsia="宋体" w:hint="default"/>
                <w:spacing w:val="-1"/>
                <w:sz w:val="15"/>
                <w:szCs w:val="15"/>
              </w:rPr>
              <w:t>2018-2-12</w:t>
            </w:r>
            <w:r>
              <w:rPr>
                <w:rFonts w:ascii="宋体" w:hAnsi="宋体" w:cs="宋体" w:eastAsia="宋体" w:hint="default"/>
                <w:spacing w:val="-1"/>
                <w:sz w:val="15"/>
                <w:szCs w:val="15"/>
              </w:rPr>
              <w:t>至</w:t>
            </w:r>
            <w:r>
              <w:rPr>
                <w:rFonts w:ascii="宋体" w:hAnsi="宋体" w:cs="宋体" w:eastAsia="宋体" w:hint="default"/>
                <w:spacing w:val="-1"/>
                <w:sz w:val="15"/>
                <w:szCs w:val="15"/>
              </w:rPr>
              <w:t>2019-1-25</w:t>
            </w:r>
          </w:p>
        </w:tc>
      </w:tr>
      <w:tr>
        <w:trPr>
          <w:trHeight w:val="660"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sz w:val="15"/>
              </w:rPr>
              <w:t>5</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宋体" w:hAnsi="宋体" w:cs="宋体" w:eastAsia="宋体" w:hint="default"/>
                <w:sz w:val="15"/>
                <w:szCs w:val="15"/>
              </w:rPr>
              <w:t>浦发银行天津浦欣支行</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人民币</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30,000,000.00</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33" w:right="0"/>
              <w:jc w:val="left"/>
              <w:rPr>
                <w:rFonts w:ascii="宋体" w:hAnsi="宋体" w:cs="宋体" w:eastAsia="宋体" w:hint="default"/>
                <w:sz w:val="15"/>
                <w:szCs w:val="15"/>
              </w:rPr>
            </w:pPr>
            <w:r>
              <w:rPr>
                <w:rFonts w:ascii="宋体"/>
                <w:sz w:val="15"/>
              </w:rPr>
              <w:t>1.0000</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30,000,000.00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81" w:lineRule="auto" w:before="44"/>
              <w:ind w:left="343" w:right="3" w:hanging="338"/>
              <w:jc w:val="left"/>
              <w:rPr>
                <w:rFonts w:ascii="宋体" w:hAnsi="宋体" w:cs="宋体" w:eastAsia="宋体" w:hint="default"/>
                <w:sz w:val="15"/>
                <w:szCs w:val="15"/>
              </w:rPr>
            </w:pPr>
            <w:r>
              <w:rPr>
                <w:rFonts w:ascii="宋体" w:hAnsi="宋体" w:cs="宋体" w:eastAsia="宋体" w:hint="default"/>
                <w:sz w:val="15"/>
                <w:szCs w:val="15"/>
              </w:rPr>
              <w:t>保证</w:t>
            </w:r>
            <w:r>
              <w:rPr>
                <w:rFonts w:ascii="宋体" w:hAnsi="宋体" w:cs="宋体" w:eastAsia="宋体" w:hint="default"/>
                <w:sz w:val="15"/>
                <w:szCs w:val="15"/>
              </w:rPr>
              <w:t>+</w:t>
            </w:r>
            <w:r>
              <w:rPr>
                <w:rFonts w:ascii="宋体" w:hAnsi="宋体" w:cs="宋体" w:eastAsia="宋体" w:hint="default"/>
                <w:sz w:val="15"/>
                <w:szCs w:val="15"/>
              </w:rPr>
              <w:t>质押借 款</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hAnsi="宋体" w:cs="宋体" w:eastAsia="宋体" w:hint="default"/>
                <w:spacing w:val="-1"/>
                <w:sz w:val="15"/>
                <w:szCs w:val="15"/>
              </w:rPr>
              <w:t>2018-12-27</w:t>
            </w:r>
            <w:r>
              <w:rPr>
                <w:rFonts w:ascii="宋体" w:hAnsi="宋体" w:cs="宋体" w:eastAsia="宋体" w:hint="default"/>
                <w:spacing w:val="-1"/>
                <w:sz w:val="15"/>
                <w:szCs w:val="15"/>
              </w:rPr>
              <w:t>至</w:t>
            </w:r>
            <w:r>
              <w:rPr>
                <w:rFonts w:ascii="宋体" w:hAnsi="宋体" w:cs="宋体" w:eastAsia="宋体" w:hint="default"/>
                <w:spacing w:val="-1"/>
                <w:sz w:val="15"/>
                <w:szCs w:val="15"/>
              </w:rPr>
              <w:t>2019-3-15</w:t>
            </w:r>
            <w:r>
              <w:rPr>
                <w:rFonts w:ascii="宋体" w:hAnsi="宋体" w:cs="宋体" w:eastAsia="宋体" w:hint="default"/>
                <w:sz w:val="15"/>
                <w:szCs w:val="15"/>
              </w:rPr>
            </w:r>
          </w:p>
        </w:tc>
      </w:tr>
      <w:tr>
        <w:trPr>
          <w:trHeight w:val="659"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center"/>
              <w:rPr>
                <w:rFonts w:ascii="宋体" w:hAnsi="宋体" w:cs="宋体" w:eastAsia="宋体" w:hint="default"/>
                <w:sz w:val="15"/>
                <w:szCs w:val="15"/>
              </w:rPr>
            </w:pPr>
            <w:r>
              <w:rPr>
                <w:rFonts w:ascii="宋体"/>
                <w:sz w:val="15"/>
              </w:rPr>
              <w:t>6</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381" w:lineRule="auto" w:before="43"/>
              <w:ind w:left="3" w:right="85"/>
              <w:jc w:val="left"/>
              <w:rPr>
                <w:rFonts w:ascii="宋体" w:hAnsi="宋体" w:cs="宋体" w:eastAsia="宋体" w:hint="default"/>
                <w:sz w:val="15"/>
                <w:szCs w:val="15"/>
              </w:rPr>
            </w:pPr>
            <w:r>
              <w:rPr>
                <w:rFonts w:ascii="宋体" w:hAnsi="宋体" w:cs="宋体" w:eastAsia="宋体" w:hint="default"/>
                <w:sz w:val="15"/>
                <w:szCs w:val="15"/>
              </w:rPr>
              <w:t>中国建设银行深圳中心区支 行</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center"/>
              <w:rPr>
                <w:rFonts w:ascii="宋体" w:hAnsi="宋体" w:cs="宋体" w:eastAsia="宋体" w:hint="default"/>
                <w:sz w:val="15"/>
                <w:szCs w:val="15"/>
              </w:rPr>
            </w:pPr>
            <w:r>
              <w:rPr>
                <w:rFonts w:ascii="宋体" w:hAnsi="宋体" w:cs="宋体" w:eastAsia="宋体" w:hint="default"/>
                <w:sz w:val="15"/>
                <w:szCs w:val="15"/>
              </w:rPr>
              <w:t>人民币</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right"/>
              <w:rPr>
                <w:rFonts w:ascii="宋体" w:hAnsi="宋体" w:cs="宋体" w:eastAsia="宋体" w:hint="default"/>
                <w:sz w:val="15"/>
                <w:szCs w:val="15"/>
              </w:rPr>
            </w:pPr>
            <w:r>
              <w:rPr>
                <w:rFonts w:ascii="宋体"/>
                <w:spacing w:val="-1"/>
                <w:sz w:val="15"/>
              </w:rPr>
              <w:t>8,081,903.60</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133" w:right="0"/>
              <w:jc w:val="left"/>
              <w:rPr>
                <w:rFonts w:ascii="宋体" w:hAnsi="宋体" w:cs="宋体" w:eastAsia="宋体" w:hint="default"/>
                <w:sz w:val="15"/>
                <w:szCs w:val="15"/>
              </w:rPr>
            </w:pPr>
            <w:r>
              <w:rPr>
                <w:rFonts w:ascii="宋体"/>
                <w:sz w:val="15"/>
              </w:rPr>
              <w:t>1.0000</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right"/>
              <w:rPr>
                <w:rFonts w:ascii="宋体" w:hAnsi="宋体" w:cs="宋体" w:eastAsia="宋体" w:hint="default"/>
                <w:sz w:val="15"/>
                <w:szCs w:val="15"/>
              </w:rPr>
            </w:pPr>
            <w:r>
              <w:rPr>
                <w:rFonts w:ascii="宋体"/>
                <w:spacing w:val="-1"/>
                <w:sz w:val="15"/>
              </w:rPr>
              <w:t>8,081,903.60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
              <w:jc w:val="center"/>
              <w:rPr>
                <w:rFonts w:ascii="宋体" w:hAnsi="宋体" w:cs="宋体" w:eastAsia="宋体" w:hint="default"/>
                <w:sz w:val="15"/>
                <w:szCs w:val="15"/>
              </w:rPr>
            </w:pPr>
            <w:r>
              <w:rPr>
                <w:rFonts w:ascii="宋体" w:hAnsi="宋体" w:cs="宋体" w:eastAsia="宋体" w:hint="default"/>
                <w:sz w:val="15"/>
                <w:szCs w:val="15"/>
              </w:rPr>
              <w:t>保证借款</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0"/>
              <w:jc w:val="right"/>
              <w:rPr>
                <w:rFonts w:ascii="宋体" w:hAnsi="宋体" w:cs="宋体" w:eastAsia="宋体" w:hint="default"/>
                <w:sz w:val="15"/>
                <w:szCs w:val="15"/>
              </w:rPr>
            </w:pPr>
            <w:r>
              <w:rPr>
                <w:rFonts w:ascii="宋体" w:hAnsi="宋体" w:cs="宋体" w:eastAsia="宋体" w:hint="default"/>
                <w:spacing w:val="-1"/>
                <w:sz w:val="15"/>
                <w:szCs w:val="15"/>
              </w:rPr>
              <w:t>2018-1-17</w:t>
            </w:r>
            <w:r>
              <w:rPr>
                <w:rFonts w:ascii="宋体" w:hAnsi="宋体" w:cs="宋体" w:eastAsia="宋体" w:hint="default"/>
                <w:spacing w:val="-1"/>
                <w:sz w:val="15"/>
                <w:szCs w:val="15"/>
              </w:rPr>
              <w:t>至</w:t>
            </w:r>
            <w:r>
              <w:rPr>
                <w:rFonts w:ascii="宋体" w:hAnsi="宋体" w:cs="宋体" w:eastAsia="宋体" w:hint="default"/>
                <w:spacing w:val="-1"/>
                <w:sz w:val="15"/>
                <w:szCs w:val="15"/>
              </w:rPr>
              <w:t>2019-1-16</w:t>
            </w:r>
          </w:p>
        </w:tc>
      </w:tr>
      <w:tr>
        <w:trPr>
          <w:trHeight w:val="347"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sz w:val="15"/>
              </w:rPr>
              <w:t>7</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宋体" w:hAnsi="宋体" w:cs="宋体" w:eastAsia="宋体" w:hint="default"/>
                <w:sz w:val="15"/>
                <w:szCs w:val="15"/>
              </w:rPr>
              <w:t>中国银行深圳湾支行</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人民币</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17,000,000.00</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33" w:right="0"/>
              <w:jc w:val="left"/>
              <w:rPr>
                <w:rFonts w:ascii="宋体" w:hAnsi="宋体" w:cs="宋体" w:eastAsia="宋体" w:hint="default"/>
                <w:sz w:val="15"/>
                <w:szCs w:val="15"/>
              </w:rPr>
            </w:pPr>
            <w:r>
              <w:rPr>
                <w:rFonts w:ascii="宋体"/>
                <w:sz w:val="15"/>
              </w:rPr>
              <w:t>1.0000</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17,000,000.00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保证借款</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宋体" w:hAnsi="宋体" w:cs="宋体" w:eastAsia="宋体" w:hint="default"/>
                <w:sz w:val="15"/>
                <w:szCs w:val="15"/>
              </w:rPr>
            </w:pPr>
            <w:r>
              <w:rPr>
                <w:rFonts w:ascii="宋体" w:hAnsi="宋体" w:cs="宋体" w:eastAsia="宋体" w:hint="default"/>
                <w:spacing w:val="-1"/>
                <w:sz w:val="15"/>
                <w:szCs w:val="15"/>
              </w:rPr>
              <w:t>2018-1-12</w:t>
            </w:r>
            <w:r>
              <w:rPr>
                <w:rFonts w:ascii="宋体" w:hAnsi="宋体" w:cs="宋体" w:eastAsia="宋体" w:hint="default"/>
                <w:spacing w:val="-1"/>
                <w:sz w:val="15"/>
                <w:szCs w:val="15"/>
              </w:rPr>
              <w:t>至</w:t>
            </w:r>
            <w:r>
              <w:rPr>
                <w:rFonts w:ascii="宋体" w:hAnsi="宋体" w:cs="宋体" w:eastAsia="宋体" w:hint="default"/>
                <w:spacing w:val="-1"/>
                <w:sz w:val="15"/>
                <w:szCs w:val="15"/>
              </w:rPr>
              <w:t>2019-1-12</w:t>
            </w:r>
          </w:p>
        </w:tc>
      </w:tr>
      <w:tr>
        <w:trPr>
          <w:trHeight w:val="347"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sz w:val="15"/>
              </w:rPr>
              <w:t>8</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宋体" w:hAnsi="宋体" w:cs="宋体" w:eastAsia="宋体" w:hint="default"/>
                <w:sz w:val="15"/>
                <w:szCs w:val="15"/>
              </w:rPr>
              <w:t>中国银行深圳湾支行</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人民币</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20,200,000.00</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33" w:right="0"/>
              <w:jc w:val="left"/>
              <w:rPr>
                <w:rFonts w:ascii="宋体" w:hAnsi="宋体" w:cs="宋体" w:eastAsia="宋体" w:hint="default"/>
                <w:sz w:val="15"/>
                <w:szCs w:val="15"/>
              </w:rPr>
            </w:pPr>
            <w:r>
              <w:rPr>
                <w:rFonts w:ascii="宋体"/>
                <w:sz w:val="15"/>
              </w:rPr>
              <w:t>1.0000</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宋体" w:hAnsi="宋体" w:cs="宋体" w:eastAsia="宋体" w:hint="default"/>
                <w:sz w:val="15"/>
                <w:szCs w:val="15"/>
              </w:rPr>
            </w:pPr>
            <w:r>
              <w:rPr>
                <w:rFonts w:ascii="宋体"/>
                <w:spacing w:val="-1"/>
                <w:sz w:val="15"/>
              </w:rPr>
              <w:t>20,200,000.00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center"/>
              <w:rPr>
                <w:rFonts w:ascii="宋体" w:hAnsi="宋体" w:cs="宋体" w:eastAsia="宋体" w:hint="default"/>
                <w:sz w:val="15"/>
                <w:szCs w:val="15"/>
              </w:rPr>
            </w:pPr>
            <w:r>
              <w:rPr>
                <w:rFonts w:ascii="宋体" w:hAnsi="宋体" w:cs="宋体" w:eastAsia="宋体" w:hint="default"/>
                <w:sz w:val="15"/>
                <w:szCs w:val="15"/>
              </w:rPr>
              <w:t>保证借款</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宋体" w:hAnsi="宋体" w:cs="宋体" w:eastAsia="宋体" w:hint="default"/>
                <w:sz w:val="15"/>
                <w:szCs w:val="15"/>
              </w:rPr>
            </w:pPr>
            <w:r>
              <w:rPr>
                <w:rFonts w:ascii="宋体" w:hAnsi="宋体" w:cs="宋体" w:eastAsia="宋体" w:hint="default"/>
                <w:spacing w:val="-1"/>
                <w:sz w:val="15"/>
                <w:szCs w:val="15"/>
              </w:rPr>
              <w:t>2018-2-13</w:t>
            </w:r>
            <w:r>
              <w:rPr>
                <w:rFonts w:ascii="宋体" w:hAnsi="宋体" w:cs="宋体" w:eastAsia="宋体" w:hint="default"/>
                <w:spacing w:val="-1"/>
                <w:sz w:val="15"/>
                <w:szCs w:val="15"/>
              </w:rPr>
              <w:t>至</w:t>
            </w:r>
            <w:r>
              <w:rPr>
                <w:rFonts w:ascii="宋体" w:hAnsi="宋体" w:cs="宋体" w:eastAsia="宋体" w:hint="default"/>
                <w:spacing w:val="-1"/>
                <w:sz w:val="15"/>
                <w:szCs w:val="15"/>
              </w:rPr>
              <w:t>2019-2-13</w:t>
            </w:r>
          </w:p>
        </w:tc>
      </w:tr>
      <w:tr>
        <w:trPr>
          <w:trHeight w:val="348" w:hRule="exact"/>
        </w:trPr>
        <w:tc>
          <w:tcPr>
            <w:tcW w:w="491" w:type="dxa"/>
            <w:tcBorders>
              <w:top w:val="single" w:sz="6" w:space="0" w:color="000000"/>
              <w:left w:val="single" w:sz="6" w:space="0" w:color="000000"/>
              <w:bottom w:val="single" w:sz="6" w:space="0" w:color="000000"/>
              <w:right w:val="single" w:sz="6" w:space="0" w:color="000000"/>
            </w:tcBorders>
          </w:tcPr>
          <w:p>
            <w:pP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775" w:type="dxa"/>
            <w:tcBorders>
              <w:top w:val="single" w:sz="6" w:space="0" w:color="000000"/>
              <w:left w:val="single" w:sz="6" w:space="0" w:color="000000"/>
              <w:bottom w:val="single" w:sz="6" w:space="0" w:color="000000"/>
              <w:right w:val="single" w:sz="6" w:space="0" w:color="000000"/>
            </w:tcBorders>
          </w:tcPr>
          <w:p>
            <w:pP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15"/>
                <w:szCs w:val="15"/>
              </w:rPr>
            </w:pPr>
            <w:r>
              <w:rPr>
                <w:rFonts w:ascii="宋体"/>
                <w:spacing w:val="-1"/>
                <w:sz w:val="15"/>
              </w:rPr>
              <w:t>264,781,903.6</w:t>
            </w:r>
            <w:r>
              <w:rPr>
                <w:rFonts w:ascii="Times New Roman"/>
                <w:spacing w:val="-1"/>
                <w:sz w:val="15"/>
              </w:rPr>
              <w:t>0</w:t>
            </w:r>
          </w:p>
        </w:tc>
        <w:tc>
          <w:tcPr>
            <w:tcW w:w="730"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2"/>
              <w:jc w:val="right"/>
              <w:rPr>
                <w:rFonts w:ascii="Times New Roman" w:hAnsi="Times New Roman" w:cs="Times New Roman" w:eastAsia="Times New Roman" w:hint="default"/>
                <w:sz w:val="15"/>
                <w:szCs w:val="15"/>
              </w:rPr>
            </w:pPr>
            <w:r>
              <w:rPr>
                <w:rFonts w:ascii="宋体"/>
                <w:spacing w:val="-1"/>
                <w:sz w:val="15"/>
              </w:rPr>
              <w:t>264,781,903.6</w:t>
            </w:r>
            <w:r>
              <w:rPr>
                <w:rFonts w:ascii="Times New Roman"/>
                <w:spacing w:val="-1"/>
                <w:sz w:val="15"/>
              </w:rPr>
              <w:t>0</w:t>
            </w:r>
          </w:p>
        </w:tc>
        <w:tc>
          <w:tcPr>
            <w:tcW w:w="851" w:type="dxa"/>
            <w:tcBorders>
              <w:top w:val="single" w:sz="6" w:space="0" w:color="000000"/>
              <w:left w:val="single" w:sz="6" w:space="0" w:color="000000"/>
              <w:bottom w:val="single" w:sz="6" w:space="0" w:color="000000"/>
              <w:right w:val="single" w:sz="6" w:space="0" w:color="000000"/>
            </w:tcBorders>
          </w:tcPr>
          <w:p>
            <w:pPr/>
          </w:p>
        </w:tc>
        <w:tc>
          <w:tcPr>
            <w:tcW w:w="1909" w:type="dxa"/>
            <w:tcBorders>
              <w:top w:val="single" w:sz="6" w:space="0" w:color="000000"/>
              <w:left w:val="single" w:sz="6" w:space="0" w:color="000000"/>
              <w:bottom w:val="single" w:sz="6" w:space="0" w:color="000000"/>
              <w:right w:val="single" w:sz="6" w:space="0" w:color="000000"/>
            </w:tcBorders>
          </w:tcPr>
          <w:p>
            <w:pPr/>
          </w:p>
        </w:tc>
      </w:tr>
    </w:tbl>
    <w:p>
      <w:pPr>
        <w:pStyle w:val="BodyText"/>
        <w:spacing w:line="240" w:lineRule="auto" w:before="10"/>
        <w:ind w:right="0"/>
        <w:jc w:val="left"/>
      </w:pPr>
      <w:r>
        <w:rPr/>
        <w:t>（</w:t>
      </w:r>
      <w:r>
        <w:rPr>
          <w:rFonts w:ascii="宋体" w:hAnsi="宋体" w:cs="宋体" w:eastAsia="宋体" w:hint="default"/>
        </w:rPr>
        <w:t>1</w:t>
      </w:r>
      <w:r>
        <w:rPr/>
        <w:t>）保证借款系：本公司为本公司之子公司提供保证担保，详见“第十一节、十二、</w:t>
      </w:r>
      <w:r>
        <w:rPr>
          <w:rFonts w:ascii="宋体" w:hAnsi="宋体" w:cs="宋体" w:eastAsia="宋体" w:hint="default"/>
        </w:rPr>
        <w:t>5</w:t>
      </w:r>
      <w:r>
        <w:rPr>
          <w:spacing w:val="-90"/>
        </w:rPr>
        <w:t>、</w:t>
      </w:r>
      <w:r>
        <w:rPr/>
        <w:t>（</w:t>
      </w:r>
      <w:r>
        <w:rPr>
          <w:rFonts w:ascii="宋体" w:hAnsi="宋体" w:cs="宋体" w:eastAsia="宋体" w:hint="default"/>
        </w:rPr>
        <w:t>4</w:t>
      </w:r>
      <w:r>
        <w:rPr>
          <w:spacing w:val="-90"/>
        </w:rPr>
        <w:t>）</w:t>
      </w:r>
      <w:r>
        <w:rPr/>
        <w:t>、关联担保情况</w:t>
      </w:r>
      <w:r>
        <w:rPr>
          <w:spacing w:val="-90"/>
        </w:rPr>
        <w:t>”</w:t>
      </w:r>
      <w:r>
        <w:rPr/>
        <w:t>。</w:t>
      </w:r>
    </w:p>
    <w:p>
      <w:pPr>
        <w:pStyle w:val="BodyText"/>
        <w:spacing w:line="319" w:lineRule="auto" w:before="76"/>
        <w:ind w:right="1118"/>
        <w:jc w:val="left"/>
      </w:pPr>
      <w:r>
        <w:rPr>
          <w:spacing w:val="-2"/>
        </w:rPr>
        <w:t>（</w:t>
      </w:r>
      <w:r>
        <w:rPr>
          <w:rFonts w:ascii="宋体" w:hAnsi="宋体" w:cs="宋体" w:eastAsia="宋体" w:hint="default"/>
          <w:spacing w:val="-2"/>
        </w:rPr>
        <w:t>2</w:t>
      </w:r>
      <w:r>
        <w:rPr>
          <w:spacing w:val="-2"/>
        </w:rPr>
        <w:t>）保证</w:t>
      </w:r>
      <w:r>
        <w:rPr>
          <w:rFonts w:ascii="宋体" w:hAnsi="宋体" w:cs="宋体" w:eastAsia="宋体" w:hint="default"/>
          <w:spacing w:val="-2"/>
        </w:rPr>
        <w:t>+</w:t>
      </w:r>
      <w:r>
        <w:rPr>
          <w:spacing w:val="-2"/>
        </w:rPr>
        <w:t>质押借款系由本公司担保并以天津卓达对江苏紫米电子技术有限公司</w:t>
      </w: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4</w:t>
      </w:r>
      <w:r>
        <w:rPr>
          <w:spacing w:val="-2"/>
        </w:rPr>
        <w:t>日至</w:t>
      </w:r>
      <w:r>
        <w:rPr>
          <w:rFonts w:ascii="宋体" w:hAnsi="宋体" w:cs="宋体" w:eastAsia="宋体" w:hint="default"/>
          <w:spacing w:val="-2"/>
        </w:rPr>
        <w:t>2019</w:t>
      </w:r>
      <w:r>
        <w:rPr>
          <w:spacing w:val="-2"/>
        </w:rPr>
        <w:t>年</w:t>
      </w:r>
      <w:r>
        <w:rPr>
          <w:rFonts w:ascii="宋体" w:hAnsi="宋体" w:cs="宋体" w:eastAsia="宋体" w:hint="default"/>
          <w:spacing w:val="-2"/>
        </w:rPr>
        <w:t>2</w:t>
      </w:r>
      <w:r>
        <w:rPr>
          <w:spacing w:val="-2"/>
        </w:rPr>
        <w:t>月</w:t>
      </w:r>
      <w:r>
        <w:rPr>
          <w:rFonts w:ascii="宋体" w:hAnsi="宋体" w:cs="宋体" w:eastAsia="宋体" w:hint="default"/>
          <w:spacing w:val="-2"/>
        </w:rPr>
        <w:t>28</w:t>
      </w:r>
      <w:r>
        <w:rPr>
          <w:spacing w:val="-2"/>
        </w:rPr>
        <w:t>日应收账款作</w:t>
      </w:r>
      <w:r>
        <w:rPr>
          <w:spacing w:val="-48"/>
        </w:rPr>
        <w:t> </w:t>
      </w:r>
      <w:r>
        <w:rPr/>
        <w:t>为质押。</w:t>
      </w:r>
    </w:p>
    <w:p>
      <w:pPr>
        <w:pStyle w:val="BodyText"/>
        <w:spacing w:line="240" w:lineRule="auto" w:before="17"/>
        <w:ind w:left="514" w:right="0"/>
        <w:jc w:val="left"/>
      </w:pPr>
      <w:r>
        <w:rPr/>
        <w:t>短期借款期末余额较期初减少</w:t>
      </w:r>
      <w:r>
        <w:rPr>
          <w:rFonts w:ascii="宋体" w:hAnsi="宋体" w:cs="宋体" w:eastAsia="宋体" w:hint="default"/>
        </w:rPr>
        <w:t>225</w:t>
      </w:r>
      <w:r>
        <w:rPr>
          <w:rFonts w:ascii="Times New Roman" w:hAnsi="Times New Roman" w:cs="Times New Roman" w:eastAsia="Times New Roman" w:hint="default"/>
        </w:rPr>
        <w:t>,</w:t>
      </w:r>
      <w:r>
        <w:rPr>
          <w:rFonts w:ascii="宋体" w:hAnsi="宋体" w:cs="宋体" w:eastAsia="宋体" w:hint="default"/>
        </w:rPr>
        <w:t>239</w:t>
      </w:r>
      <w:r>
        <w:rPr>
          <w:rFonts w:ascii="Times New Roman" w:hAnsi="Times New Roman" w:cs="Times New Roman" w:eastAsia="Times New Roman" w:hint="default"/>
        </w:rPr>
        <w:t>,</w:t>
      </w:r>
      <w:r>
        <w:rPr>
          <w:rFonts w:ascii="宋体" w:hAnsi="宋体" w:cs="宋体" w:eastAsia="宋体" w:hint="default"/>
        </w:rPr>
        <w:t>732.42</w:t>
      </w:r>
      <w:r>
        <w:rPr/>
        <w:t>元，减少比例为</w:t>
      </w:r>
      <w:r>
        <w:rPr>
          <w:rFonts w:ascii="宋体" w:hAnsi="宋体" w:cs="宋体" w:eastAsia="宋体" w:hint="default"/>
        </w:rPr>
        <w:t>45.97%</w:t>
      </w:r>
      <w:r>
        <w:rPr/>
        <w:t>，系本期融资需求减少所致。</w:t>
      </w:r>
    </w:p>
    <w:p>
      <w:pPr>
        <w:spacing w:after="0" w:line="240" w:lineRule="auto"/>
        <w:jc w:val="left"/>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2）已逾期未偿还的短期借款情况" w:id="300"/>
      <w:bookmarkEnd w:id="300"/>
      <w:r>
        <w:rPr>
          <w:b w:val="0"/>
          <w:bCs w:val="0"/>
        </w:rPr>
      </w: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本期末已逾期未偿还的短期借款总额为</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元，其中重要的已逾期未偿还的短期借款情况如下：</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0"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借款利率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逾期利率</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7、以公允价值计量且其变动计入当期损益的金融负债" w:id="301"/>
      <w:bookmarkEnd w:id="301"/>
      <w:r>
        <w:rPr>
          <w:b w:val="0"/>
          <w:bCs w:val="0"/>
        </w:rPr>
      </w:r>
      <w:r>
        <w:rPr>
          <w:rFonts w:ascii="Times New Roman" w:hAnsi="Times New Roman" w:cs="Times New Roman" w:eastAsia="Times New Roman" w:hint="default"/>
        </w:rPr>
        <w:t>27</w:t>
      </w:r>
      <w:r>
        <w:rPr/>
        <w:t>、以公允价值计量且其变动计入当期损益的金融负债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8、衍生金融负债" w:id="302"/>
      <w:bookmarkEnd w:id="302"/>
      <w:r>
        <w:rPr>
          <w:b w:val="0"/>
          <w:bCs w:val="0"/>
        </w:rPr>
      </w:r>
      <w:r>
        <w:rPr>
          <w:rFonts w:ascii="Times New Roman" w:hAnsi="Times New Roman" w:cs="Times New Roman" w:eastAsia="Times New Roman" w:hint="default"/>
        </w:rPr>
        <w:t>28</w:t>
      </w:r>
      <w:r>
        <w:rPr/>
        <w:t>、衍生金融负债</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9、应付票据及应付账款" w:id="303"/>
      <w:bookmarkEnd w:id="303"/>
      <w:r>
        <w:rPr>
          <w:b w:val="0"/>
          <w:bCs w:val="0"/>
        </w:rPr>
      </w:r>
      <w:r>
        <w:rPr>
          <w:rFonts w:ascii="Times New Roman" w:hAnsi="Times New Roman" w:cs="Times New Roman" w:eastAsia="Times New Roman" w:hint="default"/>
        </w:rPr>
        <w:t>29</w:t>
      </w:r>
      <w:r>
        <w:rPr/>
        <w:t>、应付票据及应付账款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186,418,052.15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139,623,906.42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731,251,307.88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1,024,380,871.25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917,669,360.03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1,164,004,777.67</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应付票据分类列示" w:id="304"/>
      <w:bookmarkEnd w:id="304"/>
      <w:r>
        <w:rPr>
          <w:b w:val="0"/>
          <w:bCs w:val="0"/>
        </w:rPr>
      </w:r>
      <w:r>
        <w:rPr/>
        <w:t>（</w:t>
      </w:r>
      <w:r>
        <w:rPr>
          <w:rFonts w:ascii="Times New Roman" w:hAnsi="Times New Roman" w:cs="Times New Roman" w:eastAsia="Times New Roman" w:hint="default"/>
        </w:rPr>
        <w:t>1</w:t>
      </w:r>
      <w:r>
        <w:rPr/>
        <w:t>）应付票据分类列示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186,418,052.15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139,623,906.42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186,418,052.15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139,623,906.42</w:t>
            </w:r>
          </w:p>
        </w:tc>
      </w:tr>
    </w:tbl>
    <w:p>
      <w:pPr>
        <w:pStyle w:val="BodyText"/>
        <w:spacing w:line="240" w:lineRule="auto" w:before="51"/>
        <w:ind w:right="0"/>
        <w:jc w:val="left"/>
      </w:pPr>
      <w:r>
        <w:rPr/>
        <w:t>本期末已到期未支付的应付票据总额为</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10"/>
        <w:rPr>
          <w:rFonts w:ascii="宋体" w:hAnsi="宋体" w:cs="宋体" w:eastAsia="宋体" w:hint="default"/>
          <w:sz w:val="25"/>
          <w:szCs w:val="25"/>
        </w:rPr>
      </w:pPr>
    </w:p>
    <w:p>
      <w:pPr>
        <w:pStyle w:val="Heading3"/>
        <w:spacing w:line="240" w:lineRule="auto"/>
        <w:ind w:right="0"/>
        <w:jc w:val="left"/>
        <w:rPr>
          <w:b w:val="0"/>
          <w:bCs w:val="0"/>
        </w:rPr>
      </w:pPr>
      <w:bookmarkStart w:name="（2）应付账款列示" w:id="305"/>
      <w:bookmarkEnd w:id="305"/>
      <w:r>
        <w:rPr>
          <w:b w:val="0"/>
          <w:bCs w:val="0"/>
        </w:rPr>
      </w:r>
      <w:r>
        <w:rPr/>
        <w:t>（</w:t>
      </w:r>
      <w:r>
        <w:rPr>
          <w:rFonts w:ascii="Times New Roman" w:hAnsi="Times New Roman" w:cs="Times New Roman" w:eastAsia="Times New Roman" w:hint="default"/>
        </w:rPr>
        <w:t>2</w:t>
      </w:r>
      <w:r>
        <w:rPr/>
        <w:t>）应付账款列示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应付材料款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714,785,132.27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1,011,682,667.22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应付工程、设备款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16,466,175.61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12,698,204.03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731,251,307.88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1,024,380,871.25</w:t>
            </w:r>
          </w:p>
        </w:tc>
      </w:tr>
    </w:tbl>
    <w:p>
      <w:pPr>
        <w:spacing w:after="0" w:line="240" w:lineRule="auto"/>
        <w:jc w:val="righ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3）账龄超过1年的重要应付账款" w:id="306"/>
      <w:bookmarkEnd w:id="306"/>
      <w:r>
        <w:rPr>
          <w:b w:val="0"/>
          <w:bCs w:val="0"/>
        </w:rPr>
      </w:r>
      <w:r>
        <w:rPr/>
        <w:t>（</w:t>
      </w:r>
      <w:r>
        <w:rPr>
          <w:rFonts w:ascii="Times New Roman" w:hAnsi="Times New Roman" w:cs="Times New Roman" w:eastAsia="Times New Roman" w:hint="default"/>
        </w:rPr>
        <w:t>3</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年的重要应付账款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4,031,506.17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未与供应商结算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3,262,500.00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未与供应商结算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1,512,871.00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未与供应商结算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1,344,700.00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未与供应商结算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571,434.00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未与供应商结算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10,723,011.17</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t>其他说明：</w:t>
      </w:r>
    </w:p>
    <w:p>
      <w:pPr>
        <w:pStyle w:val="BodyText"/>
        <w:spacing w:line="316" w:lineRule="auto" w:before="115"/>
        <w:ind w:left="514" w:right="3192"/>
        <w:jc w:val="left"/>
      </w:pPr>
      <w:r>
        <w:rPr/>
        <w:t>期末应付账款中无应付持本公司</w:t>
      </w:r>
      <w:r>
        <w:rPr>
          <w:rFonts w:ascii="宋体" w:hAnsi="宋体" w:cs="宋体" w:eastAsia="宋体" w:hint="default"/>
        </w:rPr>
        <w:t>5%</w:t>
      </w:r>
      <w:r>
        <w:rPr/>
        <w:t>以上</w:t>
      </w:r>
      <w:r>
        <w:rPr>
          <w:rFonts w:ascii="宋体" w:hAnsi="宋体" w:cs="宋体" w:eastAsia="宋体" w:hint="default"/>
        </w:rPr>
        <w:t>(</w:t>
      </w:r>
      <w:r>
        <w:rPr/>
        <w:t>含</w:t>
      </w:r>
      <w:r>
        <w:rPr>
          <w:rFonts w:ascii="宋体" w:hAnsi="宋体" w:cs="宋体" w:eastAsia="宋体" w:hint="default"/>
        </w:rPr>
        <w:t>5%)</w:t>
      </w:r>
      <w:r>
        <w:rPr/>
        <w:t>表决权股份的股东单位及其他关联方的款项。 </w:t>
      </w:r>
      <w:r>
        <w:rPr>
          <w:spacing w:val="-3"/>
        </w:rPr>
        <w:t>期末应付账款中应付其他关联方款项，详见“第十一节、十二、关联方及关联交易”。</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30、预收款项" w:id="307"/>
      <w:bookmarkEnd w:id="307"/>
      <w:r>
        <w:rPr>
          <w:b w:val="0"/>
          <w:bCs w:val="0"/>
        </w:rPr>
      </w:r>
      <w:r>
        <w:rPr>
          <w:rFonts w:ascii="Times New Roman" w:hAnsi="Times New Roman" w:cs="Times New Roman" w:eastAsia="Times New Roman" w:hint="default"/>
        </w:rPr>
        <w:t>30</w:t>
      </w:r>
      <w:r>
        <w:rPr/>
        <w:t>、预收款项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预收款项列示" w:id="308"/>
      <w:bookmarkEnd w:id="308"/>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预收货款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19,756,513.35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20,712,900.53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预收租赁款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1,001,495.54</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20,758,008.89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20,712,900.53</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账龄超过1年的重要预收款项" w:id="309"/>
      <w:bookmarkEnd w:id="309"/>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年的重要预收款项</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翼智（厦门）信息科技有限公司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1,170,000.00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未结算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福建伊斯普电子科技有限公司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547,448.00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合同执行中</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CALIFORNIA LABS</w:t>
            </w:r>
            <w:r>
              <w:rPr>
                <w:rFonts w:ascii="Times New Roman"/>
                <w:spacing w:val="-12"/>
                <w:sz w:val="18"/>
              </w:rPr>
              <w:t> </w:t>
            </w:r>
            <w:r>
              <w:rPr>
                <w:rFonts w:ascii="Times New Roman"/>
                <w:sz w:val="18"/>
              </w:rPr>
              <w:t>INC</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378,064.45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未结算</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2,095,512.45</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期末建造合同形成的已结算未完工项目情况" w:id="310"/>
      <w:bookmarkEnd w:id="310"/>
      <w:r>
        <w:rPr>
          <w:b w:val="0"/>
          <w:bCs w:val="0"/>
        </w:rPr>
      </w: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r>
    </w:tbl>
    <w:p>
      <w:pPr>
        <w:pStyle w:val="BodyText"/>
        <w:spacing w:line="357" w:lineRule="auto" w:before="52"/>
        <w:ind w:right="4452"/>
        <w:jc w:val="left"/>
      </w:pPr>
      <w:r>
        <w:rPr/>
        <w:t>其他说明： </w:t>
      </w:r>
      <w:r>
        <w:rPr>
          <w:rFonts w:ascii="宋体" w:hAnsi="宋体" w:cs="宋体" w:eastAsia="宋体" w:hint="default"/>
        </w:rPr>
        <w:t>1.</w:t>
      </w:r>
      <w:r>
        <w:rPr/>
        <w:t>期末预收款项中无预收持本公司</w:t>
      </w:r>
      <w:r>
        <w:rPr>
          <w:rFonts w:ascii="宋体" w:hAnsi="宋体" w:cs="宋体" w:eastAsia="宋体" w:hint="default"/>
        </w:rPr>
        <w:t>5%</w:t>
      </w:r>
      <w:r>
        <w:rPr/>
        <w:t>以上</w:t>
      </w:r>
      <w:r>
        <w:rPr>
          <w:rFonts w:ascii="宋体" w:hAnsi="宋体" w:cs="宋体" w:eastAsia="宋体" w:hint="default"/>
        </w:rPr>
        <w:t>(</w:t>
      </w:r>
      <w:r>
        <w:rPr/>
        <w:t>含</w:t>
      </w:r>
      <w:r>
        <w:rPr>
          <w:rFonts w:ascii="宋体" w:hAnsi="宋体" w:cs="宋体" w:eastAsia="宋体" w:hint="default"/>
        </w:rPr>
        <w:t>5%)</w:t>
      </w:r>
      <w:r>
        <w:rPr/>
        <w:t>表决权股份的股东单位的款项。</w:t>
      </w:r>
    </w:p>
    <w:p>
      <w:pPr>
        <w:spacing w:after="0" w:line="357" w:lineRule="auto"/>
        <w:jc w:val="left"/>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240" w:lineRule="auto" w:before="44"/>
        <w:ind w:right="0"/>
        <w:jc w:val="left"/>
      </w:pPr>
      <w:r>
        <w:rPr>
          <w:rFonts w:ascii="宋体" w:hAnsi="宋体" w:cs="宋体" w:eastAsia="宋体" w:hint="default"/>
        </w:rPr>
        <w:t>2.</w:t>
      </w:r>
      <w:r>
        <w:rPr/>
        <w:t>期末预收款项中预收其他关联方款项，详见“第十一节、十二、关联方及关联交易</w:t>
      </w:r>
      <w:r>
        <w:rPr>
          <w:spacing w:val="-90"/>
        </w:rPr>
        <w:t>”</w:t>
      </w:r>
      <w:r>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4"/>
          <w:szCs w:val="14"/>
        </w:rPr>
      </w:pPr>
    </w:p>
    <w:p>
      <w:pPr>
        <w:pStyle w:val="Heading3"/>
        <w:spacing w:line="240" w:lineRule="auto"/>
        <w:ind w:right="0"/>
        <w:jc w:val="left"/>
        <w:rPr>
          <w:b w:val="0"/>
          <w:bCs w:val="0"/>
        </w:rPr>
      </w:pPr>
      <w:bookmarkStart w:name="31、应付职工薪酬" w:id="311"/>
      <w:bookmarkEnd w:id="311"/>
      <w:r>
        <w:rPr>
          <w:b w:val="0"/>
          <w:bCs w:val="0"/>
        </w:rPr>
      </w:r>
      <w:r>
        <w:rPr>
          <w:rFonts w:ascii="Times New Roman" w:hAnsi="Times New Roman" w:cs="Times New Roman" w:eastAsia="Times New Roman" w:hint="default"/>
        </w:rPr>
        <w:t>31</w:t>
      </w:r>
      <w:r>
        <w:rPr/>
        <w:t>、应付职工薪酬</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应付职工薪酬列示" w:id="312"/>
      <w:bookmarkEnd w:id="312"/>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39,078,584.95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682,095,640.24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681,763,970.39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39,410,254.80</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116"/>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 提存计划</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20,508,556.27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20,508,556.27</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1,922,892.60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1,922,892.60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39,078,584.95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704,527,089.11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704,195,419.26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39,410,254.80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短期薪酬列示" w:id="313"/>
      <w:bookmarkEnd w:id="313"/>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、工资、奖金、津贴</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和补贴</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37,310,217.48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638,140,483.33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637,551,898.32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37,898,802.49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1,762,556.47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29,848,456.01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30,099,560.17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1,511,452.31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5,961,646.38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5,961,646.38</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3" w:right="0"/>
              <w:jc w:val="left"/>
              <w:rPr>
                <w:rFonts w:ascii="宋体" w:hAnsi="宋体" w:cs="宋体" w:eastAsia="宋体" w:hint="default"/>
                <w:sz w:val="18"/>
                <w:szCs w:val="18"/>
              </w:rPr>
            </w:pPr>
            <w:r>
              <w:rPr>
                <w:rFonts w:ascii="宋体" w:hAnsi="宋体" w:cs="宋体" w:eastAsia="宋体" w:hint="default"/>
                <w:sz w:val="18"/>
                <w:szCs w:val="18"/>
              </w:rPr>
              <w:t>其中：医疗保险</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4,378,875.60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4,378,875.60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03" w:right="0"/>
              <w:jc w:val="left"/>
              <w:rPr>
                <w:rFonts w:ascii="宋体" w:hAnsi="宋体" w:cs="宋体" w:eastAsia="宋体" w:hint="default"/>
                <w:sz w:val="18"/>
                <w:szCs w:val="18"/>
              </w:rPr>
            </w:pPr>
            <w:r>
              <w:rPr>
                <w:rFonts w:ascii="宋体" w:hAnsi="宋体" w:cs="宋体" w:eastAsia="宋体" w:hint="default"/>
                <w:sz w:val="18"/>
                <w:szCs w:val="18"/>
              </w:rPr>
              <w:t>工伤保险</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855,793.82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855,793.82</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03" w:right="0"/>
              <w:jc w:val="left"/>
              <w:rPr>
                <w:rFonts w:ascii="宋体" w:hAnsi="宋体" w:cs="宋体" w:eastAsia="宋体" w:hint="default"/>
                <w:sz w:val="18"/>
                <w:szCs w:val="18"/>
              </w:rPr>
            </w:pPr>
            <w:r>
              <w:rPr>
                <w:rFonts w:ascii="宋体" w:hAnsi="宋体" w:cs="宋体" w:eastAsia="宋体" w:hint="default"/>
                <w:sz w:val="18"/>
                <w:szCs w:val="18"/>
              </w:rPr>
              <w:t>生育保险</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726,976.96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726,976.96</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w w:val="95"/>
                <w:sz w:val="18"/>
              </w:rPr>
              <w:t>5,811.00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8,145,054.52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8,150,865.52</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39,078,584.95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682,095,640.24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681,763,970.39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39,410,254.80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设定提存计划列示" w:id="314"/>
      <w:bookmarkEnd w:id="314"/>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20,508,556.27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20,508,556.27</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20,508,556.27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20,508,556.27</w:t>
            </w:r>
          </w:p>
        </w:tc>
        <w:tc>
          <w:tcPr>
            <w:tcW w:w="1914"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其他说明：</w:t>
      </w:r>
    </w:p>
    <w:p>
      <w:pPr>
        <w:spacing w:after="0" w:line="240" w:lineRule="auto"/>
        <w:jc w:val="left"/>
        <w:sectPr>
          <w:pgSz w:w="11910" w:h="16840"/>
          <w:pgMar w:header="917" w:footer="1019" w:top="112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32、应交税费" w:id="315"/>
      <w:bookmarkEnd w:id="315"/>
      <w:r>
        <w:rPr>
          <w:b w:val="0"/>
          <w:bCs w:val="0"/>
        </w:rPr>
      </w:r>
      <w:r>
        <w:rPr>
          <w:rFonts w:ascii="Times New Roman" w:hAnsi="Times New Roman" w:cs="Times New Roman" w:eastAsia="Times New Roman" w:hint="default"/>
        </w:rPr>
        <w:t>32</w:t>
      </w:r>
      <w:r>
        <w:rPr/>
        <w:t>、应交税费</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36,574,567.02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16,522,209.02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6,856,183.57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936,995.82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1,060,852.57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1,785,607.48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278,862.64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1,275,433.95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199,187.59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946,373.38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103,007.36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40,851.24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22,504.76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969,710.89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306,239.44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环境保护税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44,094.32</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42,573,634.10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25,349,046.95</w:t>
            </w:r>
          </w:p>
        </w:tc>
      </w:tr>
    </w:tbl>
    <w:p>
      <w:pPr>
        <w:pStyle w:val="BodyText"/>
        <w:spacing w:line="240" w:lineRule="auto" w:before="51"/>
        <w:ind w:right="0"/>
        <w:jc w:val="left"/>
      </w:pPr>
      <w:r>
        <w:rPr/>
        <w:t>其他说明：</w:t>
      </w:r>
    </w:p>
    <w:p>
      <w:pPr>
        <w:spacing w:line="240" w:lineRule="auto" w:before="7"/>
        <w:rPr>
          <w:rFonts w:ascii="宋体" w:hAnsi="宋体" w:cs="宋体" w:eastAsia="宋体" w:hint="default"/>
          <w:sz w:val="11"/>
          <w:szCs w:val="11"/>
        </w:rPr>
      </w:pPr>
    </w:p>
    <w:p>
      <w:pPr>
        <w:pStyle w:val="BodyText"/>
        <w:spacing w:line="240" w:lineRule="auto" w:before="44"/>
        <w:ind w:left="574" w:right="0"/>
        <w:jc w:val="left"/>
      </w:pPr>
      <w:r>
        <w:rPr/>
        <w:t>应交税费期末余额较期初增加</w:t>
      </w:r>
      <w:r>
        <w:rPr>
          <w:rFonts w:ascii="宋体" w:hAnsi="宋体" w:cs="宋体" w:eastAsia="宋体" w:hint="default"/>
        </w:rPr>
        <w:t>17</w:t>
      </w:r>
      <w:r>
        <w:rPr>
          <w:rFonts w:ascii="Times New Roman" w:hAnsi="Times New Roman" w:cs="Times New Roman" w:eastAsia="Times New Roman" w:hint="default"/>
        </w:rPr>
        <w:t>,</w:t>
      </w:r>
      <w:r>
        <w:rPr>
          <w:rFonts w:ascii="宋体" w:hAnsi="宋体" w:cs="宋体" w:eastAsia="宋体" w:hint="default"/>
        </w:rPr>
        <w:t>224</w:t>
      </w:r>
      <w:r>
        <w:rPr>
          <w:rFonts w:ascii="Times New Roman" w:hAnsi="Times New Roman" w:cs="Times New Roman" w:eastAsia="Times New Roman" w:hint="default"/>
        </w:rPr>
        <w:t>,</w:t>
      </w:r>
      <w:r>
        <w:rPr>
          <w:rFonts w:ascii="宋体" w:hAnsi="宋体" w:cs="宋体" w:eastAsia="宋体" w:hint="default"/>
        </w:rPr>
        <w:t>587.15</w:t>
      </w:r>
      <w:r>
        <w:rPr/>
        <w:t>元，增长比例为</w:t>
      </w:r>
      <w:r>
        <w:rPr>
          <w:rFonts w:ascii="宋体" w:hAnsi="宋体" w:cs="宋体" w:eastAsia="宋体" w:hint="default"/>
        </w:rPr>
        <w:t>67.95%</w:t>
      </w:r>
      <w:r>
        <w:rPr/>
        <w:t>，系本期产品销售增长应纳流转税及附加税增加所</w:t>
      </w:r>
    </w:p>
    <w:p>
      <w:pPr>
        <w:pStyle w:val="BodyText"/>
        <w:spacing w:line="240" w:lineRule="auto" w:before="63"/>
        <w:ind w:right="0"/>
        <w:jc w:val="left"/>
      </w:pPr>
      <w:r>
        <w:rPr/>
        <w:t>致。</w:t>
      </w:r>
    </w:p>
    <w:p>
      <w:pPr>
        <w:spacing w:line="240" w:lineRule="auto" w:before="3"/>
        <w:rPr>
          <w:rFonts w:ascii="宋体" w:hAnsi="宋体" w:cs="宋体" w:eastAsia="宋体" w:hint="default"/>
          <w:sz w:val="24"/>
          <w:szCs w:val="24"/>
        </w:rPr>
      </w:pPr>
    </w:p>
    <w:p>
      <w:pPr>
        <w:pStyle w:val="Heading3"/>
        <w:spacing w:line="240" w:lineRule="auto" w:before="35"/>
        <w:ind w:right="0"/>
        <w:jc w:val="left"/>
        <w:rPr>
          <w:b w:val="0"/>
          <w:bCs w:val="0"/>
        </w:rPr>
      </w:pPr>
      <w:bookmarkStart w:name="33、其他应付款" w:id="316"/>
      <w:bookmarkEnd w:id="316"/>
      <w:r>
        <w:rPr>
          <w:b w:val="0"/>
          <w:bCs w:val="0"/>
        </w:rPr>
      </w:r>
      <w:r>
        <w:rPr>
          <w:rFonts w:ascii="Times New Roman" w:hAnsi="Times New Roman" w:cs="Times New Roman" w:eastAsia="Times New Roman" w:hint="default"/>
        </w:rPr>
        <w:t>33</w:t>
      </w:r>
      <w:r>
        <w:rPr/>
        <w:t>、其他应付款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2,868,509.53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862,375.80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42,500,011.71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47,063,111.57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45,368,521.24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47,925,487.37</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应付利息" w:id="317"/>
      <w:bookmarkEnd w:id="317"/>
      <w:r>
        <w:rPr>
          <w:b w:val="0"/>
          <w:bCs w:val="0"/>
        </w:rPr>
      </w:r>
      <w:r>
        <w:rPr/>
        <w:t>（</w:t>
      </w:r>
      <w:r>
        <w:rPr>
          <w:rFonts w:ascii="Times New Roman" w:hAnsi="Times New Roman" w:cs="Times New Roman" w:eastAsia="Times New Roman" w:hint="default"/>
        </w:rPr>
        <w:t>1</w:t>
      </w:r>
      <w:r>
        <w:rPr/>
        <w:t>）应付利息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168,498.75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200,083.33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2,700,010.78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662,292.47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2,868,509.53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862,375.80</w:t>
            </w:r>
          </w:p>
        </w:tc>
      </w:tr>
    </w:tbl>
    <w:p>
      <w:pPr>
        <w:pStyle w:val="BodyText"/>
        <w:spacing w:line="240" w:lineRule="auto" w:before="51"/>
        <w:ind w:right="0"/>
        <w:jc w:val="left"/>
      </w:pPr>
      <w:r>
        <w:rPr/>
        <w:t>重要的已逾期未支付的利息情况：</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借款单位</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逾期金额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逾期原因</w:t>
            </w:r>
          </w:p>
        </w:tc>
      </w:tr>
    </w:tbl>
    <w:p>
      <w:pPr>
        <w:spacing w:after="0" w:line="240" w:lineRule="auto"/>
        <w:jc w:val="center"/>
        <w:rPr>
          <w:rFonts w:ascii="宋体" w:hAnsi="宋体" w:cs="宋体" w:eastAsia="宋体" w:hint="default"/>
          <w:sz w:val="18"/>
          <w:szCs w:val="18"/>
        </w:rPr>
        <w:sectPr>
          <w:footerReference w:type="default" r:id="rId52"/>
          <w:pgSz w:w="11910" w:h="16840"/>
          <w:pgMar w:footer="1625" w:header="917" w:top="1120" w:bottom="1820" w:left="980" w:right="0"/>
          <w:pgNumType w:start="185"/>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2）应付股利" w:id="318"/>
      <w:bookmarkEnd w:id="318"/>
      <w:r>
        <w:rPr>
          <w:b w:val="0"/>
          <w:bCs w:val="0"/>
        </w:rPr>
      </w:r>
      <w:r>
        <w:rPr/>
        <w:t>（</w:t>
      </w:r>
      <w:r>
        <w:rPr>
          <w:rFonts w:ascii="Times New Roman" w:hAnsi="Times New Roman" w:cs="Times New Roman" w:eastAsia="Times New Roman" w:hint="default"/>
        </w:rPr>
        <w:t>2</w:t>
      </w:r>
      <w:r>
        <w:rPr/>
        <w:t>）应付股利</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2"/>
        <w:ind w:right="0"/>
        <w:jc w:val="left"/>
      </w:pPr>
      <w:r>
        <w:rPr/>
        <w:t>其他说明，包括重要的超过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年未支付的应付股利，应披露未支付原因：</w:t>
      </w:r>
    </w:p>
    <w:p>
      <w:pPr>
        <w:spacing w:line="240" w:lineRule="auto" w:before="9"/>
        <w:rPr>
          <w:rFonts w:ascii="宋体" w:hAnsi="宋体" w:cs="宋体" w:eastAsia="宋体" w:hint="default"/>
          <w:sz w:val="25"/>
          <w:szCs w:val="25"/>
        </w:rPr>
      </w:pPr>
    </w:p>
    <w:p>
      <w:pPr>
        <w:pStyle w:val="Heading3"/>
        <w:spacing w:line="240" w:lineRule="auto"/>
        <w:ind w:right="0"/>
        <w:jc w:val="left"/>
        <w:rPr>
          <w:b w:val="0"/>
          <w:bCs w:val="0"/>
        </w:rPr>
      </w:pPr>
      <w:bookmarkStart w:name="（3）其他应付款" w:id="319"/>
      <w:bookmarkEnd w:id="319"/>
      <w:r>
        <w:rPr>
          <w:b w:val="0"/>
          <w:bCs w:val="0"/>
        </w:rPr>
      </w:r>
      <w:r>
        <w:rPr/>
        <w:t>（</w:t>
      </w:r>
      <w:r>
        <w:rPr>
          <w:rFonts w:ascii="Times New Roman" w:hAnsi="Times New Roman" w:cs="Times New Roman" w:eastAsia="Times New Roman" w:hint="default"/>
        </w:rPr>
        <w:t>3</w:t>
      </w:r>
      <w:r>
        <w:rPr/>
        <w:t>）其他应付款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按款项性质列示其他应付款</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2,199,601.91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2,805,676.33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运费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1,833,277.19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4,722,402.76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其他预提费用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20,619,573.40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16,357,473.36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代收款</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3,852,634.21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4,261,459.12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限制性股票的回购义务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13,994,925.00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18,916,100.00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42,500,011.71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47,063,111.57</w:t>
            </w:r>
          </w:p>
        </w:tc>
      </w:tr>
    </w:tbl>
    <w:p>
      <w:pPr>
        <w:pStyle w:val="BodyText"/>
        <w:spacing w:line="240" w:lineRule="auto" w:before="51"/>
        <w:ind w:right="0"/>
        <w:jc w:val="left"/>
      </w:pPr>
      <w:r>
        <w:rPr>
          <w:rFonts w:ascii="Times New Roman" w:hAnsi="Times New Roman" w:cs="Times New Roman" w:eastAsia="Times New Roman" w:hint="default"/>
        </w:rPr>
        <w:t>2)</w:t>
      </w:r>
      <w:r>
        <w:rPr/>
        <w:t>账龄超过</w:t>
      </w:r>
      <w:r>
        <w:rPr>
          <w:spacing w:val="-46"/>
        </w:rPr>
        <w:t> </w:t>
      </w:r>
      <w:r>
        <w:rPr>
          <w:rFonts w:ascii="Times New Roman" w:hAnsi="Times New Roman" w:cs="Times New Roman" w:eastAsia="Times New Roman" w:hint="default"/>
        </w:rPr>
        <w:t>1 </w:t>
      </w:r>
      <w:r>
        <w:rPr/>
        <w:t>年的重要其他应付款</w:t>
      </w:r>
    </w:p>
    <w:p>
      <w:pPr>
        <w:pStyle w:val="BodyText"/>
        <w:spacing w:line="240" w:lineRule="auto" w:before="10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pStyle w:val="BodyText"/>
        <w:spacing w:line="357" w:lineRule="auto" w:before="51"/>
        <w:ind w:right="7332"/>
        <w:jc w:val="left"/>
      </w:pPr>
      <w:r>
        <w:rPr/>
        <w:t>其他说明 </w:t>
      </w:r>
      <w:r>
        <w:rPr>
          <w:rFonts w:ascii="宋体" w:hAnsi="宋体" w:cs="宋体" w:eastAsia="宋体" w:hint="default"/>
        </w:rPr>
        <w:t>1.</w:t>
      </w:r>
      <w:r>
        <w:rPr/>
        <w:t>期末无账龄超过一年的重要其他应付款。</w:t>
      </w:r>
    </w:p>
    <w:p>
      <w:pPr>
        <w:pStyle w:val="BodyText"/>
        <w:spacing w:line="224" w:lineRule="exact"/>
        <w:ind w:right="0"/>
        <w:jc w:val="left"/>
      </w:pPr>
      <w:r>
        <w:rPr>
          <w:rFonts w:ascii="宋体" w:hAnsi="宋体" w:cs="宋体" w:eastAsia="宋体" w:hint="default"/>
        </w:rPr>
        <w:t>2.</w:t>
      </w:r>
      <w:r>
        <w:rPr/>
        <w:t>期末其他应付款中无应付持本公司</w:t>
      </w:r>
      <w:r>
        <w:rPr>
          <w:rFonts w:ascii="宋体" w:hAnsi="宋体" w:cs="宋体" w:eastAsia="宋体" w:hint="default"/>
        </w:rPr>
        <w:t>5%</w:t>
      </w:r>
      <w:r>
        <w:rPr/>
        <w:t>以上</w:t>
      </w:r>
      <w:r>
        <w:rPr>
          <w:rFonts w:ascii="宋体" w:hAnsi="宋体" w:cs="宋体" w:eastAsia="宋体" w:hint="default"/>
        </w:rPr>
        <w:t>(</w:t>
      </w:r>
      <w:r>
        <w:rPr/>
        <w:t>含</w:t>
      </w:r>
      <w:r>
        <w:rPr>
          <w:rFonts w:ascii="宋体" w:hAnsi="宋体" w:cs="宋体" w:eastAsia="宋体" w:hint="default"/>
        </w:rPr>
        <w:t>5%)</w:t>
      </w:r>
      <w:r>
        <w:rPr/>
        <w:t>表决权股份的股东单位款项。</w:t>
      </w:r>
    </w:p>
    <w:p>
      <w:pPr>
        <w:pStyle w:val="BodyText"/>
        <w:spacing w:line="240" w:lineRule="auto" w:before="76"/>
        <w:ind w:right="0"/>
        <w:jc w:val="left"/>
      </w:pPr>
      <w:r>
        <w:rPr>
          <w:rFonts w:ascii="宋体" w:hAnsi="宋体" w:cs="宋体" w:eastAsia="宋体" w:hint="default"/>
        </w:rPr>
        <w:t>3.</w:t>
      </w:r>
      <w:r>
        <w:rPr/>
        <w:t>期末其他应付款中无应付其他关联方款项。</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34、持有待售负债" w:id="320"/>
      <w:bookmarkEnd w:id="320"/>
      <w:r>
        <w:rPr>
          <w:b w:val="0"/>
          <w:bCs w:val="0"/>
        </w:rPr>
      </w:r>
      <w:r>
        <w:rPr>
          <w:rFonts w:ascii="Times New Roman" w:hAnsi="Times New Roman" w:cs="Times New Roman" w:eastAsia="Times New Roman" w:hint="default"/>
        </w:rPr>
        <w:t>34</w:t>
      </w:r>
      <w:r>
        <w:rPr/>
        <w:t>、持有待售负债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5、一年内到期的非流动负债" w:id="321"/>
      <w:bookmarkEnd w:id="321"/>
      <w:r>
        <w:rPr>
          <w:b w:val="0"/>
          <w:bCs w:val="0"/>
        </w:rPr>
      </w:r>
      <w:r>
        <w:rPr>
          <w:rFonts w:ascii="Times New Roman" w:hAnsi="Times New Roman" w:cs="Times New Roman" w:eastAsia="Times New Roman" w:hint="default"/>
        </w:rPr>
        <w:t>35</w:t>
      </w:r>
      <w:r>
        <w:rPr/>
        <w:t>、一年内到期的非流动负债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11,000,000.00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625" w:top="1120" w:bottom="182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r>
        <w:rPr>
          <w:rFonts w:ascii="宋体" w:hAnsi="宋体" w:cs="宋体" w:eastAsia="宋体" w:hint="default"/>
        </w:rPr>
        <w:t>1</w:t>
      </w:r>
      <w:r>
        <w:rPr/>
        <w:t>、一年内到期的长期借款明细</w:t>
      </w:r>
      <w:r>
        <w:rPr>
          <w:b w:val="0"/>
          <w:bCs w:val="0"/>
        </w:rPr>
      </w:r>
    </w:p>
    <w:p>
      <w:pPr>
        <w:spacing w:line="240" w:lineRule="auto" w:before="13"/>
        <w:rPr>
          <w:rFonts w:ascii="宋体" w:hAnsi="宋体" w:cs="宋体" w:eastAsia="宋体" w:hint="default"/>
          <w:b/>
          <w:bCs/>
          <w:sz w:val="3"/>
          <w:szCs w:val="3"/>
        </w:rPr>
      </w:pPr>
    </w:p>
    <w:tbl>
      <w:tblPr>
        <w:tblW w:w="0" w:type="auto"/>
        <w:jc w:val="left"/>
        <w:tblInd w:w="146" w:type="dxa"/>
        <w:tblLayout w:type="fixed"/>
        <w:tblCellMar>
          <w:top w:w="0" w:type="dxa"/>
          <w:left w:w="0" w:type="dxa"/>
          <w:bottom w:w="0" w:type="dxa"/>
          <w:right w:w="0" w:type="dxa"/>
        </w:tblCellMar>
        <w:tblLook w:val="01E0"/>
      </w:tblPr>
      <w:tblGrid>
        <w:gridCol w:w="491"/>
        <w:gridCol w:w="1906"/>
        <w:gridCol w:w="775"/>
        <w:gridCol w:w="1316"/>
        <w:gridCol w:w="730"/>
        <w:gridCol w:w="1357"/>
        <w:gridCol w:w="851"/>
        <w:gridCol w:w="1909"/>
      </w:tblGrid>
      <w:tr>
        <w:trPr>
          <w:trHeight w:val="347"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银行名称</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币种</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90" w:right="0"/>
              <w:jc w:val="left"/>
              <w:rPr>
                <w:rFonts w:ascii="宋体" w:hAnsi="宋体" w:cs="宋体" w:eastAsia="宋体" w:hint="default"/>
                <w:sz w:val="18"/>
                <w:szCs w:val="18"/>
              </w:rPr>
            </w:pPr>
            <w:r>
              <w:rPr>
                <w:rFonts w:ascii="宋体" w:hAnsi="宋体" w:cs="宋体" w:eastAsia="宋体" w:hint="default"/>
                <w:sz w:val="18"/>
                <w:szCs w:val="18"/>
              </w:rPr>
              <w:t>借款金额</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75"/>
              <w:jc w:val="right"/>
              <w:rPr>
                <w:rFonts w:ascii="宋体" w:hAnsi="宋体" w:cs="宋体" w:eastAsia="宋体" w:hint="default"/>
                <w:sz w:val="18"/>
                <w:szCs w:val="18"/>
              </w:rPr>
            </w:pPr>
            <w:r>
              <w:rPr>
                <w:rFonts w:ascii="宋体" w:hAnsi="宋体" w:cs="宋体" w:eastAsia="宋体" w:hint="default"/>
                <w:sz w:val="18"/>
                <w:szCs w:val="18"/>
              </w:rPr>
              <w:t>汇率</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20" w:right="0"/>
              <w:jc w:val="left"/>
              <w:rPr>
                <w:rFonts w:ascii="宋体" w:hAnsi="宋体" w:cs="宋体" w:eastAsia="宋体" w:hint="default"/>
                <w:sz w:val="18"/>
                <w:szCs w:val="18"/>
              </w:rPr>
            </w:pPr>
            <w:r>
              <w:rPr>
                <w:rFonts w:ascii="宋体" w:hAnsi="宋体" w:cs="宋体" w:eastAsia="宋体" w:hint="default"/>
                <w:sz w:val="18"/>
                <w:szCs w:val="18"/>
              </w:rPr>
              <w:t>折合人民币</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期限</w:t>
            </w:r>
          </w:p>
        </w:tc>
      </w:tr>
      <w:tr>
        <w:trPr>
          <w:trHeight w:val="659"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sz w:val="18"/>
              </w:rPr>
              <w:t>1</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85"/>
              <w:jc w:val="left"/>
              <w:rPr>
                <w:rFonts w:ascii="宋体" w:hAnsi="宋体" w:cs="宋体" w:eastAsia="宋体" w:hint="default"/>
                <w:sz w:val="18"/>
                <w:szCs w:val="18"/>
              </w:rPr>
            </w:pPr>
            <w:r>
              <w:rPr>
                <w:rFonts w:ascii="宋体" w:hAnsi="宋体" w:cs="宋体" w:eastAsia="宋体" w:hint="default"/>
                <w:sz w:val="18"/>
                <w:szCs w:val="18"/>
              </w:rPr>
              <w:t>中国工商银行厦门软件 园支行</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人民币</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64" w:right="0"/>
              <w:jc w:val="left"/>
              <w:rPr>
                <w:rFonts w:ascii="Times New Roman" w:hAnsi="Times New Roman" w:cs="Times New Roman" w:eastAsia="Times New Roman" w:hint="default"/>
                <w:sz w:val="18"/>
                <w:szCs w:val="18"/>
              </w:rPr>
            </w:pPr>
            <w:r>
              <w:rPr>
                <w:rFonts w:ascii="宋体"/>
                <w:sz w:val="18"/>
              </w:rPr>
              <w:t>11</w:t>
            </w:r>
            <w:r>
              <w:rPr>
                <w:rFonts w:ascii="Times New Roman"/>
                <w:sz w:val="18"/>
              </w:rPr>
              <w:t>,000,000.00</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75"/>
              <w:jc w:val="right"/>
              <w:rPr>
                <w:rFonts w:ascii="宋体" w:hAnsi="宋体" w:cs="宋体" w:eastAsia="宋体" w:hint="default"/>
                <w:sz w:val="18"/>
                <w:szCs w:val="18"/>
              </w:rPr>
            </w:pPr>
            <w:r>
              <w:rPr>
                <w:rFonts w:ascii="宋体"/>
                <w:sz w:val="18"/>
              </w:rPr>
              <w:t>1.00</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Times New Roman" w:hAnsi="Times New Roman" w:cs="Times New Roman" w:eastAsia="Times New Roman" w:hint="default"/>
                <w:sz w:val="18"/>
                <w:szCs w:val="18"/>
              </w:rPr>
            </w:pPr>
            <w:r>
              <w:rPr>
                <w:rFonts w:ascii="宋体"/>
                <w:spacing w:val="-1"/>
                <w:sz w:val="18"/>
              </w:rPr>
              <w:t>11</w:t>
            </w:r>
            <w:r>
              <w:rPr>
                <w:rFonts w:ascii="Times New Roman"/>
                <w:spacing w:val="-1"/>
                <w:sz w:val="18"/>
              </w:rPr>
              <w:t>,000,000.00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抵押借款</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807" w:right="0"/>
              <w:jc w:val="center"/>
              <w:rPr>
                <w:rFonts w:ascii="宋体" w:hAnsi="宋体" w:cs="宋体" w:eastAsia="宋体" w:hint="default"/>
                <w:sz w:val="18"/>
                <w:szCs w:val="18"/>
              </w:rPr>
            </w:pPr>
            <w:r>
              <w:rPr>
                <w:rFonts w:ascii="宋体" w:hAnsi="宋体" w:cs="宋体" w:eastAsia="宋体" w:hint="default"/>
                <w:sz w:val="18"/>
                <w:szCs w:val="18"/>
              </w:rPr>
              <w:t>2017.12.12</w:t>
            </w:r>
            <w:r>
              <w:rPr>
                <w:rFonts w:ascii="宋体" w:hAnsi="宋体" w:cs="宋体" w:eastAsia="宋体" w:hint="default"/>
                <w:sz w:val="18"/>
                <w:szCs w:val="18"/>
              </w:rPr>
              <w:t>至</w:t>
            </w:r>
          </w:p>
          <w:p>
            <w:pPr>
              <w:pStyle w:val="TableParagraph"/>
              <w:spacing w:line="240" w:lineRule="auto" w:before="76"/>
              <w:ind w:left="987" w:right="0"/>
              <w:jc w:val="center"/>
              <w:rPr>
                <w:rFonts w:ascii="宋体" w:hAnsi="宋体" w:cs="宋体" w:eastAsia="宋体" w:hint="default"/>
                <w:sz w:val="18"/>
                <w:szCs w:val="18"/>
              </w:rPr>
            </w:pPr>
            <w:r>
              <w:rPr>
                <w:rFonts w:ascii="宋体"/>
                <w:sz w:val="18"/>
              </w:rPr>
              <w:t>2019.12.20</w:t>
            </w:r>
          </w:p>
        </w:tc>
      </w:tr>
      <w:tr>
        <w:trPr>
          <w:trHeight w:val="348" w:hRule="exact"/>
        </w:trPr>
        <w:tc>
          <w:tcPr>
            <w:tcW w:w="491" w:type="dxa"/>
            <w:tcBorders>
              <w:top w:val="single" w:sz="6" w:space="0" w:color="000000"/>
              <w:left w:val="single" w:sz="6" w:space="0" w:color="000000"/>
              <w:bottom w:val="single" w:sz="6" w:space="0" w:color="000000"/>
              <w:right w:val="single" w:sz="6" w:space="0" w:color="000000"/>
            </w:tcBorders>
          </w:tcPr>
          <w:p>
            <w:pP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775" w:type="dxa"/>
            <w:tcBorders>
              <w:top w:val="single" w:sz="6" w:space="0" w:color="000000"/>
              <w:left w:val="single" w:sz="6" w:space="0" w:color="000000"/>
              <w:bottom w:val="single" w:sz="6" w:space="0" w:color="000000"/>
              <w:right w:val="single" w:sz="6" w:space="0" w:color="000000"/>
            </w:tcBorders>
          </w:tcPr>
          <w:p>
            <w:pPr/>
          </w:p>
        </w:tc>
        <w:tc>
          <w:tcPr>
            <w:tcW w:w="1316" w:type="dxa"/>
            <w:tcBorders>
              <w:top w:val="single" w:sz="6" w:space="0" w:color="000000"/>
              <w:left w:val="single" w:sz="6" w:space="0" w:color="000000"/>
              <w:bottom w:val="single" w:sz="6" w:space="0" w:color="000000"/>
              <w:right w:val="single" w:sz="6" w:space="0" w:color="000000"/>
            </w:tcBorders>
          </w:tcPr>
          <w:p>
            <w:pPr/>
          </w:p>
        </w:tc>
        <w:tc>
          <w:tcPr>
            <w:tcW w:w="730"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宋体" w:hAnsi="宋体" w:cs="宋体" w:eastAsia="宋体" w:hint="default"/>
                <w:sz w:val="18"/>
                <w:szCs w:val="18"/>
              </w:rPr>
            </w:pPr>
            <w:r>
              <w:rPr>
                <w:rFonts w:ascii="宋体"/>
                <w:sz w:val="18"/>
              </w:rPr>
              <w:t>11,000,000.00</w:t>
            </w:r>
          </w:p>
        </w:tc>
        <w:tc>
          <w:tcPr>
            <w:tcW w:w="851" w:type="dxa"/>
            <w:tcBorders>
              <w:top w:val="single" w:sz="6" w:space="0" w:color="000000"/>
              <w:left w:val="single" w:sz="6" w:space="0" w:color="000000"/>
              <w:bottom w:val="single" w:sz="6" w:space="0" w:color="000000"/>
              <w:right w:val="single" w:sz="6" w:space="0" w:color="000000"/>
            </w:tcBorders>
          </w:tcPr>
          <w:p>
            <w:pPr/>
          </w:p>
        </w:tc>
        <w:tc>
          <w:tcPr>
            <w:tcW w:w="1909" w:type="dxa"/>
            <w:tcBorders>
              <w:top w:val="single" w:sz="6" w:space="0" w:color="000000"/>
              <w:left w:val="single" w:sz="6" w:space="0" w:color="000000"/>
              <w:bottom w:val="single" w:sz="6" w:space="0" w:color="000000"/>
              <w:right w:val="single" w:sz="6" w:space="0" w:color="000000"/>
            </w:tcBorders>
          </w:tcPr>
          <w:p>
            <w:pPr/>
          </w:p>
        </w:tc>
      </w:tr>
    </w:tbl>
    <w:p>
      <w:pPr>
        <w:pStyle w:val="BodyText"/>
        <w:spacing w:line="316" w:lineRule="auto" w:before="10"/>
        <w:ind w:right="1032" w:firstLine="420"/>
        <w:jc w:val="left"/>
      </w:pPr>
      <w:r>
        <w:rPr/>
        <w:t>一年内到期的长期借款系：本公司之全资孙公司中广互联（厦门）信息科技有限公司以所购厦门软件园三期研发楼作 为抵押，并由本公司提供担保，向中国工商银行厦门软件园支行申请借款，按照借款合同约定将于</w:t>
      </w:r>
      <w:r>
        <w:rPr>
          <w:rFonts w:ascii="宋体" w:hAnsi="宋体" w:cs="宋体" w:eastAsia="宋体" w:hint="default"/>
        </w:rPr>
        <w:t>2019</w:t>
      </w:r>
      <w:r>
        <w:rPr/>
        <w:t>年偿还的借款金额。</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36、其他流动负债" w:id="322"/>
      <w:bookmarkEnd w:id="322"/>
      <w:r>
        <w:rPr>
          <w:b w:val="0"/>
          <w:bCs w:val="0"/>
        </w:rPr>
      </w:r>
      <w:r>
        <w:rPr>
          <w:rFonts w:ascii="Times New Roman" w:hAnsi="Times New Roman" w:cs="Times New Roman" w:eastAsia="Times New Roman" w:hint="default"/>
        </w:rPr>
        <w:t>36</w:t>
      </w:r>
      <w:r>
        <w:rPr/>
        <w:t>、其他流动负债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2"/>
        <w:ind w:right="0"/>
        <w:jc w:val="left"/>
      </w:pPr>
      <w:r>
        <w:rPr/>
        <w:t>短期应付债券的增减变动：</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8"/>
        <w:gridCol w:w="798"/>
        <w:gridCol w:w="798"/>
        <w:gridCol w:w="798"/>
        <w:gridCol w:w="798"/>
        <w:gridCol w:w="798"/>
        <w:gridCol w:w="798"/>
        <w:gridCol w:w="798"/>
        <w:gridCol w:w="798"/>
        <w:gridCol w:w="798"/>
        <w:gridCol w:w="798"/>
        <w:gridCol w:w="798"/>
      </w:tblGrid>
      <w:tr>
        <w:trPr>
          <w:trHeight w:val="1026"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3" w:hanging="180"/>
              <w:jc w:val="left"/>
              <w:rPr>
                <w:rFonts w:ascii="宋体" w:hAnsi="宋体" w:cs="宋体" w:eastAsia="宋体" w:hint="default"/>
                <w:sz w:val="18"/>
                <w:szCs w:val="18"/>
              </w:rPr>
            </w:pPr>
            <w:r>
              <w:rPr>
                <w:rFonts w:ascii="宋体" w:hAnsi="宋体" w:cs="宋体" w:eastAsia="宋体" w:hint="default"/>
                <w:sz w:val="18"/>
                <w:szCs w:val="18"/>
              </w:rPr>
              <w:t>债券名 称</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发行日 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债券期 限</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3" w:hanging="180"/>
              <w:jc w:val="left"/>
              <w:rPr>
                <w:rFonts w:ascii="宋体" w:hAnsi="宋体" w:cs="宋体" w:eastAsia="宋体" w:hint="default"/>
                <w:sz w:val="18"/>
                <w:szCs w:val="18"/>
              </w:rPr>
            </w:pPr>
            <w:r>
              <w:rPr>
                <w:rFonts w:ascii="宋体" w:hAnsi="宋体" w:cs="宋体" w:eastAsia="宋体" w:hint="default"/>
                <w:sz w:val="18"/>
                <w:szCs w:val="18"/>
              </w:rPr>
              <w:t>发行金 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本期发 行</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3" w:right="122"/>
              <w:jc w:val="center"/>
              <w:rPr>
                <w:rFonts w:ascii="宋体" w:hAnsi="宋体" w:cs="宋体" w:eastAsia="宋体" w:hint="default"/>
                <w:sz w:val="18"/>
                <w:szCs w:val="18"/>
              </w:rPr>
            </w:pPr>
            <w:r>
              <w:rPr>
                <w:rFonts w:ascii="宋体" w:hAnsi="宋体" w:cs="宋体" w:eastAsia="宋体" w:hint="default"/>
                <w:sz w:val="18"/>
                <w:szCs w:val="18"/>
              </w:rPr>
              <w:t>按面值 计提利 息</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123" w:hanging="90"/>
              <w:jc w:val="left"/>
              <w:rPr>
                <w:rFonts w:ascii="宋体" w:hAnsi="宋体" w:cs="宋体" w:eastAsia="宋体" w:hint="default"/>
                <w:sz w:val="18"/>
                <w:szCs w:val="18"/>
              </w:rPr>
            </w:pPr>
            <w:r>
              <w:rPr>
                <w:rFonts w:ascii="宋体" w:hAnsi="宋体" w:cs="宋体" w:eastAsia="宋体" w:hint="default"/>
                <w:sz w:val="18"/>
                <w:szCs w:val="18"/>
              </w:rPr>
              <w:t>溢折价 摊销</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本期偿 还</w:t>
            </w:r>
          </w:p>
        </w:tc>
        <w:tc>
          <w:tcPr>
            <w:tcW w:w="79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期末余 额</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7、长期借款" w:id="323"/>
      <w:bookmarkEnd w:id="323"/>
      <w:r>
        <w:rPr>
          <w:b w:val="0"/>
          <w:bCs w:val="0"/>
        </w:rPr>
      </w:r>
      <w:r>
        <w:rPr>
          <w:rFonts w:ascii="Times New Roman" w:hAnsi="Times New Roman" w:cs="Times New Roman" w:eastAsia="Times New Roman" w:hint="default"/>
        </w:rPr>
        <w:t>37</w:t>
      </w:r>
      <w:r>
        <w:rPr/>
        <w:t>、长期借款</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长期借款分类" w:id="324"/>
      <w:bookmarkEnd w:id="324"/>
      <w:r>
        <w:rPr>
          <w:b w:val="0"/>
          <w:bCs w:val="0"/>
        </w:rPr>
      </w:r>
      <w:r>
        <w:rPr/>
        <w:t>（</w:t>
      </w:r>
      <w:r>
        <w:rPr>
          <w:rFonts w:ascii="Times New Roman" w:hAnsi="Times New Roman" w:cs="Times New Roman" w:eastAsia="Times New Roman" w:hint="default"/>
        </w:rPr>
        <w:t>1</w:t>
      </w:r>
      <w:r>
        <w:rPr/>
        <w:t>）长期借款分类</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140,000,000.00</w:t>
            </w:r>
          </w:p>
        </w:tc>
      </w:tr>
    </w:tbl>
    <w:p>
      <w:pPr>
        <w:pStyle w:val="BodyText"/>
        <w:spacing w:line="240" w:lineRule="auto" w:before="51"/>
        <w:ind w:right="0"/>
        <w:jc w:val="left"/>
      </w:pPr>
      <w:r>
        <w:rPr/>
        <w:t>长期借款分类的说明：</w:t>
      </w:r>
    </w:p>
    <w:p>
      <w:pPr>
        <w:pStyle w:val="Heading4"/>
        <w:spacing w:line="240" w:lineRule="auto" w:before="90"/>
        <w:ind w:right="0"/>
        <w:jc w:val="left"/>
      </w:pPr>
      <w:r>
        <w:rPr/>
        <w:t>长期借款明细</w:t>
      </w:r>
    </w:p>
    <w:p>
      <w:pPr>
        <w:spacing w:line="240" w:lineRule="auto" w:before="13"/>
        <w:rPr>
          <w:rFonts w:ascii="宋体" w:hAnsi="宋体" w:cs="宋体" w:eastAsia="宋体" w:hint="default"/>
          <w:sz w:val="3"/>
          <w:szCs w:val="3"/>
        </w:rPr>
      </w:pPr>
    </w:p>
    <w:tbl>
      <w:tblPr>
        <w:tblW w:w="0" w:type="auto"/>
        <w:jc w:val="left"/>
        <w:tblInd w:w="146" w:type="dxa"/>
        <w:tblLayout w:type="fixed"/>
        <w:tblCellMar>
          <w:top w:w="0" w:type="dxa"/>
          <w:left w:w="0" w:type="dxa"/>
          <w:bottom w:w="0" w:type="dxa"/>
          <w:right w:w="0" w:type="dxa"/>
        </w:tblCellMar>
        <w:tblLook w:val="01E0"/>
      </w:tblPr>
      <w:tblGrid>
        <w:gridCol w:w="491"/>
        <w:gridCol w:w="1906"/>
        <w:gridCol w:w="775"/>
        <w:gridCol w:w="1316"/>
        <w:gridCol w:w="730"/>
        <w:gridCol w:w="1357"/>
        <w:gridCol w:w="851"/>
        <w:gridCol w:w="1909"/>
      </w:tblGrid>
      <w:tr>
        <w:trPr>
          <w:trHeight w:val="347"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银行名称</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币种</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借款金额</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75"/>
              <w:jc w:val="right"/>
              <w:rPr>
                <w:rFonts w:ascii="宋体" w:hAnsi="宋体" w:cs="宋体" w:eastAsia="宋体" w:hint="default"/>
                <w:sz w:val="18"/>
                <w:szCs w:val="18"/>
              </w:rPr>
            </w:pPr>
            <w:r>
              <w:rPr>
                <w:rFonts w:ascii="宋体" w:hAnsi="宋体" w:cs="宋体" w:eastAsia="宋体" w:hint="default"/>
                <w:sz w:val="18"/>
                <w:szCs w:val="18"/>
              </w:rPr>
              <w:t>汇率</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20" w:right="0"/>
              <w:jc w:val="left"/>
              <w:rPr>
                <w:rFonts w:ascii="宋体" w:hAnsi="宋体" w:cs="宋体" w:eastAsia="宋体" w:hint="default"/>
                <w:sz w:val="18"/>
                <w:szCs w:val="18"/>
              </w:rPr>
            </w:pPr>
            <w:r>
              <w:rPr>
                <w:rFonts w:ascii="宋体" w:hAnsi="宋体" w:cs="宋体" w:eastAsia="宋体" w:hint="default"/>
                <w:sz w:val="18"/>
                <w:szCs w:val="18"/>
              </w:rPr>
              <w:t>折合人民币</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期限</w:t>
            </w:r>
          </w:p>
        </w:tc>
      </w:tr>
      <w:tr>
        <w:trPr>
          <w:trHeight w:val="659" w:hRule="exact"/>
        </w:trPr>
        <w:tc>
          <w:tcPr>
            <w:tcW w:w="4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sz w:val="18"/>
              </w:rPr>
              <w:t>1</w:t>
            </w: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85"/>
              <w:jc w:val="left"/>
              <w:rPr>
                <w:rFonts w:ascii="宋体" w:hAnsi="宋体" w:cs="宋体" w:eastAsia="宋体" w:hint="default"/>
                <w:sz w:val="18"/>
                <w:szCs w:val="18"/>
              </w:rPr>
            </w:pPr>
            <w:r>
              <w:rPr>
                <w:rFonts w:ascii="宋体" w:hAnsi="宋体" w:cs="宋体" w:eastAsia="宋体" w:hint="default"/>
                <w:sz w:val="18"/>
                <w:szCs w:val="18"/>
              </w:rPr>
              <w:t>中国工商银行厦门软件 园支行</w:t>
            </w:r>
          </w:p>
        </w:tc>
        <w:tc>
          <w:tcPr>
            <w:tcW w:w="7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人民币</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5" w:right="0"/>
              <w:jc w:val="center"/>
              <w:rPr>
                <w:rFonts w:ascii="宋体" w:hAnsi="宋体" w:cs="宋体" w:eastAsia="宋体" w:hint="default"/>
                <w:sz w:val="18"/>
                <w:szCs w:val="18"/>
              </w:rPr>
            </w:pPr>
            <w:r>
              <w:rPr>
                <w:rFonts w:ascii="宋体"/>
                <w:sz w:val="18"/>
              </w:rPr>
              <w:t>120,000,000.00</w:t>
            </w:r>
          </w:p>
        </w:tc>
        <w:tc>
          <w:tcPr>
            <w:tcW w:w="7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75"/>
              <w:jc w:val="right"/>
              <w:rPr>
                <w:rFonts w:ascii="宋体" w:hAnsi="宋体" w:cs="宋体" w:eastAsia="宋体" w:hint="default"/>
                <w:sz w:val="18"/>
                <w:szCs w:val="18"/>
              </w:rPr>
            </w:pPr>
            <w:r>
              <w:rPr>
                <w:rFonts w:ascii="宋体"/>
                <w:sz w:val="18"/>
              </w:rPr>
              <w:t>1.00</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宋体" w:hAnsi="宋体" w:cs="宋体" w:eastAsia="宋体" w:hint="default"/>
                <w:sz w:val="18"/>
                <w:szCs w:val="18"/>
              </w:rPr>
            </w:pPr>
            <w:r>
              <w:rPr>
                <w:rFonts w:ascii="宋体"/>
                <w:sz w:val="18"/>
              </w:rPr>
              <w:t>120,000,000.00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抵押借款</w:t>
            </w:r>
          </w:p>
        </w:tc>
        <w:tc>
          <w:tcPr>
            <w:tcW w:w="1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807" w:right="0"/>
              <w:jc w:val="center"/>
              <w:rPr>
                <w:rFonts w:ascii="宋体" w:hAnsi="宋体" w:cs="宋体" w:eastAsia="宋体" w:hint="default"/>
                <w:sz w:val="18"/>
                <w:szCs w:val="18"/>
              </w:rPr>
            </w:pPr>
            <w:r>
              <w:rPr>
                <w:rFonts w:ascii="宋体" w:hAnsi="宋体" w:cs="宋体" w:eastAsia="宋体" w:hint="default"/>
                <w:sz w:val="18"/>
                <w:szCs w:val="18"/>
              </w:rPr>
              <w:t>2017.12.12</w:t>
            </w:r>
            <w:r>
              <w:rPr>
                <w:rFonts w:ascii="宋体" w:hAnsi="宋体" w:cs="宋体" w:eastAsia="宋体" w:hint="default"/>
                <w:sz w:val="18"/>
                <w:szCs w:val="18"/>
              </w:rPr>
              <w:t>至</w:t>
            </w:r>
          </w:p>
          <w:p>
            <w:pPr>
              <w:pStyle w:val="TableParagraph"/>
              <w:spacing w:line="240" w:lineRule="auto" w:before="76"/>
              <w:ind w:left="987" w:right="0"/>
              <w:jc w:val="center"/>
              <w:rPr>
                <w:rFonts w:ascii="宋体" w:hAnsi="宋体" w:cs="宋体" w:eastAsia="宋体" w:hint="default"/>
                <w:sz w:val="18"/>
                <w:szCs w:val="18"/>
              </w:rPr>
            </w:pPr>
            <w:r>
              <w:rPr>
                <w:rFonts w:ascii="宋体"/>
                <w:sz w:val="18"/>
              </w:rPr>
              <w:t>2027.12.14</w:t>
            </w:r>
          </w:p>
        </w:tc>
      </w:tr>
      <w:tr>
        <w:trPr>
          <w:trHeight w:val="348" w:hRule="exact"/>
        </w:trPr>
        <w:tc>
          <w:tcPr>
            <w:tcW w:w="491" w:type="dxa"/>
            <w:tcBorders>
              <w:top w:val="single" w:sz="6" w:space="0" w:color="000000"/>
              <w:left w:val="single" w:sz="6" w:space="0" w:color="000000"/>
              <w:bottom w:val="single" w:sz="6" w:space="0" w:color="000000"/>
              <w:right w:val="single" w:sz="6" w:space="0" w:color="000000"/>
            </w:tcBorders>
          </w:tcPr>
          <w:p>
            <w:pPr/>
          </w:p>
        </w:tc>
        <w:tc>
          <w:tcPr>
            <w:tcW w:w="19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775" w:type="dxa"/>
            <w:tcBorders>
              <w:top w:val="single" w:sz="6" w:space="0" w:color="000000"/>
              <w:left w:val="single" w:sz="6" w:space="0" w:color="000000"/>
              <w:bottom w:val="single" w:sz="6" w:space="0" w:color="000000"/>
              <w:right w:val="single" w:sz="6" w:space="0" w:color="000000"/>
            </w:tcBorders>
          </w:tcPr>
          <w:p>
            <w:pP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82" w:right="0"/>
              <w:jc w:val="center"/>
              <w:rPr>
                <w:rFonts w:ascii="Times New Roman" w:hAnsi="Times New Roman" w:cs="Times New Roman" w:eastAsia="Times New Roman" w:hint="default"/>
                <w:sz w:val="18"/>
                <w:szCs w:val="18"/>
              </w:rPr>
            </w:pPr>
            <w:r>
              <w:rPr>
                <w:rFonts w:ascii="宋体"/>
                <w:sz w:val="18"/>
              </w:rPr>
              <w:t>120,000,000</w:t>
            </w:r>
            <w:r>
              <w:rPr>
                <w:rFonts w:ascii="Times New Roman"/>
                <w:sz w:val="18"/>
              </w:rPr>
              <w:t>.00</w:t>
            </w:r>
          </w:p>
        </w:tc>
        <w:tc>
          <w:tcPr>
            <w:tcW w:w="730"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Times New Roman" w:hAnsi="Times New Roman" w:cs="Times New Roman" w:eastAsia="Times New Roman" w:hint="default"/>
                <w:sz w:val="18"/>
                <w:szCs w:val="18"/>
              </w:rPr>
            </w:pPr>
            <w:r>
              <w:rPr>
                <w:rFonts w:ascii="宋体"/>
                <w:sz w:val="18"/>
              </w:rPr>
              <w:t>120,000,000</w:t>
            </w:r>
            <w:r>
              <w:rPr>
                <w:rFonts w:ascii="Times New Roman"/>
                <w:sz w:val="18"/>
              </w:rPr>
              <w:t>.00</w:t>
            </w:r>
          </w:p>
        </w:tc>
        <w:tc>
          <w:tcPr>
            <w:tcW w:w="851" w:type="dxa"/>
            <w:tcBorders>
              <w:top w:val="single" w:sz="6" w:space="0" w:color="000000"/>
              <w:left w:val="single" w:sz="6" w:space="0" w:color="000000"/>
              <w:bottom w:val="single" w:sz="6" w:space="0" w:color="000000"/>
              <w:right w:val="single" w:sz="6" w:space="0" w:color="000000"/>
            </w:tcBorders>
          </w:tcPr>
          <w:p>
            <w:pPr/>
          </w:p>
        </w:tc>
        <w:tc>
          <w:tcPr>
            <w:tcW w:w="1909" w:type="dxa"/>
            <w:tcBorders>
              <w:top w:val="single" w:sz="6" w:space="0" w:color="000000"/>
              <w:left w:val="single" w:sz="6" w:space="0" w:color="000000"/>
              <w:bottom w:val="single" w:sz="6" w:space="0" w:color="000000"/>
              <w:right w:val="single" w:sz="6" w:space="0" w:color="000000"/>
            </w:tcBorders>
          </w:tcPr>
          <w:p>
            <w:pPr/>
          </w:p>
        </w:tc>
      </w:tr>
    </w:tbl>
    <w:p>
      <w:pPr>
        <w:pStyle w:val="BodyText"/>
        <w:spacing w:line="316" w:lineRule="auto" w:before="10"/>
        <w:ind w:right="1139" w:firstLine="421"/>
        <w:jc w:val="both"/>
      </w:pPr>
      <w:r>
        <w:rPr/>
        <w:t>抵押借款系：本公司之全资孙公司中广互联（厦门）信息科技有限公司以所购厦门软件园三期研发楼作为抵押，并由 本公司提供担保，向中国工商银行厦门软件园支行申请借款，借款总金额</w:t>
      </w:r>
      <w:r>
        <w:rPr>
          <w:rFonts w:ascii="宋体" w:hAnsi="宋体" w:cs="宋体" w:eastAsia="宋体" w:hint="default"/>
        </w:rPr>
        <w:t>14,000.00</w:t>
      </w:r>
      <w:r>
        <w:rPr/>
        <w:t>万元，本期还款</w:t>
      </w:r>
      <w:r>
        <w:rPr>
          <w:rFonts w:ascii="宋体" w:hAnsi="宋体" w:cs="宋体" w:eastAsia="宋体" w:hint="default"/>
        </w:rPr>
        <w:t>900.00</w:t>
      </w:r>
      <w:r>
        <w:rPr/>
        <w:t>万元，将于一年 内到期的借款金额</w:t>
      </w:r>
      <w:r>
        <w:rPr>
          <w:rFonts w:ascii="宋体" w:hAnsi="宋体" w:cs="宋体" w:eastAsia="宋体" w:hint="default"/>
        </w:rPr>
        <w:t>1,100.00</w:t>
      </w:r>
      <w:r>
        <w:rPr/>
        <w:t>万元重分类至一年内到期的非流动负债列报。</w:t>
      </w:r>
    </w:p>
    <w:p>
      <w:pPr>
        <w:pStyle w:val="BodyText"/>
        <w:spacing w:line="240" w:lineRule="auto" w:before="59"/>
        <w:ind w:right="0"/>
        <w:jc w:val="left"/>
      </w:pPr>
      <w:r>
        <w:rPr/>
        <w:t>其他说明，包括利率区间：</w:t>
      </w:r>
    </w:p>
    <w:p>
      <w:pPr>
        <w:spacing w:after="0" w:line="240" w:lineRule="auto"/>
        <w:jc w:val="left"/>
        <w:sectPr>
          <w:footerReference w:type="default" r:id="rId53"/>
          <w:pgSz w:w="11910" w:h="16840"/>
          <w:pgMar w:footer="1019" w:header="917" w:top="1120" w:bottom="1200" w:left="980" w:right="0"/>
          <w:pgNumType w:start="187"/>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38、应付债券" w:id="325"/>
      <w:bookmarkEnd w:id="325"/>
      <w:r>
        <w:rPr>
          <w:b w:val="0"/>
          <w:bCs w:val="0"/>
        </w:rPr>
      </w:r>
      <w:r>
        <w:rPr>
          <w:rFonts w:ascii="Times New Roman" w:hAnsi="Times New Roman" w:cs="Times New Roman" w:eastAsia="Times New Roman" w:hint="default"/>
        </w:rPr>
        <w:t>38</w:t>
      </w:r>
      <w:r>
        <w:rPr/>
        <w:t>、应付债券</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应付债券" w:id="326"/>
      <w:bookmarkEnd w:id="326"/>
      <w:r>
        <w:rPr>
          <w:b w:val="0"/>
          <w:bCs w:val="0"/>
        </w:rPr>
      </w:r>
      <w:r>
        <w:rPr/>
        <w:t>（</w:t>
      </w:r>
      <w:r>
        <w:rPr>
          <w:rFonts w:ascii="Times New Roman" w:hAnsi="Times New Roman" w:cs="Times New Roman" w:eastAsia="Times New Roman" w:hint="default"/>
        </w:rPr>
        <w:t>1</w:t>
      </w:r>
      <w:r>
        <w:rPr/>
        <w:t>）应付债券</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应付债券的增减变动（不包括划分为金融负债的优先股、永续债等其他金融工具）" w:id="327"/>
      <w:bookmarkEnd w:id="327"/>
      <w:r>
        <w:rPr>
          <w:b w:val="0"/>
          <w:bCs w:val="0"/>
        </w:rPr>
      </w: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24"/>
          <w:szCs w:val="24"/>
        </w:rPr>
      </w:pPr>
    </w:p>
    <w:p>
      <w:pPr>
        <w:pStyle w:val="Heading3"/>
        <w:spacing w:line="240" w:lineRule="auto" w:before="35"/>
        <w:ind w:right="0"/>
        <w:jc w:val="left"/>
        <w:rPr>
          <w:b w:val="0"/>
          <w:bCs w:val="0"/>
        </w:rPr>
      </w:pPr>
      <w:bookmarkStart w:name="（3）可转换公司债券的转股条件、转股时间说明" w:id="328"/>
      <w:bookmarkEnd w:id="328"/>
      <w:r>
        <w:rPr>
          <w:b w:val="0"/>
          <w:bCs w:val="0"/>
        </w:rPr>
      </w:r>
      <w:r>
        <w:rPr/>
        <w:t>（</w:t>
      </w:r>
      <w:r>
        <w:rPr>
          <w:rFonts w:ascii="Times New Roman" w:hAnsi="Times New Roman" w:cs="Times New Roman" w:eastAsia="Times New Roman" w:hint="default"/>
        </w:rPr>
        <w:t>3</w:t>
      </w:r>
      <w:r>
        <w:rPr/>
        <w:t>）可转换公司债券的转股条件、转股时间说明</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4）划分为金融负债的其他金融工具说明" w:id="329"/>
      <w:bookmarkEnd w:id="329"/>
      <w:r>
        <w:rPr>
          <w:b w:val="0"/>
          <w:bCs w:val="0"/>
        </w:rPr>
      </w:r>
      <w:r>
        <w:rPr/>
        <w:t>（</w:t>
      </w:r>
      <w:r>
        <w:rPr>
          <w:rFonts w:ascii="Times New Roman" w:hAnsi="Times New Roman" w:cs="Times New Roman" w:eastAsia="Times New Roman" w:hint="default"/>
        </w:rPr>
        <w:t>4</w:t>
      </w:r>
      <w:r>
        <w:rPr/>
        <w:t>）划分为金融负债的其他金融工具说明</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17" w:footer="1019" w:top="1120" w:bottom="1200" w:left="980" w:right="0"/>
        </w:sectPr>
      </w:pPr>
    </w:p>
    <w:p>
      <w:pPr>
        <w:pStyle w:val="BodyText"/>
        <w:spacing w:line="357" w:lineRule="auto" w:before="44"/>
        <w:ind w:right="-20"/>
        <w:jc w:val="left"/>
      </w:pPr>
      <w:r>
        <w:rPr/>
        <w:t>期末发行在外的优先股、永续债等其他金融工具基本情况 期末发行在外的优先股、永续债等金融工具变动情况表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4655" w:space="4175"/>
            <w:col w:w="210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62"/>
      </w:tblGrid>
      <w:tr>
        <w:trPr>
          <w:trHeight w:val="402"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66" w:right="167"/>
              <w:jc w:val="center"/>
              <w:rPr>
                <w:rFonts w:ascii="宋体" w:hAnsi="宋体" w:cs="宋体" w:eastAsia="宋体" w:hint="default"/>
                <w:sz w:val="18"/>
                <w:szCs w:val="18"/>
              </w:rPr>
            </w:pPr>
            <w:r>
              <w:rPr>
                <w:rFonts w:ascii="宋体" w:hAnsi="宋体" w:cs="宋体" w:eastAsia="宋体" w:hint="default"/>
                <w:sz w:val="18"/>
                <w:szCs w:val="18"/>
              </w:rPr>
              <w:t>发行在外 的金融工 具</w:t>
            </w:r>
          </w:p>
        </w:tc>
        <w:tc>
          <w:tcPr>
            <w:tcW w:w="21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624"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60" w:lineRule="auto" w:before="51"/>
        <w:ind w:right="7512"/>
        <w:jc w:val="left"/>
      </w:pPr>
      <w:r>
        <w:rPr/>
        <w:t>其他金融工具划分为金融负债的依据说明 其他说明</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39、长期应付款" w:id="330"/>
      <w:bookmarkEnd w:id="330"/>
      <w:r>
        <w:rPr>
          <w:b w:val="0"/>
          <w:bCs w:val="0"/>
        </w:rPr>
      </w:r>
      <w:r>
        <w:rPr>
          <w:rFonts w:ascii="Times New Roman" w:hAnsi="Times New Roman" w:cs="Times New Roman" w:eastAsia="Times New Roman" w:hint="default"/>
        </w:rPr>
        <w:t>39</w:t>
      </w:r>
      <w:r>
        <w:rPr/>
        <w:t>、长期应付款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1）按款项性质列示长期应付款" w:id="331"/>
      <w:bookmarkEnd w:id="331"/>
      <w:r>
        <w:rPr>
          <w:b w:val="0"/>
          <w:bCs w:val="0"/>
        </w:rPr>
      </w:r>
      <w:r>
        <w:rPr/>
        <w:t>（</w:t>
      </w:r>
      <w:r>
        <w:rPr>
          <w:rFonts w:ascii="Times New Roman" w:hAnsi="Times New Roman" w:cs="Times New Roman" w:eastAsia="Times New Roman" w:hint="default"/>
        </w:rPr>
        <w:t>1</w:t>
      </w:r>
      <w:r>
        <w:rPr/>
        <w:t>）按款项性质列示长期应付款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2"/>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专项应付款" w:id="332"/>
      <w:bookmarkEnd w:id="332"/>
      <w:r>
        <w:rPr>
          <w:b w:val="0"/>
          <w:bCs w:val="0"/>
        </w:rPr>
      </w:r>
      <w:r>
        <w:rPr/>
        <w:t>（</w:t>
      </w:r>
      <w:r>
        <w:rPr>
          <w:rFonts w:ascii="Times New Roman" w:hAnsi="Times New Roman" w:cs="Times New Roman" w:eastAsia="Times New Roman" w:hint="default"/>
        </w:rPr>
        <w:t>2</w:t>
      </w:r>
      <w:r>
        <w:rPr/>
        <w:t>）专项应付款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单位：人民币元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形成原因</w:t>
            </w:r>
          </w:p>
        </w:tc>
      </w:tr>
    </w:tbl>
    <w:p>
      <w:pPr>
        <w:pStyle w:val="BodyText"/>
        <w:spacing w:line="240" w:lineRule="auto" w:before="52"/>
        <w:ind w:right="0"/>
        <w:jc w:val="left"/>
      </w:pPr>
      <w:r>
        <w:rPr/>
        <w:t>其他说明：</w:t>
      </w:r>
    </w:p>
    <w:p>
      <w:pPr>
        <w:spacing w:after="0" w:line="240" w:lineRule="auto"/>
        <w:jc w:val="left"/>
        <w:sectPr>
          <w:type w:val="continuous"/>
          <w:pgSz w:w="11910" w:h="16840"/>
          <w:pgMar w:top="110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40、长期应付职工薪酬" w:id="333"/>
      <w:bookmarkEnd w:id="333"/>
      <w:r>
        <w:rPr>
          <w:b w:val="0"/>
          <w:bCs w:val="0"/>
        </w:rPr>
      </w:r>
      <w:r>
        <w:rPr>
          <w:rFonts w:ascii="Times New Roman" w:hAnsi="Times New Roman" w:cs="Times New Roman" w:eastAsia="Times New Roman" w:hint="default"/>
        </w:rPr>
        <w:t>40</w:t>
      </w:r>
      <w:r>
        <w:rPr/>
        <w:t>、长期应付职工薪酬</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长期应付职工薪酬表" w:id="334"/>
      <w:bookmarkEnd w:id="334"/>
      <w:r>
        <w:rPr>
          <w:b w:val="0"/>
          <w:bCs w:val="0"/>
        </w:rPr>
      </w:r>
      <w:r>
        <w:rPr/>
        <w:t>（</w:t>
      </w:r>
      <w:r>
        <w:rPr>
          <w:rFonts w:ascii="Times New Roman" w:hAnsi="Times New Roman" w:cs="Times New Roman" w:eastAsia="Times New Roman" w:hint="default"/>
        </w:rPr>
        <w:t>1</w:t>
      </w:r>
      <w:r>
        <w:rPr/>
        <w:t>）长期应付职工薪酬表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设定受益计划变动情况" w:id="335"/>
      <w:bookmarkEnd w:id="335"/>
      <w:r>
        <w:rPr>
          <w:b w:val="0"/>
          <w:bCs w:val="0"/>
        </w:rPr>
      </w:r>
      <w:r>
        <w:rPr/>
        <w:t>（</w:t>
      </w:r>
      <w:r>
        <w:rPr>
          <w:rFonts w:ascii="Times New Roman" w:hAnsi="Times New Roman" w:cs="Times New Roman" w:eastAsia="Times New Roman" w:hint="default"/>
        </w:rPr>
        <w:t>2</w:t>
      </w:r>
      <w:r>
        <w:rPr/>
        <w:t>）设定受益计划变动情况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设定受益计划义务现值：</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1"/>
        <w:ind w:right="0"/>
        <w:jc w:val="left"/>
      </w:pPr>
      <w:r>
        <w:rPr/>
        <w:t>计划资产：</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1"/>
        <w:ind w:right="0"/>
        <w:jc w:val="left"/>
      </w:pPr>
      <w:r>
        <w:rPr/>
        <w:t>设定受益计划净负债（净资产）</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357" w:lineRule="auto" w:before="52"/>
        <w:ind w:right="3552"/>
        <w:jc w:val="left"/>
      </w:pPr>
      <w:r>
        <w:rPr/>
        <w:t>设定受益计划的内容及与之相关风险、对公司未来现金流量、时间和不确定性的影响说明： 设定受益计划重大精算假设及敏感性分析结果说明：</w:t>
      </w:r>
    </w:p>
    <w:p>
      <w:pPr>
        <w:pStyle w:val="BodyText"/>
        <w:spacing w:line="240" w:lineRule="auto" w:before="29"/>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41、预计负债" w:id="336"/>
      <w:bookmarkEnd w:id="336"/>
      <w:r>
        <w:rPr>
          <w:b w:val="0"/>
          <w:bCs w:val="0"/>
        </w:rPr>
      </w:r>
      <w:r>
        <w:rPr>
          <w:rFonts w:ascii="Times New Roman" w:hAnsi="Times New Roman" w:cs="Times New Roman" w:eastAsia="Times New Roman" w:hint="default"/>
        </w:rPr>
        <w:t>41</w:t>
      </w:r>
      <w:r>
        <w:rPr/>
        <w:t>、预计负债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bl>
    <w:p>
      <w:pPr>
        <w:pStyle w:val="BodyText"/>
        <w:spacing w:line="240" w:lineRule="auto" w:before="51"/>
        <w:ind w:right="0"/>
        <w:jc w:val="left"/>
      </w:pPr>
      <w:r>
        <w:rPr/>
        <w:t>其他说明，包括重要预计负债的相关重要假设、估计说明：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2、递延收益" w:id="337"/>
      <w:bookmarkEnd w:id="337"/>
      <w:r>
        <w:rPr>
          <w:b w:val="0"/>
          <w:bCs w:val="0"/>
        </w:rPr>
      </w:r>
      <w:r>
        <w:rPr>
          <w:rFonts w:ascii="Times New Roman" w:hAnsi="Times New Roman" w:cs="Times New Roman" w:eastAsia="Times New Roman" w:hint="default"/>
        </w:rPr>
        <w:t>42</w:t>
      </w:r>
      <w:r>
        <w:rPr/>
        <w:t>、递延收益</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8" w:right="0"/>
              <w:jc w:val="left"/>
              <w:rPr>
                <w:rFonts w:ascii="Times New Roman" w:hAnsi="Times New Roman" w:cs="Times New Roman" w:eastAsia="Times New Roman" w:hint="default"/>
                <w:sz w:val="18"/>
                <w:szCs w:val="18"/>
              </w:rPr>
            </w:pPr>
            <w:r>
              <w:rPr>
                <w:rFonts w:ascii="Times New Roman"/>
                <w:sz w:val="18"/>
              </w:rPr>
              <w:t>21,899,260.38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7,740,000.00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3,646,352.48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6" w:right="0"/>
              <w:jc w:val="left"/>
              <w:rPr>
                <w:rFonts w:ascii="Times New Roman" w:hAnsi="Times New Roman" w:cs="Times New Roman" w:eastAsia="Times New Roman" w:hint="default"/>
                <w:sz w:val="18"/>
                <w:szCs w:val="18"/>
              </w:rPr>
            </w:pPr>
            <w:r>
              <w:rPr>
                <w:rFonts w:ascii="Times New Roman"/>
                <w:sz w:val="18"/>
              </w:rPr>
              <w:t>25,992,907.90</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8" w:right="0"/>
              <w:jc w:val="left"/>
              <w:rPr>
                <w:rFonts w:ascii="Times New Roman" w:hAnsi="Times New Roman" w:cs="Times New Roman" w:eastAsia="Times New Roman" w:hint="default"/>
                <w:sz w:val="18"/>
                <w:szCs w:val="18"/>
              </w:rPr>
            </w:pPr>
            <w:r>
              <w:rPr>
                <w:rFonts w:ascii="Times New Roman"/>
                <w:sz w:val="18"/>
              </w:rPr>
              <w:t>21,899,260.38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7,740,000.00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3,646,352.48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6" w:right="0"/>
              <w:jc w:val="left"/>
              <w:rPr>
                <w:rFonts w:ascii="Times New Roman" w:hAnsi="Times New Roman" w:cs="Times New Roman" w:eastAsia="Times New Roman" w:hint="default"/>
                <w:sz w:val="18"/>
                <w:szCs w:val="18"/>
              </w:rPr>
            </w:pPr>
            <w:r>
              <w:rPr>
                <w:rFonts w:ascii="Times New Roman"/>
                <w:sz w:val="18"/>
              </w:rPr>
              <w:t>25,992,907.90</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t>涉及政府补助的项目：</w:t>
      </w:r>
    </w:p>
    <w:p>
      <w:pPr>
        <w:pStyle w:val="BodyText"/>
        <w:spacing w:line="240" w:lineRule="auto" w:before="117"/>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66" w:right="164"/>
              <w:jc w:val="left"/>
              <w:rPr>
                <w:rFonts w:ascii="宋体" w:hAnsi="宋体" w:cs="宋体" w:eastAsia="宋体" w:hint="default"/>
                <w:sz w:val="18"/>
                <w:szCs w:val="18"/>
              </w:rPr>
            </w:pPr>
            <w:r>
              <w:rPr>
                <w:rFonts w:ascii="宋体" w:hAnsi="宋体" w:cs="宋体" w:eastAsia="宋体" w:hint="default"/>
                <w:sz w:val="18"/>
                <w:szCs w:val="18"/>
              </w:rPr>
              <w:t>本期新增 补助金额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6" w:right="165"/>
              <w:jc w:val="both"/>
              <w:rPr>
                <w:rFonts w:ascii="宋体" w:hAnsi="宋体" w:cs="宋体" w:eastAsia="宋体" w:hint="default"/>
                <w:sz w:val="18"/>
                <w:szCs w:val="18"/>
              </w:rPr>
            </w:pPr>
            <w:r>
              <w:rPr>
                <w:rFonts w:ascii="宋体" w:hAnsi="宋体" w:cs="宋体" w:eastAsia="宋体" w:hint="default"/>
                <w:sz w:val="18"/>
                <w:szCs w:val="18"/>
              </w:rPr>
              <w:t>本期计入 营业外收 入金额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6" w:right="164"/>
              <w:jc w:val="center"/>
              <w:rPr>
                <w:rFonts w:ascii="宋体" w:hAnsi="宋体" w:cs="宋体" w:eastAsia="宋体" w:hint="default"/>
                <w:sz w:val="18"/>
                <w:szCs w:val="18"/>
              </w:rPr>
            </w:pPr>
            <w:r>
              <w:rPr>
                <w:rFonts w:ascii="宋体" w:hAnsi="宋体" w:cs="宋体" w:eastAsia="宋体" w:hint="default"/>
                <w:sz w:val="18"/>
                <w:szCs w:val="18"/>
              </w:rPr>
              <w:t>本期计入 其他收益 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6" w:right="164"/>
              <w:jc w:val="center"/>
              <w:rPr>
                <w:rFonts w:ascii="宋体" w:hAnsi="宋体" w:cs="宋体" w:eastAsia="宋体" w:hint="default"/>
                <w:sz w:val="18"/>
                <w:szCs w:val="18"/>
              </w:rPr>
            </w:pPr>
            <w:r>
              <w:rPr>
                <w:rFonts w:ascii="宋体" w:hAnsi="宋体" w:cs="宋体" w:eastAsia="宋体" w:hint="default"/>
                <w:sz w:val="18"/>
                <w:szCs w:val="18"/>
              </w:rPr>
              <w:t>本期冲减 成本费用 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41" w:right="139"/>
              <w:jc w:val="center"/>
              <w:rPr>
                <w:rFonts w:ascii="宋体" w:hAnsi="宋体" w:cs="宋体" w:eastAsia="宋体" w:hint="default"/>
                <w:sz w:val="18"/>
                <w:szCs w:val="18"/>
              </w:rPr>
            </w:pPr>
            <w:r>
              <w:rPr>
                <w:rFonts w:ascii="宋体" w:hAnsi="宋体" w:cs="宋体" w:eastAsia="宋体" w:hint="default"/>
                <w:sz w:val="18"/>
                <w:szCs w:val="18"/>
              </w:rPr>
              <w:t>与资产相 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 相关</w:t>
            </w:r>
          </w:p>
        </w:tc>
      </w:tr>
    </w:tbl>
    <w:p>
      <w:pPr>
        <w:spacing w:after="0" w:line="309" w:lineRule="auto"/>
        <w:jc w:val="center"/>
        <w:rPr>
          <w:rFonts w:ascii="宋体" w:hAnsi="宋体" w:cs="宋体" w:eastAsia="宋体"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38"/>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）软土 地基补贴 专用款</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5,264,045.</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7" w:right="0"/>
              <w:jc w:val="center"/>
              <w:rPr>
                <w:rFonts w:ascii="Times New Roman" w:hAnsi="Times New Roman" w:cs="Times New Roman" w:eastAsia="Times New Roman" w:hint="default"/>
                <w:sz w:val="18"/>
                <w:szCs w:val="18"/>
              </w:rPr>
            </w:pPr>
            <w:r>
              <w:rPr>
                <w:rFonts w:ascii="Times New Roman"/>
                <w:sz w:val="18"/>
              </w:rPr>
              <w:t>209,167.44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5,054,878.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38"/>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）战略 新兴产业 发展资金</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2,911,666.6</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7" w:right="0"/>
              <w:jc w:val="center"/>
              <w:rPr>
                <w:rFonts w:ascii="Times New Roman" w:hAnsi="Times New Roman" w:cs="Times New Roman" w:eastAsia="Times New Roman" w:hint="default"/>
                <w:sz w:val="18"/>
                <w:szCs w:val="18"/>
              </w:rPr>
            </w:pPr>
            <w:r>
              <w:rPr>
                <w:rFonts w:ascii="Times New Roman"/>
                <w:sz w:val="18"/>
              </w:rPr>
              <w:t>620,000.00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2,291,666.</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38"/>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）国家 进口设备 资助款</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3,763,162.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25</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7" w:right="0"/>
              <w:jc w:val="center"/>
              <w:rPr>
                <w:rFonts w:ascii="Times New Roman" w:hAnsi="Times New Roman" w:cs="Times New Roman" w:eastAsia="Times New Roman" w:hint="default"/>
                <w:sz w:val="18"/>
                <w:szCs w:val="18"/>
              </w:rPr>
            </w:pPr>
            <w:r>
              <w:rPr>
                <w:rFonts w:ascii="Times New Roman"/>
                <w:sz w:val="18"/>
              </w:rPr>
              <w:t>654,463.00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3,108,699.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38"/>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）国家 进口贴息 资助项目</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6,716,719.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13</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1,000,722.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5,715,997.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38"/>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）深圳 市产业技 术进步资 金资助项 目</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41" w:right="0"/>
              <w:jc w:val="left"/>
              <w:rPr>
                <w:rFonts w:ascii="Times New Roman" w:hAnsi="Times New Roman" w:cs="Times New Roman" w:eastAsia="Times New Roman" w:hint="default"/>
                <w:sz w:val="18"/>
                <w:szCs w:val="18"/>
              </w:rPr>
            </w:pPr>
            <w:r>
              <w:rPr>
                <w:rFonts w:ascii="Times New Roman"/>
                <w:sz w:val="18"/>
              </w:rPr>
              <w:t>197,166.66</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7" w:right="0"/>
              <w:jc w:val="center"/>
              <w:rPr>
                <w:rFonts w:ascii="Times New Roman" w:hAnsi="Times New Roman" w:cs="Times New Roman" w:eastAsia="Times New Roman" w:hint="default"/>
                <w:sz w:val="18"/>
                <w:szCs w:val="18"/>
              </w:rPr>
            </w:pPr>
            <w:r>
              <w:rPr>
                <w:rFonts w:ascii="Times New Roman"/>
                <w:sz w:val="18"/>
              </w:rPr>
              <w:t>182,000.00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9" w:right="0"/>
              <w:jc w:val="left"/>
              <w:rPr>
                <w:rFonts w:ascii="Times New Roman" w:hAnsi="Times New Roman" w:cs="Times New Roman" w:eastAsia="Times New Roman" w:hint="default"/>
                <w:sz w:val="18"/>
                <w:szCs w:val="18"/>
              </w:rPr>
            </w:pPr>
            <w:r>
              <w:rPr>
                <w:rFonts w:ascii="Times New Roman"/>
                <w:sz w:val="18"/>
              </w:rPr>
              <w:t>15,166.66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1338"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38"/>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）天津 市工业企 业技术改 造项目</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1,187,500.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7" w:right="0"/>
              <w:jc w:val="center"/>
              <w:rPr>
                <w:rFonts w:ascii="Times New Roman" w:hAnsi="Times New Roman" w:cs="Times New Roman" w:eastAsia="Times New Roman" w:hint="default"/>
                <w:sz w:val="18"/>
                <w:szCs w:val="18"/>
              </w:rPr>
            </w:pPr>
            <w:r>
              <w:rPr>
                <w:rFonts w:ascii="Times New Roman"/>
                <w:sz w:val="18"/>
              </w:rPr>
              <w:t>150,000.00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1,037,500.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03" w:right="228"/>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38"/>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z w:val="18"/>
                <w:szCs w:val="18"/>
              </w:rPr>
              <w:t>）国家 机器人设 备资助款</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1,859,000.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7" w:right="0"/>
              <w:jc w:val="center"/>
              <w:rPr>
                <w:rFonts w:ascii="Times New Roman" w:hAnsi="Times New Roman" w:cs="Times New Roman" w:eastAsia="Times New Roman" w:hint="default"/>
                <w:sz w:val="18"/>
                <w:szCs w:val="18"/>
              </w:rPr>
            </w:pPr>
            <w:r>
              <w:rPr>
                <w:rFonts w:ascii="Times New Roman"/>
                <w:sz w:val="18"/>
              </w:rPr>
              <w:t>572,000.00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1,287,000.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1338"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p>
          <w:p>
            <w:pPr>
              <w:pStyle w:val="TableParagraph"/>
              <w:spacing w:line="319" w:lineRule="auto" w:before="63"/>
              <w:ind w:left="103" w:right="228"/>
              <w:jc w:val="both"/>
              <w:rPr>
                <w:rFonts w:ascii="宋体" w:hAnsi="宋体" w:cs="宋体" w:eastAsia="宋体" w:hint="default"/>
                <w:sz w:val="18"/>
                <w:szCs w:val="18"/>
              </w:rPr>
            </w:pPr>
            <w:r>
              <w:rPr>
                <w:rFonts w:ascii="宋体" w:hAnsi="宋体" w:cs="宋体" w:eastAsia="宋体" w:hint="default"/>
                <w:sz w:val="18"/>
                <w:szCs w:val="18"/>
              </w:rPr>
              <w:t>年技术改 造投资补 贴项目</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7,740,000.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7" w:right="0"/>
              <w:jc w:val="center"/>
              <w:rPr>
                <w:rFonts w:ascii="Times New Roman" w:hAnsi="Times New Roman" w:cs="Times New Roman" w:eastAsia="Times New Roman" w:hint="default"/>
                <w:sz w:val="18"/>
                <w:szCs w:val="18"/>
              </w:rPr>
            </w:pPr>
            <w:r>
              <w:rPr>
                <w:rFonts w:ascii="Times New Roman"/>
                <w:sz w:val="18"/>
              </w:rPr>
              <w:t>258,000.00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7,482,000.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03" w:right="228"/>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21,899,260</w:t>
            </w:r>
          </w:p>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.38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7,740,000.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3,646,352.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48</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25,992,907</w:t>
            </w:r>
          </w:p>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.90</w:t>
            </w:r>
          </w:p>
        </w:tc>
        <w:tc>
          <w:tcPr>
            <w:tcW w:w="106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其他说明：</w:t>
      </w:r>
    </w:p>
    <w:p>
      <w:pPr>
        <w:spacing w:line="240" w:lineRule="auto" w:before="2"/>
        <w:rPr>
          <w:rFonts w:ascii="宋体" w:hAnsi="宋体" w:cs="宋体" w:eastAsia="宋体" w:hint="default"/>
          <w:sz w:val="24"/>
          <w:szCs w:val="24"/>
        </w:rPr>
      </w:pPr>
    </w:p>
    <w:p>
      <w:pPr>
        <w:pStyle w:val="BodyText"/>
        <w:spacing w:line="316" w:lineRule="auto"/>
        <w:ind w:right="1797" w:firstLine="405"/>
        <w:jc w:val="left"/>
      </w:pPr>
      <w:r>
        <w:rPr/>
        <w:t>（</w:t>
      </w:r>
      <w:r>
        <w:rPr>
          <w:rFonts w:ascii="宋体" w:hAnsi="宋体" w:cs="宋体" w:eastAsia="宋体" w:hint="default"/>
        </w:rPr>
        <w:t>1</w:t>
      </w:r>
      <w:r>
        <w:rPr/>
        <w:t>）软土地基补贴专用款系经天津开发区管委会批准，天津技术开发区建设发展局同意给予软土地基补贴款 </w:t>
      </w:r>
      <w:r>
        <w:rPr>
          <w:rFonts w:ascii="宋体" w:hAnsi="宋体" w:cs="宋体" w:eastAsia="宋体" w:hint="default"/>
        </w:rPr>
        <w:t>6,300,000.00</w:t>
      </w:r>
      <w:r>
        <w:rPr/>
        <w:t>元。本公司于</w:t>
      </w:r>
      <w:r>
        <w:rPr>
          <w:rFonts w:ascii="宋体" w:hAnsi="宋体" w:cs="宋体" w:eastAsia="宋体" w:hint="default"/>
        </w:rPr>
        <w:t>2007</w:t>
      </w:r>
      <w:r>
        <w:rPr/>
        <w:t>年收到补贴款</w:t>
      </w:r>
      <w:r>
        <w:rPr>
          <w:rFonts w:ascii="宋体" w:hAnsi="宋体" w:cs="宋体" w:eastAsia="宋体" w:hint="default"/>
        </w:rPr>
        <w:t>6,275,021.63</w:t>
      </w:r>
      <w:r>
        <w:rPr/>
        <w:t>元，本公司自</w:t>
      </w:r>
      <w:r>
        <w:rPr>
          <w:rFonts w:ascii="宋体" w:hAnsi="宋体" w:cs="宋体" w:eastAsia="宋体" w:hint="default"/>
        </w:rPr>
        <w:t>2013</w:t>
      </w:r>
      <w:r>
        <w:rPr/>
        <w:t>年</w:t>
      </w:r>
      <w:r>
        <w:rPr>
          <w:rFonts w:ascii="宋体" w:hAnsi="宋体" w:cs="宋体" w:eastAsia="宋体" w:hint="default"/>
        </w:rPr>
        <w:t>3</w:t>
      </w:r>
      <w:r>
        <w:rPr/>
        <w:t>月按</w:t>
      </w:r>
      <w:r>
        <w:rPr>
          <w:rFonts w:ascii="宋体" w:hAnsi="宋体" w:cs="宋体" w:eastAsia="宋体" w:hint="default"/>
        </w:rPr>
        <w:t>30</w:t>
      </w:r>
      <w:r>
        <w:rPr/>
        <w:t>年结转损益。</w:t>
      </w:r>
    </w:p>
    <w:p>
      <w:pPr>
        <w:pStyle w:val="BodyText"/>
        <w:spacing w:line="316" w:lineRule="auto" w:before="19"/>
        <w:ind w:right="1139" w:firstLine="420"/>
        <w:jc w:val="both"/>
      </w:pPr>
      <w:r>
        <w:rPr/>
        <w:t>（</w:t>
      </w:r>
      <w:r>
        <w:rPr>
          <w:rFonts w:ascii="宋体" w:hAnsi="宋体" w:cs="宋体" w:eastAsia="宋体" w:hint="default"/>
        </w:rPr>
        <w:t>2</w:t>
      </w:r>
      <w:r>
        <w:rPr/>
        <w:t>）战略新兴产业发展资金项目包括：</w:t>
      </w:r>
      <w:r>
        <w:rPr>
          <w:rFonts w:ascii="宋体" w:hAnsi="宋体" w:cs="宋体" w:eastAsia="宋体" w:hint="default"/>
        </w:rPr>
        <w:t>A</w:t>
      </w:r>
      <w:r>
        <w:rPr/>
        <w:t>、</w:t>
      </w:r>
      <w:r>
        <w:rPr>
          <w:rFonts w:ascii="宋体" w:hAnsi="宋体" w:cs="宋体" w:eastAsia="宋体" w:hint="default"/>
        </w:rPr>
        <w:t>2013</w:t>
      </w:r>
      <w:r>
        <w:rPr/>
        <w:t>年</w:t>
      </w:r>
      <w:r>
        <w:rPr>
          <w:rFonts w:ascii="宋体" w:hAnsi="宋体" w:cs="宋体" w:eastAsia="宋体" w:hint="default"/>
        </w:rPr>
        <w:t>8</w:t>
      </w:r>
      <w:r>
        <w:rPr/>
        <w:t>月，依据深发改</w:t>
      </w:r>
      <w:r>
        <w:rPr>
          <w:rFonts w:ascii="宋体" w:hAnsi="宋体" w:cs="宋体" w:eastAsia="宋体" w:hint="default"/>
        </w:rPr>
        <w:t>[2013]994</w:t>
      </w:r>
      <w:r>
        <w:rPr/>
        <w:t>号文本公司收到深圳市战略新兴产业发 展专项资金</w:t>
      </w:r>
      <w:r>
        <w:rPr>
          <w:rFonts w:ascii="宋体" w:hAnsi="宋体" w:cs="宋体" w:eastAsia="宋体" w:hint="default"/>
        </w:rPr>
        <w:t>5,000,000.00</w:t>
      </w:r>
      <w:r>
        <w:rPr/>
        <w:t>元，用于机器设备的购置，按</w:t>
      </w:r>
      <w:r>
        <w:rPr>
          <w:rFonts w:ascii="宋体" w:hAnsi="宋体" w:cs="宋体" w:eastAsia="宋体" w:hint="default"/>
        </w:rPr>
        <w:t>10</w:t>
      </w:r>
      <w:r>
        <w:rPr/>
        <w:t>年转入营业外收入。</w:t>
      </w:r>
      <w:r>
        <w:rPr>
          <w:rFonts w:ascii="宋体" w:hAnsi="宋体" w:cs="宋体" w:eastAsia="宋体" w:hint="default"/>
        </w:rPr>
        <w:t>B</w:t>
      </w:r>
      <w:r>
        <w:rPr/>
        <w:t>、</w:t>
      </w:r>
      <w:r>
        <w:rPr>
          <w:rFonts w:ascii="宋体" w:hAnsi="宋体" w:cs="宋体" w:eastAsia="宋体" w:hint="default"/>
        </w:rPr>
        <w:t>2013</w:t>
      </w:r>
      <w:r>
        <w:rPr/>
        <w:t>年</w:t>
      </w:r>
      <w:r>
        <w:rPr>
          <w:rFonts w:ascii="宋体" w:hAnsi="宋体" w:cs="宋体" w:eastAsia="宋体" w:hint="default"/>
        </w:rPr>
        <w:t>7</w:t>
      </w:r>
      <w:r>
        <w:rPr/>
        <w:t>月，依据深发改</w:t>
      </w:r>
      <w:r>
        <w:rPr>
          <w:rFonts w:ascii="宋体" w:hAnsi="宋体" w:cs="宋体" w:eastAsia="宋体" w:hint="default"/>
        </w:rPr>
        <w:t>[2013]993</w:t>
      </w:r>
      <w:r>
        <w:rPr/>
        <w:t>号文本 公司收到深圳市战略新兴产业发展专项资金</w:t>
      </w:r>
      <w:r>
        <w:rPr>
          <w:rFonts w:ascii="宋体" w:hAnsi="宋体" w:cs="宋体" w:eastAsia="宋体" w:hint="default"/>
        </w:rPr>
        <w:t>1,200,000.00</w:t>
      </w:r>
      <w:r>
        <w:rPr/>
        <w:t>元，用于仪器仪表设备的购置，按</w:t>
      </w:r>
      <w:r>
        <w:rPr>
          <w:rFonts w:ascii="宋体" w:hAnsi="宋体" w:cs="宋体" w:eastAsia="宋体" w:hint="default"/>
        </w:rPr>
        <w:t>5</w:t>
      </w:r>
      <w:r>
        <w:rPr/>
        <w:t>年结转损益。</w:t>
      </w:r>
    </w:p>
    <w:p>
      <w:pPr>
        <w:pStyle w:val="BodyText"/>
        <w:spacing w:line="319" w:lineRule="auto" w:before="19"/>
        <w:ind w:right="1139" w:firstLine="360"/>
        <w:jc w:val="both"/>
      </w:pPr>
      <w:r>
        <w:rPr/>
        <w:t>（</w:t>
      </w:r>
      <w:r>
        <w:rPr>
          <w:rFonts w:ascii="宋体" w:hAnsi="宋体" w:cs="宋体" w:eastAsia="宋体" w:hint="default"/>
        </w:rPr>
        <w:t>3</w:t>
      </w:r>
      <w:r>
        <w:rPr/>
        <w:t>）国家进口设备资助款系依据深经贸信息外贸字</w:t>
      </w:r>
      <w:r>
        <w:rPr>
          <w:rFonts w:ascii="宋体" w:hAnsi="宋体" w:cs="宋体" w:eastAsia="宋体" w:hint="default"/>
        </w:rPr>
        <w:t>[2013]24</w:t>
      </w:r>
      <w:r>
        <w:rPr/>
        <w:t>号文收到国家进口设备补助资金</w:t>
      </w:r>
      <w:r>
        <w:rPr>
          <w:rFonts w:ascii="宋体" w:hAnsi="宋体" w:cs="宋体" w:eastAsia="宋体" w:hint="default"/>
        </w:rPr>
        <w:t>6,544,630.00</w:t>
      </w:r>
      <w:r>
        <w:rPr/>
        <w:t>元，按</w:t>
      </w:r>
      <w:r>
        <w:rPr>
          <w:rFonts w:ascii="宋体" w:hAnsi="宋体" w:cs="宋体" w:eastAsia="宋体" w:hint="default"/>
        </w:rPr>
        <w:t>10</w:t>
      </w:r>
      <w:r>
        <w:rPr/>
        <w:t>年 结转损益。</w:t>
      </w:r>
    </w:p>
    <w:p>
      <w:pPr>
        <w:pStyle w:val="BodyText"/>
        <w:spacing w:line="316" w:lineRule="auto" w:before="17"/>
        <w:ind w:right="1132" w:firstLine="420"/>
        <w:jc w:val="both"/>
      </w:pPr>
      <w:r>
        <w:rPr>
          <w:spacing w:val="-1"/>
        </w:rPr>
        <w:t>（</w:t>
      </w:r>
      <w:r>
        <w:rPr>
          <w:rFonts w:ascii="宋体" w:hAnsi="宋体" w:cs="宋体" w:eastAsia="宋体" w:hint="default"/>
          <w:spacing w:val="-1"/>
        </w:rPr>
        <w:t>4</w:t>
      </w:r>
      <w:r>
        <w:rPr>
          <w:spacing w:val="-1"/>
        </w:rPr>
        <w:t>）国家进口贴息资助项目系依据《财政部、商务部关于印发</w:t>
      </w:r>
      <w:r>
        <w:rPr>
          <w:rFonts w:ascii="宋体" w:hAnsi="宋体" w:cs="宋体" w:eastAsia="宋体" w:hint="default"/>
          <w:spacing w:val="-1"/>
        </w:rPr>
        <w:t>&lt;</w:t>
      </w:r>
      <w:r>
        <w:rPr>
          <w:spacing w:val="-1"/>
        </w:rPr>
        <w:t>进口贴息资金管理办法</w:t>
      </w:r>
      <w:r>
        <w:rPr>
          <w:rFonts w:ascii="宋体" w:hAnsi="宋体" w:cs="宋体" w:eastAsia="宋体" w:hint="default"/>
          <w:spacing w:val="-1"/>
        </w:rPr>
        <w:t>&gt;</w:t>
      </w:r>
      <w:r>
        <w:rPr>
          <w:spacing w:val="-1"/>
        </w:rPr>
        <w:t>的通知》与发展改革委、财政</w:t>
      </w:r>
      <w:r>
        <w:rPr/>
        <w:t> </w:t>
      </w:r>
      <w:r>
        <w:rPr>
          <w:spacing w:val="-3"/>
        </w:rPr>
        <w:t>部、商务部《鼓励进口技术和产品目录（</w:t>
      </w:r>
      <w:r>
        <w:rPr>
          <w:rFonts w:ascii="宋体" w:hAnsi="宋体" w:cs="宋体" w:eastAsia="宋体" w:hint="default"/>
          <w:spacing w:val="-3"/>
        </w:rPr>
        <w:t>2014</w:t>
      </w:r>
      <w:r>
        <w:rPr>
          <w:spacing w:val="-3"/>
        </w:rPr>
        <w:t>年版）》，收到进口设备贴息款</w:t>
      </w:r>
      <w:r>
        <w:rPr>
          <w:rFonts w:ascii="宋体" w:hAnsi="宋体" w:cs="宋体" w:eastAsia="宋体" w:hint="default"/>
          <w:spacing w:val="-3"/>
        </w:rPr>
        <w:t>10,007,220.00</w:t>
      </w:r>
      <w:r>
        <w:rPr>
          <w:spacing w:val="-3"/>
        </w:rPr>
        <w:t>元，按</w:t>
      </w:r>
      <w:r>
        <w:rPr>
          <w:rFonts w:ascii="宋体" w:hAnsi="宋体" w:cs="宋体" w:eastAsia="宋体" w:hint="default"/>
          <w:spacing w:val="-3"/>
        </w:rPr>
        <w:t>10</w:t>
      </w:r>
      <w:r>
        <w:rPr>
          <w:spacing w:val="-3"/>
        </w:rPr>
        <w:t>年结转损益。</w:t>
      </w:r>
    </w:p>
    <w:p>
      <w:pPr>
        <w:pStyle w:val="BodyText"/>
        <w:spacing w:line="240" w:lineRule="auto" w:before="19"/>
        <w:ind w:left="574" w:right="0"/>
        <w:jc w:val="left"/>
      </w:pPr>
      <w:r>
        <w:rPr/>
        <w:t>（</w:t>
      </w:r>
      <w:r>
        <w:rPr>
          <w:rFonts w:ascii="宋体" w:hAnsi="宋体" w:cs="宋体" w:eastAsia="宋体" w:hint="default"/>
        </w:rPr>
        <w:t>5</w:t>
      </w:r>
      <w:r>
        <w:rPr/>
        <w:t>）深圳市产业技术进步资金资助项目系依据深圳市企业信息（</w:t>
      </w:r>
      <w:r>
        <w:rPr>
          <w:rFonts w:ascii="宋体" w:hAnsi="宋体" w:cs="宋体" w:eastAsia="宋体" w:hint="default"/>
        </w:rPr>
        <w:t>2013</w:t>
      </w:r>
      <w:r>
        <w:rPr/>
        <w:t>）</w:t>
      </w:r>
      <w:r>
        <w:rPr>
          <w:rFonts w:ascii="宋体" w:hAnsi="宋体" w:cs="宋体" w:eastAsia="宋体" w:hint="default"/>
        </w:rPr>
        <w:t>268</w:t>
      </w:r>
      <w:r>
        <w:rPr/>
        <w:t>号文收到</w:t>
      </w:r>
      <w:r>
        <w:rPr>
          <w:rFonts w:ascii="宋体" w:hAnsi="宋体" w:cs="宋体" w:eastAsia="宋体" w:hint="default"/>
        </w:rPr>
        <w:t>ERP</w:t>
      </w:r>
      <w:r>
        <w:rPr/>
        <w:t>与</w:t>
      </w:r>
      <w:r>
        <w:rPr>
          <w:rFonts w:ascii="宋体" w:hAnsi="宋体" w:cs="宋体" w:eastAsia="宋体" w:hint="default"/>
        </w:rPr>
        <w:t>EMS</w:t>
      </w:r>
      <w:r>
        <w:rPr/>
        <w:t>系统集成项目补助款</w:t>
      </w:r>
    </w:p>
    <w:p>
      <w:pPr>
        <w:spacing w:after="0" w:line="240" w:lineRule="auto"/>
        <w:jc w:val="left"/>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240" w:lineRule="auto" w:before="44"/>
        <w:ind w:right="0"/>
        <w:jc w:val="left"/>
      </w:pPr>
      <w:r>
        <w:rPr>
          <w:rFonts w:ascii="宋体" w:hAnsi="宋体" w:cs="宋体" w:eastAsia="宋体" w:hint="default"/>
        </w:rPr>
        <w:t>910,000.00</w:t>
      </w:r>
      <w:r>
        <w:rPr/>
        <w:t>元，按</w:t>
      </w:r>
      <w:r>
        <w:rPr>
          <w:rFonts w:ascii="宋体" w:hAnsi="宋体" w:cs="宋体" w:eastAsia="宋体" w:hint="default"/>
        </w:rPr>
        <w:t>5</w:t>
      </w:r>
      <w:r>
        <w:rPr/>
        <w:t>年结转损益。</w:t>
      </w:r>
    </w:p>
    <w:p>
      <w:pPr>
        <w:pStyle w:val="BodyText"/>
        <w:spacing w:line="316" w:lineRule="auto" w:before="76"/>
        <w:ind w:right="1119" w:firstLine="420"/>
        <w:jc w:val="left"/>
      </w:pPr>
      <w:r>
        <w:rPr>
          <w:spacing w:val="-1"/>
        </w:rPr>
        <w:t>（</w:t>
      </w:r>
      <w:r>
        <w:rPr>
          <w:rFonts w:ascii="宋体" w:hAnsi="宋体" w:cs="宋体" w:eastAsia="宋体" w:hint="default"/>
          <w:spacing w:val="-1"/>
        </w:rPr>
        <w:t>6</w:t>
      </w:r>
      <w:r>
        <w:rPr>
          <w:spacing w:val="-1"/>
        </w:rPr>
        <w:t>）天津市工业企业技术改造项目系依据津工信投资【</w:t>
      </w:r>
      <w:r>
        <w:rPr>
          <w:rFonts w:ascii="宋体" w:hAnsi="宋体" w:cs="宋体" w:eastAsia="宋体" w:hint="default"/>
          <w:spacing w:val="-1"/>
        </w:rPr>
        <w:t>2015</w:t>
      </w:r>
      <w:r>
        <w:rPr>
          <w:spacing w:val="-1"/>
        </w:rPr>
        <w:t>】</w:t>
      </w:r>
      <w:r>
        <w:rPr>
          <w:rFonts w:ascii="宋体" w:hAnsi="宋体" w:cs="宋体" w:eastAsia="宋体" w:hint="default"/>
          <w:spacing w:val="-1"/>
        </w:rPr>
        <w:t>4</w:t>
      </w:r>
      <w:r>
        <w:rPr>
          <w:spacing w:val="-1"/>
        </w:rPr>
        <w:t>号文收到</w:t>
      </w:r>
      <w:r>
        <w:rPr>
          <w:rFonts w:ascii="宋体" w:hAnsi="宋体" w:cs="宋体" w:eastAsia="宋体" w:hint="default"/>
          <w:spacing w:val="-1"/>
        </w:rPr>
        <w:t>LED</w:t>
      </w:r>
      <w:r>
        <w:rPr>
          <w:spacing w:val="-1"/>
        </w:rPr>
        <w:t>灯条生产线及</w:t>
      </w:r>
      <w:r>
        <w:rPr>
          <w:rFonts w:ascii="宋体" w:hAnsi="宋体" w:cs="宋体" w:eastAsia="宋体" w:hint="default"/>
          <w:spacing w:val="-1"/>
        </w:rPr>
        <w:t>4G</w:t>
      </w:r>
      <w:r>
        <w:rPr>
          <w:spacing w:val="-1"/>
        </w:rPr>
        <w:t>通讯终端产品技术改造款</w:t>
      </w:r>
      <w:r>
        <w:rPr/>
        <w:t> </w:t>
      </w:r>
      <w:r>
        <w:rPr>
          <w:rFonts w:ascii="宋体" w:hAnsi="宋体" w:cs="宋体" w:eastAsia="宋体" w:hint="default"/>
        </w:rPr>
        <w:t>1,500,000.00</w:t>
      </w:r>
      <w:r>
        <w:rPr/>
        <w:t>元，按</w:t>
      </w:r>
      <w:r>
        <w:rPr>
          <w:rFonts w:ascii="宋体" w:hAnsi="宋体" w:cs="宋体" w:eastAsia="宋体" w:hint="default"/>
        </w:rPr>
        <w:t>10</w:t>
      </w:r>
      <w:r>
        <w:rPr/>
        <w:t>年结转损益。</w:t>
      </w:r>
    </w:p>
    <w:p>
      <w:pPr>
        <w:pStyle w:val="BodyText"/>
        <w:spacing w:line="319" w:lineRule="auto" w:before="19"/>
        <w:ind w:right="1152" w:firstLine="420"/>
        <w:jc w:val="left"/>
      </w:pPr>
      <w:r>
        <w:rPr/>
        <w:t>（</w:t>
      </w:r>
      <w:r>
        <w:rPr>
          <w:rFonts w:ascii="宋体" w:hAnsi="宋体" w:cs="宋体" w:eastAsia="宋体" w:hint="default"/>
        </w:rPr>
        <w:t>7</w:t>
      </w:r>
      <w:r>
        <w:rPr/>
        <w:t>）国家机器人设备资助款系依据《深圳市产业转型升级专项资金暂行管理办法</w:t>
      </w:r>
      <w:r>
        <w:rPr>
          <w:spacing w:val="-90"/>
        </w:rPr>
        <w:t>》</w:t>
      </w:r>
      <w:r>
        <w:rPr/>
        <w:t>（深财规</w:t>
      </w:r>
      <w:r>
        <w:rPr>
          <w:rFonts w:ascii="宋体" w:hAnsi="宋体" w:cs="宋体" w:eastAsia="宋体" w:hint="default"/>
        </w:rPr>
        <w:t>[2014]21</w:t>
      </w:r>
      <w:r>
        <w:rPr/>
        <w:t>号</w:t>
      </w:r>
      <w:r>
        <w:rPr>
          <w:spacing w:val="-90"/>
        </w:rPr>
        <w:t>）、</w:t>
      </w:r>
      <w:r>
        <w:rPr/>
        <w:t>《深圳市机</w:t>
      </w:r>
      <w:r>
        <w:rPr/>
        <w:t> 器人、可穿戴设备和智能装备产业振兴发展政策</w:t>
      </w:r>
      <w:r>
        <w:rPr>
          <w:spacing w:val="-90"/>
        </w:rPr>
        <w:t>》</w:t>
      </w:r>
      <w:r>
        <w:rPr/>
        <w:t>（深府</w:t>
      </w:r>
      <w:r>
        <w:rPr>
          <w:rFonts w:ascii="宋体" w:hAnsi="宋体" w:cs="宋体" w:eastAsia="宋体" w:hint="default"/>
        </w:rPr>
        <w:t>[2014]97</w:t>
      </w:r>
      <w:r>
        <w:rPr/>
        <w:t>号）收到补助款</w:t>
      </w:r>
      <w:r>
        <w:rPr>
          <w:rFonts w:ascii="宋体" w:hAnsi="宋体" w:cs="宋体" w:eastAsia="宋体" w:hint="default"/>
        </w:rPr>
        <w:t>2,860,000.00</w:t>
      </w:r>
      <w:r>
        <w:rPr/>
        <w:t>元，按</w:t>
      </w:r>
      <w:r>
        <w:rPr>
          <w:rFonts w:ascii="宋体" w:hAnsi="宋体" w:cs="宋体" w:eastAsia="宋体" w:hint="default"/>
        </w:rPr>
        <w:t>5</w:t>
      </w:r>
      <w:r>
        <w:rPr/>
        <w:t>年结转损益。</w:t>
      </w:r>
    </w:p>
    <w:p>
      <w:pPr>
        <w:pStyle w:val="BodyText"/>
        <w:spacing w:line="316" w:lineRule="auto" w:before="17"/>
        <w:ind w:right="1118" w:firstLine="420"/>
        <w:jc w:val="left"/>
      </w:pPr>
      <w:r>
        <w:rPr>
          <w:spacing w:val="-1"/>
        </w:rPr>
        <w:t>（</w:t>
      </w:r>
      <w:r>
        <w:rPr>
          <w:rFonts w:ascii="宋体" w:hAnsi="宋体" w:cs="宋体" w:eastAsia="宋体" w:hint="default"/>
          <w:spacing w:val="-1"/>
        </w:rPr>
        <w:t>8</w:t>
      </w:r>
      <w:r>
        <w:rPr>
          <w:spacing w:val="-1"/>
        </w:rPr>
        <w:t>）</w:t>
      </w:r>
      <w:r>
        <w:rPr>
          <w:rFonts w:ascii="宋体" w:hAnsi="宋体" w:cs="宋体" w:eastAsia="宋体" w:hint="default"/>
          <w:spacing w:val="-1"/>
        </w:rPr>
        <w:t>2018</w:t>
      </w:r>
      <w:r>
        <w:rPr>
          <w:spacing w:val="-1"/>
        </w:rPr>
        <w:t>年技术改造投资补贴项目系依据《市经贸信息委关于</w:t>
      </w:r>
      <w:r>
        <w:rPr>
          <w:rFonts w:ascii="宋体" w:hAnsi="宋体" w:cs="宋体" w:eastAsia="宋体" w:hint="default"/>
          <w:spacing w:val="-1"/>
        </w:rPr>
        <w:t>2018</w:t>
      </w:r>
      <w:r>
        <w:rPr>
          <w:spacing w:val="-1"/>
        </w:rPr>
        <w:t>年技术改造倍增专项技术改造投资补贴项目第一批</w:t>
      </w:r>
      <w:r>
        <w:rPr/>
        <w:t> 计划公示的通知》深经贸信息技术字</w:t>
      </w:r>
      <w:r>
        <w:rPr>
          <w:rFonts w:ascii="宋体" w:hAnsi="宋体" w:cs="宋体" w:eastAsia="宋体" w:hint="default"/>
        </w:rPr>
        <w:t>[2018]206</w:t>
      </w:r>
      <w:r>
        <w:rPr/>
        <w:t>号文收到</w:t>
      </w:r>
      <w:r>
        <w:rPr>
          <w:rFonts w:ascii="宋体" w:hAnsi="宋体" w:cs="宋体" w:eastAsia="宋体" w:hint="default"/>
        </w:rPr>
        <w:t>7,740,000.00</w:t>
      </w:r>
      <w:r>
        <w:rPr/>
        <w:t>元，按</w:t>
      </w:r>
      <w:r>
        <w:rPr>
          <w:rFonts w:ascii="宋体" w:hAnsi="宋体" w:cs="宋体" w:eastAsia="宋体" w:hint="default"/>
        </w:rPr>
        <w:t>10</w:t>
      </w:r>
      <w:r>
        <w:rPr/>
        <w:t>年结转损益。</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43、其他非流动负债" w:id="338"/>
      <w:bookmarkEnd w:id="338"/>
      <w:r>
        <w:rPr>
          <w:b w:val="0"/>
          <w:bCs w:val="0"/>
        </w:rPr>
      </w:r>
      <w:r>
        <w:rPr>
          <w:rFonts w:ascii="Times New Roman" w:hAnsi="Times New Roman" w:cs="Times New Roman" w:eastAsia="Times New Roman" w:hint="default"/>
        </w:rPr>
        <w:t>43</w:t>
      </w:r>
      <w:r>
        <w:rPr/>
        <w:t>、其他非流动负债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2"/>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44、股本" w:id="339"/>
      <w:bookmarkEnd w:id="339"/>
      <w:r>
        <w:rPr>
          <w:b w:val="0"/>
          <w:bCs w:val="0"/>
        </w:rPr>
      </w:r>
      <w:r>
        <w:rPr>
          <w:rFonts w:ascii="Times New Roman" w:hAnsi="Times New Roman" w:cs="Times New Roman" w:eastAsia="Times New Roman" w:hint="default"/>
        </w:rPr>
        <w:t>44</w:t>
      </w:r>
      <w:r>
        <w:rPr/>
        <w:t>、股本</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196"/>
        <w:gridCol w:w="1196"/>
        <w:gridCol w:w="1196"/>
        <w:gridCol w:w="1197"/>
        <w:gridCol w:w="1195"/>
        <w:gridCol w:w="1197"/>
        <w:gridCol w:w="1196"/>
        <w:gridCol w:w="1195"/>
      </w:tblGrid>
      <w:tr>
        <w:trPr>
          <w:trHeight w:val="402" w:hRule="exact"/>
        </w:trPr>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195" w:type="dxa"/>
            <w:vMerge/>
            <w:tcBorders>
              <w:left w:val="single" w:sz="4" w:space="0" w:color="000000"/>
              <w:bottom w:val="single" w:sz="4" w:space="0" w:color="000000"/>
              <w:right w:val="single" w:sz="4" w:space="0" w:color="000000"/>
            </w:tcBorders>
            <w:shd w:val="clear" w:color="auto" w:fill="D2D2D2"/>
          </w:tcPr>
          <w:p>
            <w:pPr/>
          </w:p>
        </w:tc>
      </w:tr>
      <w:tr>
        <w:trPr>
          <w:trHeight w:val="716"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581,039,204.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-1,067,500.0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-1,067,500.0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579,971,704.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r>
    </w:tbl>
    <w:p>
      <w:pPr>
        <w:pStyle w:val="BodyText"/>
        <w:spacing w:line="240" w:lineRule="auto" w:before="51"/>
        <w:ind w:right="0"/>
        <w:jc w:val="left"/>
      </w:pPr>
      <w:r>
        <w:rPr/>
        <w:t>其他说明：</w:t>
      </w:r>
    </w:p>
    <w:p>
      <w:pPr>
        <w:spacing w:line="240" w:lineRule="auto" w:before="12"/>
        <w:rPr>
          <w:rFonts w:ascii="宋体" w:hAnsi="宋体" w:cs="宋体" w:eastAsia="宋体" w:hint="default"/>
          <w:sz w:val="14"/>
          <w:szCs w:val="14"/>
        </w:rPr>
      </w:pPr>
    </w:p>
    <w:p>
      <w:pPr>
        <w:pStyle w:val="BodyText"/>
        <w:spacing w:line="316" w:lineRule="auto"/>
        <w:ind w:right="1130" w:firstLine="420"/>
        <w:jc w:val="both"/>
      </w:pPr>
      <w:r>
        <w:rPr>
          <w:rFonts w:ascii="宋体" w:hAnsi="宋体" w:cs="宋体" w:eastAsia="宋体" w:hint="default"/>
        </w:rPr>
        <w:t>1</w:t>
      </w:r>
      <w:r>
        <w:rPr/>
        <w:t>、根据</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23</w:t>
      </w:r>
      <w:r>
        <w:rPr/>
        <w:t>日第四届董事会第二十次会议和第四届监事会第十五次会议，审议通过了《关于注销部分股票期 </w:t>
      </w:r>
      <w:r>
        <w:rPr>
          <w:spacing w:val="-3"/>
        </w:rPr>
        <w:t>权及回购注销部分限制性股票的议案》，公司回购注销未达</w:t>
      </w:r>
      <w:r>
        <w:rPr>
          <w:rFonts w:ascii="宋体" w:hAnsi="宋体" w:cs="宋体" w:eastAsia="宋体" w:hint="default"/>
          <w:spacing w:val="-3"/>
        </w:rPr>
        <w:t>2017</w:t>
      </w:r>
      <w:r>
        <w:rPr>
          <w:spacing w:val="-3"/>
        </w:rPr>
        <w:t>年股票期权与限制性股票激励计划第一期行权</w:t>
      </w:r>
      <w:r>
        <w:rPr>
          <w:rFonts w:ascii="宋体" w:hAnsi="宋体" w:cs="宋体" w:eastAsia="宋体" w:hint="default"/>
          <w:spacing w:val="-3"/>
        </w:rPr>
        <w:t>/</w:t>
      </w:r>
      <w:r>
        <w:rPr>
          <w:spacing w:val="-3"/>
        </w:rPr>
        <w:t>解锁条件的激</w:t>
      </w:r>
      <w:r>
        <w:rPr/>
        <w:t> 励对象持有获授的限制性股票，共计</w:t>
      </w:r>
      <w:r>
        <w:rPr>
          <w:rFonts w:ascii="宋体" w:hAnsi="宋体" w:cs="宋体" w:eastAsia="宋体" w:hint="default"/>
        </w:rPr>
        <w:t>1</w:t>
      </w:r>
      <w:r>
        <w:rPr>
          <w:rFonts w:ascii="Times New Roman" w:hAnsi="Times New Roman" w:cs="Times New Roman" w:eastAsia="Times New Roman" w:hint="default"/>
        </w:rPr>
        <w:t>,</w:t>
      </w:r>
      <w:r>
        <w:rPr>
          <w:rFonts w:ascii="宋体" w:hAnsi="宋体" w:cs="宋体" w:eastAsia="宋体" w:hint="default"/>
        </w:rPr>
        <w:t>067</w:t>
      </w:r>
      <w:r>
        <w:rPr>
          <w:rFonts w:ascii="Times New Roman" w:hAnsi="Times New Roman" w:cs="Times New Roman" w:eastAsia="Times New Roman" w:hint="default"/>
        </w:rPr>
        <w:t>,</w:t>
      </w:r>
      <w:r>
        <w:rPr>
          <w:rFonts w:ascii="宋体" w:hAnsi="宋体" w:cs="宋体" w:eastAsia="宋体" w:hint="default"/>
        </w:rPr>
        <w:t>500</w:t>
      </w:r>
      <w:r>
        <w:rPr/>
        <w:t>股。</w:t>
      </w:r>
    </w:p>
    <w:p>
      <w:pPr>
        <w:pStyle w:val="BodyText"/>
        <w:spacing w:line="316" w:lineRule="auto"/>
        <w:ind w:right="1139" w:firstLine="450"/>
        <w:jc w:val="both"/>
      </w:pPr>
      <w:r>
        <w:rPr>
          <w:rFonts w:ascii="宋体" w:hAnsi="宋体" w:cs="宋体" w:eastAsia="宋体" w:hint="default"/>
        </w:rPr>
        <w:t>2</w:t>
      </w:r>
      <w:r>
        <w:rPr/>
        <w:t>、限制性股票回购注销业经亚太（集团）会计师事务所（特殊普通合伙）验证，并出具亚会</w:t>
      </w:r>
      <w:r>
        <w:rPr>
          <w:rFonts w:ascii="宋体" w:hAnsi="宋体" w:cs="宋体" w:eastAsia="宋体" w:hint="default"/>
        </w:rPr>
        <w:t>A</w:t>
      </w:r>
      <w:r>
        <w:rPr/>
        <w:t>验字（</w:t>
      </w:r>
      <w:r>
        <w:rPr>
          <w:rFonts w:ascii="宋体" w:hAnsi="宋体" w:cs="宋体" w:eastAsia="宋体" w:hint="default"/>
        </w:rPr>
        <w:t>2018</w:t>
      </w:r>
      <w:r>
        <w:rPr/>
        <w:t>）</w:t>
      </w:r>
      <w:r>
        <w:rPr>
          <w:rFonts w:ascii="宋体" w:hAnsi="宋体" w:cs="宋体" w:eastAsia="宋体" w:hint="default"/>
        </w:rPr>
        <w:t>0005</w:t>
      </w:r>
      <w:r>
        <w:rPr/>
        <w:t>号验 资报告，变更后的股本为</w:t>
      </w:r>
      <w:r>
        <w:rPr>
          <w:rFonts w:ascii="宋体" w:hAnsi="宋体" w:cs="宋体" w:eastAsia="宋体" w:hint="default"/>
        </w:rPr>
        <w:t>579,971,704</w:t>
      </w:r>
      <w:r>
        <w:rPr>
          <w:rFonts w:ascii="Times New Roman" w:hAnsi="Times New Roman" w:cs="Times New Roman" w:eastAsia="Times New Roman" w:hint="default"/>
        </w:rPr>
        <w:t>.00</w:t>
      </w:r>
      <w:r>
        <w:rPr/>
        <w:t>元，注册资本为</w:t>
      </w:r>
      <w:r>
        <w:rPr>
          <w:rFonts w:ascii="宋体" w:hAnsi="宋体" w:cs="宋体" w:eastAsia="宋体" w:hint="default"/>
        </w:rPr>
        <w:t>579,971,704</w:t>
      </w:r>
      <w:r>
        <w:rPr>
          <w:rFonts w:ascii="Times New Roman" w:hAnsi="Times New Roman" w:cs="Times New Roman" w:eastAsia="Times New Roman" w:hint="default"/>
        </w:rPr>
        <w:t>.00</w:t>
      </w:r>
      <w:r>
        <w:rPr/>
        <w:t>元。</w:t>
      </w:r>
    </w:p>
    <w:p>
      <w:pPr>
        <w:spacing w:line="240" w:lineRule="auto" w:before="13"/>
        <w:rPr>
          <w:rFonts w:ascii="宋体" w:hAnsi="宋体" w:cs="宋体" w:eastAsia="宋体" w:hint="default"/>
          <w:sz w:val="20"/>
          <w:szCs w:val="20"/>
        </w:rPr>
      </w:pPr>
    </w:p>
    <w:p>
      <w:pPr>
        <w:pStyle w:val="Heading3"/>
        <w:spacing w:line="240" w:lineRule="auto"/>
        <w:ind w:right="0"/>
        <w:jc w:val="left"/>
        <w:rPr>
          <w:b w:val="0"/>
          <w:bCs w:val="0"/>
        </w:rPr>
      </w:pPr>
      <w:bookmarkStart w:name="45、其他权益工具" w:id="340"/>
      <w:bookmarkEnd w:id="340"/>
      <w:r>
        <w:rPr>
          <w:b w:val="0"/>
          <w:bCs w:val="0"/>
        </w:rPr>
      </w:r>
      <w:r>
        <w:rPr>
          <w:rFonts w:ascii="Times New Roman" w:hAnsi="Times New Roman" w:cs="Times New Roman" w:eastAsia="Times New Roman" w:hint="default"/>
        </w:rPr>
        <w:t>45</w:t>
      </w:r>
      <w:r>
        <w:rPr/>
        <w:t>、其他权益工具</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期末发行在外的优先股、永续债等其他金融工具基本情况" w:id="341"/>
      <w:bookmarkEnd w:id="341"/>
      <w:r>
        <w:rPr>
          <w:b w:val="0"/>
          <w:bCs w:val="0"/>
        </w:rPr>
      </w:r>
      <w:r>
        <w:rPr/>
        <w:t>（</w:t>
      </w:r>
      <w:r>
        <w:rPr>
          <w:rFonts w:ascii="Times New Roman" w:hAnsi="Times New Roman" w:cs="Times New Roman" w:eastAsia="Times New Roman" w:hint="default"/>
        </w:rPr>
        <w:t>1</w:t>
      </w:r>
      <w:r>
        <w:rPr/>
        <w:t>）期末发行在外的优先股、永续债等其他金融工具基本情况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2）期末发行在外的优先股、永续债等金融工具变动情况表" w:id="342"/>
      <w:bookmarkEnd w:id="342"/>
      <w:r>
        <w:rPr>
          <w:b w:val="0"/>
          <w:bCs w:val="0"/>
        </w:rPr>
      </w:r>
      <w:r>
        <w:rPr/>
        <w:t>（</w:t>
      </w:r>
      <w:r>
        <w:rPr>
          <w:rFonts w:ascii="Times New Roman" w:hAnsi="Times New Roman" w:cs="Times New Roman" w:eastAsia="Times New Roman" w:hint="default"/>
        </w:rPr>
        <w:t>2</w:t>
      </w:r>
      <w:r>
        <w:rPr/>
        <w:t>）期末发行在外的优先股、永续债等金融工具变动情况表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62"/>
      </w:tblGrid>
      <w:tr>
        <w:trPr>
          <w:trHeight w:val="402"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66" w:right="167"/>
              <w:jc w:val="center"/>
              <w:rPr>
                <w:rFonts w:ascii="宋体" w:hAnsi="宋体" w:cs="宋体" w:eastAsia="宋体" w:hint="default"/>
                <w:sz w:val="18"/>
                <w:szCs w:val="18"/>
              </w:rPr>
            </w:pPr>
            <w:r>
              <w:rPr>
                <w:rFonts w:ascii="宋体" w:hAnsi="宋体" w:cs="宋体" w:eastAsia="宋体" w:hint="default"/>
                <w:sz w:val="18"/>
                <w:szCs w:val="18"/>
              </w:rPr>
              <w:t>发行在外 的金融工 具</w:t>
            </w:r>
          </w:p>
        </w:tc>
        <w:tc>
          <w:tcPr>
            <w:tcW w:w="21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624"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360" w:lineRule="auto" w:before="51"/>
        <w:ind w:right="4632"/>
        <w:jc w:val="left"/>
      </w:pPr>
      <w:r>
        <w:rPr/>
        <w:t>其他权益工具本期增减变动情况、变动原因说明，以及相关会计处理的依据： 其他说明：</w:t>
      </w:r>
    </w:p>
    <w:p>
      <w:pPr>
        <w:spacing w:after="0" w:line="360" w:lineRule="auto"/>
        <w:jc w:val="left"/>
        <w:sectPr>
          <w:pgSz w:w="11910" w:h="16840"/>
          <w:pgMar w:header="917" w:footer="1019" w:top="112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46、资本公积" w:id="343"/>
      <w:bookmarkEnd w:id="343"/>
      <w:r>
        <w:rPr>
          <w:b w:val="0"/>
          <w:bCs w:val="0"/>
        </w:rPr>
      </w:r>
      <w:r>
        <w:rPr>
          <w:rFonts w:ascii="Times New Roman" w:hAnsi="Times New Roman" w:cs="Times New Roman" w:eastAsia="Times New Roman" w:hint="default"/>
        </w:rPr>
        <w:t>46</w:t>
      </w:r>
      <w:r>
        <w:rPr/>
        <w:t>、资本公积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1,295,698,817.62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3,661,525.00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1,292,037,292.62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9,746,345.79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5,797,766.63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5,520,000.00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10,024,112.42</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1,305,445,163.41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5,797,766.63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9,181,525.00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1,302,061,405.04</w:t>
            </w:r>
          </w:p>
        </w:tc>
      </w:tr>
    </w:tbl>
    <w:p>
      <w:pPr>
        <w:pStyle w:val="BodyText"/>
        <w:spacing w:line="357" w:lineRule="auto" w:before="51"/>
        <w:ind w:right="6612"/>
        <w:jc w:val="left"/>
      </w:pPr>
      <w:r>
        <w:rPr/>
        <w:t>其他说明，包括本期增减变动情况、变动原因说明： </w:t>
      </w:r>
      <w:r>
        <w:rPr>
          <w:rFonts w:ascii="宋体" w:hAnsi="宋体" w:cs="宋体" w:eastAsia="宋体" w:hint="default"/>
        </w:rPr>
        <w:t>1</w:t>
      </w:r>
      <w:r>
        <w:rPr/>
        <w:t>、股本溢价变动说明</w:t>
      </w:r>
    </w:p>
    <w:p>
      <w:pPr>
        <w:pStyle w:val="BodyText"/>
        <w:spacing w:line="224" w:lineRule="exact"/>
        <w:ind w:right="0" w:firstLine="360"/>
        <w:jc w:val="left"/>
      </w:pPr>
      <w:r>
        <w:rPr/>
        <w:t>根据</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23</w:t>
      </w:r>
      <w:r>
        <w:rPr/>
        <w:t>日第四届董事会第二十次会议和第四届监事会第十五次会议，审议通过了《关于注销部分股票期权及</w:t>
      </w:r>
    </w:p>
    <w:p>
      <w:pPr>
        <w:pStyle w:val="BodyText"/>
        <w:spacing w:line="316" w:lineRule="auto" w:before="76"/>
        <w:ind w:right="1113"/>
        <w:jc w:val="left"/>
      </w:pPr>
      <w:r>
        <w:rPr>
          <w:spacing w:val="-3"/>
        </w:rPr>
        <w:t>回购注销部分限制性股票的议案》，公司决定回购注销未达</w:t>
      </w:r>
      <w:r>
        <w:rPr>
          <w:rFonts w:ascii="宋体" w:hAnsi="宋体" w:cs="宋体" w:eastAsia="宋体" w:hint="default"/>
          <w:spacing w:val="-3"/>
        </w:rPr>
        <w:t>2017</w:t>
      </w:r>
      <w:r>
        <w:rPr>
          <w:spacing w:val="-3"/>
        </w:rPr>
        <w:t>年股票期权与限制性股票激励计划第一期行权</w:t>
      </w:r>
      <w:r>
        <w:rPr>
          <w:rFonts w:ascii="宋体" w:hAnsi="宋体" w:cs="宋体" w:eastAsia="宋体" w:hint="default"/>
          <w:spacing w:val="-3"/>
        </w:rPr>
        <w:t>/</w:t>
      </w:r>
      <w:r>
        <w:rPr>
          <w:spacing w:val="-3"/>
        </w:rPr>
        <w:t>解锁条件的激</w:t>
      </w:r>
      <w:r>
        <w:rPr/>
        <w:t> 励对象持有获授的限制性股票，共计</w:t>
      </w:r>
      <w:r>
        <w:rPr>
          <w:rFonts w:ascii="宋体" w:hAnsi="宋体" w:cs="宋体" w:eastAsia="宋体" w:hint="default"/>
        </w:rPr>
        <w:t>1,067,500</w:t>
      </w:r>
      <w:r>
        <w:rPr/>
        <w:t>股，减少资本公积</w:t>
      </w:r>
      <w:r>
        <w:rPr>
          <w:rFonts w:ascii="宋体" w:hAnsi="宋体" w:cs="宋体" w:eastAsia="宋体" w:hint="default"/>
        </w:rPr>
        <w:t>3,661,525.00</w:t>
      </w:r>
      <w:r>
        <w:rPr/>
        <w:t>元。</w:t>
      </w:r>
    </w:p>
    <w:p>
      <w:pPr>
        <w:pStyle w:val="BodyText"/>
        <w:spacing w:line="240" w:lineRule="auto" w:before="139"/>
        <w:ind w:right="0"/>
        <w:jc w:val="left"/>
      </w:pPr>
      <w:r>
        <w:rPr>
          <w:rFonts w:ascii="宋体" w:hAnsi="宋体" w:cs="宋体" w:eastAsia="宋体" w:hint="default"/>
        </w:rPr>
        <w:t>2</w:t>
      </w:r>
      <w:r>
        <w:rPr/>
        <w:t>、其他资本公积变动说明</w:t>
      </w:r>
    </w:p>
    <w:p>
      <w:pPr>
        <w:pStyle w:val="BodyText"/>
        <w:spacing w:line="240" w:lineRule="auto" w:before="76"/>
        <w:ind w:left="574" w:right="0"/>
        <w:jc w:val="left"/>
      </w:pPr>
      <w:r>
        <w:rPr/>
        <w:t>（</w:t>
      </w:r>
      <w:r>
        <w:rPr>
          <w:rFonts w:ascii="宋体" w:hAnsi="宋体" w:cs="宋体" w:eastAsia="宋体" w:hint="default"/>
        </w:rPr>
        <w:t>1</w:t>
      </w:r>
      <w:r>
        <w:rPr/>
        <w:t>）本期实行股权激励确认的股权激励费用</w:t>
      </w:r>
      <w:r>
        <w:rPr>
          <w:rFonts w:ascii="宋体" w:hAnsi="宋体" w:cs="宋体" w:eastAsia="宋体" w:hint="default"/>
        </w:rPr>
        <w:t>1,242,694.36</w:t>
      </w:r>
      <w:r>
        <w:rPr/>
        <w:t>元。</w:t>
      </w:r>
    </w:p>
    <w:p>
      <w:pPr>
        <w:pStyle w:val="BodyText"/>
        <w:spacing w:line="240" w:lineRule="auto" w:before="76"/>
        <w:ind w:left="574" w:right="0"/>
        <w:jc w:val="left"/>
      </w:pPr>
      <w:r>
        <w:rPr/>
        <w:t>（</w:t>
      </w:r>
      <w:r>
        <w:rPr>
          <w:rFonts w:ascii="宋体" w:hAnsi="宋体" w:cs="宋体" w:eastAsia="宋体" w:hint="default"/>
        </w:rPr>
        <w:t>2</w:t>
      </w:r>
      <w:r>
        <w:rPr/>
        <w:t>）本期确认联营企业深圳市深创谷技术服务有限公司其他权益变动</w:t>
      </w:r>
      <w:r>
        <w:rPr>
          <w:rFonts w:ascii="宋体" w:hAnsi="宋体" w:cs="宋体" w:eastAsia="宋体" w:hint="default"/>
        </w:rPr>
        <w:t>4</w:t>
      </w:r>
      <w:r>
        <w:rPr>
          <w:rFonts w:ascii="Times New Roman" w:hAnsi="Times New Roman" w:cs="Times New Roman" w:eastAsia="Times New Roman" w:hint="default"/>
        </w:rPr>
        <w:t>,</w:t>
      </w:r>
      <w:r>
        <w:rPr>
          <w:rFonts w:ascii="宋体" w:hAnsi="宋体" w:cs="宋体" w:eastAsia="宋体" w:hint="default"/>
        </w:rPr>
        <w:t>555</w:t>
      </w:r>
      <w:r>
        <w:rPr>
          <w:rFonts w:ascii="Times New Roman" w:hAnsi="Times New Roman" w:cs="Times New Roman" w:eastAsia="Times New Roman" w:hint="default"/>
        </w:rPr>
        <w:t>,</w:t>
      </w:r>
      <w:r>
        <w:rPr>
          <w:rFonts w:ascii="宋体" w:hAnsi="宋体" w:cs="宋体" w:eastAsia="宋体" w:hint="default"/>
        </w:rPr>
        <w:t>072.29</w:t>
      </w:r>
      <w:r>
        <w:rPr/>
        <w:t>元。</w:t>
      </w:r>
    </w:p>
    <w:p>
      <w:pPr>
        <w:pStyle w:val="BodyText"/>
        <w:spacing w:line="240" w:lineRule="auto" w:before="63"/>
        <w:ind w:left="574" w:right="0"/>
        <w:jc w:val="left"/>
      </w:pPr>
      <w:r>
        <w:rPr/>
        <w:t>（</w:t>
      </w:r>
      <w:r>
        <w:rPr>
          <w:rFonts w:ascii="宋体" w:hAnsi="宋体" w:cs="宋体" w:eastAsia="宋体" w:hint="default"/>
        </w:rPr>
        <w:t>3</w:t>
      </w:r>
      <w:r>
        <w:rPr/>
        <w:t>）本期减持北京朝歌数码科技股份有限公司股权转出其他资本公积</w:t>
      </w:r>
      <w:r>
        <w:rPr>
          <w:rFonts w:ascii="宋体" w:hAnsi="宋体" w:cs="宋体" w:eastAsia="宋体" w:hint="default"/>
        </w:rPr>
        <w:t>5,520,000.00</w:t>
      </w:r>
      <w:r>
        <w:rPr/>
        <w:t>元。</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7、库存股" w:id="344"/>
      <w:bookmarkEnd w:id="344"/>
      <w:r>
        <w:rPr>
          <w:b w:val="0"/>
          <w:bCs w:val="0"/>
        </w:rPr>
      </w:r>
      <w:r>
        <w:rPr>
          <w:rFonts w:ascii="Times New Roman" w:hAnsi="Times New Roman" w:cs="Times New Roman" w:eastAsia="Times New Roman" w:hint="default"/>
        </w:rPr>
        <w:t>47</w:t>
      </w:r>
      <w:r>
        <w:rPr/>
        <w:t>、库存股</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7"/>
              <w:jc w:val="left"/>
              <w:rPr>
                <w:rFonts w:ascii="宋体" w:hAnsi="宋体" w:cs="宋体" w:eastAsia="宋体" w:hint="default"/>
                <w:sz w:val="18"/>
                <w:szCs w:val="18"/>
              </w:rPr>
            </w:pPr>
            <w:r>
              <w:rPr>
                <w:rFonts w:ascii="宋体" w:hAnsi="宋体" w:cs="宋体" w:eastAsia="宋体" w:hint="default"/>
                <w:sz w:val="18"/>
                <w:szCs w:val="18"/>
              </w:rPr>
              <w:t>股权激励授予限制性 股票的回购义务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18,916,100.00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4,921,175.00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13,994,925.00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18,916,100.00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4,921,175.00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13,994,925.00</w:t>
            </w:r>
          </w:p>
        </w:tc>
      </w:tr>
    </w:tbl>
    <w:p>
      <w:pPr>
        <w:pStyle w:val="BodyText"/>
        <w:spacing w:line="240" w:lineRule="auto" w:before="51"/>
        <w:ind w:right="0"/>
        <w:jc w:val="left"/>
      </w:pPr>
      <w:r>
        <w:rPr/>
        <w:t>其他说明，包括本期增减变动情况、变动原因说明：</w:t>
      </w:r>
    </w:p>
    <w:p>
      <w:pPr>
        <w:spacing w:line="240" w:lineRule="auto" w:before="0"/>
        <w:rPr>
          <w:rFonts w:ascii="宋体" w:hAnsi="宋体" w:cs="宋体" w:eastAsia="宋体" w:hint="default"/>
          <w:sz w:val="15"/>
          <w:szCs w:val="15"/>
        </w:rPr>
      </w:pPr>
    </w:p>
    <w:p>
      <w:pPr>
        <w:pStyle w:val="BodyText"/>
        <w:spacing w:line="316" w:lineRule="auto"/>
        <w:ind w:right="1130" w:firstLine="420"/>
        <w:jc w:val="both"/>
      </w:pPr>
      <w:r>
        <w:rPr>
          <w:rFonts w:ascii="宋体" w:hAnsi="宋体" w:cs="宋体" w:eastAsia="宋体" w:hint="default"/>
        </w:rPr>
        <w:t>1</w:t>
      </w:r>
      <w:r>
        <w:rPr/>
        <w:t>、根据</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23</w:t>
      </w:r>
      <w:r>
        <w:rPr/>
        <w:t>日第四届董事会第二十次会议和第四届监事会第十五次会议，审议通过了《关于注销部分股票期 </w:t>
      </w:r>
      <w:r>
        <w:rPr>
          <w:spacing w:val="-3"/>
        </w:rPr>
        <w:t>权及回购注销部分限制性股票的议案》，公司决定回购注销未达</w:t>
      </w:r>
      <w:r>
        <w:rPr>
          <w:rFonts w:ascii="宋体" w:hAnsi="宋体" w:cs="宋体" w:eastAsia="宋体" w:hint="default"/>
          <w:spacing w:val="-3"/>
        </w:rPr>
        <w:t>2017</w:t>
      </w:r>
      <w:r>
        <w:rPr>
          <w:spacing w:val="-3"/>
        </w:rPr>
        <w:t>年股票期权与限制性股票激励计划第一期行权</w:t>
      </w:r>
      <w:r>
        <w:rPr>
          <w:rFonts w:ascii="宋体" w:hAnsi="宋体" w:cs="宋体" w:eastAsia="宋体" w:hint="default"/>
          <w:spacing w:val="-3"/>
        </w:rPr>
        <w:t>/</w:t>
      </w:r>
      <w:r>
        <w:rPr>
          <w:spacing w:val="-3"/>
        </w:rPr>
        <w:t>解锁条件</w:t>
      </w:r>
      <w:r>
        <w:rPr/>
        <w:t> 的激励对象持有获授的限制性股票，共计</w:t>
      </w:r>
      <w:r>
        <w:rPr>
          <w:rFonts w:ascii="宋体" w:hAnsi="宋体" w:cs="宋体" w:eastAsia="宋体" w:hint="default"/>
        </w:rPr>
        <w:t>1</w:t>
      </w:r>
      <w:r>
        <w:rPr>
          <w:rFonts w:ascii="Times New Roman" w:hAnsi="Times New Roman" w:cs="Times New Roman" w:eastAsia="Times New Roman" w:hint="default"/>
        </w:rPr>
        <w:t>,</w:t>
      </w:r>
      <w:r>
        <w:rPr>
          <w:rFonts w:ascii="宋体" w:hAnsi="宋体" w:cs="宋体" w:eastAsia="宋体" w:hint="default"/>
        </w:rPr>
        <w:t>067</w:t>
      </w:r>
      <w:r>
        <w:rPr>
          <w:rFonts w:ascii="Times New Roman" w:hAnsi="Times New Roman" w:cs="Times New Roman" w:eastAsia="Times New Roman" w:hint="default"/>
        </w:rPr>
        <w:t>,</w:t>
      </w:r>
      <w:r>
        <w:rPr>
          <w:rFonts w:ascii="宋体" w:hAnsi="宋体" w:cs="宋体" w:eastAsia="宋体" w:hint="default"/>
        </w:rPr>
        <w:t>500</w:t>
      </w:r>
      <w:r>
        <w:rPr/>
        <w:t>股，减少库存股</w:t>
      </w:r>
      <w:r>
        <w:rPr>
          <w:rFonts w:ascii="宋体" w:hAnsi="宋体" w:cs="宋体" w:eastAsia="宋体" w:hint="default"/>
        </w:rPr>
        <w:t>4,729,025.00</w:t>
      </w:r>
      <w:r>
        <w:rPr/>
        <w:t>元。</w:t>
      </w:r>
    </w:p>
    <w:p>
      <w:pPr>
        <w:pStyle w:val="BodyText"/>
        <w:spacing w:line="316" w:lineRule="auto"/>
        <w:ind w:right="1027" w:firstLine="360"/>
        <w:jc w:val="left"/>
      </w:pPr>
      <w:r>
        <w:rPr>
          <w:rFonts w:ascii="宋体" w:hAnsi="宋体" w:cs="宋体" w:eastAsia="宋体" w:hint="default"/>
        </w:rPr>
        <w:t>2</w:t>
      </w:r>
      <w:r>
        <w:rPr/>
        <w:t>、</w:t>
      </w:r>
      <w:r>
        <w:rPr>
          <w:rFonts w:ascii="宋体" w:hAnsi="宋体" w:cs="宋体" w:eastAsia="宋体" w:hint="default"/>
        </w:rPr>
        <w:t>2018 </w:t>
      </w:r>
      <w:r>
        <w:rPr/>
        <w:t>年 </w:t>
      </w:r>
      <w:r>
        <w:rPr>
          <w:rFonts w:ascii="宋体" w:hAnsi="宋体" w:cs="宋体" w:eastAsia="宋体" w:hint="default"/>
        </w:rPr>
        <w:t>7 </w:t>
      </w:r>
      <w:r>
        <w:rPr/>
        <w:t>月 </w:t>
      </w:r>
      <w:r>
        <w:rPr>
          <w:rFonts w:ascii="宋体" w:hAnsi="宋体" w:cs="宋体" w:eastAsia="宋体" w:hint="default"/>
        </w:rPr>
        <w:t>11 </w:t>
      </w:r>
      <w:r>
        <w:rPr/>
        <w:t>日，本公司召开第四届董事会第二十四次会议，审议通过了《关于调整公司股票期权行权价格和 </w:t>
      </w:r>
      <w:r>
        <w:rPr>
          <w:spacing w:val="-9"/>
        </w:rPr>
        <w:t>限制性股票回购价格的议案》，因公司实施了</w:t>
      </w:r>
      <w:r>
        <w:rPr/>
        <w:t> </w:t>
      </w:r>
      <w:r>
        <w:rPr>
          <w:rFonts w:ascii="宋体" w:hAnsi="宋体" w:cs="宋体" w:eastAsia="宋体" w:hint="default"/>
        </w:rPr>
        <w:t>2017 </w:t>
      </w:r>
      <w:r>
        <w:rPr/>
        <w:t>年度权益分派事宜</w:t>
      </w:r>
      <w:r>
        <w:rPr>
          <w:rFonts w:ascii="宋体" w:hAnsi="宋体" w:cs="宋体" w:eastAsia="宋体" w:hint="default"/>
        </w:rPr>
        <w:t>, </w:t>
      </w:r>
      <w:r>
        <w:rPr/>
        <w:t>根据</w:t>
      </w:r>
      <w:r>
        <w:rPr>
          <w:rFonts w:ascii="宋体" w:hAnsi="宋体" w:cs="宋体" w:eastAsia="宋体" w:hint="default"/>
        </w:rPr>
        <w:t>2017</w:t>
      </w:r>
      <w:r>
        <w:rPr>
          <w:rFonts w:ascii="宋体" w:hAnsi="宋体" w:cs="宋体" w:eastAsia="宋体" w:hint="default"/>
          <w:spacing w:val="10"/>
        </w:rPr>
        <w:t> </w:t>
      </w:r>
      <w:r>
        <w:rPr>
          <w:spacing w:val="-5"/>
        </w:rPr>
        <w:t>年股票期权与限制性股票激励计划（草案）</w:t>
      </w:r>
      <w:r>
        <w:rPr/>
        <w:t> 及其摘要相关规定，董事会决定对股票期权行权价格和限制性股票回购价格进行调整，此项调整减少库存股</w:t>
      </w:r>
      <w:r>
        <w:rPr>
          <w:rFonts w:ascii="宋体" w:hAnsi="宋体" w:cs="宋体" w:eastAsia="宋体" w:hint="default"/>
        </w:rPr>
        <w:t>192</w:t>
      </w:r>
      <w:r>
        <w:rPr>
          <w:rFonts w:ascii="Times New Roman" w:hAnsi="Times New Roman" w:cs="Times New Roman" w:eastAsia="Times New Roman" w:hint="default"/>
        </w:rPr>
        <w:t>,</w:t>
      </w:r>
      <w:r>
        <w:rPr>
          <w:rFonts w:ascii="宋体" w:hAnsi="宋体" w:cs="宋体" w:eastAsia="宋体" w:hint="default"/>
        </w:rPr>
        <w:t>150.00</w:t>
      </w:r>
      <w:r>
        <w:rPr/>
        <w:t>元。</w:t>
      </w:r>
    </w:p>
    <w:p>
      <w:pPr>
        <w:spacing w:line="240" w:lineRule="auto" w:before="13"/>
        <w:rPr>
          <w:rFonts w:ascii="宋体" w:hAnsi="宋体" w:cs="宋体" w:eastAsia="宋体" w:hint="default"/>
          <w:sz w:val="20"/>
          <w:szCs w:val="20"/>
        </w:rPr>
      </w:pPr>
    </w:p>
    <w:p>
      <w:pPr>
        <w:pStyle w:val="Heading3"/>
        <w:spacing w:line="240" w:lineRule="auto"/>
        <w:ind w:right="0"/>
        <w:jc w:val="left"/>
        <w:rPr>
          <w:b w:val="0"/>
          <w:bCs w:val="0"/>
        </w:rPr>
      </w:pPr>
      <w:bookmarkStart w:name="48、其他综合收益" w:id="345"/>
      <w:bookmarkEnd w:id="345"/>
      <w:r>
        <w:rPr>
          <w:b w:val="0"/>
          <w:bCs w:val="0"/>
        </w:rPr>
      </w:r>
      <w:r>
        <w:rPr>
          <w:rFonts w:ascii="Times New Roman" w:hAnsi="Times New Roman" w:cs="Times New Roman" w:eastAsia="Times New Roman" w:hint="default"/>
        </w:rPr>
        <w:t>48</w:t>
      </w:r>
      <w:r>
        <w:rPr/>
        <w:t>、其他综合收益</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811"/>
        <w:gridCol w:w="1070"/>
        <w:gridCol w:w="935"/>
        <w:gridCol w:w="1152"/>
        <w:gridCol w:w="935"/>
        <w:gridCol w:w="936"/>
        <w:gridCol w:w="935"/>
        <w:gridCol w:w="796"/>
      </w:tblGrid>
      <w:tr>
        <w:trPr>
          <w:trHeight w:val="402" w:hRule="exact"/>
        </w:trPr>
        <w:tc>
          <w:tcPr>
            <w:tcW w:w="28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6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8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316" w:lineRule="auto"/>
              <w:ind w:left="302" w:right="121" w:hanging="180"/>
              <w:jc w:val="left"/>
              <w:rPr>
                <w:rFonts w:ascii="宋体" w:hAnsi="宋体" w:cs="宋体" w:eastAsia="宋体" w:hint="default"/>
                <w:sz w:val="18"/>
                <w:szCs w:val="18"/>
              </w:rPr>
            </w:pPr>
            <w:r>
              <w:rPr>
                <w:rFonts w:ascii="宋体" w:hAnsi="宋体" w:cs="宋体" w:eastAsia="宋体" w:hint="default"/>
                <w:sz w:val="18"/>
                <w:szCs w:val="18"/>
              </w:rPr>
              <w:t>期末余 额</w:t>
            </w:r>
          </w:p>
        </w:tc>
      </w:tr>
      <w:tr>
        <w:trPr>
          <w:trHeight w:val="1338" w:hRule="exact"/>
        </w:trPr>
        <w:tc>
          <w:tcPr>
            <w:tcW w:w="2811" w:type="dxa"/>
            <w:vMerge/>
            <w:tcBorders>
              <w:left w:val="single" w:sz="4" w:space="0" w:color="000000"/>
              <w:bottom w:val="single" w:sz="4" w:space="0" w:color="000000"/>
              <w:right w:val="single" w:sz="4" w:space="0" w:color="000000"/>
            </w:tcBorders>
            <w:shd w:val="clear" w:color="auto" w:fill="D2D2D2"/>
          </w:tcPr>
          <w:p>
            <w:pPr/>
          </w:p>
        </w:tc>
        <w:tc>
          <w:tcPr>
            <w:tcW w:w="1070" w:type="dxa"/>
            <w:vMerge/>
            <w:tcBorders>
              <w:left w:val="single" w:sz="4" w:space="0" w:color="000000"/>
              <w:bottom w:val="single" w:sz="4" w:space="0" w:color="000000"/>
              <w:right w:val="single" w:sz="4" w:space="0" w:color="000000"/>
            </w:tcBorders>
            <w:shd w:val="clear" w:color="auto" w:fill="D2D2D2"/>
          </w:tcPr>
          <w:p>
            <w:pPr/>
          </w:p>
        </w:tc>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90" w:right="192"/>
              <w:jc w:val="both"/>
              <w:rPr>
                <w:rFonts w:ascii="宋体" w:hAnsi="宋体" w:cs="宋体" w:eastAsia="宋体" w:hint="default"/>
                <w:sz w:val="18"/>
                <w:szCs w:val="18"/>
              </w:rPr>
            </w:pPr>
            <w:r>
              <w:rPr>
                <w:rFonts w:ascii="宋体" w:hAnsi="宋体" w:cs="宋体" w:eastAsia="宋体" w:hint="default"/>
                <w:sz w:val="18"/>
                <w:szCs w:val="18"/>
              </w:rPr>
              <w:t>本期所 得税前 发生额</w:t>
            </w:r>
          </w:p>
        </w:tc>
        <w:tc>
          <w:tcPr>
            <w:tcW w:w="11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1" w:right="119"/>
              <w:jc w:val="center"/>
              <w:rPr>
                <w:rFonts w:ascii="宋体" w:hAnsi="宋体" w:cs="宋体" w:eastAsia="宋体" w:hint="default"/>
                <w:sz w:val="18"/>
                <w:szCs w:val="18"/>
              </w:rPr>
            </w:pPr>
            <w:r>
              <w:rPr>
                <w:rFonts w:ascii="宋体" w:hAnsi="宋体" w:cs="宋体" w:eastAsia="宋体" w:hint="default"/>
                <w:sz w:val="18"/>
                <w:szCs w:val="18"/>
              </w:rPr>
              <w:t>减：前期计 入其他综合 收益当期转 入损益</w:t>
            </w:r>
          </w:p>
        </w:tc>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92" w:right="101" w:hanging="89"/>
              <w:jc w:val="left"/>
              <w:rPr>
                <w:rFonts w:ascii="宋体" w:hAnsi="宋体" w:cs="宋体" w:eastAsia="宋体" w:hint="default"/>
                <w:sz w:val="18"/>
                <w:szCs w:val="18"/>
              </w:rPr>
            </w:pPr>
            <w:r>
              <w:rPr>
                <w:rFonts w:ascii="宋体" w:hAnsi="宋体" w:cs="宋体" w:eastAsia="宋体" w:hint="default"/>
                <w:sz w:val="18"/>
                <w:szCs w:val="18"/>
              </w:rPr>
              <w:t>减：所得 税费用</w:t>
            </w:r>
          </w:p>
        </w:tc>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03" w:right="101"/>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92" w:right="191"/>
              <w:jc w:val="both"/>
              <w:rPr>
                <w:rFonts w:ascii="宋体" w:hAnsi="宋体" w:cs="宋体" w:eastAsia="宋体" w:hint="default"/>
                <w:sz w:val="18"/>
                <w:szCs w:val="18"/>
              </w:rPr>
            </w:pPr>
            <w:r>
              <w:rPr>
                <w:rFonts w:ascii="宋体" w:hAnsi="宋体" w:cs="宋体" w:eastAsia="宋体" w:hint="default"/>
                <w:sz w:val="18"/>
                <w:szCs w:val="18"/>
              </w:rPr>
              <w:t>税后归 属于少 数股东</w:t>
            </w:r>
          </w:p>
        </w:tc>
        <w:tc>
          <w:tcPr>
            <w:tcW w:w="796"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2810"/>
        <w:gridCol w:w="1070"/>
        <w:gridCol w:w="935"/>
        <w:gridCol w:w="1152"/>
        <w:gridCol w:w="935"/>
        <w:gridCol w:w="936"/>
        <w:gridCol w:w="935"/>
        <w:gridCol w:w="796"/>
      </w:tblGrid>
      <w:tr>
        <w:trPr>
          <w:trHeight w:val="714" w:hRule="exact"/>
        </w:trPr>
        <w:tc>
          <w:tcPr>
            <w:tcW w:w="28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75"/>
              <w:jc w:val="left"/>
              <w:rPr>
                <w:rFonts w:ascii="宋体" w:hAnsi="宋体" w:cs="宋体" w:eastAsia="宋体" w:hint="default"/>
                <w:sz w:val="18"/>
                <w:szCs w:val="18"/>
              </w:rPr>
            </w:pPr>
            <w:r>
              <w:rPr>
                <w:rFonts w:ascii="宋体" w:hAnsi="宋体" w:cs="宋体" w:eastAsia="宋体" w:hint="default"/>
                <w:sz w:val="18"/>
                <w:szCs w:val="18"/>
              </w:rPr>
              <w:t>二、将重分类进损益的其他综合 收益</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100,174.77</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w w:val="95"/>
                <w:sz w:val="18"/>
              </w:rPr>
              <w:t>-135,317.</w:t>
            </w:r>
            <w:r>
              <w:rPr>
                <w:rFonts w:ascii="Times New Roman"/>
                <w:sz w:val="18"/>
              </w:rPr>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26</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-135,317.</w:t>
            </w:r>
            <w:r>
              <w:rPr>
                <w:rFonts w:ascii="Times New Roman"/>
                <w:sz w:val="18"/>
              </w:rPr>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26</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8" w:right="0"/>
              <w:jc w:val="left"/>
              <w:rPr>
                <w:rFonts w:ascii="Times New Roman" w:hAnsi="Times New Roman" w:cs="Times New Roman" w:eastAsia="Times New Roman" w:hint="default"/>
                <w:sz w:val="18"/>
                <w:szCs w:val="18"/>
              </w:rPr>
            </w:pPr>
            <w:r>
              <w:rPr>
                <w:rFonts w:ascii="Times New Roman"/>
                <w:sz w:val="18"/>
              </w:rPr>
              <w:t>-35,142</w:t>
            </w:r>
          </w:p>
          <w:p>
            <w:pPr>
              <w:pStyle w:val="TableParagraph"/>
              <w:spacing w:line="240" w:lineRule="auto" w:before="106"/>
              <w:ind w:left="458" w:right="0"/>
              <w:jc w:val="left"/>
              <w:rPr>
                <w:rFonts w:ascii="Times New Roman" w:hAnsi="Times New Roman" w:cs="Times New Roman" w:eastAsia="Times New Roman" w:hint="default"/>
                <w:sz w:val="18"/>
                <w:szCs w:val="18"/>
              </w:rPr>
            </w:pPr>
            <w:r>
              <w:rPr>
                <w:rFonts w:ascii="Times New Roman"/>
                <w:sz w:val="18"/>
              </w:rPr>
              <w:t>.49</w:t>
            </w:r>
          </w:p>
        </w:tc>
      </w:tr>
      <w:tr>
        <w:trPr>
          <w:trHeight w:val="714" w:hRule="exact"/>
        </w:trPr>
        <w:tc>
          <w:tcPr>
            <w:tcW w:w="28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75"/>
              <w:jc w:val="left"/>
              <w:rPr>
                <w:rFonts w:ascii="宋体" w:hAnsi="宋体" w:cs="宋体" w:eastAsia="宋体" w:hint="default"/>
                <w:sz w:val="18"/>
                <w:szCs w:val="18"/>
              </w:rPr>
            </w:pPr>
            <w:r>
              <w:rPr>
                <w:rFonts w:ascii="宋体" w:hAnsi="宋体" w:cs="宋体" w:eastAsia="宋体" w:hint="default"/>
                <w:sz w:val="18"/>
                <w:szCs w:val="18"/>
              </w:rPr>
              <w:t>其中：权益法下可转损益的其他 综合收益</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100,174.77</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w w:val="95"/>
                <w:sz w:val="18"/>
              </w:rPr>
              <w:t>-135,317.</w:t>
            </w:r>
            <w:r>
              <w:rPr>
                <w:rFonts w:ascii="Times New Roman"/>
                <w:sz w:val="18"/>
              </w:rPr>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26</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-135,317.</w:t>
            </w:r>
            <w:r>
              <w:rPr>
                <w:rFonts w:ascii="Times New Roman"/>
                <w:sz w:val="18"/>
              </w:rPr>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26</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8" w:right="0"/>
              <w:jc w:val="left"/>
              <w:rPr>
                <w:rFonts w:ascii="Times New Roman" w:hAnsi="Times New Roman" w:cs="Times New Roman" w:eastAsia="Times New Roman" w:hint="default"/>
                <w:sz w:val="18"/>
                <w:szCs w:val="18"/>
              </w:rPr>
            </w:pPr>
            <w:r>
              <w:rPr>
                <w:rFonts w:ascii="Times New Roman"/>
                <w:sz w:val="18"/>
              </w:rPr>
              <w:t>-35,142</w:t>
            </w:r>
          </w:p>
          <w:p>
            <w:pPr>
              <w:pStyle w:val="TableParagraph"/>
              <w:spacing w:line="240" w:lineRule="auto" w:before="106"/>
              <w:ind w:left="458" w:right="0"/>
              <w:jc w:val="left"/>
              <w:rPr>
                <w:rFonts w:ascii="Times New Roman" w:hAnsi="Times New Roman" w:cs="Times New Roman" w:eastAsia="Times New Roman" w:hint="default"/>
                <w:sz w:val="18"/>
                <w:szCs w:val="18"/>
              </w:rPr>
            </w:pPr>
            <w:r>
              <w:rPr>
                <w:rFonts w:ascii="Times New Roman"/>
                <w:sz w:val="18"/>
              </w:rPr>
              <w:t>.49</w:t>
            </w:r>
          </w:p>
        </w:tc>
      </w:tr>
      <w:tr>
        <w:trPr>
          <w:trHeight w:val="714" w:hRule="exact"/>
        </w:trPr>
        <w:tc>
          <w:tcPr>
            <w:tcW w:w="28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100,174.77</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w w:val="95"/>
                <w:sz w:val="18"/>
              </w:rPr>
              <w:t>-135,317.</w:t>
            </w:r>
            <w:r>
              <w:rPr>
                <w:rFonts w:ascii="Times New Roman"/>
                <w:sz w:val="18"/>
              </w:rPr>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26</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-135,317.</w:t>
            </w:r>
            <w:r>
              <w:rPr>
                <w:rFonts w:ascii="Times New Roman"/>
                <w:sz w:val="18"/>
              </w:rPr>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26</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8" w:right="0"/>
              <w:jc w:val="left"/>
              <w:rPr>
                <w:rFonts w:ascii="Times New Roman" w:hAnsi="Times New Roman" w:cs="Times New Roman" w:eastAsia="Times New Roman" w:hint="default"/>
                <w:sz w:val="18"/>
                <w:szCs w:val="18"/>
              </w:rPr>
            </w:pPr>
            <w:r>
              <w:rPr>
                <w:rFonts w:ascii="Times New Roman"/>
                <w:sz w:val="18"/>
              </w:rPr>
              <w:t>-35,142</w:t>
            </w:r>
          </w:p>
          <w:p>
            <w:pPr>
              <w:pStyle w:val="TableParagraph"/>
              <w:spacing w:line="240" w:lineRule="auto" w:before="106"/>
              <w:ind w:left="458" w:right="0"/>
              <w:jc w:val="left"/>
              <w:rPr>
                <w:rFonts w:ascii="Times New Roman" w:hAnsi="Times New Roman" w:cs="Times New Roman" w:eastAsia="Times New Roman" w:hint="default"/>
                <w:sz w:val="18"/>
                <w:szCs w:val="18"/>
              </w:rPr>
            </w:pPr>
            <w:r>
              <w:rPr>
                <w:rFonts w:ascii="Times New Roman"/>
                <w:sz w:val="18"/>
              </w:rPr>
              <w:t>.49</w:t>
            </w:r>
          </w:p>
        </w:tc>
      </w:tr>
    </w:tbl>
    <w:p>
      <w:pPr>
        <w:pStyle w:val="BodyText"/>
        <w:spacing w:line="357" w:lineRule="auto" w:before="51"/>
        <w:ind w:right="3372"/>
        <w:jc w:val="left"/>
      </w:pPr>
      <w:r>
        <w:rPr/>
        <w:t>其他说明，包括对现金流量套期损益的有效部分转为被套期项目初始确认金额调整： </w:t>
      </w:r>
      <w:r>
        <w:rPr>
          <w:rFonts w:ascii="宋体" w:hAnsi="宋体" w:cs="宋体" w:eastAsia="宋体" w:hint="default"/>
        </w:rPr>
        <w:t>1</w:t>
      </w:r>
      <w:r>
        <w:rPr/>
        <w:t>、本期出售联营企业北京朝歌数码科技股份有限公司股权，转回其他综合收益</w:t>
      </w:r>
      <w:r>
        <w:rPr>
          <w:rFonts w:ascii="宋体" w:hAnsi="宋体" w:cs="宋体" w:eastAsia="宋体" w:hint="default"/>
        </w:rPr>
        <w:t>59,509.42</w:t>
      </w:r>
      <w:r>
        <w:rPr/>
        <w:t>元。</w:t>
      </w:r>
    </w:p>
    <w:p>
      <w:pPr>
        <w:pStyle w:val="BodyText"/>
        <w:spacing w:line="224" w:lineRule="exact"/>
        <w:ind w:right="0"/>
        <w:jc w:val="left"/>
      </w:pPr>
      <w:r>
        <w:rPr>
          <w:rFonts w:ascii="宋体" w:hAnsi="宋体" w:cs="宋体" w:eastAsia="宋体" w:hint="default"/>
        </w:rPr>
        <w:t>2</w:t>
      </w:r>
      <w:r>
        <w:rPr/>
        <w:t>、期末确认权益法核算的联营企业深圳市深创谷技术服务有限公司其他综合收益变动，减少其他综合收益</w:t>
      </w:r>
      <w:r>
        <w:rPr>
          <w:rFonts w:ascii="宋体" w:hAnsi="宋体" w:cs="宋体" w:eastAsia="宋体" w:hint="default"/>
        </w:rPr>
        <w:t>194,826.68</w:t>
      </w:r>
      <w:r>
        <w:rPr/>
        <w:t>元。</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9、专项储备" w:id="346"/>
      <w:bookmarkEnd w:id="346"/>
      <w:r>
        <w:rPr>
          <w:b w:val="0"/>
          <w:bCs w:val="0"/>
        </w:rPr>
      </w:r>
      <w:r>
        <w:rPr>
          <w:rFonts w:ascii="Times New Roman" w:hAnsi="Times New Roman" w:cs="Times New Roman" w:eastAsia="Times New Roman" w:hint="default"/>
        </w:rPr>
        <w:t>49</w:t>
      </w:r>
      <w:r>
        <w:rPr/>
        <w:t>、专项储备</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pStyle w:val="BodyText"/>
        <w:spacing w:line="240" w:lineRule="auto" w:before="52"/>
        <w:ind w:right="0"/>
        <w:jc w:val="left"/>
      </w:pPr>
      <w:r>
        <w:rPr/>
        <w:t>其他说明，包括本期增减变动情况、变动原因说明：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50、盈余公积" w:id="347"/>
      <w:bookmarkEnd w:id="347"/>
      <w:r>
        <w:rPr>
          <w:b w:val="0"/>
          <w:bCs w:val="0"/>
        </w:rPr>
      </w:r>
      <w:r>
        <w:rPr>
          <w:rFonts w:ascii="Times New Roman" w:hAnsi="Times New Roman" w:cs="Times New Roman" w:eastAsia="Times New Roman" w:hint="default"/>
        </w:rPr>
        <w:t>50</w:t>
      </w:r>
      <w:r>
        <w:rPr/>
        <w:t>、盈余公积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70,566,466.32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3,042,346.09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73,608,812.41</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70,566,466.32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3,042,346.09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73,608,812.41</w:t>
            </w:r>
          </w:p>
        </w:tc>
      </w:tr>
    </w:tbl>
    <w:p>
      <w:pPr>
        <w:pStyle w:val="BodyText"/>
        <w:spacing w:line="240" w:lineRule="auto" w:before="51"/>
        <w:ind w:right="0"/>
        <w:jc w:val="left"/>
      </w:pPr>
      <w:r>
        <w:rPr/>
        <w:t>盈余公积说明，包括本期增减变动情况、变动原因说明：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51、未分配利润" w:id="348"/>
      <w:bookmarkEnd w:id="348"/>
      <w:r>
        <w:rPr>
          <w:b w:val="0"/>
          <w:bCs w:val="0"/>
        </w:rPr>
      </w:r>
      <w:r>
        <w:rPr>
          <w:rFonts w:ascii="Times New Roman" w:hAnsi="Times New Roman" w:cs="Times New Roman" w:eastAsia="Times New Roman" w:hint="default"/>
        </w:rPr>
        <w:t>51</w:t>
      </w:r>
      <w:r>
        <w:rPr/>
        <w:t>、未分配利润</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725"/>
        <w:gridCol w:w="2925"/>
        <w:gridCol w:w="2919"/>
      </w:tblGrid>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184,193,290.16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164,717,199.79</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184,193,290.16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164,717,199.79</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-102,804,664.07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20,490,737.56</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3,042,346.09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1,014,647.19</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34,862,331.11</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43,483,948.89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184,193,290.16</w:t>
            </w:r>
          </w:p>
        </w:tc>
      </w:tr>
    </w:tbl>
    <w:p>
      <w:pPr>
        <w:pStyle w:val="BodyText"/>
        <w:spacing w:line="240" w:lineRule="auto" w:before="51"/>
        <w:ind w:right="0"/>
        <w:jc w:val="left"/>
      </w:pPr>
      <w:r>
        <w:rPr/>
        <w:t>调整期初未分配利润明细：</w:t>
      </w:r>
    </w:p>
    <w:p>
      <w:pPr>
        <w:pStyle w:val="BodyText"/>
        <w:spacing w:line="240" w:lineRule="auto" w:before="117"/>
        <w:ind w:right="0"/>
        <w:jc w:val="left"/>
      </w:pPr>
      <w:r>
        <w:rPr>
          <w:rFonts w:ascii="Times New Roman" w:hAnsi="Times New Roman" w:cs="Times New Roman" w:eastAsia="Times New Roman" w:hint="default"/>
        </w:rPr>
        <w:t>1)</w:t>
      </w:r>
      <w:r>
        <w:rPr/>
        <w:t>、由于《企业会计准则》及其相关新规定进行追溯调整，影响期初未分配利润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2"/>
        <w:ind w:right="0"/>
        <w:jc w:val="left"/>
      </w:pPr>
      <w:r>
        <w:rPr>
          <w:rFonts w:ascii="Times New Roman" w:hAnsi="Times New Roman" w:cs="Times New Roman" w:eastAsia="Times New Roman" w:hint="default"/>
        </w:rPr>
        <w:t>2)</w:t>
      </w:r>
      <w:r>
        <w:rPr/>
        <w:t>、由于会计政策变更，影响期初未分配利润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2"/>
        <w:ind w:right="0"/>
        <w:jc w:val="left"/>
      </w:pPr>
      <w:r>
        <w:rPr>
          <w:rFonts w:ascii="Times New Roman" w:hAnsi="Times New Roman" w:cs="Times New Roman" w:eastAsia="Times New Roman" w:hint="default"/>
        </w:rPr>
        <w:t>3)</w:t>
      </w:r>
      <w:r>
        <w:rPr/>
        <w:t>、由于重大会计差错更正，影响期初未分配利润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right="0"/>
        <w:jc w:val="left"/>
      </w:pPr>
      <w:r>
        <w:rPr>
          <w:rFonts w:ascii="Times New Roman" w:hAnsi="Times New Roman" w:cs="Times New Roman" w:eastAsia="Times New Roman" w:hint="default"/>
        </w:rPr>
        <w:t>4)</w:t>
      </w:r>
      <w:r>
        <w:rPr/>
        <w:t>、由于同一控制导致的合并范围变更，影响期初未分配利润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after="0" w:line="240" w:lineRule="auto"/>
        <w:jc w:val="left"/>
        <w:sectPr>
          <w:pgSz w:w="11910" w:h="16840"/>
          <w:pgMar w:header="917" w:footer="1019" w:top="1120" w:bottom="1200" w:left="980" w:right="0"/>
        </w:sectPr>
      </w:pPr>
    </w:p>
    <w:p>
      <w:pPr>
        <w:spacing w:line="240" w:lineRule="auto" w:before="10"/>
        <w:rPr>
          <w:rFonts w:ascii="宋体" w:hAnsi="宋体" w:cs="宋体" w:eastAsia="宋体" w:hint="default"/>
          <w:sz w:val="20"/>
          <w:szCs w:val="20"/>
        </w:rPr>
      </w:pPr>
    </w:p>
    <w:p>
      <w:pPr>
        <w:pStyle w:val="BodyText"/>
        <w:spacing w:line="240" w:lineRule="auto" w:before="44"/>
        <w:ind w:right="0"/>
        <w:jc w:val="left"/>
      </w:pPr>
      <w:r>
        <w:rPr>
          <w:rFonts w:ascii="Times New Roman" w:hAnsi="Times New Roman" w:cs="Times New Roman" w:eastAsia="Times New Roman" w:hint="default"/>
        </w:rPr>
        <w:t>5)</w:t>
      </w:r>
      <w:r>
        <w:rPr/>
        <w:t>、其他调整合计影响期初未分配利润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9"/>
        <w:rPr>
          <w:rFonts w:ascii="宋体" w:hAnsi="宋体" w:cs="宋体" w:eastAsia="宋体" w:hint="default"/>
          <w:sz w:val="25"/>
          <w:szCs w:val="25"/>
        </w:rPr>
      </w:pPr>
    </w:p>
    <w:p>
      <w:pPr>
        <w:pStyle w:val="Heading3"/>
        <w:spacing w:line="240" w:lineRule="auto"/>
        <w:ind w:right="0"/>
        <w:jc w:val="left"/>
        <w:rPr>
          <w:b w:val="0"/>
          <w:bCs w:val="0"/>
        </w:rPr>
      </w:pPr>
      <w:bookmarkStart w:name="52、营业收入和营业成本" w:id="349"/>
      <w:bookmarkEnd w:id="349"/>
      <w:r>
        <w:rPr>
          <w:b w:val="0"/>
          <w:bCs w:val="0"/>
        </w:rPr>
      </w:r>
      <w:r>
        <w:rPr>
          <w:rFonts w:ascii="Times New Roman" w:hAnsi="Times New Roman" w:cs="Times New Roman" w:eastAsia="Times New Roman" w:hint="default"/>
        </w:rPr>
        <w:t>52</w:t>
      </w:r>
      <w:r>
        <w:rPr/>
        <w:t>、营业收入和营业成本</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3,132,439,880.44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2,900,512,967.82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2,756,650,164.92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2,484,740,069.65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12,176,356.67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9,529,718.98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6,599,016.92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3,123,923.77</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3,144,616,237.11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2,910,042,686.80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2,763,249,181.84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2,487,863,993.42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3、税金及附加" w:id="350"/>
      <w:bookmarkEnd w:id="350"/>
      <w:r>
        <w:rPr>
          <w:b w:val="0"/>
          <w:bCs w:val="0"/>
        </w:rPr>
      </w:r>
      <w:r>
        <w:rPr>
          <w:rFonts w:ascii="Times New Roman" w:hAnsi="Times New Roman" w:cs="Times New Roman" w:eastAsia="Times New Roman" w:hint="default"/>
        </w:rPr>
        <w:t>53</w:t>
      </w:r>
      <w:r>
        <w:rPr/>
        <w:t>、税金及附加</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7,052,281.22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2,918,666.99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4,574,227.77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2,082,465.47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5,004,660.31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3,388,461.72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2,576,033.58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1,475,577.60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19,207,202.88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9,865,171.78</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54、销售费用" w:id="351"/>
      <w:bookmarkEnd w:id="351"/>
      <w:r>
        <w:rPr>
          <w:b w:val="0"/>
          <w:bCs w:val="0"/>
        </w:rPr>
      </w:r>
      <w:r>
        <w:rPr>
          <w:rFonts w:ascii="Times New Roman" w:hAnsi="Times New Roman" w:cs="Times New Roman" w:eastAsia="Times New Roman" w:hint="default"/>
        </w:rPr>
        <w:t>54</w:t>
      </w:r>
      <w:r>
        <w:rPr/>
        <w:t>、销售费用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2"/>
                <w:sz w:val="18"/>
              </w:rPr>
              <w:t>11,681,124.11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11,445,594.84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推广及售后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2,861,818.68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4,413,518.10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10,231,648.65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12,235,913.52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业务费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3,229,456.21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9,177,280.10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894,884.57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893,656.12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商检报关费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763,551.77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289,181.48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5,963,196.74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5,159,825.11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175,361.93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290,743.97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803,890.60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553,524.75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5,959,625.59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5,726,118.82</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42,564,558.85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50,185,356.81</w:t>
            </w:r>
          </w:p>
        </w:tc>
      </w:tr>
    </w:tbl>
    <w:p>
      <w:pPr>
        <w:spacing w:after="0" w:line="240" w:lineRule="auto"/>
        <w:jc w:val="righ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10"/>
        <w:rPr>
          <w:rFonts w:ascii="宋体" w:hAnsi="宋体" w:cs="宋体" w:eastAsia="宋体" w:hint="default"/>
          <w:sz w:val="20"/>
          <w:szCs w:val="20"/>
        </w:rPr>
      </w:pPr>
    </w:p>
    <w:p>
      <w:pPr>
        <w:pStyle w:val="BodyText"/>
        <w:spacing w:line="240" w:lineRule="auto" w:before="44"/>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55、管理费用" w:id="352"/>
      <w:bookmarkEnd w:id="352"/>
      <w:r>
        <w:rPr>
          <w:b w:val="0"/>
          <w:bCs w:val="0"/>
        </w:rPr>
      </w:r>
      <w:r>
        <w:rPr>
          <w:rFonts w:ascii="Times New Roman" w:hAnsi="Times New Roman" w:cs="Times New Roman" w:eastAsia="Times New Roman" w:hint="default"/>
        </w:rPr>
        <w:t>55</w:t>
      </w:r>
      <w:r>
        <w:rPr/>
        <w:t>、管理费用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60,348,752.04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41,577,450.37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咨询及中介费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6,755,880.70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1,725,917.23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房租水电</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12,635,106.39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9,528,533.27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折旧与摊销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28,372,520.54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21,923,213.76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办公费用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5,612,446.37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5,331,234.22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856,038.02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1,394,792.71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保安服务费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372,941.05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1,148,760.74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汽车费用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2,315,992.38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2,241,661.15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989,958.42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2,186,050.41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16,474,386.43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18,977,276.94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存货报废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26,665,838.96</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161,399,861.30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106,034,890.80</w:t>
            </w:r>
          </w:p>
        </w:tc>
      </w:tr>
    </w:tbl>
    <w:p>
      <w:pPr>
        <w:pStyle w:val="BodyText"/>
        <w:spacing w:line="357" w:lineRule="auto" w:before="51"/>
        <w:ind w:right="1662"/>
        <w:jc w:val="left"/>
      </w:pPr>
      <w:r>
        <w:rPr/>
        <w:t>其他说明： 管理费用本期发生额较上期增加</w:t>
      </w:r>
      <w:r>
        <w:rPr>
          <w:rFonts w:ascii="宋体" w:hAnsi="宋体" w:cs="宋体" w:eastAsia="宋体" w:hint="default"/>
        </w:rPr>
        <w:t>55,364,970.50</w:t>
      </w:r>
      <w:r>
        <w:rPr/>
        <w:t>元，增长比例为</w:t>
      </w:r>
      <w:r>
        <w:rPr>
          <w:rFonts w:ascii="宋体" w:hAnsi="宋体" w:cs="宋体" w:eastAsia="宋体" w:hint="default"/>
        </w:rPr>
        <w:t>52.21%</w:t>
      </w:r>
      <w:r>
        <w:rPr/>
        <w:t>，主要系本期存货报废及职工薪酬增加所致。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26"/>
          <w:szCs w:val="26"/>
        </w:rPr>
      </w:pPr>
    </w:p>
    <w:p>
      <w:pPr>
        <w:pStyle w:val="Heading3"/>
        <w:spacing w:line="240" w:lineRule="auto"/>
        <w:ind w:right="0"/>
        <w:jc w:val="left"/>
        <w:rPr>
          <w:b w:val="0"/>
          <w:bCs w:val="0"/>
        </w:rPr>
      </w:pPr>
      <w:bookmarkStart w:name="56、研发费用" w:id="353"/>
      <w:bookmarkEnd w:id="353"/>
      <w:r>
        <w:rPr>
          <w:b w:val="0"/>
          <w:bCs w:val="0"/>
        </w:rPr>
      </w:r>
      <w:r>
        <w:rPr>
          <w:rFonts w:ascii="Times New Roman" w:hAnsi="Times New Roman" w:cs="Times New Roman" w:eastAsia="Times New Roman" w:hint="default"/>
        </w:rPr>
        <w:t>56</w:t>
      </w:r>
      <w:r>
        <w:rPr/>
        <w:t>、研发费用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58,709,017.96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47,960,856.13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咨询及中介费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764,344.18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7,793,782.72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房租水电</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4,311,857.31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7,645,847.78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折旧与摊销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15,581,892.00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4,603,854.57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办公费用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10,506,195.52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1,061,408.24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1,079,796.24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594,112.61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汽车费用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200,437.50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188,703.41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-463,384.39</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408,750.39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14,673,023.88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28,636,256.70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105,363,180.20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98,893,572.55</w:t>
            </w:r>
          </w:p>
        </w:tc>
      </w:tr>
    </w:tbl>
    <w:p>
      <w:pPr>
        <w:spacing w:after="0" w:line="240" w:lineRule="auto"/>
        <w:jc w:val="righ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10"/>
        <w:rPr>
          <w:rFonts w:ascii="宋体" w:hAnsi="宋体" w:cs="宋体" w:eastAsia="宋体" w:hint="default"/>
          <w:sz w:val="20"/>
          <w:szCs w:val="20"/>
        </w:rPr>
      </w:pPr>
    </w:p>
    <w:p>
      <w:pPr>
        <w:pStyle w:val="BodyText"/>
        <w:spacing w:line="240" w:lineRule="auto" w:before="44"/>
        <w:ind w:right="0"/>
        <w:jc w:val="left"/>
      </w:pPr>
      <w:r>
        <w:rPr/>
        <w:t>其他说明：</w:t>
      </w:r>
    </w:p>
    <w:p>
      <w:pPr>
        <w:pStyle w:val="BodyText"/>
        <w:spacing w:line="316" w:lineRule="auto" w:before="115"/>
        <w:ind w:right="0" w:firstLine="360"/>
        <w:jc w:val="left"/>
      </w:pPr>
      <w:r>
        <w:rPr>
          <w:spacing w:val="-5"/>
        </w:rPr>
        <w:t>根据财政部于</w:t>
      </w:r>
      <w:r>
        <w:rPr>
          <w:rFonts w:ascii="宋体" w:hAnsi="宋体" w:cs="宋体" w:eastAsia="宋体" w:hint="default"/>
          <w:spacing w:val="-5"/>
        </w:rPr>
        <w:t>2018</w:t>
      </w:r>
      <w:r>
        <w:rPr>
          <w:spacing w:val="-5"/>
        </w:rPr>
        <w:t>年</w:t>
      </w:r>
      <w:r>
        <w:rPr>
          <w:rFonts w:ascii="宋体" w:hAnsi="宋体" w:cs="宋体" w:eastAsia="宋体" w:hint="default"/>
          <w:spacing w:val="-5"/>
        </w:rPr>
        <w:t>6</w:t>
      </w:r>
      <w:r>
        <w:rPr>
          <w:spacing w:val="-5"/>
        </w:rPr>
        <w:t>月</w:t>
      </w:r>
      <w:r>
        <w:rPr>
          <w:rFonts w:ascii="宋体" w:hAnsi="宋体" w:cs="宋体" w:eastAsia="宋体" w:hint="default"/>
          <w:spacing w:val="-5"/>
        </w:rPr>
        <w:t>15</w:t>
      </w:r>
      <w:r>
        <w:rPr>
          <w:spacing w:val="-5"/>
        </w:rPr>
        <w:t>日发布的《关于修订印发</w:t>
      </w:r>
      <w:r>
        <w:rPr>
          <w:rFonts w:ascii="宋体" w:hAnsi="宋体" w:cs="宋体" w:eastAsia="宋体" w:hint="default"/>
          <w:spacing w:val="-5"/>
        </w:rPr>
        <w:t>2018</w:t>
      </w:r>
      <w:r>
        <w:rPr>
          <w:spacing w:val="-5"/>
        </w:rPr>
        <w:t>年度一般企业财务报表格式的通知》（财会〔</w:t>
      </w:r>
      <w:r>
        <w:rPr>
          <w:rFonts w:ascii="宋体" w:hAnsi="宋体" w:cs="宋体" w:eastAsia="宋体" w:hint="default"/>
          <w:spacing w:val="-5"/>
        </w:rPr>
        <w:t>2018</w:t>
      </w:r>
      <w:r>
        <w:rPr>
          <w:spacing w:val="-5"/>
        </w:rPr>
        <w:t>〕</w:t>
      </w:r>
      <w:r>
        <w:rPr>
          <w:rFonts w:ascii="宋体" w:hAnsi="宋体" w:cs="宋体" w:eastAsia="宋体" w:hint="default"/>
          <w:spacing w:val="-5"/>
        </w:rPr>
        <w:t>15</w:t>
      </w:r>
      <w:r>
        <w:rPr>
          <w:spacing w:val="-5"/>
        </w:rPr>
        <w:t>号）规定，</w:t>
      </w:r>
      <w:r>
        <w:rPr/>
        <w:t> 在利润表中新增“研发费用”项目，反映进行研究与开发过程中发生的费用化支出，并对比较报表的列报进行相应调整。</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bookmarkStart w:name="57、财务费用" w:id="354"/>
      <w:bookmarkEnd w:id="354"/>
      <w:r>
        <w:rPr>
          <w:b w:val="0"/>
          <w:bCs w:val="0"/>
        </w:rPr>
      </w:r>
      <w:r>
        <w:rPr>
          <w:rFonts w:ascii="Times New Roman" w:hAnsi="Times New Roman" w:cs="Times New Roman" w:eastAsia="Times New Roman" w:hint="default"/>
        </w:rPr>
        <w:t>57</w:t>
      </w:r>
      <w:r>
        <w:rPr/>
        <w:t>、财务费用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28,877,813.98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18,308,140.48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3,818,492.77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8,085,186.23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-1,486,540.12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9,220,214.09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6,348,719.11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2,249,420.08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29,921,500.20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21,692,588.42</w:t>
            </w:r>
          </w:p>
        </w:tc>
      </w:tr>
    </w:tbl>
    <w:p>
      <w:pPr>
        <w:pStyle w:val="BodyText"/>
        <w:spacing w:line="240" w:lineRule="auto" w:before="51"/>
        <w:ind w:right="0"/>
        <w:jc w:val="left"/>
      </w:pPr>
      <w:r>
        <w:rPr/>
        <w:t>其他说明：</w:t>
      </w:r>
    </w:p>
    <w:p>
      <w:pPr>
        <w:pStyle w:val="BodyText"/>
        <w:spacing w:line="300" w:lineRule="auto" w:before="116"/>
        <w:ind w:right="1122" w:firstLine="360"/>
        <w:jc w:val="left"/>
      </w:pPr>
      <w:r>
        <w:rPr/>
        <w:t>财务费用本期发生额较上期增加</w:t>
      </w:r>
      <w:r>
        <w:rPr>
          <w:rFonts w:ascii="宋体" w:hAnsi="宋体" w:cs="宋体" w:eastAsia="宋体" w:hint="default"/>
        </w:rPr>
        <w:t>8</w:t>
      </w:r>
      <w:r>
        <w:rPr>
          <w:rFonts w:ascii="Times New Roman" w:hAnsi="Times New Roman" w:cs="Times New Roman" w:eastAsia="Times New Roman" w:hint="default"/>
        </w:rPr>
        <w:t>,</w:t>
      </w:r>
      <w:r>
        <w:rPr>
          <w:rFonts w:ascii="宋体" w:hAnsi="宋体" w:cs="宋体" w:eastAsia="宋体" w:hint="default"/>
        </w:rPr>
        <w:t>228</w:t>
      </w:r>
      <w:r>
        <w:rPr>
          <w:rFonts w:ascii="Times New Roman" w:hAnsi="Times New Roman" w:cs="Times New Roman" w:eastAsia="Times New Roman" w:hint="default"/>
        </w:rPr>
        <w:t>,</w:t>
      </w:r>
      <w:r>
        <w:rPr>
          <w:rFonts w:ascii="宋体" w:hAnsi="宋体" w:cs="宋体" w:eastAsia="宋体" w:hint="default"/>
        </w:rPr>
        <w:t>911.78</w:t>
      </w:r>
      <w:r>
        <w:rPr/>
        <w:t>元，增加比例为</w:t>
      </w:r>
      <w:r>
        <w:rPr>
          <w:rFonts w:ascii="宋体" w:hAnsi="宋体" w:cs="宋体" w:eastAsia="宋体" w:hint="default"/>
        </w:rPr>
        <w:t>37.93%</w:t>
      </w:r>
      <w:r>
        <w:rPr/>
        <w:t>，主要系本期投资性房地产抵押贷款产生的利息费 用所致。</w:t>
      </w:r>
    </w:p>
    <w:p>
      <w:pPr>
        <w:spacing w:line="240" w:lineRule="auto" w:before="6"/>
        <w:rPr>
          <w:rFonts w:ascii="宋体" w:hAnsi="宋体" w:cs="宋体" w:eastAsia="宋体" w:hint="default"/>
          <w:sz w:val="23"/>
          <w:szCs w:val="23"/>
        </w:rPr>
      </w:pPr>
    </w:p>
    <w:p>
      <w:pPr>
        <w:pStyle w:val="Heading3"/>
        <w:spacing w:line="240" w:lineRule="auto"/>
        <w:ind w:right="0"/>
        <w:jc w:val="left"/>
        <w:rPr>
          <w:b w:val="0"/>
          <w:bCs w:val="0"/>
        </w:rPr>
      </w:pPr>
      <w:bookmarkStart w:name="58、资产减值损失" w:id="355"/>
      <w:bookmarkEnd w:id="355"/>
      <w:r>
        <w:rPr>
          <w:b w:val="0"/>
          <w:bCs w:val="0"/>
        </w:rPr>
      </w:r>
      <w:r>
        <w:rPr>
          <w:rFonts w:ascii="Times New Roman" w:hAnsi="Times New Roman" w:cs="Times New Roman" w:eastAsia="Times New Roman" w:hint="default"/>
        </w:rPr>
        <w:t>58</w:t>
      </w:r>
      <w:r>
        <w:rPr/>
        <w:t>、资产减值损失</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181,944.71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-8,699,031.64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55,788,929.34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90,848.90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55,970,874.05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-8,608,182.74</w:t>
            </w:r>
          </w:p>
        </w:tc>
      </w:tr>
    </w:tbl>
    <w:p>
      <w:pPr>
        <w:pStyle w:val="BodyText"/>
        <w:spacing w:line="240" w:lineRule="auto" w:before="51"/>
        <w:ind w:right="0"/>
        <w:jc w:val="left"/>
      </w:pPr>
      <w:r>
        <w:rPr/>
        <w:t>其他说明：</w:t>
      </w:r>
    </w:p>
    <w:p>
      <w:pPr>
        <w:spacing w:line="240" w:lineRule="auto" w:before="0"/>
        <w:rPr>
          <w:rFonts w:ascii="宋体" w:hAnsi="宋体" w:cs="宋体" w:eastAsia="宋体" w:hint="default"/>
          <w:sz w:val="15"/>
          <w:szCs w:val="15"/>
        </w:rPr>
      </w:pPr>
    </w:p>
    <w:p>
      <w:pPr>
        <w:pStyle w:val="BodyText"/>
        <w:spacing w:line="300" w:lineRule="auto"/>
        <w:ind w:right="1124" w:firstLine="420"/>
        <w:jc w:val="left"/>
      </w:pPr>
      <w:r>
        <w:rPr>
          <w:spacing w:val="-1"/>
        </w:rPr>
        <w:t>资产减值损失本期发生额较上期增加</w:t>
      </w:r>
      <w:r>
        <w:rPr>
          <w:rFonts w:ascii="宋体" w:hAnsi="宋体" w:cs="宋体" w:eastAsia="宋体" w:hint="default"/>
          <w:spacing w:val="-1"/>
        </w:rPr>
        <w:t>64</w:t>
      </w:r>
      <w:r>
        <w:rPr>
          <w:rFonts w:ascii="Times New Roman" w:hAnsi="Times New Roman" w:cs="Times New Roman" w:eastAsia="Times New Roman" w:hint="default"/>
          <w:spacing w:val="-1"/>
        </w:rPr>
        <w:t>,</w:t>
      </w:r>
      <w:r>
        <w:rPr>
          <w:rFonts w:ascii="宋体" w:hAnsi="宋体" w:cs="宋体" w:eastAsia="宋体" w:hint="default"/>
          <w:spacing w:val="-1"/>
        </w:rPr>
        <w:t>579</w:t>
      </w:r>
      <w:r>
        <w:rPr>
          <w:rFonts w:ascii="Times New Roman" w:hAnsi="Times New Roman" w:cs="Times New Roman" w:eastAsia="Times New Roman" w:hint="default"/>
          <w:spacing w:val="-1"/>
        </w:rPr>
        <w:t>,</w:t>
      </w:r>
      <w:r>
        <w:rPr>
          <w:rFonts w:ascii="宋体" w:hAnsi="宋体" w:cs="宋体" w:eastAsia="宋体" w:hint="default"/>
          <w:spacing w:val="-1"/>
        </w:rPr>
        <w:t>056.79</w:t>
      </w:r>
      <w:r>
        <w:rPr>
          <w:spacing w:val="-1"/>
        </w:rPr>
        <w:t>元，增加比例为</w:t>
      </w:r>
      <w:r>
        <w:rPr>
          <w:rFonts w:ascii="宋体" w:hAnsi="宋体" w:cs="宋体" w:eastAsia="宋体" w:hint="default"/>
          <w:spacing w:val="-1"/>
        </w:rPr>
        <w:t>750.21%</w:t>
      </w:r>
      <w:r>
        <w:rPr>
          <w:spacing w:val="-1"/>
        </w:rPr>
        <w:t>，主要系对库龄较长的原材料单项测试加计</w:t>
      </w:r>
      <w:r>
        <w:rPr/>
        <w:t> 减值和对呆滞物料的后期订单需求预期减少加计减值计提所致。</w:t>
      </w:r>
    </w:p>
    <w:p>
      <w:pPr>
        <w:spacing w:line="240" w:lineRule="auto" w:before="6"/>
        <w:rPr>
          <w:rFonts w:ascii="宋体" w:hAnsi="宋体" w:cs="宋体" w:eastAsia="宋体" w:hint="default"/>
          <w:sz w:val="23"/>
          <w:szCs w:val="23"/>
        </w:rPr>
      </w:pPr>
    </w:p>
    <w:p>
      <w:pPr>
        <w:pStyle w:val="Heading3"/>
        <w:spacing w:line="240" w:lineRule="auto"/>
        <w:ind w:right="0"/>
        <w:jc w:val="left"/>
        <w:rPr>
          <w:b w:val="0"/>
          <w:bCs w:val="0"/>
        </w:rPr>
      </w:pPr>
      <w:bookmarkStart w:name="59、其他收益" w:id="356"/>
      <w:bookmarkEnd w:id="356"/>
      <w:r>
        <w:rPr>
          <w:b w:val="0"/>
          <w:bCs w:val="0"/>
        </w:rPr>
      </w:r>
      <w:r>
        <w:rPr>
          <w:rFonts w:ascii="Times New Roman" w:hAnsi="Times New Roman" w:cs="Times New Roman" w:eastAsia="Times New Roman" w:hint="default"/>
        </w:rPr>
        <w:t>59</w:t>
      </w:r>
      <w:r>
        <w:rPr/>
        <w:t>、其他收益</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与资产相关政府补助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3,646,352.48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3,508,352.48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与收益相关政府补助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7,790,033.48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8,057,029.23</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11,436,385.96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11,565,381.71</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60、投资收益" w:id="357"/>
      <w:bookmarkEnd w:id="357"/>
      <w:r>
        <w:rPr>
          <w:b w:val="0"/>
          <w:bCs w:val="0"/>
        </w:rPr>
      </w:r>
      <w:r>
        <w:rPr>
          <w:rFonts w:ascii="Times New Roman" w:hAnsi="Times New Roman" w:cs="Times New Roman" w:eastAsia="Times New Roman" w:hint="default"/>
        </w:rPr>
        <w:t>60</w:t>
      </w:r>
      <w:r>
        <w:rPr/>
        <w:t>、投资收益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3460"/>
        <w:gridCol w:w="3191"/>
        <w:gridCol w:w="2918"/>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1,668,232.94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9,648,011.73</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18,819,908.77</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1,256,795.67</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989,589.04</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191"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-3,947,982.05</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21,744,937.38</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6,689,618.72</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61、公允价值变动收益" w:id="358"/>
      <w:bookmarkEnd w:id="358"/>
      <w:r>
        <w:rPr>
          <w:b w:val="0"/>
          <w:bCs w:val="0"/>
        </w:rPr>
      </w:r>
      <w:r>
        <w:rPr>
          <w:rFonts w:ascii="Times New Roman" w:hAnsi="Times New Roman" w:cs="Times New Roman" w:eastAsia="Times New Roman" w:hint="default"/>
        </w:rPr>
        <w:t>61</w:t>
      </w:r>
      <w:r>
        <w:rPr/>
        <w:t>、公允价值变动收益</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8"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62、资产处置收益" w:id="359"/>
      <w:bookmarkEnd w:id="359"/>
      <w:r>
        <w:rPr>
          <w:b w:val="0"/>
          <w:bCs w:val="0"/>
        </w:rPr>
      </w:r>
      <w:r>
        <w:rPr>
          <w:rFonts w:ascii="Times New Roman" w:hAnsi="Times New Roman" w:cs="Times New Roman" w:eastAsia="Times New Roman" w:hint="default"/>
        </w:rPr>
        <w:t>62</w:t>
      </w:r>
      <w:r>
        <w:rPr/>
        <w:t>、资产处置收益</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固定资产处置利得（损失）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-213,668.28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-342,411.61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-213,668.28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-342,411.61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3、营业外收入" w:id="360"/>
      <w:bookmarkEnd w:id="360"/>
      <w:r>
        <w:rPr>
          <w:b w:val="0"/>
          <w:bCs w:val="0"/>
        </w:rPr>
      </w:r>
      <w:r>
        <w:rPr>
          <w:rFonts w:ascii="Times New Roman" w:hAnsi="Times New Roman" w:cs="Times New Roman" w:eastAsia="Times New Roman" w:hint="default"/>
        </w:rPr>
        <w:t>63</w:t>
      </w:r>
      <w:r>
        <w:rPr/>
        <w:t>、营业外收入</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714"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1,091,715.12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3,228,192.51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1,091,715.12</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罚款收入</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10,280.00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37,800.00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10,280.00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仲裁赔偿款</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3,309,664.75</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363,080.91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1,654,703.39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363,080.91</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往来款清理</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3,557,903.79</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3,557,903.79</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5,022,979.82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8,230,360.65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5,022,979.82</w:t>
            </w:r>
          </w:p>
        </w:tc>
      </w:tr>
    </w:tbl>
    <w:p>
      <w:pPr>
        <w:pStyle w:val="BodyText"/>
        <w:spacing w:line="240" w:lineRule="auto" w:before="51"/>
        <w:ind w:right="0"/>
        <w:jc w:val="left"/>
      </w:pPr>
      <w:r>
        <w:rPr/>
        <w:t>计入当期损益的政府补助：</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1026"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6" w:right="164"/>
              <w:jc w:val="center"/>
              <w:rPr>
                <w:rFonts w:ascii="宋体" w:hAnsi="宋体" w:cs="宋体" w:eastAsia="宋体" w:hint="default"/>
                <w:sz w:val="18"/>
                <w:szCs w:val="18"/>
              </w:rPr>
            </w:pPr>
            <w:r>
              <w:rPr>
                <w:rFonts w:ascii="宋体" w:hAnsi="宋体" w:cs="宋体" w:eastAsia="宋体" w:hint="default"/>
                <w:sz w:val="18"/>
                <w:szCs w:val="18"/>
              </w:rPr>
              <w:t>补贴是否 影响当年 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46" w:right="164" w:hanging="180"/>
              <w:jc w:val="left"/>
              <w:rPr>
                <w:rFonts w:ascii="宋体" w:hAnsi="宋体" w:cs="宋体" w:eastAsia="宋体" w:hint="default"/>
                <w:sz w:val="18"/>
                <w:szCs w:val="18"/>
              </w:rPr>
            </w:pPr>
            <w:r>
              <w:rPr>
                <w:rFonts w:ascii="宋体" w:hAnsi="宋体" w:cs="宋体" w:eastAsia="宋体" w:hint="default"/>
                <w:sz w:val="18"/>
                <w:szCs w:val="18"/>
              </w:rPr>
              <w:t>是否特殊 补贴</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46" w:right="165" w:hanging="180"/>
              <w:jc w:val="left"/>
              <w:rPr>
                <w:rFonts w:ascii="宋体" w:hAnsi="宋体" w:cs="宋体" w:eastAsia="宋体" w:hint="default"/>
                <w:sz w:val="18"/>
                <w:szCs w:val="18"/>
              </w:rPr>
            </w:pPr>
            <w:r>
              <w:rPr>
                <w:rFonts w:ascii="宋体" w:hAnsi="宋体" w:cs="宋体" w:eastAsia="宋体" w:hint="default"/>
                <w:sz w:val="18"/>
                <w:szCs w:val="18"/>
              </w:rPr>
              <w:t>本期发生 金额</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45" w:right="164" w:hanging="180"/>
              <w:jc w:val="left"/>
              <w:rPr>
                <w:rFonts w:ascii="宋体" w:hAnsi="宋体" w:cs="宋体" w:eastAsia="宋体" w:hint="default"/>
                <w:sz w:val="18"/>
                <w:szCs w:val="18"/>
              </w:rPr>
            </w:pPr>
            <w:r>
              <w:rPr>
                <w:rFonts w:ascii="宋体" w:hAnsi="宋体" w:cs="宋体" w:eastAsia="宋体" w:hint="default"/>
                <w:sz w:val="18"/>
                <w:szCs w:val="18"/>
              </w:rPr>
              <w:t>上期发生 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41" w:right="139"/>
              <w:jc w:val="center"/>
              <w:rPr>
                <w:rFonts w:ascii="宋体" w:hAnsi="宋体" w:cs="宋体" w:eastAsia="宋体" w:hint="default"/>
                <w:sz w:val="18"/>
                <w:szCs w:val="18"/>
              </w:rPr>
            </w:pPr>
            <w:r>
              <w:rPr>
                <w:rFonts w:ascii="宋体" w:hAnsi="宋体" w:cs="宋体" w:eastAsia="宋体" w:hint="default"/>
                <w:sz w:val="18"/>
                <w:szCs w:val="18"/>
              </w:rPr>
              <w:t>与资产相 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 相关</w:t>
            </w:r>
          </w:p>
        </w:tc>
      </w:tr>
    </w:tbl>
    <w:p>
      <w:pPr>
        <w:spacing w:after="0" w:line="309" w:lineRule="auto"/>
        <w:jc w:val="center"/>
        <w:rPr>
          <w:rFonts w:ascii="宋体" w:hAnsi="宋体" w:cs="宋体" w:eastAsia="宋体" w:hint="default"/>
          <w:sz w:val="18"/>
          <w:szCs w:val="18"/>
        </w:rPr>
        <w:sectPr>
          <w:pgSz w:w="11910" w:h="16840"/>
          <w:pgMar w:header="917"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05"/>
              <w:ind w:left="103"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、深圳市 出口信用 保险保费 资助</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1" w:right="0"/>
              <w:jc w:val="left"/>
              <w:rPr>
                <w:rFonts w:ascii="宋体" w:hAnsi="宋体" w:cs="宋体" w:eastAsia="宋体" w:hint="default"/>
                <w:sz w:val="18"/>
                <w:szCs w:val="18"/>
              </w:rPr>
            </w:pPr>
            <w:r>
              <w:rPr>
                <w:rFonts w:ascii="宋体" w:hAnsi="宋体" w:cs="宋体" w:eastAsia="宋体" w:hint="default"/>
                <w:sz w:val="18"/>
                <w:szCs w:val="18"/>
              </w:rPr>
              <w:t>卓翼科技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因符合地 方政府招 商引资等 地方性扶 持政策而 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549,888.00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89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9"/>
              <w:ind w:left="103"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、深圳市 社保局稳 岗补贴款</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卓翼科技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1"/>
              <w:jc w:val="left"/>
              <w:rPr>
                <w:rFonts w:ascii="宋体" w:hAnsi="宋体" w:cs="宋体" w:eastAsia="宋体" w:hint="default"/>
                <w:sz w:val="18"/>
                <w:szCs w:val="18"/>
              </w:rPr>
            </w:pPr>
            <w:r>
              <w:rPr>
                <w:rFonts w:ascii="宋体" w:hAnsi="宋体" w:cs="宋体" w:eastAsia="宋体" w:hint="default"/>
                <w:sz w:val="18"/>
                <w:szCs w:val="18"/>
              </w:rPr>
              <w:t>因从事国 家鼓励和 扶持特定 </w:t>
            </w:r>
            <w:r>
              <w:rPr>
                <w:rFonts w:ascii="宋体" w:hAnsi="宋体" w:cs="宋体" w:eastAsia="宋体" w:hint="default"/>
                <w:spacing w:val="-11"/>
                <w:sz w:val="18"/>
                <w:szCs w:val="18"/>
              </w:rPr>
              <w:t>行业、产业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而获得的 </w:t>
            </w:r>
            <w:r>
              <w:rPr>
                <w:rFonts w:ascii="宋体" w:hAnsi="宋体" w:cs="宋体" w:eastAsia="宋体" w:hint="default"/>
                <w:spacing w:val="-11"/>
                <w:sz w:val="18"/>
                <w:szCs w:val="18"/>
              </w:rPr>
              <w:t>补助（按国</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家级政策 规定依法 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140" w:right="0"/>
              <w:jc w:val="left"/>
              <w:rPr>
                <w:rFonts w:ascii="Times New Roman" w:hAnsi="Times New Roman" w:cs="Times New Roman" w:eastAsia="Times New Roman" w:hint="default"/>
                <w:sz w:val="18"/>
                <w:szCs w:val="18"/>
              </w:rPr>
            </w:pPr>
            <w:r>
              <w:rPr>
                <w:rFonts w:ascii="Times New Roman"/>
                <w:sz w:val="18"/>
              </w:rPr>
              <w:t>925,890.91</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866,386.87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8"/>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05"/>
              <w:ind w:left="103"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、提升国 际化和国 际化经营 能力奖金</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1" w:right="0"/>
              <w:jc w:val="left"/>
              <w:rPr>
                <w:rFonts w:ascii="宋体" w:hAnsi="宋体" w:cs="宋体" w:eastAsia="宋体" w:hint="default"/>
                <w:sz w:val="18"/>
                <w:szCs w:val="18"/>
              </w:rPr>
            </w:pPr>
            <w:r>
              <w:rPr>
                <w:rFonts w:ascii="宋体" w:hAnsi="宋体" w:cs="宋体" w:eastAsia="宋体" w:hint="default"/>
                <w:sz w:val="18"/>
                <w:szCs w:val="18"/>
              </w:rPr>
              <w:t>卓大精密</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因符合地 方政府招 商引资等 地方性扶 持政策而 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126" w:right="0"/>
              <w:jc w:val="center"/>
              <w:rPr>
                <w:rFonts w:ascii="Times New Roman" w:hAnsi="Times New Roman" w:cs="Times New Roman" w:eastAsia="Times New Roman" w:hint="default"/>
                <w:sz w:val="18"/>
                <w:szCs w:val="18"/>
              </w:rPr>
            </w:pPr>
            <w:r>
              <w:rPr>
                <w:rFonts w:ascii="Times New Roman"/>
                <w:sz w:val="18"/>
              </w:rPr>
              <w:t>99,450.00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89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、深圳市 南山区科 技创业服 务中心</w:t>
            </w:r>
            <w:r>
              <w:rPr>
                <w:rFonts w:ascii="Times New Roman" w:hAnsi="Times New Roman" w:cs="Times New Roman" w:eastAsia="Times New Roman" w:hint="default"/>
                <w:sz w:val="18"/>
                <w:szCs w:val="18"/>
              </w:rPr>
              <w:t>(</w:t>
            </w:r>
            <w:r>
              <w:rPr>
                <w:rFonts w:ascii="宋体" w:hAnsi="宋体" w:cs="宋体" w:eastAsia="宋体" w:hint="default"/>
                <w:sz w:val="18"/>
                <w:szCs w:val="18"/>
              </w:rPr>
              <w:t>深 圳市留学 人员（南 山）创业 园）</w:t>
            </w:r>
            <w:r>
              <w:rPr>
                <w:rFonts w:ascii="Times New Roman" w:hAnsi="Times New Roman" w:cs="Times New Roman" w:eastAsia="Times New Roman" w:hint="default"/>
                <w:sz w:val="18"/>
                <w:szCs w:val="18"/>
              </w:rPr>
              <w:t>2014 </w:t>
            </w:r>
            <w:r>
              <w:rPr>
                <w:rFonts w:ascii="宋体" w:hAnsi="宋体" w:cs="宋体" w:eastAsia="宋体" w:hint="default"/>
                <w:sz w:val="18"/>
                <w:szCs w:val="18"/>
              </w:rPr>
              <w:t>研发贷</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卓翼科技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103" w:right="228"/>
              <w:jc w:val="both"/>
              <w:rPr>
                <w:rFonts w:ascii="宋体" w:hAnsi="宋体" w:cs="宋体" w:eastAsia="宋体" w:hint="default"/>
                <w:sz w:val="18"/>
                <w:szCs w:val="18"/>
              </w:rPr>
            </w:pPr>
            <w:r>
              <w:rPr>
                <w:rFonts w:ascii="宋体" w:hAnsi="宋体" w:cs="宋体" w:eastAsia="宋体" w:hint="default"/>
                <w:sz w:val="18"/>
                <w:szCs w:val="18"/>
              </w:rPr>
              <w:t>因符合地 方政府招 商引资等 地方性扶 持政策而 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221,000.00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8"/>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196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、深圳市 南山区科 学技术局 国内外发 明专利申 请支持款</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卓翼科技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01"/>
              <w:jc w:val="left"/>
              <w:rPr>
                <w:rFonts w:ascii="宋体" w:hAnsi="宋体" w:cs="宋体" w:eastAsia="宋体" w:hint="default"/>
                <w:sz w:val="18"/>
                <w:szCs w:val="18"/>
              </w:rPr>
            </w:pPr>
            <w:r>
              <w:rPr>
                <w:rFonts w:ascii="宋体" w:hAnsi="宋体" w:cs="宋体" w:eastAsia="宋体" w:hint="default"/>
                <w:sz w:val="18"/>
                <w:szCs w:val="18"/>
              </w:rPr>
              <w:t>因研究开 </w:t>
            </w:r>
            <w:r>
              <w:rPr>
                <w:rFonts w:ascii="宋体" w:hAnsi="宋体" w:cs="宋体" w:eastAsia="宋体" w:hint="default"/>
                <w:spacing w:val="-11"/>
                <w:sz w:val="18"/>
                <w:szCs w:val="18"/>
              </w:rPr>
              <w:t>发、技术更</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新及改造 等获得的 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126" w:right="0"/>
              <w:jc w:val="center"/>
              <w:rPr>
                <w:rFonts w:ascii="Times New Roman" w:hAnsi="Times New Roman" w:cs="Times New Roman" w:eastAsia="Times New Roman" w:hint="default"/>
                <w:sz w:val="18"/>
                <w:szCs w:val="18"/>
              </w:rPr>
            </w:pPr>
            <w:r>
              <w:rPr>
                <w:rFonts w:ascii="Times New Roman"/>
                <w:sz w:val="18"/>
              </w:rPr>
              <w:t>17,500.00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1611"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、财政局 补充预算 稳定调节 基金</w:t>
            </w:r>
            <w:r>
              <w:rPr>
                <w:rFonts w:ascii="Times New Roman" w:hAnsi="Times New Roman" w:cs="Times New Roman" w:eastAsia="Times New Roman" w:hint="default"/>
                <w:sz w:val="18"/>
                <w:szCs w:val="18"/>
              </w:rPr>
              <w:t>-</w:t>
            </w:r>
            <w:r>
              <w:rPr>
                <w:rFonts w:ascii="宋体" w:hAnsi="宋体" w:cs="宋体" w:eastAsia="宋体" w:hint="default"/>
                <w:sz w:val="18"/>
                <w:szCs w:val="18"/>
              </w:rPr>
              <w:t>奖励 认定优秀</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天津卓达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因符合地 方政府招 商引资等 地方性扶 持政策而</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300,000.00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5"/>
                <w:szCs w:val="25"/>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bl>
    <w:p>
      <w:pPr>
        <w:spacing w:after="0" w:line="316"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6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企业</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228"/>
              <w:jc w:val="left"/>
              <w:rPr>
                <w:rFonts w:ascii="宋体" w:hAnsi="宋体" w:cs="宋体" w:eastAsia="宋体" w:hint="default"/>
                <w:sz w:val="18"/>
                <w:szCs w:val="18"/>
              </w:rPr>
            </w:pPr>
            <w:r>
              <w:rPr>
                <w:rFonts w:ascii="宋体" w:hAnsi="宋体" w:cs="宋体" w:eastAsia="宋体" w:hint="default"/>
                <w:sz w:val="18"/>
                <w:szCs w:val="18"/>
              </w:rPr>
              <w:t>获得的补 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、深圳市 宝安区职 业训练局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企业 自主培训 政府补贴 费用</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1" w:right="0"/>
              <w:jc w:val="left"/>
              <w:rPr>
                <w:rFonts w:ascii="宋体" w:hAnsi="宋体" w:cs="宋体" w:eastAsia="宋体" w:hint="default"/>
                <w:sz w:val="18"/>
                <w:szCs w:val="18"/>
              </w:rPr>
            </w:pPr>
            <w:r>
              <w:rPr>
                <w:rFonts w:ascii="宋体" w:hAnsi="宋体" w:cs="宋体" w:eastAsia="宋体" w:hint="default"/>
                <w:sz w:val="18"/>
                <w:szCs w:val="18"/>
              </w:rPr>
              <w:t>卓翼智造</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因符合地 方政府招 商引资等 地方性扶 持政策而 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126" w:right="0"/>
              <w:jc w:val="center"/>
              <w:rPr>
                <w:rFonts w:ascii="Times New Roman" w:hAnsi="Times New Roman" w:cs="Times New Roman" w:eastAsia="Times New Roman" w:hint="default"/>
                <w:sz w:val="18"/>
                <w:szCs w:val="18"/>
              </w:rPr>
            </w:pPr>
            <w:r>
              <w:rPr>
                <w:rFonts w:ascii="Times New Roman"/>
                <w:sz w:val="18"/>
              </w:rPr>
              <w:t>48,750.00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103"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、深圳市 宝安区经 济促进局 宝博会补 贴</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1" w:right="0"/>
              <w:jc w:val="left"/>
              <w:rPr>
                <w:rFonts w:ascii="宋体" w:hAnsi="宋体" w:cs="宋体" w:eastAsia="宋体" w:hint="default"/>
                <w:sz w:val="18"/>
                <w:szCs w:val="18"/>
              </w:rPr>
            </w:pPr>
            <w:r>
              <w:rPr>
                <w:rFonts w:ascii="宋体" w:hAnsi="宋体" w:cs="宋体" w:eastAsia="宋体" w:hint="default"/>
                <w:sz w:val="18"/>
                <w:szCs w:val="18"/>
              </w:rPr>
              <w:t>卓翼智造</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因符合地 方政府招 商引资等 地方性扶 持政策而 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135,400.00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、深圳市 市场和质 量监督管 理委员会 专利知识 产权资助 款</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1" w:right="0"/>
              <w:jc w:val="left"/>
              <w:rPr>
                <w:rFonts w:ascii="宋体" w:hAnsi="宋体" w:cs="宋体" w:eastAsia="宋体" w:hint="default"/>
                <w:sz w:val="18"/>
                <w:szCs w:val="18"/>
              </w:rPr>
            </w:pPr>
            <w:r>
              <w:rPr>
                <w:rFonts w:ascii="宋体" w:hAnsi="宋体" w:cs="宋体" w:eastAsia="宋体" w:hint="default"/>
                <w:sz w:val="18"/>
                <w:szCs w:val="18"/>
              </w:rPr>
              <w:t>卓翼智造</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因符合地 方政府招 商引资等 地方性扶 持政策而 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126" w:right="0"/>
              <w:jc w:val="center"/>
              <w:rPr>
                <w:rFonts w:ascii="Times New Roman" w:hAnsi="Times New Roman" w:cs="Times New Roman" w:eastAsia="Times New Roman" w:hint="default"/>
                <w:sz w:val="18"/>
                <w:szCs w:val="18"/>
              </w:rPr>
            </w:pPr>
            <w:r>
              <w:rPr>
                <w:rFonts w:ascii="Times New Roman"/>
                <w:sz w:val="18"/>
              </w:rPr>
              <w:t>14,800.00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10</w:t>
            </w:r>
            <w:r>
              <w:rPr>
                <w:rFonts w:ascii="宋体" w:hAnsi="宋体" w:cs="宋体" w:eastAsia="宋体" w:hint="default"/>
                <w:spacing w:val="-9"/>
                <w:sz w:val="18"/>
                <w:szCs w:val="18"/>
              </w:rPr>
              <w:t>、重点工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业企业扩 产增效和 工业增长 奖励</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1" w:right="0"/>
              <w:jc w:val="left"/>
              <w:rPr>
                <w:rFonts w:ascii="宋体" w:hAnsi="宋体" w:cs="宋体" w:eastAsia="宋体" w:hint="default"/>
                <w:sz w:val="18"/>
                <w:szCs w:val="18"/>
              </w:rPr>
            </w:pPr>
            <w:r>
              <w:rPr>
                <w:rFonts w:ascii="宋体" w:hAnsi="宋体" w:cs="宋体" w:eastAsia="宋体" w:hint="default"/>
                <w:sz w:val="18"/>
                <w:szCs w:val="18"/>
              </w:rPr>
              <w:t>卓翼智造</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因符合地 方政府招 商引资等 地方性扶 持政策而 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552,700.00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、其他</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1" w:right="0"/>
              <w:jc w:val="left"/>
              <w:rPr>
                <w:rFonts w:ascii="宋体" w:hAnsi="宋体" w:cs="宋体" w:eastAsia="宋体" w:hint="default"/>
                <w:sz w:val="18"/>
                <w:szCs w:val="18"/>
              </w:rPr>
            </w:pPr>
            <w:r>
              <w:rPr>
                <w:rFonts w:ascii="宋体" w:hAnsi="宋体" w:cs="宋体" w:eastAsia="宋体" w:hint="default"/>
                <w:sz w:val="18"/>
                <w:szCs w:val="18"/>
              </w:rPr>
              <w:t>卓翼科技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因符合地 方政府招 商引资等 地方性扶 持政策而 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115,824.21</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126" w:right="0"/>
              <w:jc w:val="center"/>
              <w:rPr>
                <w:rFonts w:ascii="Times New Roman" w:hAnsi="Times New Roman" w:cs="Times New Roman" w:eastAsia="Times New Roman" w:hint="default"/>
                <w:sz w:val="18"/>
                <w:szCs w:val="18"/>
              </w:rPr>
            </w:pPr>
            <w:r>
              <w:rPr>
                <w:rFonts w:ascii="Times New Roman"/>
                <w:sz w:val="18"/>
              </w:rPr>
              <w:t>22,317.64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1611"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12</w:t>
            </w:r>
            <w:r>
              <w:rPr>
                <w:rFonts w:ascii="宋体" w:hAnsi="宋体" w:cs="宋体" w:eastAsia="宋体" w:hint="default"/>
                <w:spacing w:val="-9"/>
                <w:sz w:val="18"/>
                <w:szCs w:val="18"/>
              </w:rPr>
              <w:t>、天津市</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人力资源 和社会保 </w:t>
            </w:r>
            <w:r>
              <w:rPr>
                <w:rFonts w:ascii="宋体" w:hAnsi="宋体" w:cs="宋体" w:eastAsia="宋体" w:hint="default"/>
                <w:spacing w:val="-11"/>
                <w:sz w:val="18"/>
                <w:szCs w:val="18"/>
              </w:rPr>
              <w:t>障局“千企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0"/>
                <w:sz w:val="18"/>
                <w:szCs w:val="18"/>
              </w:rPr>
              <w:t>万人”经费</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天津卓达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因符合地 方政府招 商引资等 地方性扶 持政策而</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bl>
    <w:p>
      <w:pPr>
        <w:spacing w:after="0" w:line="319"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6"/>
        <w:rPr>
          <w:rFonts w:ascii="Times New Roman" w:hAnsi="Times New Roman" w:cs="Times New Roman" w:eastAsia="Times New Roman" w:hint="default"/>
          <w:sz w:val="26"/>
          <w:szCs w:val="26"/>
        </w:rPr>
      </w:pPr>
    </w:p>
    <w:tbl>
      <w:tblPr>
        <w:tblW w:w="0" w:type="auto"/>
        <w:jc w:val="left"/>
        <w:tblInd w:w="14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6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资助</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228"/>
              <w:jc w:val="left"/>
              <w:rPr>
                <w:rFonts w:ascii="宋体" w:hAnsi="宋体" w:cs="宋体" w:eastAsia="宋体" w:hint="default"/>
                <w:sz w:val="18"/>
                <w:szCs w:val="18"/>
              </w:rPr>
            </w:pPr>
            <w:r>
              <w:rPr>
                <w:rFonts w:ascii="宋体" w:hAnsi="宋体" w:cs="宋体" w:eastAsia="宋体" w:hint="default"/>
                <w:sz w:val="18"/>
                <w:szCs w:val="18"/>
              </w:rPr>
              <w:t>获得的补 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227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06"/>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13</w:t>
            </w:r>
            <w:r>
              <w:rPr>
                <w:rFonts w:ascii="宋体" w:hAnsi="宋体" w:cs="宋体" w:eastAsia="宋体" w:hint="default"/>
                <w:spacing w:val="-9"/>
                <w:sz w:val="18"/>
                <w:szCs w:val="18"/>
              </w:rPr>
              <w:t>、深创谷</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产业化综 合服务科 技孵化器</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1" w:right="0"/>
              <w:jc w:val="left"/>
              <w:rPr>
                <w:rFonts w:ascii="宋体" w:hAnsi="宋体" w:cs="宋体" w:eastAsia="宋体" w:hint="default"/>
                <w:sz w:val="18"/>
                <w:szCs w:val="18"/>
              </w:rPr>
            </w:pPr>
            <w:r>
              <w:rPr>
                <w:rFonts w:ascii="宋体" w:hAnsi="宋体" w:cs="宋体" w:eastAsia="宋体" w:hint="default"/>
                <w:sz w:val="18"/>
                <w:szCs w:val="18"/>
              </w:rPr>
              <w:t>深创谷</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因符合地 方政府招 商引资等 地方性扶 持政策而 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139" w:right="0"/>
              <w:jc w:val="left"/>
              <w:rPr>
                <w:rFonts w:ascii="Times New Roman" w:hAnsi="Times New Roman" w:cs="Times New Roman" w:eastAsia="Times New Roman" w:hint="default"/>
                <w:sz w:val="18"/>
                <w:szCs w:val="18"/>
              </w:rPr>
            </w:pPr>
            <w:r>
              <w:rPr>
                <w:rFonts w:ascii="Times New Roman"/>
                <w:sz w:val="18"/>
              </w:rPr>
              <w:t>400,000.00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71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1,091,715.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12</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3,228,192.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51</w:t>
            </w:r>
          </w:p>
        </w:tc>
        <w:tc>
          <w:tcPr>
            <w:tcW w:w="106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其他说明：</w:t>
      </w:r>
    </w:p>
    <w:p>
      <w:pPr>
        <w:pStyle w:val="BodyText"/>
        <w:spacing w:line="312" w:lineRule="auto" w:before="116"/>
        <w:ind w:right="1130" w:firstLine="422"/>
        <w:jc w:val="both"/>
      </w:pPr>
      <w:r>
        <w:rPr>
          <w:spacing w:val="-2"/>
        </w:rPr>
        <w:t>根据财政部于</w:t>
      </w:r>
      <w:r>
        <w:rPr>
          <w:rFonts w:ascii="宋体" w:hAnsi="宋体" w:cs="宋体" w:eastAsia="宋体" w:hint="default"/>
          <w:spacing w:val="-2"/>
        </w:rPr>
        <w:t>2018</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15</w:t>
      </w:r>
      <w:r>
        <w:rPr>
          <w:spacing w:val="-2"/>
        </w:rPr>
        <w:t>日发布的《关于修订印发</w:t>
      </w:r>
      <w:r>
        <w:rPr>
          <w:rFonts w:ascii="宋体" w:hAnsi="宋体" w:cs="宋体" w:eastAsia="宋体" w:hint="default"/>
          <w:spacing w:val="-2"/>
        </w:rPr>
        <w:t>2018</w:t>
      </w:r>
      <w:r>
        <w:rPr>
          <w:spacing w:val="-2"/>
        </w:rPr>
        <w:t>年度一般企业财务报表格式的通知》（财会〔</w:t>
      </w:r>
      <w:r>
        <w:rPr>
          <w:rFonts w:ascii="宋体" w:hAnsi="宋体" w:cs="宋体" w:eastAsia="宋体" w:hint="default"/>
          <w:spacing w:val="-2"/>
        </w:rPr>
        <w:t>2018</w:t>
      </w:r>
      <w:r>
        <w:rPr>
          <w:spacing w:val="-2"/>
        </w:rPr>
        <w:t>〕</w:t>
      </w:r>
      <w:r>
        <w:rPr>
          <w:rFonts w:ascii="宋体" w:hAnsi="宋体" w:cs="宋体" w:eastAsia="宋体" w:hint="default"/>
          <w:spacing w:val="-2"/>
        </w:rPr>
        <w:t>15</w:t>
      </w:r>
      <w:r>
        <w:rPr>
          <w:spacing w:val="-2"/>
        </w:rPr>
        <w:t>号）规</w:t>
      </w:r>
      <w:r>
        <w:rPr/>
        <w:t> </w:t>
      </w:r>
      <w:r>
        <w:rPr>
          <w:spacing w:val="-2"/>
        </w:rPr>
        <w:t>定，企业作为个人所得税的扣缴义务人，根据《中华人民共和国个人所得税法》收到的扣缴税款手续费，应作为其他与日常</w:t>
      </w:r>
      <w:r>
        <w:rPr>
          <w:spacing w:val="-66"/>
        </w:rPr>
        <w:t> </w:t>
      </w:r>
      <w:r>
        <w:rPr>
          <w:spacing w:val="-66"/>
        </w:rPr>
      </w:r>
      <w:r>
        <w:rPr>
          <w:spacing w:val="-2"/>
        </w:rPr>
        <w:t>活动相关的项目在利润表的</w:t>
      </w:r>
      <w:r>
        <w:rPr>
          <w:rFonts w:ascii="Times New Roman" w:hAnsi="Times New Roman" w:cs="Times New Roman" w:eastAsia="Times New Roman" w:hint="default"/>
          <w:spacing w:val="-2"/>
        </w:rPr>
        <w:t>“</w:t>
      </w:r>
      <w:r>
        <w:rPr>
          <w:spacing w:val="-2"/>
        </w:rPr>
        <w:t>其他收益</w:t>
      </w:r>
      <w:r>
        <w:rPr>
          <w:rFonts w:ascii="Times New Roman" w:hAnsi="Times New Roman" w:cs="Times New Roman" w:eastAsia="Times New Roman" w:hint="default"/>
          <w:spacing w:val="-2"/>
        </w:rPr>
        <w:t>”</w:t>
      </w:r>
      <w:r>
        <w:rPr>
          <w:spacing w:val="-2"/>
        </w:rPr>
        <w:t>项目中填列，对可比期间的比较数据进行调整，调整</w:t>
      </w:r>
      <w:r>
        <w:rPr>
          <w:rFonts w:ascii="宋体" w:hAnsi="宋体" w:cs="宋体" w:eastAsia="宋体" w:hint="default"/>
          <w:spacing w:val="-2"/>
        </w:rPr>
        <w:t>2017</w:t>
      </w:r>
      <w:r>
        <w:rPr>
          <w:spacing w:val="-2"/>
        </w:rPr>
        <w:t>年度本科目代扣个人所得税</w:t>
      </w:r>
      <w:r>
        <w:rPr>
          <w:spacing w:val="-40"/>
        </w:rPr>
        <w:t> </w:t>
      </w:r>
      <w:r>
        <w:rPr/>
        <w:t>手续费返还</w:t>
      </w:r>
      <w:r>
        <w:rPr>
          <w:rFonts w:ascii="宋体" w:hAnsi="宋体" w:cs="宋体" w:eastAsia="宋体" w:hint="default"/>
        </w:rPr>
        <w:t>197,829.23</w:t>
      </w:r>
      <w:r>
        <w:rPr/>
        <w:t>元，计入其他收益科目列报。</w:t>
      </w:r>
    </w:p>
    <w:p>
      <w:pPr>
        <w:spacing w:line="240" w:lineRule="auto" w:before="10"/>
        <w:rPr>
          <w:rFonts w:ascii="宋体" w:hAnsi="宋体" w:cs="宋体" w:eastAsia="宋体" w:hint="default"/>
          <w:sz w:val="22"/>
          <w:szCs w:val="22"/>
        </w:rPr>
      </w:pPr>
    </w:p>
    <w:p>
      <w:pPr>
        <w:pStyle w:val="Heading3"/>
        <w:spacing w:line="240" w:lineRule="auto"/>
        <w:ind w:right="0"/>
        <w:jc w:val="left"/>
        <w:rPr>
          <w:b w:val="0"/>
          <w:bCs w:val="0"/>
        </w:rPr>
      </w:pPr>
      <w:bookmarkStart w:name="64、营业外支出" w:id="361"/>
      <w:bookmarkEnd w:id="361"/>
      <w:r>
        <w:rPr>
          <w:b w:val="0"/>
          <w:bCs w:val="0"/>
        </w:rPr>
      </w:r>
      <w:r>
        <w:rPr>
          <w:rFonts w:ascii="Times New Roman" w:hAnsi="Times New Roman" w:cs="Times New Roman" w:eastAsia="Times New Roman" w:hint="default"/>
        </w:rPr>
        <w:t>64</w:t>
      </w:r>
      <w:r>
        <w:rPr/>
        <w:t>、营业外支出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714"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赔偿及罚款支出</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373,870.58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6,185.60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373,870.58</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应收账款核销</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366,190.51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462,394.91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366,190.51</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非流动资产毁损报废损失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692,157.44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525,845.49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692,157.44</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1,432,218.53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994,426.00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1,432,218.53</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65、所得税费用" w:id="362"/>
      <w:bookmarkEnd w:id="362"/>
      <w:r>
        <w:rPr>
          <w:b w:val="0"/>
          <w:bCs w:val="0"/>
        </w:rPr>
      </w:r>
      <w:r>
        <w:rPr>
          <w:rFonts w:ascii="Times New Roman" w:hAnsi="Times New Roman" w:cs="Times New Roman" w:eastAsia="Times New Roman" w:hint="default"/>
        </w:rPr>
        <w:t>65</w:t>
      </w:r>
      <w:r>
        <w:rPr/>
        <w:t>、所得税费用</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所得税费用表" w:id="363"/>
      <w:bookmarkEnd w:id="363"/>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63,627.59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6,856,183.57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-35,454,327.09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3,744,073.48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-35,390,699.50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10,600,257.05</w:t>
            </w:r>
          </w:p>
        </w:tc>
      </w:tr>
    </w:tbl>
    <w:p>
      <w:pPr>
        <w:spacing w:after="0" w:line="240" w:lineRule="auto"/>
        <w:jc w:val="right"/>
        <w:rPr>
          <w:rFonts w:ascii="Times New Roman" w:hAnsi="Times New Roman" w:cs="Times New Roman" w:eastAsia="Times New Roman" w:hint="default"/>
          <w:sz w:val="18"/>
          <w:szCs w:val="18"/>
        </w:rPr>
        <w:sectPr>
          <w:footerReference w:type="default" r:id="rId54"/>
          <w:pgSz w:w="11910" w:h="16840"/>
          <w:pgMar w:footer="1019" w:header="917"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2）会计利润与所得税费用调整过程" w:id="364"/>
      <w:bookmarkEnd w:id="364"/>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-143,295,210.82</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-21,494,281.62</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-14,642,228.86</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-1,349,457.33</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661,235.42</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1,307,685.42</w:t>
            </w:r>
          </w:p>
        </w:tc>
      </w:tr>
      <w:tr>
        <w:trPr>
          <w:trHeight w:val="713"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65"/>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 亏损的影响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10,100,393.53</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加计扣除</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-9,974,046.06</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78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-35,390,699.50</w:t>
            </w:r>
          </w:p>
        </w:tc>
      </w:tr>
    </w:tbl>
    <w:p>
      <w:pPr>
        <w:pStyle w:val="BodyText"/>
        <w:spacing w:line="240" w:lineRule="auto" w:before="51"/>
        <w:ind w:right="0"/>
        <w:jc w:val="left"/>
      </w:pPr>
      <w:r>
        <w:rPr/>
        <w:t>其他说明</w:t>
      </w:r>
    </w:p>
    <w:p>
      <w:pPr>
        <w:spacing w:line="240" w:lineRule="auto" w:before="10"/>
        <w:rPr>
          <w:rFonts w:ascii="宋体" w:hAnsi="宋体" w:cs="宋体" w:eastAsia="宋体" w:hint="default"/>
          <w:sz w:val="26"/>
          <w:szCs w:val="26"/>
        </w:rPr>
      </w:pPr>
    </w:p>
    <w:p>
      <w:pPr>
        <w:spacing w:line="547" w:lineRule="auto" w:before="0"/>
        <w:ind w:left="154" w:right="7287" w:firstLine="0"/>
        <w:jc w:val="left"/>
        <w:rPr>
          <w:rFonts w:ascii="宋体" w:hAnsi="宋体" w:cs="宋体" w:eastAsia="宋体" w:hint="default"/>
          <w:sz w:val="21"/>
          <w:szCs w:val="21"/>
        </w:rPr>
      </w:pPr>
      <w:bookmarkStart w:name="66、其他综合收益" w:id="365"/>
      <w:bookmarkEnd w:id="365"/>
      <w:r>
        <w:rPr/>
      </w:r>
      <w:r>
        <w:rPr>
          <w:rFonts w:ascii="Times New Roman" w:hAnsi="Times New Roman" w:cs="Times New Roman" w:eastAsia="Times New Roman" w:hint="default"/>
          <w:b/>
          <w:bCs/>
          <w:sz w:val="21"/>
          <w:szCs w:val="21"/>
        </w:rPr>
        <w:t>66</w:t>
      </w:r>
      <w:r>
        <w:rPr>
          <w:rFonts w:ascii="宋体" w:hAnsi="宋体" w:cs="宋体" w:eastAsia="宋体" w:hint="default"/>
          <w:b/>
          <w:bCs/>
          <w:sz w:val="21"/>
          <w:szCs w:val="21"/>
        </w:rPr>
        <w:t>、其他综合收益</w:t>
      </w:r>
      <w:r>
        <w:rPr>
          <w:rFonts w:ascii="宋体" w:hAnsi="宋体" w:cs="宋体" w:eastAsia="宋体" w:hint="default"/>
          <w:b/>
          <w:bCs/>
          <w:w w:val="99"/>
          <w:sz w:val="21"/>
          <w:szCs w:val="21"/>
        </w:rPr>
        <w:t> </w:t>
      </w:r>
      <w:r>
        <w:rPr>
          <w:rFonts w:ascii="宋体" w:hAnsi="宋体" w:cs="宋体" w:eastAsia="宋体" w:hint="default"/>
          <w:sz w:val="18"/>
          <w:szCs w:val="18"/>
        </w:rPr>
        <w:t>详见附注第十一节、七、</w:t>
      </w:r>
      <w:r>
        <w:rPr>
          <w:rFonts w:ascii="Times New Roman" w:hAnsi="Times New Roman" w:cs="Times New Roman" w:eastAsia="Times New Roman" w:hint="default"/>
          <w:sz w:val="18"/>
          <w:szCs w:val="18"/>
        </w:rPr>
        <w:t>48.</w:t>
      </w:r>
      <w:r>
        <w:rPr>
          <w:rFonts w:ascii="宋体" w:hAnsi="宋体" w:cs="宋体" w:eastAsia="宋体" w:hint="default"/>
          <w:sz w:val="18"/>
          <w:szCs w:val="18"/>
        </w:rPr>
        <w:t>其他综合收益。 </w:t>
      </w:r>
      <w:bookmarkStart w:name="67、现金流量表项目" w:id="366"/>
      <w:bookmarkEnd w:id="366"/>
      <w:r>
        <w:rPr>
          <w:rFonts w:ascii="宋体" w:hAnsi="宋体" w:cs="宋体" w:eastAsia="宋体" w:hint="default"/>
          <w:sz w:val="18"/>
          <w:szCs w:val="18"/>
        </w:rPr>
      </w:r>
      <w:r>
        <w:rPr>
          <w:rFonts w:ascii="Times New Roman" w:hAnsi="Times New Roman" w:cs="Times New Roman" w:eastAsia="Times New Roman" w:hint="default"/>
          <w:b/>
          <w:bCs/>
          <w:sz w:val="21"/>
          <w:szCs w:val="21"/>
        </w:rPr>
        <w:t>67</w:t>
      </w:r>
      <w:r>
        <w:rPr>
          <w:rFonts w:ascii="宋体" w:hAnsi="宋体" w:cs="宋体" w:eastAsia="宋体" w:hint="default"/>
          <w:b/>
          <w:bCs/>
          <w:sz w:val="21"/>
          <w:szCs w:val="21"/>
        </w:rPr>
        <w:t>、现金流量表项目</w:t>
      </w:r>
      <w:r>
        <w:rPr>
          <w:rFonts w:ascii="宋体" w:hAnsi="宋体" w:cs="宋体" w:eastAsia="宋体" w:hint="default"/>
          <w:sz w:val="21"/>
          <w:szCs w:val="21"/>
        </w:rPr>
      </w:r>
    </w:p>
    <w:p>
      <w:pPr>
        <w:pStyle w:val="Heading3"/>
        <w:spacing w:line="240" w:lineRule="auto" w:before="26"/>
        <w:ind w:right="0"/>
        <w:jc w:val="left"/>
        <w:rPr>
          <w:b w:val="0"/>
          <w:bCs w:val="0"/>
        </w:rPr>
      </w:pPr>
      <w:bookmarkStart w:name="（1）收到的其他与经营活动有关的现金" w:id="367"/>
      <w:bookmarkEnd w:id="367"/>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往来及保证金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40,515,644.04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397,375,331.33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15,074,531.12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14,054,963.61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银行存款利息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2,853,474.60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7,736,353.08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银行保证金净减少额</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4,736,032.75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610,859.06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63,179,682.51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419,777,507.08</w:t>
            </w:r>
          </w:p>
        </w:tc>
      </w:tr>
    </w:tbl>
    <w:p>
      <w:pPr>
        <w:pStyle w:val="BodyText"/>
        <w:spacing w:line="240" w:lineRule="auto" w:before="51"/>
        <w:ind w:right="0"/>
        <w:jc w:val="left"/>
      </w:pPr>
      <w:r>
        <w:rPr/>
        <w:t>收到的其他与经营活动有关的现金说明：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支付的其他与经营活动有关的现金" w:id="368"/>
      <w:bookmarkEnd w:id="368"/>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footerReference w:type="default" r:id="rId55"/>
          <w:pgSz w:w="11910" w:h="16840"/>
          <w:pgMar w:footer="1019" w:header="917" w:top="1120" w:bottom="1200" w:left="980" w:right="0"/>
          <w:pgNumType w:start="201"/>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往来及保证金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21,442,945.60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407,278,173.76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费用支出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108,901,349.80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136,521,119.09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诉讼冻结资金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7,402,112.93</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5,800,578.00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143,546,986.33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543,799,292.85</w:t>
            </w:r>
          </w:p>
        </w:tc>
      </w:tr>
    </w:tbl>
    <w:p>
      <w:pPr>
        <w:pStyle w:val="BodyText"/>
        <w:spacing w:line="240" w:lineRule="auto" w:before="51"/>
        <w:ind w:right="0"/>
        <w:jc w:val="left"/>
      </w:pPr>
      <w:r>
        <w:rPr/>
        <w:t>支付的其他与经营活动有关的现金说明：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收到的其他与投资活动有关的现金" w:id="369"/>
      <w:bookmarkEnd w:id="369"/>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收到与资产相关的政府补助</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赎回理财产品</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375,248,547.95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375,248,547.95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100,000,000.00</w:t>
            </w:r>
          </w:p>
        </w:tc>
      </w:tr>
    </w:tbl>
    <w:p>
      <w:pPr>
        <w:pStyle w:val="BodyText"/>
        <w:spacing w:line="240" w:lineRule="auto" w:before="51"/>
        <w:ind w:right="0"/>
        <w:jc w:val="left"/>
      </w:pPr>
      <w:r>
        <w:rPr/>
        <w:t>收到的其他与投资活动有关的现金说明：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支付的其他与投资活动有关的现金" w:id="370"/>
      <w:bookmarkEnd w:id="370"/>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购买理财产品</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335,000,000.00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1,689,560.00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155,000,000.00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336,689,560.00</w:t>
            </w:r>
          </w:p>
        </w:tc>
      </w:tr>
    </w:tbl>
    <w:p>
      <w:pPr>
        <w:pStyle w:val="BodyText"/>
        <w:spacing w:line="240" w:lineRule="auto" w:before="51"/>
        <w:ind w:right="0"/>
        <w:jc w:val="left"/>
      </w:pPr>
      <w:r>
        <w:rPr/>
        <w:t>支付的其他与投资活动有关的现金说明：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5）收到的其他与筹资活动有关的现金" w:id="371"/>
      <w:bookmarkEnd w:id="371"/>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银行贷款保证金利息收入</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银行保证金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102,293,704.71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106,067,691.30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认购股份保证金</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102,293,704.71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106,067,691.30</w:t>
            </w:r>
          </w:p>
        </w:tc>
      </w:tr>
    </w:tbl>
    <w:p>
      <w:pPr>
        <w:pStyle w:val="BodyText"/>
        <w:spacing w:line="240" w:lineRule="auto" w:before="51"/>
        <w:ind w:right="0"/>
        <w:jc w:val="left"/>
      </w:pPr>
      <w:r>
        <w:rPr/>
        <w:t>收到的其他与筹资活动有关的现金说明：</w:t>
      </w:r>
    </w:p>
    <w:p>
      <w:pPr>
        <w:spacing w:after="0" w:line="240" w:lineRule="auto"/>
        <w:jc w:val="left"/>
        <w:sectPr>
          <w:pgSz w:w="11910" w:h="16840"/>
          <w:pgMar w:header="917" w:footer="1019" w:top="112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6）支付的其他与筹资活动有关的现金" w:id="372"/>
      <w:bookmarkEnd w:id="372"/>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借款融资费用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1,490,265.90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1,629,564.33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回购注销限制性股票款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4,729,025.00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15,066,397.50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银行保证金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145,695,117.71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84,152,900.72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42,990,867.50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151,914,408.61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143,839,730.05</w:t>
            </w:r>
          </w:p>
        </w:tc>
      </w:tr>
    </w:tbl>
    <w:p>
      <w:pPr>
        <w:pStyle w:val="BodyText"/>
        <w:spacing w:line="240" w:lineRule="auto" w:before="51"/>
        <w:ind w:right="0"/>
        <w:jc w:val="left"/>
      </w:pPr>
      <w:r>
        <w:rPr/>
        <w:t>支付的其他与筹资活动有关的现金说明：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68、现金流量表补充资料" w:id="373"/>
      <w:bookmarkEnd w:id="373"/>
      <w:r>
        <w:rPr>
          <w:b w:val="0"/>
          <w:bCs w:val="0"/>
        </w:rPr>
      </w:r>
      <w:r>
        <w:rPr>
          <w:rFonts w:ascii="Times New Roman" w:hAnsi="Times New Roman" w:cs="Times New Roman" w:eastAsia="Times New Roman" w:hint="default"/>
        </w:rPr>
        <w:t>68</w:t>
      </w:r>
      <w:r>
        <w:rPr/>
        <w:t>、现金流量表补充资料</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现金流量表补充资料" w:id="374"/>
      <w:bookmarkEnd w:id="374"/>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8"/>
        <w:gridCol w:w="3057"/>
        <w:gridCol w:w="3184"/>
      </w:tblGrid>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-107,904,511.32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11,870,057.22</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55,970,874.05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-8,608,182.74</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 生物资产折旧</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126,822,472.42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110,139,000.26</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9,123,683.28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6,612,103.44</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24,715,480.63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28,140,341.07</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 产的损失（收益以“－”号填列）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213,668.28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342,411.61</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固定资产报废损失（收益以“－”号填 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692,157.44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525,845.49</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29,561,273.56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27,528,354.57</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-21,744,937.38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6,689,618.72</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递延所得税资产减少（增加以“－”号 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-35,454,327.09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3,881,945.05</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递延所得税负债增加（减少以“－”号 填列）</w:t>
            </w:r>
          </w:p>
        </w:tc>
        <w:tc>
          <w:tcPr>
            <w:tcW w:w="3057" w:type="dxa"/>
            <w:tcBorders>
              <w:top w:val="single" w:sz="4" w:space="0" w:color="000000"/>
              <w:left w:val="single" w:sz="4" w:space="0" w:color="000000"/>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-3,508,352.48</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228,654,704.74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-299,384,072.20</w:t>
            </w:r>
          </w:p>
        </w:tc>
      </w:tr>
      <w:tr>
        <w:trPr>
          <w:trHeight w:val="71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经营性应收项目的减少（增加以“－” 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115,101,137.36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-276,231,047.19</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-341,255,220.41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435,481,968.32</w:t>
            </w:r>
          </w:p>
        </w:tc>
      </w:tr>
    </w:tbl>
    <w:p>
      <w:pPr>
        <w:spacing w:after="0" w:line="240" w:lineRule="auto"/>
        <w:jc w:val="righ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3328"/>
        <w:gridCol w:w="3057"/>
        <w:gridCol w:w="3184"/>
      </w:tblGrid>
      <w:tr>
        <w:trPr>
          <w:trHeight w:val="36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057" w:type="dxa"/>
            <w:tcBorders>
              <w:top w:val="single" w:sz="4" w:space="0" w:color="000000"/>
              <w:left w:val="single" w:sz="4" w:space="0" w:color="000000"/>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84,496,455.56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43,479,991.14</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．不涉及现金收支的重大投资和筹资活</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动：</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63" w:right="0"/>
              <w:jc w:val="left"/>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63" w:right="0"/>
              <w:jc w:val="left"/>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354,797,979.42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446,841,974.12</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446,841,974.12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265,668,048.65</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-92,043,994.70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181,173,925.47</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本期支付的取得子公司的现金净额" w:id="375"/>
      <w:bookmarkEnd w:id="375"/>
      <w:r>
        <w:rPr>
          <w:b w:val="0"/>
          <w:bCs w:val="0"/>
        </w:rPr>
      </w: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9"/>
        <w:gridCol w:w="4580"/>
      </w:tblGrid>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2"/>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3）本期收到的处置子公司的现金净额" w:id="376"/>
      <w:bookmarkEnd w:id="376"/>
      <w:r>
        <w:rPr>
          <w:b w:val="0"/>
          <w:bCs w:val="0"/>
        </w:rPr>
      </w: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9"/>
        <w:gridCol w:w="4580"/>
      </w:tblGrid>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2"/>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4）现金和现金等价物的构成" w:id="377"/>
      <w:bookmarkEnd w:id="377"/>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8"/>
        <w:gridCol w:w="3057"/>
        <w:gridCol w:w="3184"/>
      </w:tblGrid>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354,797,979.42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446,841,974.12</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70,476.83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87,100.94</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354,727,502.59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446,754,873.18</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354,797,979.42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446,841,974.12</w:t>
            </w:r>
          </w:p>
        </w:tc>
      </w:tr>
    </w:tbl>
    <w:p>
      <w:pPr>
        <w:pStyle w:val="BodyText"/>
        <w:spacing w:line="240" w:lineRule="auto" w:before="51"/>
        <w:ind w:right="0"/>
        <w:jc w:val="left"/>
      </w:pPr>
      <w:r>
        <w:rPr/>
        <w:t>其他说明：</w:t>
      </w:r>
    </w:p>
    <w:p>
      <w:pPr>
        <w:spacing w:after="0" w:line="240" w:lineRule="auto"/>
        <w:jc w:val="left"/>
        <w:sectPr>
          <w:pgSz w:w="11910" w:h="16840"/>
          <w:pgMar w:header="917" w:footer="1019" w:top="112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69、所有者权益变动表项目注释" w:id="378"/>
      <w:bookmarkEnd w:id="378"/>
      <w:r>
        <w:rPr>
          <w:b w:val="0"/>
          <w:bCs w:val="0"/>
        </w:rPr>
      </w:r>
      <w:r>
        <w:rPr>
          <w:rFonts w:ascii="Times New Roman" w:hAnsi="Times New Roman" w:cs="Times New Roman" w:eastAsia="Times New Roman" w:hint="default"/>
        </w:rPr>
        <w:t>69</w:t>
      </w:r>
      <w:r>
        <w:rPr/>
        <w:t>、所有者权益变动表项目注释</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说明对上年期末余额进行调整的“其他”项目名称及调整金额等事项：</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70、所有权或使用权受到限制的资产" w:id="379"/>
      <w:bookmarkEnd w:id="379"/>
      <w:r>
        <w:rPr>
          <w:b w:val="0"/>
          <w:bCs w:val="0"/>
        </w:rPr>
      </w:r>
      <w:r>
        <w:rPr>
          <w:rFonts w:ascii="Times New Roman" w:hAnsi="Times New Roman" w:cs="Times New Roman" w:eastAsia="Times New Roman" w:hint="default"/>
        </w:rPr>
        <w:t>70</w:t>
      </w:r>
      <w:r>
        <w:rPr/>
        <w:t>、所有权或使用权受到限制的资产</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8"/>
        <w:gridCol w:w="3057"/>
        <w:gridCol w:w="3184"/>
      </w:tblGrid>
      <w:tr>
        <w:trPr>
          <w:trHeight w:val="401"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83"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225"/>
              <w:jc w:val="right"/>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80,739,335.62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268"/>
              <w:jc w:val="right"/>
              <w:rPr>
                <w:rFonts w:ascii="宋体" w:hAnsi="宋体" w:cs="宋体" w:eastAsia="宋体" w:hint="default"/>
                <w:sz w:val="18"/>
                <w:szCs w:val="18"/>
              </w:rPr>
            </w:pPr>
            <w:r>
              <w:rPr>
                <w:rFonts w:ascii="宋体" w:hAnsi="宋体" w:cs="宋体" w:eastAsia="宋体" w:hint="default"/>
                <w:sz w:val="18"/>
                <w:szCs w:val="18"/>
              </w:rPr>
              <w:t>银行保证金及冻结资金</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80,739,335.62</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71、外币货币性项目" w:id="380"/>
      <w:bookmarkEnd w:id="380"/>
      <w:r>
        <w:rPr>
          <w:b w:val="0"/>
          <w:bCs w:val="0"/>
        </w:rPr>
      </w:r>
      <w:r>
        <w:rPr>
          <w:rFonts w:ascii="Times New Roman" w:hAnsi="Times New Roman" w:cs="Times New Roman" w:eastAsia="Times New Roman" w:hint="default"/>
        </w:rPr>
        <w:t>71</w:t>
      </w:r>
      <w:r>
        <w:rPr/>
        <w:t>、外币货币性项目</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外币货币性项目" w:id="381"/>
      <w:bookmarkEnd w:id="381"/>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5"/>
        <w:gridCol w:w="2294"/>
        <w:gridCol w:w="2391"/>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1"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0"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5,632,054.49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6.8632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38,653,916.43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1,223.55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7.8473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9,601.57</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38,851.56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0.8762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34,041.73</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10,200,258.33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6.8632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70,006,412.96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361,644.28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7.8473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2,837,931.16</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260,044.03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6.8632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1,784,734.19</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6"/>
              <w:jc w:val="center"/>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6"/>
              <w:jc w:val="center"/>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7,004,589.63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6.8632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48,073,899.55</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6"/>
              <w:jc w:val="center"/>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263,800.00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7.8473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2,070,117.74</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6"/>
              <w:jc w:val="center"/>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2495"/>
        <w:gridCol w:w="2294"/>
        <w:gridCol w:w="2391"/>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59" w:lineRule="auto"/>
        <w:ind w:right="0"/>
        <w:jc w:val="left"/>
        <w:rPr>
          <w:b w:val="0"/>
          <w:bCs w:val="0"/>
        </w:rPr>
      </w:pPr>
      <w:bookmarkStart w:name="（2）境外经营实体说明，包括对于重要的境外经营实体，应披露其境外主要经营地、记账" w:id="382"/>
      <w:bookmarkEnd w:id="382"/>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74"/>
        </w:rPr>
        <w:t> </w:t>
      </w:r>
      <w:r>
        <w:rPr>
          <w:spacing w:val="-74"/>
        </w:rPr>
      </w:r>
      <w:r>
        <w:rPr/>
        <w:t>依据，记账本位币发生变化的还应披露原因。</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left="574" w:right="1152" w:hanging="420"/>
        <w:jc w:val="left"/>
      </w:pPr>
      <w:r>
        <w:rPr/>
        <w:t>√ 适用 □ 不适用 本公司之境外全资子公司卓翼香港、全资子（孙）公司卓翼营销有限公司记账本位币为人民币，不存在期末将外币折</w:t>
      </w:r>
    </w:p>
    <w:p>
      <w:pPr>
        <w:pStyle w:val="BodyText"/>
        <w:spacing w:line="224" w:lineRule="exact"/>
        <w:ind w:right="0"/>
        <w:jc w:val="left"/>
      </w:pPr>
      <w:r>
        <w:rPr/>
        <w:t>算为人民币的情况。</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4"/>
          <w:szCs w:val="14"/>
        </w:rPr>
      </w:pPr>
    </w:p>
    <w:p>
      <w:pPr>
        <w:pStyle w:val="Heading3"/>
        <w:spacing w:line="240" w:lineRule="auto"/>
        <w:ind w:right="0"/>
        <w:jc w:val="left"/>
        <w:rPr>
          <w:b w:val="0"/>
          <w:bCs w:val="0"/>
        </w:rPr>
      </w:pPr>
      <w:bookmarkStart w:name="72、套期" w:id="383"/>
      <w:bookmarkEnd w:id="383"/>
      <w:r>
        <w:rPr>
          <w:b w:val="0"/>
          <w:bCs w:val="0"/>
        </w:rPr>
      </w:r>
      <w:r>
        <w:rPr>
          <w:rFonts w:ascii="Times New Roman" w:hAnsi="Times New Roman" w:cs="Times New Roman" w:eastAsia="Times New Roman" w:hint="default"/>
        </w:rPr>
        <w:t>72</w:t>
      </w:r>
      <w:r>
        <w:rPr/>
        <w:t>、套期</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按照套期类别披露套期项目及相关套期工具、被套期风险的定性和定量信息：</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73、政府补助" w:id="384"/>
      <w:bookmarkEnd w:id="384"/>
      <w:r>
        <w:rPr>
          <w:b w:val="0"/>
          <w:bCs w:val="0"/>
        </w:rPr>
      </w:r>
      <w:r>
        <w:rPr>
          <w:rFonts w:ascii="Times New Roman" w:hAnsi="Times New Roman" w:cs="Times New Roman" w:eastAsia="Times New Roman" w:hint="default"/>
        </w:rPr>
        <w:t>73</w:t>
      </w:r>
      <w:r>
        <w:rPr/>
        <w:t>、政府补助</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政府补助基本情况" w:id="385"/>
      <w:bookmarkEnd w:id="385"/>
      <w:r>
        <w:rPr>
          <w:b w:val="0"/>
          <w:bCs w:val="0"/>
        </w:rPr>
      </w:r>
      <w:r>
        <w:rPr/>
        <w:t>（</w:t>
      </w:r>
      <w:r>
        <w:rPr>
          <w:rFonts w:ascii="Times New Roman" w:hAnsi="Times New Roman" w:cs="Times New Roman" w:eastAsia="Times New Roman" w:hint="default"/>
        </w:rPr>
        <w:t>1</w:t>
      </w:r>
      <w:r>
        <w:rPr/>
        <w:t>）政府补助基本情况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0"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252"/>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年第三批战略性新兴 产业发展专项资金款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252"/>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年度国家进口贴息资 助款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6,544,630.00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654,463.00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252"/>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年第二批战略性新兴 产业发展专项资金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1,200,000.00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国家进口贴息资助款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10,007,220.00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1,000,722.04</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深圳市产业技术进步资金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910,000.00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182,000.00</w:t>
            </w:r>
          </w:p>
        </w:tc>
      </w:tr>
      <w:tr>
        <w:trPr>
          <w:trHeight w:val="1338"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深圳市财政委员会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机器人可穿戴设备和智能装 备产业企业技术装备及管理 提升资助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2,860,000.00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572,000.00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软土地基补贴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6,275,021.63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209,167.44</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133"/>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灯条生产线及</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4G</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通讯</w:t>
            </w:r>
            <w:r>
              <w:rPr>
                <w:rFonts w:ascii="宋体" w:hAnsi="宋体" w:cs="宋体" w:eastAsia="宋体" w:hint="default"/>
                <w:w w:val="99"/>
                <w:sz w:val="18"/>
                <w:szCs w:val="18"/>
              </w:rPr>
              <w:t> </w:t>
            </w:r>
            <w:r>
              <w:rPr>
                <w:rFonts w:ascii="宋体" w:hAnsi="宋体" w:cs="宋体" w:eastAsia="宋体" w:hint="default"/>
                <w:sz w:val="18"/>
                <w:szCs w:val="18"/>
              </w:rPr>
              <w:t>终端产品技术改造补贴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1,500,000.00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25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年技术改造投资补贴 项目</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7,740,000.00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258,000.00</w:t>
            </w:r>
          </w:p>
        </w:tc>
      </w:tr>
    </w:tbl>
    <w:p>
      <w:pPr>
        <w:spacing w:after="0" w:line="240" w:lineRule="auto"/>
        <w:jc w:val="righ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研发经费补助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2,082,694.00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2,082,694.00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深圳市财政委员会提升企业 竞争力专项资金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01"/>
              <w:jc w:val="both"/>
              <w:rPr>
                <w:rFonts w:ascii="宋体" w:hAnsi="宋体" w:cs="宋体" w:eastAsia="宋体" w:hint="default"/>
                <w:sz w:val="18"/>
                <w:szCs w:val="18"/>
              </w:rPr>
            </w:pPr>
            <w:r>
              <w:rPr>
                <w:rFonts w:ascii="宋体" w:hAnsi="宋体" w:cs="宋体" w:eastAsia="宋体" w:hint="default"/>
                <w:sz w:val="18"/>
                <w:szCs w:val="18"/>
              </w:rPr>
              <w:t>深圳市市场和质量监督管理 委员会</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年第</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批专利资 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01"/>
              <w:jc w:val="both"/>
              <w:rPr>
                <w:rFonts w:ascii="宋体" w:hAnsi="宋体" w:cs="宋体" w:eastAsia="宋体" w:hint="default"/>
                <w:sz w:val="18"/>
                <w:szCs w:val="18"/>
              </w:rPr>
            </w:pPr>
            <w:r>
              <w:rPr>
                <w:rFonts w:ascii="宋体" w:hAnsi="宋体" w:cs="宋体" w:eastAsia="宋体" w:hint="default"/>
                <w:sz w:val="18"/>
                <w:szCs w:val="18"/>
              </w:rPr>
              <w:t>深圳市市场和质量监督管理 委员会</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年第</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批计算机 软件著作权资助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103" w:right="252"/>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年国家企业高新技术 企业认定奖补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7"/>
              <w:jc w:val="both"/>
              <w:rPr>
                <w:rFonts w:ascii="宋体" w:hAnsi="宋体" w:cs="宋体" w:eastAsia="宋体" w:hint="default"/>
                <w:sz w:val="18"/>
                <w:szCs w:val="18"/>
              </w:rPr>
            </w:pPr>
            <w:r>
              <w:rPr>
                <w:rFonts w:ascii="宋体" w:hAnsi="宋体" w:cs="宋体" w:eastAsia="宋体" w:hint="default"/>
                <w:sz w:val="18"/>
                <w:szCs w:val="18"/>
              </w:rPr>
              <w:t>深圳市南山区科学技术局国 家高新技术企业倍增支持计 划项目款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深圳市南山区经济促进局出 口信用保险资助项目款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69,800.00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69,800.00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深圳市高技能人才公共实训 管理服务中心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年度深 圳市职业技能培训券兑付款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153,600.00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153,600.00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深圳市工商业用电资助款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2,140,892.15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2,140,892.15</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南山区展会活动资助款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41,700.00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41,700.00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增值税即征即退</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305.60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305.60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境外展览资助款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84,630.00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84,630.00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社保局补助款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1,192.26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1,192.26</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厦门火炬高技术产业开发管 理委员会社保补贴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24,637.63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24,637.63</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厦门火炬高技术产业开发管 理委员会劳务协作</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厦门市湖里区科学技术局专 利补贴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代扣个人所得税手续费返还</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45,781.84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45,781.84</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深圳市社保局稳岗补贴款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925,890.91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925,890.91</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天津市人力资源和社会保障 局“千企万人”经费资助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115,824.21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115,824.21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政府补助退回情况" w:id="386"/>
      <w:bookmarkEnd w:id="386"/>
      <w:r>
        <w:rPr>
          <w:b w:val="0"/>
          <w:bCs w:val="0"/>
        </w:rPr>
      </w:r>
      <w:r>
        <w:rPr/>
        <w:t>（</w:t>
      </w:r>
      <w:r>
        <w:rPr>
          <w:rFonts w:ascii="Times New Roman" w:hAnsi="Times New Roman" w:cs="Times New Roman" w:eastAsia="Times New Roman" w:hint="default"/>
        </w:rPr>
        <w:t>2</w:t>
      </w:r>
      <w:r>
        <w:rPr/>
        <w:t>）政府补助退回情况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after="0" w:line="240" w:lineRule="auto"/>
        <w:jc w:val="left"/>
        <w:sectPr>
          <w:pgSz w:w="11910" w:h="16840"/>
          <w:pgMar w:header="917" w:footer="1019" w:top="1120" w:bottom="1200" w:left="980" w:right="0"/>
        </w:sectPr>
      </w:pPr>
    </w:p>
    <w:p>
      <w:pPr>
        <w:spacing w:line="240" w:lineRule="auto" w:before="10"/>
        <w:rPr>
          <w:rFonts w:ascii="宋体" w:hAnsi="宋体" w:cs="宋体" w:eastAsia="宋体" w:hint="default"/>
          <w:sz w:val="20"/>
          <w:szCs w:val="20"/>
        </w:rPr>
      </w:pPr>
    </w:p>
    <w:p>
      <w:pPr>
        <w:pStyle w:val="BodyText"/>
        <w:spacing w:line="240" w:lineRule="auto" w:before="44"/>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74、其他" w:id="387"/>
      <w:bookmarkEnd w:id="387"/>
      <w:r>
        <w:rPr>
          <w:b w:val="0"/>
          <w:bCs w:val="0"/>
        </w:rPr>
      </w:r>
      <w:r>
        <w:rPr>
          <w:rFonts w:ascii="Times New Roman" w:hAnsi="Times New Roman" w:cs="Times New Roman" w:eastAsia="Times New Roman" w:hint="default"/>
        </w:rPr>
        <w:t>74</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八、合并范围的变更" w:id="388"/>
      <w:bookmarkEnd w:id="388"/>
      <w:r>
        <w:rPr>
          <w:b w:val="0"/>
          <w:bCs w:val="0"/>
        </w:rPr>
      </w:r>
      <w:r>
        <w:rPr/>
        <w:t>八、合并范围的变更</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非同一控制下企业合并" w:id="389"/>
      <w:bookmarkEnd w:id="389"/>
      <w:r>
        <w:rPr>
          <w:b w:val="0"/>
          <w:bCs w:val="0"/>
        </w:rPr>
      </w:r>
      <w:r>
        <w:rPr>
          <w:rFonts w:ascii="Times New Roman" w:hAnsi="Times New Roman" w:cs="Times New Roman" w:eastAsia="Times New Roman" w:hint="default"/>
        </w:rPr>
        <w:t>1</w:t>
      </w:r>
      <w:r>
        <w:rPr/>
        <w:t>、非同一控制下企业合并</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本期发生的非同一控制下企业合并" w:id="390"/>
      <w:bookmarkEnd w:id="390"/>
      <w:r>
        <w:rPr>
          <w:b w:val="0"/>
          <w:bCs w:val="0"/>
        </w:rPr>
      </w: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5"/>
        <w:gridCol w:w="1064"/>
        <w:gridCol w:w="1063"/>
        <w:gridCol w:w="1062"/>
        <w:gridCol w:w="1062"/>
        <w:gridCol w:w="1062"/>
      </w:tblGrid>
      <w:tr>
        <w:trPr>
          <w:trHeight w:val="1338"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46" w:right="165" w:hanging="180"/>
              <w:jc w:val="left"/>
              <w:rPr>
                <w:rFonts w:ascii="宋体" w:hAnsi="宋体" w:cs="宋体" w:eastAsia="宋体" w:hint="default"/>
                <w:sz w:val="18"/>
                <w:szCs w:val="18"/>
              </w:rPr>
            </w:pPr>
            <w:r>
              <w:rPr>
                <w:rFonts w:ascii="宋体" w:hAnsi="宋体" w:cs="宋体" w:eastAsia="宋体" w:hint="default"/>
                <w:sz w:val="18"/>
                <w:szCs w:val="18"/>
              </w:rPr>
              <w:t>被购买方 名称</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46" w:right="167" w:hanging="180"/>
              <w:jc w:val="left"/>
              <w:rPr>
                <w:rFonts w:ascii="宋体" w:hAnsi="宋体" w:cs="宋体" w:eastAsia="宋体" w:hint="default"/>
                <w:sz w:val="18"/>
                <w:szCs w:val="18"/>
              </w:rPr>
            </w:pPr>
            <w:r>
              <w:rPr>
                <w:rFonts w:ascii="宋体" w:hAnsi="宋体" w:cs="宋体" w:eastAsia="宋体" w:hint="default"/>
                <w:sz w:val="18"/>
                <w:szCs w:val="18"/>
              </w:rPr>
              <w:t>股权取得 时点</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45" w:right="167" w:hanging="180"/>
              <w:jc w:val="left"/>
              <w:rPr>
                <w:rFonts w:ascii="宋体" w:hAnsi="宋体" w:cs="宋体" w:eastAsia="宋体" w:hint="default"/>
                <w:sz w:val="18"/>
                <w:szCs w:val="18"/>
              </w:rPr>
            </w:pPr>
            <w:r>
              <w:rPr>
                <w:rFonts w:ascii="宋体" w:hAnsi="宋体" w:cs="宋体" w:eastAsia="宋体" w:hint="default"/>
                <w:sz w:val="18"/>
                <w:szCs w:val="18"/>
              </w:rPr>
              <w:t>股权取得 成本</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46" w:right="166" w:hanging="180"/>
              <w:jc w:val="left"/>
              <w:rPr>
                <w:rFonts w:ascii="宋体" w:hAnsi="宋体" w:cs="宋体" w:eastAsia="宋体" w:hint="default"/>
                <w:sz w:val="18"/>
                <w:szCs w:val="18"/>
              </w:rPr>
            </w:pPr>
            <w:r>
              <w:rPr>
                <w:rFonts w:ascii="宋体" w:hAnsi="宋体" w:cs="宋体" w:eastAsia="宋体" w:hint="default"/>
                <w:sz w:val="18"/>
                <w:szCs w:val="18"/>
              </w:rPr>
              <w:t>股权取得 比例</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46" w:right="167" w:hanging="180"/>
              <w:jc w:val="left"/>
              <w:rPr>
                <w:rFonts w:ascii="宋体" w:hAnsi="宋体" w:cs="宋体" w:eastAsia="宋体" w:hint="default"/>
                <w:sz w:val="18"/>
                <w:szCs w:val="18"/>
              </w:rPr>
            </w:pPr>
            <w:r>
              <w:rPr>
                <w:rFonts w:ascii="宋体" w:hAnsi="宋体" w:cs="宋体" w:eastAsia="宋体" w:hint="default"/>
                <w:sz w:val="18"/>
                <w:szCs w:val="18"/>
              </w:rPr>
              <w:t>股权取得 方式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65" w:right="165"/>
              <w:jc w:val="left"/>
              <w:rPr>
                <w:rFonts w:ascii="宋体" w:hAnsi="宋体" w:cs="宋体" w:eastAsia="宋体" w:hint="default"/>
                <w:sz w:val="18"/>
                <w:szCs w:val="18"/>
              </w:rPr>
            </w:pPr>
            <w:r>
              <w:rPr>
                <w:rFonts w:ascii="宋体" w:hAnsi="宋体" w:cs="宋体" w:eastAsia="宋体" w:hint="default"/>
                <w:sz w:val="18"/>
                <w:szCs w:val="18"/>
              </w:rPr>
              <w:t>购买日的 确定依据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5" w:right="164"/>
              <w:jc w:val="center"/>
              <w:rPr>
                <w:rFonts w:ascii="宋体" w:hAnsi="宋体" w:cs="宋体" w:eastAsia="宋体" w:hint="default"/>
                <w:sz w:val="18"/>
                <w:szCs w:val="18"/>
              </w:rPr>
            </w:pPr>
            <w:r>
              <w:rPr>
                <w:rFonts w:ascii="宋体" w:hAnsi="宋体" w:cs="宋体" w:eastAsia="宋体" w:hint="default"/>
                <w:sz w:val="18"/>
                <w:szCs w:val="18"/>
              </w:rPr>
              <w:t>购买日至 期末被购 买方的收 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5" w:right="164"/>
              <w:jc w:val="center"/>
              <w:rPr>
                <w:rFonts w:ascii="宋体" w:hAnsi="宋体" w:cs="宋体" w:eastAsia="宋体" w:hint="default"/>
                <w:sz w:val="18"/>
                <w:szCs w:val="18"/>
              </w:rPr>
            </w:pPr>
            <w:r>
              <w:rPr>
                <w:rFonts w:ascii="宋体" w:hAnsi="宋体" w:cs="宋体" w:eastAsia="宋体" w:hint="default"/>
                <w:sz w:val="18"/>
                <w:szCs w:val="18"/>
              </w:rPr>
              <w:t>购买日至 期末被购 买方的净 利润</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合并成本及商誉" w:id="391"/>
      <w:bookmarkEnd w:id="391"/>
      <w:r>
        <w:rPr>
          <w:b w:val="0"/>
          <w:bCs w:val="0"/>
        </w:rPr>
      </w:r>
      <w:r>
        <w:rPr/>
        <w:t>（</w:t>
      </w:r>
      <w:r>
        <w:rPr>
          <w:rFonts w:ascii="Times New Roman" w:hAnsi="Times New Roman" w:cs="Times New Roman" w:eastAsia="Times New Roman" w:hint="default"/>
        </w:rPr>
        <w:t>2</w:t>
      </w:r>
      <w:r>
        <w:rPr/>
        <w:t>）合并成本及商誉</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9"/>
        <w:rPr>
          <w:rFonts w:ascii="宋体" w:hAnsi="宋体" w:cs="宋体" w:eastAsia="宋体" w:hint="default"/>
          <w:sz w:val="7"/>
          <w:szCs w:val="7"/>
        </w:rPr>
      </w:pPr>
    </w:p>
    <w:p>
      <w:pPr>
        <w:spacing w:line="421"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pt;mso-position-horizontal-relative:char;mso-position-vertical-relative:line" coordorigin="0,0" coordsize="9579,422">
            <v:group style="position:absolute;left:10;top:14;width:104;height:393" coordorigin="10,14" coordsize="104,393">
              <v:shape style="position:absolute;left:10;top:14;width:104;height:393" coordorigin="10,14" coordsize="104,393" path="m10,407l113,407,113,14,10,14,10,407xe" filled="true" fillcolor="#d2d2d2" stroked="false">
                <v:path arrowok="t"/>
                <v:fill type="solid"/>
              </v:shape>
            </v:group>
            <v:group style="position:absolute;left:4682;top:14;width:102;height:393" coordorigin="4682,14" coordsize="102,393">
              <v:shape style="position:absolute;left:4682;top:14;width:102;height:393" coordorigin="4682,14" coordsize="102,393" path="m4682,407l4784,407,4784,14,4682,14,4682,407xe" filled="true" fillcolor="#d2d2d2" stroked="false">
                <v:path arrowok="t"/>
                <v:fill type="solid"/>
              </v:shape>
            </v:group>
            <v:group style="position:absolute;left:113;top:14;width:4570;height:393" coordorigin="113,14" coordsize="4570,393">
              <v:shape style="position:absolute;left:113;top:14;width:4570;height:393" coordorigin="113,14" coordsize="4570,393" path="m113,407l4682,407,4682,14,113,14,113,407xe" filled="true" fillcolor="#d2d2d2" stroked="false">
                <v:path arrowok="t"/>
                <v:fill type="solid"/>
              </v:shape>
            </v:group>
            <v:group style="position:absolute;left:4795;top:14;width:104;height:393" coordorigin="4795,14" coordsize="104,393">
              <v:shape style="position:absolute;left:4795;top:14;width:104;height:393" coordorigin="4795,14" coordsize="104,393" path="m4795,407l4898,407,4898,14,4795,14,4795,407xe" filled="true" fillcolor="#e0ffff" stroked="false">
                <v:path arrowok="t"/>
                <v:fill type="solid"/>
              </v:shape>
            </v:group>
            <v:group style="position:absolute;left:9466;top:14;width:104;height:393" coordorigin="9466,14" coordsize="104,393">
              <v:shape style="position:absolute;left:9466;top:14;width:104;height:393" coordorigin="9466,14" coordsize="104,393" path="m9466,407l9569,407,9569,14,9466,14,9466,407xe" filled="true" fillcolor="#e0ffff" stroked="false">
                <v:path arrowok="t"/>
                <v:fill type="solid"/>
              </v:shape>
            </v:group>
            <v:group style="position:absolute;left:4898;top:14;width:4568;height:393" coordorigin="4898,14" coordsize="4568,393">
              <v:shape style="position:absolute;left:4898;top:14;width:4568;height:393" coordorigin="4898,14" coordsize="4568,393" path="m4898,407l9466,407,9466,14,4898,14,489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7998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7998pt" strokecolor="#000000">
                <v:path arrowok="t"/>
              </v:shape>
            </v:group>
            <v:group style="position:absolute;left:5;top:5;width:2;height:412" coordorigin="5,5" coordsize="2,412">
              <v:shape style="position:absolute;left:5;top:5;width:2;height:412" coordorigin="5,5" coordsize="0,412" path="m5,5l5,416e" filled="false" stroked="true" strokeweight=".48pt" strokecolor="#000000">
                <v:path arrowok="t"/>
              </v:shape>
            </v:group>
            <v:group style="position:absolute;left:10;top:412;width:4776;height:2" coordorigin="10,412" coordsize="4776,2">
              <v:shape style="position:absolute;left:10;top:412;width:4776;height:2" coordorigin="10,412" coordsize="4776,0" path="m10,412l4785,412e" filled="false" stroked="true" strokeweight=".47998pt" strokecolor="#000000">
                <v:path arrowok="t"/>
              </v:shape>
            </v:group>
            <v:group style="position:absolute;left:4790;top:5;width:2;height:412" coordorigin="4790,5" coordsize="2,412">
              <v:shape style="position:absolute;left:4790;top:5;width:2;height:412" coordorigin="4790,5" coordsize="0,412" path="m4790,5l4790,416e" filled="false" stroked="true" strokeweight=".47998pt" strokecolor="#000000">
                <v:path arrowok="t"/>
              </v:shape>
            </v:group>
            <v:group style="position:absolute;left:4795;top:412;width:4774;height:2" coordorigin="4795,412" coordsize="4774,2">
              <v:shape style="position:absolute;left:4795;top:412;width:4774;height:2" coordorigin="4795,412" coordsize="4774,0" path="m4795,412l9569,412e" filled="false" stroked="true" strokeweight=".47998pt" strokecolor="#000000">
                <v:path arrowok="t"/>
              </v:shape>
            </v:group>
            <v:group style="position:absolute;left:9574;top:5;width:2;height:412" coordorigin="9574,5" coordsize="2,412">
              <v:shape style="position:absolute;left:9574;top:5;width:2;height:412" coordorigin="9574,5" coordsize="0,412" path="m9574,5l9574,416e" filled="false" stroked="true" strokeweight=".48004pt" strokecolor="#000000">
                <v:path arrowok="t"/>
              </v:shape>
              <v:shape style="position:absolute;left:5;top:10;width:4785;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pStyle w:val="BodyText"/>
        <w:spacing w:line="360" w:lineRule="auto" w:before="46"/>
        <w:ind w:right="6072"/>
        <w:jc w:val="left"/>
      </w:pPr>
      <w:r>
        <w:rPr/>
        <w:t>合并成本公允价值的确定方法、或有对价及其变动的说明： 大额商誉形成的主要原因：</w:t>
      </w:r>
    </w:p>
    <w:p>
      <w:pPr>
        <w:pStyle w:val="BodyText"/>
        <w:spacing w:line="240" w:lineRule="auto" w:before="26"/>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3）被购买方于购买日可辨认资产、负债" w:id="392"/>
      <w:bookmarkEnd w:id="392"/>
      <w:r>
        <w:rPr>
          <w:b w:val="0"/>
          <w:bCs w:val="0"/>
        </w:rPr>
      </w: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E0FFFF"/>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60"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60"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bl>
    <w:p>
      <w:pPr>
        <w:pStyle w:val="BodyText"/>
        <w:spacing w:line="360" w:lineRule="auto" w:before="52"/>
        <w:ind w:right="7530"/>
        <w:jc w:val="both"/>
      </w:pPr>
      <w:r>
        <w:rPr/>
        <w:t>可辨认资产、负债公允价值的确定方法： 企业合并中承担的被购买方的或有负债： 其他说明：</w:t>
      </w:r>
    </w:p>
    <w:p>
      <w:pPr>
        <w:spacing w:line="240" w:lineRule="auto" w:before="11"/>
        <w:rPr>
          <w:rFonts w:ascii="宋体" w:hAnsi="宋体" w:cs="宋体" w:eastAsia="宋体" w:hint="default"/>
          <w:sz w:val="19"/>
          <w:szCs w:val="19"/>
        </w:rPr>
      </w:pPr>
    </w:p>
    <w:p>
      <w:pPr>
        <w:pStyle w:val="Heading3"/>
        <w:spacing w:line="240" w:lineRule="auto"/>
        <w:ind w:right="0"/>
        <w:jc w:val="both"/>
        <w:rPr>
          <w:b w:val="0"/>
          <w:bCs w:val="0"/>
        </w:rPr>
      </w:pPr>
      <w:bookmarkStart w:name="（4）购买日之前持有的股权按照公允价值重新计量产生的利得或损失" w:id="393"/>
      <w:bookmarkEnd w:id="393"/>
      <w:r>
        <w:rPr>
          <w:b w:val="0"/>
          <w:bCs w:val="0"/>
        </w:rPr>
      </w: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both"/>
      </w:pPr>
      <w:r>
        <w:rPr/>
        <w:t>是否存在通过多次交易分步实现企业合并且在报告期内取得控制权的交易</w:t>
      </w:r>
    </w:p>
    <w:p>
      <w:pPr>
        <w:pStyle w:val="BodyText"/>
        <w:spacing w:line="240" w:lineRule="auto" w:before="116"/>
        <w:ind w:right="0"/>
        <w:jc w:val="both"/>
      </w:pPr>
      <w:r>
        <w:rPr/>
        <w:t>□ 是 √ 否</w:t>
      </w:r>
    </w:p>
    <w:p>
      <w:pPr>
        <w:spacing w:after="0" w:line="240" w:lineRule="auto"/>
        <w:jc w:val="both"/>
        <w:sectPr>
          <w:pgSz w:w="11910" w:h="16840"/>
          <w:pgMar w:header="917" w:footer="1019" w:top="112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5）购买日或合并当期期末无法合理确定合并对价或被购买方可辨认资产、负债公允价值" w:id="394"/>
      <w:bookmarkEnd w:id="394"/>
      <w:r>
        <w:rPr>
          <w:b w:val="0"/>
          <w:bCs w:val="0"/>
        </w:rPr>
      </w: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6）其他说明" w:id="395"/>
      <w:bookmarkEnd w:id="395"/>
      <w:r>
        <w:rPr>
          <w:b w:val="0"/>
          <w:bCs w:val="0"/>
        </w:rPr>
      </w:r>
      <w:r>
        <w:rPr/>
        <w:t>（</w:t>
      </w:r>
      <w:r>
        <w:rPr>
          <w:rFonts w:ascii="Times New Roman" w:hAnsi="Times New Roman" w:cs="Times New Roman" w:eastAsia="Times New Roman" w:hint="default"/>
        </w:rPr>
        <w:t>6</w:t>
      </w:r>
      <w:r>
        <w:rPr/>
        <w:t>）其他说明</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2、同一控制下企业合并" w:id="396"/>
      <w:bookmarkEnd w:id="396"/>
      <w:r>
        <w:rPr>
          <w:b w:val="0"/>
          <w:bCs w:val="0"/>
        </w:rPr>
      </w:r>
      <w:r>
        <w:rPr>
          <w:rFonts w:ascii="Times New Roman" w:hAnsi="Times New Roman" w:cs="Times New Roman" w:eastAsia="Times New Roman" w:hint="default"/>
        </w:rPr>
        <w:t>2</w:t>
      </w:r>
      <w:r>
        <w:rPr/>
        <w:t>、同一控制下企业合并</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本期发生的同一控制下企业合并" w:id="397"/>
      <w:bookmarkEnd w:id="397"/>
      <w:r>
        <w:rPr>
          <w:b w:val="0"/>
          <w:bCs w:val="0"/>
        </w:rPr>
      </w:r>
      <w:r>
        <w:rPr/>
        <w:t>（</w:t>
      </w:r>
      <w:r>
        <w:rPr>
          <w:rFonts w:ascii="Times New Roman" w:hAnsi="Times New Roman" w:cs="Times New Roman" w:eastAsia="Times New Roman" w:hint="default"/>
        </w:rPr>
        <w:t>1</w:t>
      </w:r>
      <w:r>
        <w:rPr/>
        <w:t>）本期发生的同一控制下企业合并</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1"/>
        <w:gridCol w:w="1061"/>
        <w:gridCol w:w="1063"/>
        <w:gridCol w:w="1065"/>
        <w:gridCol w:w="1064"/>
        <w:gridCol w:w="1063"/>
        <w:gridCol w:w="1065"/>
        <w:gridCol w:w="1064"/>
        <w:gridCol w:w="1063"/>
      </w:tblGrid>
      <w:tr>
        <w:trPr>
          <w:trHeight w:val="1650"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345" w:right="165" w:hanging="180"/>
              <w:jc w:val="left"/>
              <w:rPr>
                <w:rFonts w:ascii="宋体" w:hAnsi="宋体" w:cs="宋体" w:eastAsia="宋体" w:hint="default"/>
                <w:sz w:val="18"/>
                <w:szCs w:val="18"/>
              </w:rPr>
            </w:pPr>
            <w:r>
              <w:rPr>
                <w:rFonts w:ascii="宋体" w:hAnsi="宋体" w:cs="宋体" w:eastAsia="宋体" w:hint="default"/>
                <w:sz w:val="18"/>
                <w:szCs w:val="18"/>
              </w:rPr>
              <w:t>被合并方 名称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65" w:right="163"/>
              <w:jc w:val="both"/>
              <w:rPr>
                <w:rFonts w:ascii="宋体" w:hAnsi="宋体" w:cs="宋体" w:eastAsia="宋体" w:hint="default"/>
                <w:sz w:val="18"/>
                <w:szCs w:val="18"/>
              </w:rPr>
            </w:pPr>
            <w:r>
              <w:rPr>
                <w:rFonts w:ascii="宋体" w:hAnsi="宋体" w:cs="宋体" w:eastAsia="宋体" w:hint="default"/>
                <w:sz w:val="18"/>
                <w:szCs w:val="18"/>
              </w:rPr>
              <w:t>企业合并 中取得的 权益比例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66" w:right="164"/>
              <w:jc w:val="center"/>
              <w:rPr>
                <w:rFonts w:ascii="宋体" w:hAnsi="宋体" w:cs="宋体" w:eastAsia="宋体" w:hint="default"/>
                <w:sz w:val="18"/>
                <w:szCs w:val="18"/>
              </w:rPr>
            </w:pPr>
            <w:r>
              <w:rPr>
                <w:rFonts w:ascii="宋体" w:hAnsi="宋体" w:cs="宋体" w:eastAsia="宋体" w:hint="default"/>
                <w:sz w:val="18"/>
                <w:szCs w:val="18"/>
              </w:rPr>
              <w:t>构成同一 控制下企 业合并的 依据</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合并日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66" w:right="167"/>
              <w:jc w:val="left"/>
              <w:rPr>
                <w:rFonts w:ascii="宋体" w:hAnsi="宋体" w:cs="宋体" w:eastAsia="宋体" w:hint="default"/>
                <w:sz w:val="18"/>
                <w:szCs w:val="18"/>
              </w:rPr>
            </w:pPr>
            <w:r>
              <w:rPr>
                <w:rFonts w:ascii="宋体" w:hAnsi="宋体" w:cs="宋体" w:eastAsia="宋体" w:hint="default"/>
                <w:sz w:val="18"/>
                <w:szCs w:val="18"/>
              </w:rPr>
              <w:t>合并日的 确定依据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5" w:right="167"/>
              <w:jc w:val="center"/>
              <w:rPr>
                <w:rFonts w:ascii="宋体" w:hAnsi="宋体" w:cs="宋体" w:eastAsia="宋体" w:hint="default"/>
                <w:sz w:val="18"/>
                <w:szCs w:val="18"/>
              </w:rPr>
            </w:pPr>
            <w:r>
              <w:rPr>
                <w:rFonts w:ascii="宋体" w:hAnsi="宋体" w:cs="宋体" w:eastAsia="宋体" w:hint="default"/>
                <w:sz w:val="18"/>
                <w:szCs w:val="18"/>
              </w:rPr>
              <w:t>合并当期 期初至合 并日被合 并方的收 入</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6" w:right="166"/>
              <w:jc w:val="center"/>
              <w:rPr>
                <w:rFonts w:ascii="宋体" w:hAnsi="宋体" w:cs="宋体" w:eastAsia="宋体" w:hint="default"/>
                <w:sz w:val="18"/>
                <w:szCs w:val="18"/>
              </w:rPr>
            </w:pPr>
            <w:r>
              <w:rPr>
                <w:rFonts w:ascii="宋体" w:hAnsi="宋体" w:cs="宋体" w:eastAsia="宋体" w:hint="default"/>
                <w:sz w:val="18"/>
                <w:szCs w:val="18"/>
              </w:rPr>
              <w:t>合并当期 期初至合 并日被合 并方的净 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66" w:right="167"/>
              <w:jc w:val="both"/>
              <w:rPr>
                <w:rFonts w:ascii="宋体" w:hAnsi="宋体" w:cs="宋体" w:eastAsia="宋体" w:hint="default"/>
                <w:sz w:val="18"/>
                <w:szCs w:val="18"/>
              </w:rPr>
            </w:pPr>
            <w:r>
              <w:rPr>
                <w:rFonts w:ascii="宋体" w:hAnsi="宋体" w:cs="宋体" w:eastAsia="宋体" w:hint="default"/>
                <w:sz w:val="18"/>
                <w:szCs w:val="18"/>
              </w:rPr>
              <w:t>比较期间 被合并方 的收入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65" w:right="167"/>
              <w:jc w:val="both"/>
              <w:rPr>
                <w:rFonts w:ascii="宋体" w:hAnsi="宋体" w:cs="宋体" w:eastAsia="宋体" w:hint="default"/>
                <w:sz w:val="18"/>
                <w:szCs w:val="18"/>
              </w:rPr>
            </w:pPr>
            <w:r>
              <w:rPr>
                <w:rFonts w:ascii="宋体" w:hAnsi="宋体" w:cs="宋体" w:eastAsia="宋体" w:hint="default"/>
                <w:sz w:val="18"/>
                <w:szCs w:val="18"/>
              </w:rPr>
              <w:t>比较期间 被合并方 的净利润</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合并成本" w:id="398"/>
      <w:bookmarkEnd w:id="398"/>
      <w:r>
        <w:rPr>
          <w:b w:val="0"/>
          <w:bCs w:val="0"/>
        </w:rPr>
      </w:r>
      <w:r>
        <w:rPr/>
        <w:t>（</w:t>
      </w:r>
      <w:r>
        <w:rPr>
          <w:rFonts w:ascii="Times New Roman" w:hAnsi="Times New Roman" w:cs="Times New Roman" w:eastAsia="Times New Roman" w:hint="default"/>
        </w:rPr>
        <w:t>2</w:t>
      </w:r>
      <w:r>
        <w:rPr/>
        <w:t>）合并成本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9"/>
        <w:rPr>
          <w:rFonts w:ascii="宋体" w:hAnsi="宋体" w:cs="宋体" w:eastAsia="宋体" w:hint="default"/>
          <w:sz w:val="7"/>
          <w:szCs w:val="7"/>
        </w:rPr>
      </w:pPr>
    </w:p>
    <w:p>
      <w:pPr>
        <w:spacing w:line="421"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pt;mso-position-horizontal-relative:char;mso-position-vertical-relative:line" coordorigin="0,0" coordsize="9579,422">
            <v:group style="position:absolute;left:10;top:14;width:104;height:393" coordorigin="10,14" coordsize="104,393">
              <v:shape style="position:absolute;left:10;top:14;width:104;height:393" coordorigin="10,14" coordsize="104,393" path="m10,407l113,407,113,14,10,14,10,407xe" filled="true" fillcolor="#d2d2d2" stroked="false">
                <v:path arrowok="t"/>
                <v:fill type="solid"/>
              </v:shape>
            </v:group>
            <v:group style="position:absolute;left:4682;top:14;width:102;height:393" coordorigin="4682,14" coordsize="102,393">
              <v:shape style="position:absolute;left:4682;top:14;width:102;height:393" coordorigin="4682,14" coordsize="102,393" path="m4682,407l4784,407,4784,14,4682,14,4682,407xe" filled="true" fillcolor="#d2d2d2" stroked="false">
                <v:path arrowok="t"/>
                <v:fill type="solid"/>
              </v:shape>
            </v:group>
            <v:group style="position:absolute;left:113;top:14;width:4570;height:393" coordorigin="113,14" coordsize="4570,393">
              <v:shape style="position:absolute;left:113;top:14;width:4570;height:393" coordorigin="113,14" coordsize="4570,393" path="m113,407l4682,407,4682,14,113,14,113,407xe" filled="true" fillcolor="#d2d2d2" stroked="false">
                <v:path arrowok="t"/>
                <v:fill type="solid"/>
              </v:shape>
            </v:group>
            <v:group style="position:absolute;left:4795;top:14;width:104;height:393" coordorigin="4795,14" coordsize="104,393">
              <v:shape style="position:absolute;left:4795;top:14;width:104;height:393" coordorigin="4795,14" coordsize="104,393" path="m4795,407l4898,407,4898,14,4795,14,4795,407xe" filled="true" fillcolor="#e0ffff" stroked="false">
                <v:path arrowok="t"/>
                <v:fill type="solid"/>
              </v:shape>
            </v:group>
            <v:group style="position:absolute;left:9466;top:14;width:104;height:393" coordorigin="9466,14" coordsize="104,393">
              <v:shape style="position:absolute;left:9466;top:14;width:104;height:393" coordorigin="9466,14" coordsize="104,393" path="m9466,407l9569,407,9569,14,9466,14,9466,407xe" filled="true" fillcolor="#e0ffff" stroked="false">
                <v:path arrowok="t"/>
                <v:fill type="solid"/>
              </v:shape>
            </v:group>
            <v:group style="position:absolute;left:4898;top:14;width:4568;height:393" coordorigin="4898,14" coordsize="4568,393">
              <v:shape style="position:absolute;left:4898;top:14;width:4568;height:393" coordorigin="4898,14" coordsize="4568,393" path="m4898,407l9466,407,9466,14,4898,14,489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7998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7998pt" strokecolor="#000000">
                <v:path arrowok="t"/>
              </v:shape>
            </v:group>
            <v:group style="position:absolute;left:5;top:5;width:2;height:412" coordorigin="5,5" coordsize="2,412">
              <v:shape style="position:absolute;left:5;top:5;width:2;height:412" coordorigin="5,5" coordsize="0,412" path="m5,5l5,416e" filled="false" stroked="true" strokeweight=".48pt" strokecolor="#000000">
                <v:path arrowok="t"/>
              </v:shape>
            </v:group>
            <v:group style="position:absolute;left:10;top:412;width:4776;height:2" coordorigin="10,412" coordsize="4776,2">
              <v:shape style="position:absolute;left:10;top:412;width:4776;height:2" coordorigin="10,412" coordsize="4776,0" path="m10,412l4785,412e" filled="false" stroked="true" strokeweight=".48001pt" strokecolor="#000000">
                <v:path arrowok="t"/>
              </v:shape>
            </v:group>
            <v:group style="position:absolute;left:4790;top:5;width:2;height:412" coordorigin="4790,5" coordsize="2,412">
              <v:shape style="position:absolute;left:4790;top:5;width:2;height:412" coordorigin="4790,5" coordsize="0,412" path="m4790,5l4790,416e" filled="false" stroked="true" strokeweight=".47998pt" strokecolor="#000000">
                <v:path arrowok="t"/>
              </v:shape>
            </v:group>
            <v:group style="position:absolute;left:4795;top:412;width:4774;height:2" coordorigin="4795,412" coordsize="4774,2">
              <v:shape style="position:absolute;left:4795;top:412;width:4774;height:2" coordorigin="4795,412" coordsize="4774,0" path="m4795,412l9569,412e" filled="false" stroked="true" strokeweight=".48001pt" strokecolor="#000000">
                <v:path arrowok="t"/>
              </v:shape>
            </v:group>
            <v:group style="position:absolute;left:9574;top:5;width:2;height:412" coordorigin="9574,5" coordsize="2,412">
              <v:shape style="position:absolute;left:9574;top:5;width:2;height:412" coordorigin="9574,5" coordsize="0,412" path="m9574,5l9574,416e" filled="false" stroked="true" strokeweight=".48004pt" strokecolor="#000000">
                <v:path arrowok="t"/>
              </v:shape>
              <v:shape style="position:absolute;left:5;top:10;width:4785;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pStyle w:val="BodyText"/>
        <w:spacing w:line="360" w:lineRule="auto" w:before="46"/>
        <w:ind w:right="8592"/>
        <w:jc w:val="left"/>
      </w:pPr>
      <w:r>
        <w:rPr/>
        <w:t>或有对价及其变动的说明： 其他说明：</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3）合并日被合并方资产、负债的账面价值" w:id="399"/>
      <w:bookmarkEnd w:id="399"/>
      <w:r>
        <w:rPr>
          <w:b w:val="0"/>
          <w:bCs w:val="0"/>
        </w:rPr>
      </w:r>
      <w:r>
        <w:rPr/>
        <w:t>（</w:t>
      </w:r>
      <w:r>
        <w:rPr>
          <w:rFonts w:ascii="Times New Roman" w:hAnsi="Times New Roman" w:cs="Times New Roman" w:eastAsia="Times New Roman" w:hint="default"/>
        </w:rPr>
        <w:t>3</w:t>
      </w:r>
      <w:r>
        <w:rPr/>
        <w:t>）合并日被合并方资产、负债的账面价值</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8"/>
        <w:rPr>
          <w:rFonts w:ascii="宋体" w:hAnsi="宋体" w:cs="宋体" w:eastAsia="宋体" w:hint="default"/>
          <w:sz w:val="7"/>
          <w:szCs w:val="7"/>
        </w:rPr>
      </w:pPr>
    </w:p>
    <w:p>
      <w:pPr>
        <w:spacing w:line="823" w:lineRule="exact"/>
        <w:ind w:left="149"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79.05pt;height:41.2pt;mso-position-horizontal-relative:char;mso-position-vertical-relative:line" coordorigin="0,0" coordsize="9581,824">
            <v:group style="position:absolute;left:10;top:14;width:104;height:393" coordorigin="10,14" coordsize="104,393">
              <v:shape style="position:absolute;left:10;top:14;width:104;height:393" coordorigin="10,14" coordsize="104,393" path="m10,407l113,407,113,14,10,14,10,407xe" filled="true" fillcolor="#d2d2d2" stroked="false">
                <v:path arrowok="t"/>
                <v:fill type="solid"/>
              </v:shape>
            </v:group>
            <v:group style="position:absolute;left:3087;top:14;width:104;height:393" coordorigin="3087,14" coordsize="104,393">
              <v:shape style="position:absolute;left:3087;top:14;width:104;height:393" coordorigin="3087,14" coordsize="104,393" path="m3087,407l3190,407,3190,14,3087,14,3087,407xe" filled="true" fillcolor="#d2d2d2" stroked="false">
                <v:path arrowok="t"/>
                <v:fill type="solid"/>
              </v:shape>
            </v:group>
            <v:group style="position:absolute;left:113;top:14;width:2974;height:393" coordorigin="113,14" coordsize="2974,393">
              <v:shape style="position:absolute;left:113;top:14;width:2974;height:393" coordorigin="113,14" coordsize="2974,393" path="m113,407l3087,407,3087,14,113,14,113,407xe" filled="true" fillcolor="#d2d2d2" stroked="false">
                <v:path arrowok="t"/>
                <v:fill type="solid"/>
              </v:shape>
            </v:group>
            <v:group style="position:absolute;left:3200;top:14;width:104;height:393" coordorigin="3200,14" coordsize="104,393">
              <v:shape style="position:absolute;left:3200;top:14;width:104;height:393" coordorigin="3200,14" coordsize="104,393" path="m3200,407l3303,407,3303,14,3200,14,3200,407xe" filled="true" fillcolor="#e0ffff" stroked="false">
                <v:path arrowok="t"/>
                <v:fill type="solid"/>
              </v:shape>
            </v:group>
            <v:group style="position:absolute;left:9468;top:14;width:104;height:393" coordorigin="9468,14" coordsize="104,393">
              <v:shape style="position:absolute;left:9468;top:14;width:104;height:393" coordorigin="9468,14" coordsize="104,393" path="m9468,407l9571,407,9571,14,9468,14,9468,407xe" filled="true" fillcolor="#e0ffff" stroked="false">
                <v:path arrowok="t"/>
                <v:fill type="solid"/>
              </v:shape>
            </v:group>
            <v:group style="position:absolute;left:3303;top:14;width:6166;height:393" coordorigin="3303,14" coordsize="6166,393">
              <v:shape style="position:absolute;left:3303;top:14;width:6166;height:393" coordorigin="3303,14" coordsize="6166,393" path="m3303,407l9468,407,9468,14,3303,14,3303,407xe" filled="true" fillcolor="#e0ffff" stroked="false">
                <v:path arrowok="t"/>
                <v:fill type="solid"/>
              </v:shape>
            </v:group>
            <v:group style="position:absolute;left:10;top:10;width:3181;height:2" coordorigin="10,10" coordsize="3181,2">
              <v:shape style="position:absolute;left:10;top:10;width:3181;height:2" coordorigin="10,10" coordsize="3181,0" path="m10,10l3190,10e" filled="false" stroked="true" strokeweight=".47998pt" strokecolor="#000000">
                <v:path arrowok="t"/>
              </v:shape>
            </v:group>
            <v:group style="position:absolute;left:3200;top:10;width:6372;height:2" coordorigin="3200,10" coordsize="6372,2">
              <v:shape style="position:absolute;left:3200;top:10;width:6372;height:2" coordorigin="3200,10" coordsize="6372,0" path="m3200,10l9571,10e" filled="false" stroked="true" strokeweight=".47998pt" strokecolor="#000000">
                <v:path arrowok="t"/>
              </v:shape>
            </v:group>
            <v:group style="position:absolute;left:10;top:416;width:104;height:393" coordorigin="10,416" coordsize="104,393">
              <v:shape style="position:absolute;left:10;top:416;width:104;height:393" coordorigin="10,416" coordsize="104,393" path="m10,809l113,809,113,416,10,416,10,809xe" filled="true" fillcolor="#d2d2d2" stroked="false">
                <v:path arrowok="t"/>
                <v:fill type="solid"/>
              </v:shape>
            </v:group>
            <v:group style="position:absolute;left:3087;top:416;width:104;height:393" coordorigin="3087,416" coordsize="104,393">
              <v:shape style="position:absolute;left:3087;top:416;width:104;height:393" coordorigin="3087,416" coordsize="104,393" path="m3087,809l3190,809,3190,416,3087,416,3087,809xe" filled="true" fillcolor="#d2d2d2" stroked="false">
                <v:path arrowok="t"/>
                <v:fill type="solid"/>
              </v:shape>
            </v:group>
            <v:group style="position:absolute;left:113;top:416;width:2974;height:393" coordorigin="113,416" coordsize="2974,393">
              <v:shape style="position:absolute;left:113;top:416;width:2974;height:393" coordorigin="113,416" coordsize="2974,393" path="m113,809l3087,809,3087,416,113,416,113,809xe" filled="true" fillcolor="#d2d2d2" stroked="false">
                <v:path arrowok="t"/>
                <v:fill type="solid"/>
              </v:shape>
            </v:group>
            <v:group style="position:absolute;left:3200;top:416;width:104;height:393" coordorigin="3200,416" coordsize="104,393">
              <v:shape style="position:absolute;left:3200;top:416;width:104;height:393" coordorigin="3200,416" coordsize="104,393" path="m3200,809l3303,809,3303,416,3200,416,3200,809xe" filled="true" fillcolor="#d2d2d2" stroked="false">
                <v:path arrowok="t"/>
                <v:fill type="solid"/>
              </v:shape>
            </v:group>
            <v:group style="position:absolute;left:6278;top:416;width:102;height:393" coordorigin="6278,416" coordsize="102,393">
              <v:shape style="position:absolute;left:6278;top:416;width:102;height:393" coordorigin="6278,416" coordsize="102,393" path="m6278,809l6380,809,6380,416,6278,416,6278,809xe" filled="true" fillcolor="#d2d2d2" stroked="false">
                <v:path arrowok="t"/>
                <v:fill type="solid"/>
              </v:shape>
            </v:group>
            <v:group style="position:absolute;left:3303;top:416;width:2976;height:393" coordorigin="3303,416" coordsize="2976,393">
              <v:shape style="position:absolute;left:3303;top:416;width:2976;height:393" coordorigin="3303,416" coordsize="2976,393" path="m3303,809l6278,809,6278,416,3303,416,3303,809xe" filled="true" fillcolor="#d2d2d2" stroked="false">
                <v:path arrowok="t"/>
                <v:fill type="solid"/>
              </v:shape>
            </v:group>
            <v:group style="position:absolute;left:6391;top:416;width:104;height:393" coordorigin="6391,416" coordsize="104,393">
              <v:shape style="position:absolute;left:6391;top:416;width:104;height:393" coordorigin="6391,416" coordsize="104,393" path="m6391,809l6494,809,6494,416,6391,416,6391,809xe" filled="true" fillcolor="#d2d2d2" stroked="false">
                <v:path arrowok="t"/>
                <v:fill type="solid"/>
              </v:shape>
            </v:group>
            <v:group style="position:absolute;left:9468;top:416;width:104;height:393" coordorigin="9468,416" coordsize="104,393">
              <v:shape style="position:absolute;left:9468;top:416;width:104;height:393" coordorigin="9468,416" coordsize="104,393" path="m9468,809l9571,809,9571,416,9468,416,9468,809xe" filled="true" fillcolor="#d2d2d2" stroked="false">
                <v:path arrowok="t"/>
                <v:fill type="solid"/>
              </v:shape>
            </v:group>
            <v:group style="position:absolute;left:6494;top:416;width:2974;height:393" coordorigin="6494,416" coordsize="2974,393">
              <v:shape style="position:absolute;left:6494;top:416;width:2974;height:393" coordorigin="6494,416" coordsize="2974,393" path="m6494,809l9468,809,9468,416,6494,416,6494,809xe" filled="true" fillcolor="#d2d2d2" stroked="false">
                <v:path arrowok="t"/>
                <v:fill type="solid"/>
              </v:shape>
            </v:group>
            <v:group style="position:absolute;left:10;top:412;width:3181;height:2" coordorigin="10,412" coordsize="3181,2">
              <v:shape style="position:absolute;left:10;top:412;width:3181;height:2" coordorigin="10,412" coordsize="3181,0" path="m10,412l3190,412e" filled="false" stroked="true" strokeweight=".47998pt" strokecolor="#000000">
                <v:path arrowok="t"/>
              </v:shape>
            </v:group>
            <v:group style="position:absolute;left:3200;top:412;width:3182;height:2" coordorigin="3200,412" coordsize="3182,2">
              <v:shape style="position:absolute;left:3200;top:412;width:3182;height:2" coordorigin="3200,412" coordsize="3182,0" path="m3200,412l6381,412e" filled="false" stroked="true" strokeweight=".47998pt" strokecolor="#000000">
                <v:path arrowok="t"/>
              </v:shape>
            </v:group>
            <v:group style="position:absolute;left:6391;top:412;width:3181;height:2" coordorigin="6391,412" coordsize="3181,2">
              <v:shape style="position:absolute;left:6391;top:412;width:3181;height:2" coordorigin="6391,412" coordsize="3181,0" path="m6391,412l9571,412e" filled="false" stroked="true" strokeweight=".47998pt" strokecolor="#000000">
                <v:path arrowok="t"/>
              </v:shape>
            </v:group>
            <v:group style="position:absolute;left:5;top:5;width:2;height:814" coordorigin="5,5" coordsize="2,814">
              <v:shape style="position:absolute;left:5;top:5;width:2;height:814" coordorigin="5,5" coordsize="0,814" path="m5,5l5,818e" filled="false" stroked="true" strokeweight=".48pt" strokecolor="#000000">
                <v:path arrowok="t"/>
              </v:shape>
            </v:group>
            <v:group style="position:absolute;left:10;top:814;width:3181;height:2" coordorigin="10,814" coordsize="3181,2">
              <v:shape style="position:absolute;left:10;top:814;width:3181;height:2" coordorigin="10,814" coordsize="3181,0" path="m10,814l3190,814e" filled="false" stroked="true" strokeweight=".47998pt" strokecolor="#000000">
                <v:path arrowok="t"/>
              </v:shape>
            </v:group>
            <v:group style="position:absolute;left:3195;top:5;width:2;height:814" coordorigin="3195,5" coordsize="2,814">
              <v:shape style="position:absolute;left:3195;top:5;width:2;height:814" coordorigin="3195,5" coordsize="0,814" path="m3195,5l3195,818e" filled="false" stroked="true" strokeweight=".48001pt" strokecolor="#000000">
                <v:path arrowok="t"/>
              </v:shape>
            </v:group>
            <v:group style="position:absolute;left:3200;top:814;width:3182;height:2" coordorigin="3200,814" coordsize="3182,2">
              <v:shape style="position:absolute;left:3200;top:814;width:3182;height:2" coordorigin="3200,814" coordsize="3182,0" path="m3200,814l6381,814e" filled="false" stroked="true" strokeweight=".47998pt" strokecolor="#000000">
                <v:path arrowok="t"/>
              </v:shape>
            </v:group>
            <v:group style="position:absolute;left:6386;top:407;width:2;height:412" coordorigin="6386,407" coordsize="2,412">
              <v:shape style="position:absolute;left:6386;top:407;width:2;height:412" coordorigin="6386,407" coordsize="0,412" path="m6386,407l6386,818e" filled="false" stroked="true" strokeweight=".48001pt" strokecolor="#000000">
                <v:path arrowok="t"/>
              </v:shape>
            </v:group>
            <v:group style="position:absolute;left:6391;top:814;width:3181;height:2" coordorigin="6391,814" coordsize="3181,2">
              <v:shape style="position:absolute;left:6391;top:814;width:3181;height:2" coordorigin="6391,814" coordsize="3181,0" path="m6391,814l9571,814e" filled="false" stroked="true" strokeweight=".47998pt" strokecolor="#000000">
                <v:path arrowok="t"/>
              </v:shape>
            </v:group>
            <v:group style="position:absolute;left:9576;top:5;width:2;height:814" coordorigin="9576,5" coordsize="2,814">
              <v:shape style="position:absolute;left:9576;top:5;width:2;height:814" coordorigin="9576,5" coordsize="0,814" path="m9576,5l9576,818e" filled="false" stroked="true" strokeweight=".48004pt" strokecolor="#000000">
                <v:path arrowok="t"/>
              </v:shape>
              <v:shape style="position:absolute;left:3195;top:412;width:3192;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合并日</w:t>
                      </w:r>
                    </w:p>
                  </w:txbxContent>
                </v:textbox>
                <w10:wrap type="none"/>
              </v:shape>
              <v:shape style="position:absolute;left:6386;top:412;width:3190;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上期期末</w:t>
                      </w:r>
                    </w:p>
                  </w:txbxContent>
                </v:textbox>
                <w10:wrap type="none"/>
              </v:shape>
            </v:group>
          </v:group>
        </w:pict>
      </w:r>
      <w:r>
        <w:rPr>
          <w:rFonts w:ascii="宋体" w:hAnsi="宋体" w:cs="宋体" w:eastAsia="宋体" w:hint="default"/>
          <w:position w:val="-15"/>
          <w:sz w:val="20"/>
          <w:szCs w:val="20"/>
        </w:rPr>
      </w:r>
    </w:p>
    <w:p>
      <w:pPr>
        <w:pStyle w:val="BodyText"/>
        <w:spacing w:line="360" w:lineRule="auto" w:before="46"/>
        <w:ind w:right="7512"/>
        <w:jc w:val="left"/>
      </w:pPr>
      <w:r>
        <w:rPr/>
        <w:t>企业合并中承担的被合并方的或有负债： 其他说明：</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3、反向购买" w:id="400"/>
      <w:bookmarkEnd w:id="400"/>
      <w:r>
        <w:rPr>
          <w:b w:val="0"/>
          <w:bCs w:val="0"/>
        </w:rPr>
      </w:r>
      <w:r>
        <w:rPr>
          <w:rFonts w:ascii="Times New Roman" w:hAnsi="Times New Roman" w:cs="Times New Roman" w:eastAsia="Times New Roman" w:hint="default"/>
        </w:rPr>
        <w:t>3</w:t>
      </w:r>
      <w:r>
        <w:rPr/>
        <w:t>、反向购买</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0"/>
        <w:jc w:val="left"/>
      </w:pPr>
      <w:r>
        <w:rPr>
          <w:spacing w:val="-2"/>
        </w:rPr>
        <w:t>交易基本信息、交易构成反向购买的依据、上市公司保留的资产、负债是否构成业务及其依据、合并成本的确定、按照权益</w:t>
      </w:r>
      <w:r>
        <w:rPr>
          <w:spacing w:val="-66"/>
        </w:rPr>
        <w:t> </w:t>
      </w:r>
      <w:r>
        <w:rPr>
          <w:spacing w:val="-66"/>
        </w:rPr>
      </w:r>
      <w:r>
        <w:rPr/>
        <w:t>性交易处理时调整权益的金额及其计算：</w:t>
      </w:r>
    </w:p>
    <w:p>
      <w:pPr>
        <w:spacing w:line="240" w:lineRule="auto" w:before="4"/>
        <w:rPr>
          <w:rFonts w:ascii="宋体" w:hAnsi="宋体" w:cs="宋体" w:eastAsia="宋体" w:hint="default"/>
          <w:sz w:val="22"/>
          <w:szCs w:val="22"/>
        </w:rPr>
      </w:pPr>
    </w:p>
    <w:p>
      <w:pPr>
        <w:pStyle w:val="Heading3"/>
        <w:spacing w:line="240" w:lineRule="auto"/>
        <w:ind w:right="0"/>
        <w:jc w:val="left"/>
        <w:rPr>
          <w:b w:val="0"/>
          <w:bCs w:val="0"/>
        </w:rPr>
      </w:pPr>
      <w:bookmarkStart w:name="4、处置子公司" w:id="401"/>
      <w:bookmarkEnd w:id="401"/>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是否存在单次处置对子公司投资即丧失控制权的情形</w:t>
      </w:r>
    </w:p>
    <w:p>
      <w:pPr>
        <w:pStyle w:val="BodyText"/>
        <w:spacing w:line="357" w:lineRule="auto" w:before="117"/>
        <w:ind w:right="4992"/>
        <w:jc w:val="left"/>
      </w:pPr>
      <w:r>
        <w:rPr/>
        <w:t>□ 是 √ 否 是否存在通过多次交易分步处置对子公司投资且在本期丧失控制权的情形</w:t>
      </w:r>
    </w:p>
    <w:p>
      <w:pPr>
        <w:pStyle w:val="BodyText"/>
        <w:spacing w:line="240" w:lineRule="auto" w:before="28"/>
        <w:ind w:right="0"/>
        <w:jc w:val="left"/>
      </w:pPr>
      <w:r>
        <w:rPr/>
        <w:t>□ 是 √ 否</w:t>
      </w:r>
    </w:p>
    <w:p>
      <w:pPr>
        <w:spacing w:after="0" w:line="240" w:lineRule="auto"/>
        <w:jc w:val="left"/>
        <w:sectPr>
          <w:pgSz w:w="11910" w:h="16840"/>
          <w:pgMar w:header="917" w:footer="1019" w:top="1120" w:bottom="1200" w:left="980" w:right="0"/>
        </w:sectPr>
      </w:pPr>
    </w:p>
    <w:p>
      <w:pPr>
        <w:spacing w:line="240" w:lineRule="auto" w:before="6"/>
        <w:rPr>
          <w:rFonts w:ascii="宋体" w:hAnsi="宋体" w:cs="宋体" w:eastAsia="宋体" w:hint="default"/>
          <w:sz w:val="19"/>
          <w:szCs w:val="19"/>
        </w:rPr>
      </w:pPr>
    </w:p>
    <w:p>
      <w:pPr>
        <w:pStyle w:val="Heading3"/>
        <w:spacing w:line="240" w:lineRule="auto" w:before="35"/>
        <w:ind w:right="0"/>
        <w:jc w:val="left"/>
        <w:rPr>
          <w:b w:val="0"/>
          <w:bCs w:val="0"/>
        </w:rPr>
      </w:pPr>
      <w:bookmarkStart w:name="5、其他原因的合并范围变动" w:id="402"/>
      <w:bookmarkEnd w:id="402"/>
      <w:r>
        <w:rPr>
          <w:b w:val="0"/>
          <w:bCs w:val="0"/>
        </w:rPr>
      </w:r>
      <w:r>
        <w:rPr>
          <w:rFonts w:ascii="Times New Roman" w:hAnsi="Times New Roman" w:cs="Times New Roman" w:eastAsia="Times New Roman" w:hint="default"/>
        </w:rPr>
        <w:t>5</w:t>
      </w:r>
      <w:r>
        <w:rPr/>
        <w:t>、其他原因的合并范围变动</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说明其他原因导致的合并范围变动（如，新设子公司、清算子公司等）及其相关情况：</w:t>
      </w:r>
    </w:p>
    <w:p>
      <w:pPr>
        <w:spacing w:line="240" w:lineRule="auto" w:before="10"/>
        <w:rPr>
          <w:rFonts w:ascii="宋体" w:hAnsi="宋体" w:cs="宋体" w:eastAsia="宋体" w:hint="default"/>
          <w:sz w:val="26"/>
          <w:szCs w:val="26"/>
        </w:rPr>
      </w:pPr>
    </w:p>
    <w:p>
      <w:pPr>
        <w:spacing w:line="487" w:lineRule="auto" w:before="0"/>
        <w:ind w:left="154" w:right="7692" w:firstLine="0"/>
        <w:jc w:val="left"/>
        <w:rPr>
          <w:rFonts w:ascii="宋体" w:hAnsi="宋体" w:cs="宋体" w:eastAsia="宋体" w:hint="default"/>
          <w:sz w:val="21"/>
          <w:szCs w:val="21"/>
        </w:rPr>
      </w:pPr>
      <w:bookmarkStart w:name="6、其他" w:id="403"/>
      <w:bookmarkEnd w:id="403"/>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九、在其他主体中的权益" w:id="404"/>
      <w:bookmarkEnd w:id="404"/>
      <w:r>
        <w:rPr>
          <w:rFonts w:ascii="宋体" w:hAnsi="宋体" w:cs="宋体" w:eastAsia="宋体" w:hint="default"/>
          <w:b/>
          <w:bCs/>
          <w:spacing w:val="1"/>
          <w:w w:val="99"/>
          <w:sz w:val="21"/>
          <w:szCs w:val="21"/>
        </w:rPr>
      </w:r>
      <w:r>
        <w:rPr>
          <w:rFonts w:ascii="宋体" w:hAnsi="宋体" w:cs="宋体" w:eastAsia="宋体" w:hint="default"/>
          <w:b/>
          <w:bCs/>
          <w:w w:val="95"/>
          <w:sz w:val="24"/>
          <w:szCs w:val="24"/>
        </w:rPr>
        <w:t>九、在其他主体中的权益</w:t>
      </w:r>
      <w:r>
        <w:rPr>
          <w:rFonts w:ascii="宋体" w:hAnsi="宋体" w:cs="宋体" w:eastAsia="宋体" w:hint="default"/>
          <w:b/>
          <w:bCs/>
          <w:spacing w:val="7"/>
          <w:w w:val="95"/>
          <w:sz w:val="24"/>
          <w:szCs w:val="24"/>
        </w:rPr>
        <w:t> </w:t>
      </w:r>
      <w:r>
        <w:rPr>
          <w:rFonts w:ascii="宋体" w:hAnsi="宋体" w:cs="宋体" w:eastAsia="宋体" w:hint="default"/>
          <w:b/>
          <w:bCs/>
          <w:spacing w:val="7"/>
          <w:w w:val="95"/>
          <w:sz w:val="24"/>
          <w:szCs w:val="24"/>
        </w:rPr>
      </w:r>
      <w:bookmarkStart w:name="1、在子公司中的权益" w:id="405"/>
      <w:bookmarkEnd w:id="405"/>
      <w:r>
        <w:rPr>
          <w:rFonts w:ascii="宋体" w:hAnsi="宋体" w:cs="宋体" w:eastAsia="宋体" w:hint="default"/>
          <w:b/>
          <w:bCs/>
          <w:spacing w:val="7"/>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、在子公司中的权益</w:t>
      </w:r>
      <w:r>
        <w:rPr>
          <w:rFonts w:ascii="宋体" w:hAnsi="宋体" w:cs="宋体" w:eastAsia="宋体" w:hint="default"/>
          <w:sz w:val="21"/>
          <w:szCs w:val="21"/>
        </w:rPr>
      </w:r>
    </w:p>
    <w:p>
      <w:pPr>
        <w:pStyle w:val="Heading3"/>
        <w:spacing w:line="240" w:lineRule="auto" w:before="83"/>
        <w:ind w:right="0"/>
        <w:jc w:val="left"/>
        <w:rPr>
          <w:b w:val="0"/>
          <w:bCs w:val="0"/>
        </w:rPr>
      </w:pPr>
      <w:bookmarkStart w:name="（1）企业集团的构成" w:id="406"/>
      <w:bookmarkEnd w:id="406"/>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1"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卓翼香港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一般商务贸易</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新设成立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卓大精密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1"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3"/>
              <w:jc w:val="both"/>
              <w:rPr>
                <w:rFonts w:ascii="宋体" w:hAnsi="宋体" w:cs="宋体" w:eastAsia="宋体" w:hint="default"/>
                <w:sz w:val="18"/>
                <w:szCs w:val="18"/>
              </w:rPr>
            </w:pPr>
            <w:r>
              <w:rPr>
                <w:rFonts w:ascii="宋体" w:hAnsi="宋体" w:cs="宋体" w:eastAsia="宋体" w:hint="default"/>
                <w:sz w:val="18"/>
                <w:szCs w:val="18"/>
              </w:rPr>
              <w:t>生产、销售塑 胶五金制品、 模具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1" w:right="0"/>
              <w:jc w:val="left"/>
              <w:rPr>
                <w:rFonts w:ascii="宋体" w:hAnsi="宋体" w:cs="宋体" w:eastAsia="宋体" w:hint="default"/>
                <w:sz w:val="18"/>
                <w:szCs w:val="18"/>
              </w:rPr>
            </w:pPr>
            <w:r>
              <w:rPr>
                <w:rFonts w:ascii="宋体" w:hAnsi="宋体" w:cs="宋体" w:eastAsia="宋体" w:hint="default"/>
                <w:sz w:val="18"/>
                <w:szCs w:val="18"/>
              </w:rPr>
              <w:t>新设成立</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中广物联</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技术开发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新设成立</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中广互联</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技术开发</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新设成立</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卓翼营销</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一般商务贸易</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新设成立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天津卓达</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1"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3"/>
              <w:jc w:val="both"/>
              <w:rPr>
                <w:rFonts w:ascii="宋体" w:hAnsi="宋体" w:cs="宋体" w:eastAsia="宋体" w:hint="default"/>
                <w:sz w:val="18"/>
                <w:szCs w:val="18"/>
              </w:rPr>
            </w:pPr>
            <w:r>
              <w:rPr>
                <w:rFonts w:ascii="宋体" w:hAnsi="宋体" w:cs="宋体" w:eastAsia="宋体" w:hint="default"/>
                <w:sz w:val="18"/>
                <w:szCs w:val="18"/>
              </w:rPr>
              <w:t>生产、销售网 通、移动终端 产品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1" w:right="0"/>
              <w:jc w:val="left"/>
              <w:rPr>
                <w:rFonts w:ascii="宋体" w:hAnsi="宋体" w:cs="宋体" w:eastAsia="宋体" w:hint="default"/>
                <w:sz w:val="18"/>
                <w:szCs w:val="18"/>
              </w:rPr>
            </w:pPr>
            <w:r>
              <w:rPr>
                <w:rFonts w:ascii="宋体" w:hAnsi="宋体" w:cs="宋体" w:eastAsia="宋体" w:hint="default"/>
                <w:sz w:val="18"/>
                <w:szCs w:val="18"/>
              </w:rPr>
              <w:t>新设成立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卓翼智造</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1"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3"/>
              <w:jc w:val="both"/>
              <w:rPr>
                <w:rFonts w:ascii="宋体" w:hAnsi="宋体" w:cs="宋体" w:eastAsia="宋体" w:hint="default"/>
                <w:sz w:val="18"/>
                <w:szCs w:val="18"/>
              </w:rPr>
            </w:pPr>
            <w:r>
              <w:rPr>
                <w:rFonts w:ascii="宋体" w:hAnsi="宋体" w:cs="宋体" w:eastAsia="宋体" w:hint="default"/>
                <w:sz w:val="18"/>
                <w:szCs w:val="18"/>
              </w:rPr>
              <w:t>组装生产、销 售网通、移动 终端产品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1" w:right="0"/>
              <w:jc w:val="left"/>
              <w:rPr>
                <w:rFonts w:ascii="宋体" w:hAnsi="宋体" w:cs="宋体" w:eastAsia="宋体" w:hint="default"/>
                <w:sz w:val="18"/>
                <w:szCs w:val="18"/>
              </w:rPr>
            </w:pPr>
            <w:r>
              <w:rPr>
                <w:rFonts w:ascii="宋体" w:hAnsi="宋体" w:cs="宋体" w:eastAsia="宋体" w:hint="default"/>
                <w:sz w:val="18"/>
                <w:szCs w:val="18"/>
              </w:rPr>
              <w:t>新设成立</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翼飞投资</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战略投资</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新设成立</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卓博机器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机器人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新设成立</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江西卓翼</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江西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江西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光电子器件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新设成立</w:t>
            </w:r>
          </w:p>
        </w:tc>
      </w:tr>
      <w:tr>
        <w:trPr>
          <w:trHeight w:val="403"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翼丰盛</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塑胶五金制品</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新设成立</w:t>
            </w:r>
          </w:p>
        </w:tc>
      </w:tr>
    </w:tbl>
    <w:p>
      <w:pPr>
        <w:pStyle w:val="BodyText"/>
        <w:spacing w:line="360" w:lineRule="auto" w:before="51"/>
        <w:ind w:right="2832"/>
        <w:jc w:val="left"/>
      </w:pPr>
      <w:r>
        <w:rPr/>
        <w:t>在子公司的持股比例不同于表决权比例的说明： 持有半数或以下表决权但仍控制被投资单位、以及持有半数以上表决权但不控制被投资单位的依据： 对于纳入合并范围的重要的结构化主体，控制的依据：</w:t>
      </w:r>
    </w:p>
    <w:p>
      <w:pPr>
        <w:pStyle w:val="BodyText"/>
        <w:spacing w:line="357" w:lineRule="auto" w:before="26"/>
        <w:ind w:right="7692"/>
        <w:jc w:val="left"/>
      </w:pPr>
      <w:r>
        <w:rPr/>
        <w:t>确定公司是代理人还是委托人的依据： 其他说明：</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2）重要的非全资子公司" w:id="407"/>
      <w:bookmarkEnd w:id="407"/>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917"/>
        <w:gridCol w:w="1914"/>
        <w:gridCol w:w="1914"/>
        <w:gridCol w:w="1913"/>
        <w:gridCol w:w="1913"/>
      </w:tblGrid>
      <w:tr>
        <w:trPr>
          <w:trHeight w:val="764" w:hRule="exact"/>
        </w:trPr>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681" w:right="140" w:hanging="540"/>
              <w:jc w:val="left"/>
              <w:rPr>
                <w:rFonts w:ascii="宋体" w:hAnsi="宋体" w:cs="宋体" w:eastAsia="宋体" w:hint="default"/>
                <w:sz w:val="18"/>
                <w:szCs w:val="18"/>
              </w:rPr>
            </w:pPr>
            <w:r>
              <w:rPr>
                <w:rFonts w:ascii="宋体" w:hAnsi="宋体" w:cs="宋体" w:eastAsia="宋体" w:hint="default"/>
                <w:sz w:val="18"/>
                <w:szCs w:val="18"/>
              </w:rPr>
              <w:t>本期归属于少数股东 的损益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501" w:right="141" w:hanging="360"/>
              <w:jc w:val="left"/>
              <w:rPr>
                <w:rFonts w:ascii="宋体" w:hAnsi="宋体" w:cs="宋体" w:eastAsia="宋体" w:hint="default"/>
                <w:sz w:val="18"/>
                <w:szCs w:val="18"/>
              </w:rPr>
            </w:pPr>
            <w:r>
              <w:rPr>
                <w:rFonts w:ascii="宋体" w:hAnsi="宋体" w:cs="宋体" w:eastAsia="宋体" w:hint="default"/>
                <w:sz w:val="18"/>
                <w:szCs w:val="18"/>
              </w:rPr>
              <w:t>本期向少数股东宣告 分派的股利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861" w:right="139" w:hanging="720"/>
              <w:jc w:val="left"/>
              <w:rPr>
                <w:rFonts w:ascii="宋体" w:hAnsi="宋体" w:cs="宋体" w:eastAsia="宋体" w:hint="default"/>
                <w:sz w:val="18"/>
                <w:szCs w:val="18"/>
              </w:rPr>
            </w:pPr>
            <w:r>
              <w:rPr>
                <w:rFonts w:ascii="宋体" w:hAnsi="宋体" w:cs="宋体" w:eastAsia="宋体" w:hint="default"/>
                <w:sz w:val="18"/>
                <w:szCs w:val="18"/>
              </w:rPr>
              <w:t>期末少数股东权益余 额</w:t>
            </w:r>
          </w:p>
        </w:tc>
      </w:tr>
    </w:tbl>
    <w:p>
      <w:pPr>
        <w:pStyle w:val="BodyText"/>
        <w:spacing w:line="360" w:lineRule="auto" w:before="51"/>
        <w:ind w:right="6432"/>
        <w:jc w:val="left"/>
      </w:pPr>
      <w:r>
        <w:rPr/>
        <w:t>子公司少数股东的持股比例不同于表决权比例的说明： 其他说明：</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3）重要非全资子公司的主要财务信息" w:id="408"/>
      <w:bookmarkEnd w:id="408"/>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36"/>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82" w:right="183"/>
              <w:jc w:val="both"/>
              <w:rPr>
                <w:rFonts w:ascii="宋体" w:hAnsi="宋体" w:cs="宋体" w:eastAsia="宋体" w:hint="default"/>
                <w:sz w:val="18"/>
                <w:szCs w:val="18"/>
              </w:rPr>
            </w:pPr>
            <w:r>
              <w:rPr>
                <w:rFonts w:ascii="宋体" w:hAnsi="宋体" w:cs="宋体" w:eastAsia="宋体" w:hint="default"/>
                <w:sz w:val="18"/>
                <w:szCs w:val="18"/>
              </w:rPr>
              <w:t>子公 司名 称</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026"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2"/>
              <w:jc w:val="left"/>
              <w:rPr>
                <w:rFonts w:ascii="宋体" w:hAnsi="宋体" w:cs="宋体" w:eastAsia="宋体" w:hint="default"/>
                <w:sz w:val="18"/>
                <w:szCs w:val="18"/>
              </w:rPr>
            </w:pPr>
            <w:r>
              <w:rPr>
                <w:rFonts w:ascii="宋体" w:hAnsi="宋体" w:cs="宋体" w:eastAsia="宋体" w:hint="default"/>
                <w:sz w:val="18"/>
                <w:szCs w:val="18"/>
              </w:rPr>
              <w:t>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181"/>
              <w:jc w:val="both"/>
              <w:rPr>
                <w:rFonts w:ascii="宋体" w:hAnsi="宋体" w:cs="宋体" w:eastAsia="宋体" w:hint="default"/>
                <w:sz w:val="18"/>
                <w:szCs w:val="18"/>
              </w:rPr>
            </w:pPr>
            <w:r>
              <w:rPr>
                <w:rFonts w:ascii="宋体" w:hAnsi="宋体" w:cs="宋体" w:eastAsia="宋体" w:hint="default"/>
                <w:sz w:val="18"/>
                <w:szCs w:val="18"/>
              </w:rPr>
              <w:t>非流 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1"/>
              <w:jc w:val="left"/>
              <w:rPr>
                <w:rFonts w:ascii="宋体" w:hAnsi="宋体" w:cs="宋体" w:eastAsia="宋体" w:hint="default"/>
                <w:sz w:val="18"/>
                <w:szCs w:val="18"/>
              </w:rPr>
            </w:pPr>
            <w:r>
              <w:rPr>
                <w:rFonts w:ascii="宋体" w:hAnsi="宋体" w:cs="宋体" w:eastAsia="宋体" w:hint="default"/>
                <w:sz w:val="18"/>
                <w:szCs w:val="18"/>
              </w:rPr>
              <w:t>资产 合计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2"/>
              <w:jc w:val="left"/>
              <w:rPr>
                <w:rFonts w:ascii="宋体" w:hAnsi="宋体" w:cs="宋体" w:eastAsia="宋体" w:hint="default"/>
                <w:sz w:val="18"/>
                <w:szCs w:val="18"/>
              </w:rPr>
            </w:pPr>
            <w:r>
              <w:rPr>
                <w:rFonts w:ascii="宋体" w:hAnsi="宋体" w:cs="宋体" w:eastAsia="宋体" w:hint="default"/>
                <w:sz w:val="18"/>
                <w:szCs w:val="18"/>
              </w:rPr>
              <w:t>流动 负债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180"/>
              <w:jc w:val="both"/>
              <w:rPr>
                <w:rFonts w:ascii="宋体" w:hAnsi="宋体" w:cs="宋体" w:eastAsia="宋体" w:hint="default"/>
                <w:sz w:val="18"/>
                <w:szCs w:val="18"/>
              </w:rPr>
            </w:pPr>
            <w:r>
              <w:rPr>
                <w:rFonts w:ascii="宋体" w:hAnsi="宋体" w:cs="宋体" w:eastAsia="宋体" w:hint="default"/>
                <w:sz w:val="18"/>
                <w:szCs w:val="18"/>
              </w:rPr>
              <w:t>非流 动负 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1"/>
              <w:jc w:val="left"/>
              <w:rPr>
                <w:rFonts w:ascii="宋体" w:hAnsi="宋体" w:cs="宋体" w:eastAsia="宋体" w:hint="default"/>
                <w:sz w:val="18"/>
                <w:szCs w:val="18"/>
              </w:rPr>
            </w:pPr>
            <w:r>
              <w:rPr>
                <w:rFonts w:ascii="宋体" w:hAnsi="宋体" w:cs="宋体" w:eastAsia="宋体" w:hint="default"/>
                <w:sz w:val="18"/>
                <w:szCs w:val="18"/>
              </w:rPr>
              <w:t>负债 合计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0"/>
              <w:jc w:val="left"/>
              <w:rPr>
                <w:rFonts w:ascii="宋体" w:hAnsi="宋体" w:cs="宋体" w:eastAsia="宋体" w:hint="default"/>
                <w:sz w:val="18"/>
                <w:szCs w:val="18"/>
              </w:rPr>
            </w:pPr>
            <w:r>
              <w:rPr>
                <w:rFonts w:ascii="宋体" w:hAnsi="宋体" w:cs="宋体" w:eastAsia="宋体" w:hint="default"/>
                <w:sz w:val="18"/>
                <w:szCs w:val="18"/>
              </w:rPr>
              <w:t>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181"/>
              <w:jc w:val="both"/>
              <w:rPr>
                <w:rFonts w:ascii="宋体" w:hAnsi="宋体" w:cs="宋体" w:eastAsia="宋体" w:hint="default"/>
                <w:sz w:val="18"/>
                <w:szCs w:val="18"/>
              </w:rPr>
            </w:pPr>
            <w:r>
              <w:rPr>
                <w:rFonts w:ascii="宋体" w:hAnsi="宋体" w:cs="宋体" w:eastAsia="宋体" w:hint="default"/>
                <w:sz w:val="18"/>
                <w:szCs w:val="18"/>
              </w:rPr>
              <w:t>非流 动资 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0"/>
              <w:jc w:val="left"/>
              <w:rPr>
                <w:rFonts w:ascii="宋体" w:hAnsi="宋体" w:cs="宋体" w:eastAsia="宋体" w:hint="default"/>
                <w:sz w:val="18"/>
                <w:szCs w:val="18"/>
              </w:rPr>
            </w:pPr>
            <w:r>
              <w:rPr>
                <w:rFonts w:ascii="宋体" w:hAnsi="宋体" w:cs="宋体" w:eastAsia="宋体" w:hint="default"/>
                <w:sz w:val="18"/>
                <w:szCs w:val="18"/>
              </w:rPr>
              <w:t>资产 合计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3" w:right="181"/>
              <w:jc w:val="left"/>
              <w:rPr>
                <w:rFonts w:ascii="宋体" w:hAnsi="宋体" w:cs="宋体" w:eastAsia="宋体" w:hint="default"/>
                <w:sz w:val="18"/>
                <w:szCs w:val="18"/>
              </w:rPr>
            </w:pPr>
            <w:r>
              <w:rPr>
                <w:rFonts w:ascii="宋体" w:hAnsi="宋体" w:cs="宋体" w:eastAsia="宋体" w:hint="default"/>
                <w:sz w:val="18"/>
                <w:szCs w:val="18"/>
              </w:rPr>
              <w:t>流动 负债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182"/>
              <w:jc w:val="both"/>
              <w:rPr>
                <w:rFonts w:ascii="宋体" w:hAnsi="宋体" w:cs="宋体" w:eastAsia="宋体" w:hint="default"/>
                <w:sz w:val="18"/>
                <w:szCs w:val="18"/>
              </w:rPr>
            </w:pPr>
            <w:r>
              <w:rPr>
                <w:rFonts w:ascii="宋体" w:hAnsi="宋体" w:cs="宋体" w:eastAsia="宋体" w:hint="default"/>
                <w:sz w:val="18"/>
                <w:szCs w:val="18"/>
              </w:rPr>
              <w:t>非流 动负 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1"/>
              <w:jc w:val="left"/>
              <w:rPr>
                <w:rFonts w:ascii="宋体" w:hAnsi="宋体" w:cs="宋体" w:eastAsia="宋体" w:hint="default"/>
                <w:sz w:val="18"/>
                <w:szCs w:val="18"/>
              </w:rPr>
            </w:pPr>
            <w:r>
              <w:rPr>
                <w:rFonts w:ascii="宋体" w:hAnsi="宋体" w:cs="宋体" w:eastAsia="宋体" w:hint="default"/>
                <w:sz w:val="18"/>
                <w:szCs w:val="18"/>
              </w:rPr>
              <w:t>负债 合计</w:t>
            </w:r>
          </w:p>
        </w:tc>
      </w:tr>
    </w:tbl>
    <w:p>
      <w:pPr>
        <w:pStyle w:val="BodyText"/>
        <w:spacing w:line="240" w:lineRule="auto" w:before="51"/>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1"/>
        <w:gridCol w:w="1061"/>
        <w:gridCol w:w="1062"/>
        <w:gridCol w:w="1066"/>
        <w:gridCol w:w="1064"/>
        <w:gridCol w:w="1063"/>
        <w:gridCol w:w="1064"/>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435" w:right="165" w:hanging="270"/>
              <w:jc w:val="left"/>
              <w:rPr>
                <w:rFonts w:ascii="宋体" w:hAnsi="宋体" w:cs="宋体" w:eastAsia="宋体" w:hint="default"/>
                <w:sz w:val="18"/>
                <w:szCs w:val="18"/>
              </w:rPr>
            </w:pPr>
            <w:r>
              <w:rPr>
                <w:rFonts w:ascii="宋体" w:hAnsi="宋体" w:cs="宋体" w:eastAsia="宋体" w:hint="default"/>
                <w:sz w:val="18"/>
                <w:szCs w:val="18"/>
              </w:rPr>
              <w:t>子公司名 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46" w:right="167" w:hanging="180"/>
              <w:jc w:val="left"/>
              <w:rPr>
                <w:rFonts w:ascii="宋体" w:hAnsi="宋体" w:cs="宋体" w:eastAsia="宋体" w:hint="default"/>
                <w:sz w:val="18"/>
                <w:szCs w:val="18"/>
              </w:rPr>
            </w:pPr>
            <w:r>
              <w:rPr>
                <w:rFonts w:ascii="宋体" w:hAnsi="宋体" w:cs="宋体" w:eastAsia="宋体" w:hint="default"/>
                <w:sz w:val="18"/>
                <w:szCs w:val="18"/>
              </w:rPr>
              <w:t>综合收益 总额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66" w:right="167"/>
              <w:jc w:val="left"/>
              <w:rPr>
                <w:rFonts w:ascii="宋体" w:hAnsi="宋体" w:cs="宋体" w:eastAsia="宋体" w:hint="default"/>
                <w:sz w:val="18"/>
                <w:szCs w:val="18"/>
              </w:rPr>
            </w:pPr>
            <w:r>
              <w:rPr>
                <w:rFonts w:ascii="宋体" w:hAnsi="宋体" w:cs="宋体" w:eastAsia="宋体" w:hint="default"/>
                <w:sz w:val="18"/>
                <w:szCs w:val="18"/>
              </w:rPr>
              <w:t>经营活动 现金流量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46" w:right="164" w:hanging="180"/>
              <w:jc w:val="left"/>
              <w:rPr>
                <w:rFonts w:ascii="宋体" w:hAnsi="宋体" w:cs="宋体" w:eastAsia="宋体" w:hint="default"/>
                <w:sz w:val="18"/>
                <w:szCs w:val="18"/>
              </w:rPr>
            </w:pPr>
            <w:r>
              <w:rPr>
                <w:rFonts w:ascii="宋体" w:hAnsi="宋体" w:cs="宋体" w:eastAsia="宋体" w:hint="default"/>
                <w:sz w:val="18"/>
                <w:szCs w:val="18"/>
              </w:rPr>
              <w:t>综合收益 总额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67" w:right="167"/>
              <w:jc w:val="left"/>
              <w:rPr>
                <w:rFonts w:ascii="宋体" w:hAnsi="宋体" w:cs="宋体" w:eastAsia="宋体" w:hint="default"/>
                <w:sz w:val="18"/>
                <w:szCs w:val="18"/>
              </w:rPr>
            </w:pPr>
            <w:r>
              <w:rPr>
                <w:rFonts w:ascii="宋体" w:hAnsi="宋体" w:cs="宋体" w:eastAsia="宋体" w:hint="default"/>
                <w:sz w:val="18"/>
                <w:szCs w:val="18"/>
              </w:rPr>
              <w:t>经营活动 现金流量</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使用企业集团资产和清偿企业集团债务的重大限制" w:id="409"/>
      <w:bookmarkEnd w:id="409"/>
      <w:r>
        <w:rPr>
          <w:b w:val="0"/>
          <w:bCs w:val="0"/>
        </w:rPr>
      </w: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5）向纳入合并财务报表范围的结构化主体提供的财务支持或其他支持" w:id="410"/>
      <w:bookmarkEnd w:id="410"/>
      <w:r>
        <w:rPr>
          <w:b w:val="0"/>
          <w:bCs w:val="0"/>
        </w:rPr>
      </w: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在子公司的所有者权益份额发生变化且仍控制子公司的交易" w:id="411"/>
      <w:bookmarkEnd w:id="411"/>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在子公司所有者权益份额发生变化的情况说明" w:id="412"/>
      <w:bookmarkEnd w:id="412"/>
      <w:r>
        <w:rPr>
          <w:b w:val="0"/>
          <w:bCs w:val="0"/>
        </w:rPr>
      </w: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2）交易对于少数股东权益及归属于母公司所有者权益的影响" w:id="413"/>
      <w:bookmarkEnd w:id="413"/>
      <w:r>
        <w:rPr>
          <w:b w:val="0"/>
          <w:bCs w:val="0"/>
        </w:rPr>
      </w: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8"/>
        <w:rPr>
          <w:rFonts w:ascii="宋体" w:hAnsi="宋体" w:cs="宋体" w:eastAsia="宋体" w:hint="default"/>
          <w:sz w:val="7"/>
          <w:szCs w:val="7"/>
        </w:rPr>
      </w:pPr>
    </w:p>
    <w:p>
      <w:pPr>
        <w:spacing w:line="422" w:lineRule="exact"/>
        <w:ind w:left="14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5pt;mso-position-horizontal-relative:char;mso-position-vertical-relative:line" coordorigin="0,0" coordsize="9579,423">
            <v:group style="position:absolute;left:10;top:16;width:104;height:392" coordorigin="10,16" coordsize="104,392">
              <v:shape style="position:absolute;left:10;top:16;width:104;height:392" coordorigin="10,16" coordsize="104,392" path="m10,407l113,407,113,16,10,16,10,407xe" filled="true" fillcolor="#d2d2d2" stroked="false">
                <v:path arrowok="t"/>
                <v:fill type="solid"/>
              </v:shape>
            </v:group>
            <v:group style="position:absolute;left:4682;top:16;width:102;height:392" coordorigin="4682,16" coordsize="102,392">
              <v:shape style="position:absolute;left:4682;top:16;width:102;height:392" coordorigin="4682,16" coordsize="102,392" path="m4682,407l4784,407,4784,16,4682,16,4682,407xe" filled="true" fillcolor="#d2d2d2" stroked="false">
                <v:path arrowok="t"/>
                <v:fill type="solid"/>
              </v:shape>
            </v:group>
            <v:group style="position:absolute;left:113;top:16;width:4570;height:392" coordorigin="113,16" coordsize="4570,392">
              <v:shape style="position:absolute;left:113;top:16;width:4570;height:392" coordorigin="113,16" coordsize="4570,392" path="m113,407l4682,407,4682,16,113,16,113,407xe" filled="true" fillcolor="#d2d2d2" stroked="false">
                <v:path arrowok="t"/>
                <v:fill type="solid"/>
              </v:shape>
            </v:group>
            <v:group style="position:absolute;left:4795;top:16;width:104;height:392" coordorigin="4795,16" coordsize="104,392">
              <v:shape style="position:absolute;left:4795;top:16;width:104;height:392" coordorigin="4795,16" coordsize="104,392" path="m4795,407l4898,407,4898,16,4795,16,4795,407xe" filled="true" fillcolor="#e0ffff" stroked="false">
                <v:path arrowok="t"/>
                <v:fill type="solid"/>
              </v:shape>
            </v:group>
            <v:group style="position:absolute;left:9466;top:16;width:104;height:392" coordorigin="9466,16" coordsize="104,392">
              <v:shape style="position:absolute;left:9466;top:16;width:104;height:392" coordorigin="9466,16" coordsize="104,392" path="m9466,407l9569,407,9569,16,9466,16,9466,407xe" filled="true" fillcolor="#e0ffff" stroked="false">
                <v:path arrowok="t"/>
                <v:fill type="solid"/>
              </v:shape>
            </v:group>
            <v:group style="position:absolute;left:4898;top:16;width:4568;height:392" coordorigin="4898,16" coordsize="4568,392">
              <v:shape style="position:absolute;left:4898;top:16;width:4568;height:392" coordorigin="4898,16" coordsize="4568,392" path="m4898,407l9466,407,9466,16,4898,16,489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004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004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6;height:2" coordorigin="10,413" coordsize="4776,2">
              <v:shape style="position:absolute;left:10;top:413;width:4776;height:2" coordorigin="10,413" coordsize="4776,0" path="m10,413l4785,413e" filled="false" stroked="true" strokeweight=".47998pt" strokecolor="#000000">
                <v:path arrowok="t"/>
              </v:shape>
            </v:group>
            <v:group style="position:absolute;left:4790;top:5;width:2;height:413" coordorigin="4790,5" coordsize="2,413">
              <v:shape style="position:absolute;left:4790;top:5;width:2;height:413" coordorigin="4790,5" coordsize="0,413" path="m4790,5l4790,418e" filled="false" stroked="true" strokeweight=".47998pt" strokecolor="#000000">
                <v:path arrowok="t"/>
              </v:shape>
            </v:group>
            <v:group style="position:absolute;left:4795;top:413;width:4774;height:2" coordorigin="4795,413" coordsize="4774,2">
              <v:shape style="position:absolute;left:4795;top:413;width:4774;height:2" coordorigin="4795,413" coordsize="4774,0" path="m4795,413l9569,413e" filled="false" stroked="true" strokeweight=".47998pt" strokecolor="#000000">
                <v:path arrowok="t"/>
              </v:shape>
            </v:group>
            <v:group style="position:absolute;left:9574;top:5;width:2;height:413" coordorigin="9574,5" coordsize="2,413">
              <v:shape style="position:absolute;left:9574;top:5;width:2;height:413" coordorigin="9574,5" coordsize="0,413" path="m9574,5l9574,418e" filled="false" stroked="true" strokeweight=".48004pt" strokecolor="#000000">
                <v:path arrowok="t"/>
              </v:shape>
            </v:group>
          </v:group>
        </w:pict>
      </w:r>
      <w:r>
        <w:rPr>
          <w:rFonts w:ascii="宋体" w:hAnsi="宋体" w:cs="宋体" w:eastAsia="宋体" w:hint="default"/>
          <w:position w:val="-7"/>
          <w:sz w:val="20"/>
          <w:szCs w:val="20"/>
        </w:rPr>
      </w:r>
    </w:p>
    <w:p>
      <w:pPr>
        <w:pStyle w:val="BodyText"/>
        <w:spacing w:line="240" w:lineRule="auto" w:before="47"/>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3、在合营安排或联营企业中的权益" w:id="414"/>
      <w:bookmarkEnd w:id="414"/>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重要的合营企业或联营企业" w:id="415"/>
      <w:bookmarkEnd w:id="415"/>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316" w:lineRule="auto"/>
              <w:ind w:left="230" w:right="141" w:hanging="90"/>
              <w:jc w:val="left"/>
              <w:rPr>
                <w:rFonts w:ascii="宋体" w:hAnsi="宋体" w:cs="宋体" w:eastAsia="宋体" w:hint="default"/>
                <w:sz w:val="18"/>
                <w:szCs w:val="18"/>
              </w:rPr>
            </w:pPr>
            <w:r>
              <w:rPr>
                <w:rFonts w:ascii="宋体" w:hAnsi="宋体" w:cs="宋体" w:eastAsia="宋体" w:hint="default"/>
                <w:sz w:val="18"/>
                <w:szCs w:val="18"/>
              </w:rPr>
              <w:t>合营企业或联 营企业名称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136" w:right="137"/>
              <w:jc w:val="both"/>
              <w:rPr>
                <w:rFonts w:ascii="宋体" w:hAnsi="宋体" w:cs="宋体" w:eastAsia="宋体" w:hint="default"/>
                <w:sz w:val="18"/>
                <w:szCs w:val="18"/>
              </w:rPr>
            </w:pPr>
            <w:r>
              <w:rPr>
                <w:rFonts w:ascii="宋体" w:hAnsi="宋体" w:cs="宋体" w:eastAsia="宋体" w:hint="default"/>
                <w:sz w:val="18"/>
                <w:szCs w:val="18"/>
              </w:rPr>
              <w:t>对合营企业或 联营企业投资 的会计处理方</w:t>
            </w:r>
          </w:p>
        </w:tc>
      </w:tr>
      <w:tr>
        <w:trPr>
          <w:trHeight w:val="584"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2"/>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917" w:footer="1019" w:top="1120" w:bottom="1200" w:left="980" w:right="0"/>
        </w:sectPr>
      </w:pPr>
    </w:p>
    <w:p>
      <w:pPr>
        <w:spacing w:line="240" w:lineRule="auto" w:before="4"/>
        <w:rPr>
          <w:rFonts w:ascii="宋体" w:hAnsi="宋体" w:cs="宋体" w:eastAsia="宋体" w:hint="default"/>
          <w:b/>
          <w:bCs/>
          <w:sz w:val="23"/>
          <w:szCs w:val="23"/>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362" w:hRule="exact"/>
        </w:trPr>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法</w:t>
            </w:r>
          </w:p>
        </w:tc>
      </w:tr>
      <w:tr>
        <w:trPr>
          <w:trHeight w:val="1650"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19" w:lineRule="auto" w:before="128"/>
              <w:ind w:left="103" w:right="177"/>
              <w:jc w:val="both"/>
              <w:rPr>
                <w:rFonts w:ascii="宋体" w:hAnsi="宋体" w:cs="宋体" w:eastAsia="宋体" w:hint="default"/>
                <w:sz w:val="18"/>
                <w:szCs w:val="18"/>
              </w:rPr>
            </w:pPr>
            <w:r>
              <w:rPr>
                <w:rFonts w:ascii="宋体" w:hAnsi="宋体" w:cs="宋体" w:eastAsia="宋体" w:hint="default"/>
                <w:sz w:val="18"/>
                <w:szCs w:val="18"/>
              </w:rPr>
              <w:t>深圳市深创谷 技术服务有限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3"/>
              <w:jc w:val="both"/>
              <w:rPr>
                <w:rFonts w:ascii="宋体" w:hAnsi="宋体" w:cs="宋体" w:eastAsia="宋体" w:hint="default"/>
                <w:sz w:val="18"/>
                <w:szCs w:val="18"/>
              </w:rPr>
            </w:pPr>
            <w:r>
              <w:rPr>
                <w:rFonts w:ascii="宋体" w:hAnsi="宋体" w:cs="宋体" w:eastAsia="宋体" w:hint="default"/>
                <w:sz w:val="18"/>
                <w:szCs w:val="18"/>
              </w:rPr>
              <w:t>提供互联网智 能设备的软件 及硬件的技术 设计、技术服 务及技术咨询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699" w:right="0"/>
              <w:jc w:val="left"/>
              <w:rPr>
                <w:rFonts w:ascii="Times New Roman" w:hAnsi="Times New Roman" w:cs="Times New Roman" w:eastAsia="Times New Roman" w:hint="default"/>
                <w:sz w:val="18"/>
                <w:szCs w:val="18"/>
              </w:rPr>
            </w:pPr>
            <w:r>
              <w:rPr>
                <w:rFonts w:ascii="Times New Roman"/>
                <w:sz w:val="18"/>
              </w:rPr>
              <w:t>37.93%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pStyle w:val="BodyText"/>
        <w:spacing w:line="357" w:lineRule="auto" w:before="51"/>
        <w:ind w:right="5892"/>
        <w:jc w:val="left"/>
      </w:pPr>
      <w:r>
        <w:rPr/>
        <w:t>在合营企业或联营企业的持股比例不同于表决权比例的说明： 无</w:t>
      </w:r>
    </w:p>
    <w:p>
      <w:pPr>
        <w:pStyle w:val="BodyText"/>
        <w:spacing w:line="338" w:lineRule="auto" w:before="29"/>
        <w:ind w:right="3344"/>
        <w:jc w:val="left"/>
      </w:pPr>
      <w:r>
        <w:rPr/>
        <w:t>持有</w:t>
      </w:r>
      <w:r>
        <w:rPr>
          <w:spacing w:val="-46"/>
        </w:rPr>
        <w:t> </w:t>
      </w:r>
      <w:r>
        <w:rPr>
          <w:rFonts w:ascii="Times New Roman" w:hAnsi="Times New Roman" w:cs="Times New Roman" w:eastAsia="Times New Roman" w:hint="default"/>
        </w:rPr>
        <w:t>20%</w:t>
      </w:r>
      <w:r>
        <w:rPr/>
        <w:t>以下表决权但具有重大影响，或者持有</w:t>
      </w:r>
      <w:r>
        <w:rPr>
          <w:spacing w:val="-46"/>
        </w:rPr>
        <w:t> </w:t>
      </w:r>
      <w:r>
        <w:rPr>
          <w:rFonts w:ascii="Times New Roman" w:hAnsi="Times New Roman" w:cs="Times New Roman" w:eastAsia="Times New Roman" w:hint="default"/>
        </w:rPr>
        <w:t>20%</w:t>
      </w:r>
      <w:r>
        <w:rPr/>
        <w:t>或以上表决权但不具有重大影响的依据： 无</w:t>
      </w:r>
    </w:p>
    <w:p>
      <w:pPr>
        <w:spacing w:line="240" w:lineRule="auto" w:before="4"/>
        <w:rPr>
          <w:rFonts w:ascii="宋体" w:hAnsi="宋体" w:cs="宋体" w:eastAsia="宋体" w:hint="default"/>
          <w:sz w:val="21"/>
          <w:szCs w:val="21"/>
        </w:rPr>
      </w:pPr>
    </w:p>
    <w:p>
      <w:pPr>
        <w:pStyle w:val="Heading3"/>
        <w:spacing w:line="240" w:lineRule="auto"/>
        <w:ind w:right="0"/>
        <w:jc w:val="left"/>
        <w:rPr>
          <w:b w:val="0"/>
          <w:bCs w:val="0"/>
        </w:rPr>
      </w:pPr>
      <w:bookmarkStart w:name="（2）重要合营企业的主要财务信息" w:id="416"/>
      <w:bookmarkEnd w:id="416"/>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pStyle w:val="BodyText"/>
        <w:spacing w:line="357" w:lineRule="auto" w:before="51"/>
        <w:ind w:right="1003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3）重要联营企业的主要财务信息" w:id="417"/>
      <w:bookmarkEnd w:id="417"/>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pStyle w:val="BodyText"/>
        <w:spacing w:line="357" w:lineRule="auto" w:before="51"/>
        <w:ind w:right="1003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4）不重要的合营企业和联营企业的汇总财务信息" w:id="418"/>
      <w:bookmarkEnd w:id="418"/>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right="10032"/>
        <w:jc w:val="left"/>
      </w:pPr>
      <w:r>
        <w:rPr/>
        <w:t>其他说明 无</w:t>
      </w:r>
    </w:p>
    <w:p>
      <w:pPr>
        <w:spacing w:after="0" w:line="357" w:lineRule="auto"/>
        <w:jc w:val="left"/>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5）合营企业或联营企业向本公司转移资金的能力存在重大限制的说明" w:id="419"/>
      <w:bookmarkEnd w:id="419"/>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6）合营企业或联营企业发生的超额亏损" w:id="420"/>
      <w:bookmarkEnd w:id="420"/>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1"/>
        <w:gridCol w:w="2392"/>
        <w:gridCol w:w="2392"/>
        <w:gridCol w:w="2394"/>
      </w:tblGrid>
      <w:tr>
        <w:trPr>
          <w:trHeight w:val="71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00" w:right="111" w:hanging="990"/>
              <w:jc w:val="left"/>
              <w:rPr>
                <w:rFonts w:ascii="宋体" w:hAnsi="宋体" w:cs="宋体" w:eastAsia="宋体" w:hint="default"/>
                <w:sz w:val="18"/>
                <w:szCs w:val="18"/>
              </w:rPr>
            </w:pPr>
            <w:r>
              <w:rPr>
                <w:rFonts w:ascii="宋体" w:hAnsi="宋体" w:cs="宋体" w:eastAsia="宋体" w:hint="default"/>
                <w:sz w:val="18"/>
                <w:szCs w:val="18"/>
              </w:rPr>
              <w:t>累积未确认前期累计认的损 失</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60" w:right="111" w:hanging="450"/>
              <w:jc w:val="left"/>
              <w:rPr>
                <w:rFonts w:ascii="宋体" w:hAnsi="宋体" w:cs="宋体" w:eastAsia="宋体" w:hint="default"/>
                <w:sz w:val="18"/>
                <w:szCs w:val="18"/>
              </w:rPr>
            </w:pPr>
            <w:r>
              <w:rPr>
                <w:rFonts w:ascii="宋体" w:hAnsi="宋体" w:cs="宋体" w:eastAsia="宋体" w:hint="default"/>
                <w:sz w:val="18"/>
                <w:szCs w:val="18"/>
              </w:rPr>
              <w:t>本期未确认的损失（或本期 分享的净利润）</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4"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51"/>
        <w:ind w:right="1003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7）与合营企业投资相关的未确认承诺" w:id="421"/>
      <w:bookmarkEnd w:id="421"/>
      <w:r>
        <w:rPr>
          <w:b w:val="0"/>
          <w:bCs w:val="0"/>
        </w:rPr>
      </w: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8）与合营企业或联营企业投资相关的或有负债" w:id="422"/>
      <w:bookmarkEnd w:id="422"/>
      <w:r>
        <w:rPr>
          <w:b w:val="0"/>
          <w:bCs w:val="0"/>
        </w:rPr>
      </w: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重要的共同经营" w:id="423"/>
      <w:bookmarkEnd w:id="423"/>
      <w:r>
        <w:rPr>
          <w:b w:val="0"/>
          <w:bCs w:val="0"/>
        </w:rPr>
      </w:r>
      <w:r>
        <w:rPr>
          <w:rFonts w:ascii="Times New Roman" w:hAnsi="Times New Roman" w:cs="Times New Roman" w:eastAsia="Times New Roman" w:hint="default"/>
        </w:rPr>
        <w:t>4</w:t>
      </w:r>
      <w:r>
        <w:rPr/>
        <w:t>、重要的共同经营</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8"/>
        <w:gridCol w:w="1594"/>
        <w:gridCol w:w="1595"/>
        <w:gridCol w:w="1594"/>
        <w:gridCol w:w="1594"/>
        <w:gridCol w:w="1594"/>
      </w:tblGrid>
      <w:tr>
        <w:trPr>
          <w:trHeight w:val="402" w:hRule="exact"/>
        </w:trPr>
        <w:tc>
          <w:tcPr>
            <w:tcW w:w="15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共同经营名称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52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3"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享有的份额</w:t>
            </w:r>
          </w:p>
        </w:tc>
      </w:tr>
      <w:tr>
        <w:trPr>
          <w:trHeight w:val="402" w:hRule="exact"/>
        </w:trPr>
        <w:tc>
          <w:tcPr>
            <w:tcW w:w="1598"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r>
    </w:tbl>
    <w:p>
      <w:pPr>
        <w:pStyle w:val="BodyText"/>
        <w:spacing w:line="360" w:lineRule="auto" w:before="51"/>
        <w:ind w:right="5532"/>
        <w:jc w:val="left"/>
      </w:pPr>
      <w:r>
        <w:rPr/>
        <w:t>在共同经营中的持股比例或享有的份额不同于表决权比例的说明： 共同经营为单独主体的，分类为共同经营的依据：</w:t>
      </w:r>
    </w:p>
    <w:p>
      <w:pPr>
        <w:pStyle w:val="BodyText"/>
        <w:spacing w:line="240" w:lineRule="auto" w:before="26"/>
        <w:ind w:right="0"/>
        <w:jc w:val="left"/>
      </w:pPr>
      <w:r>
        <w:rPr/>
        <w:t>其他说明</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5、在未纳入合并财务报表范围的结构化主体中的权益" w:id="424"/>
      <w:bookmarkEnd w:id="424"/>
      <w:r>
        <w:rPr>
          <w:b w:val="0"/>
          <w:bCs w:val="0"/>
        </w:rPr>
      </w: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6612"/>
        <w:jc w:val="left"/>
      </w:pPr>
      <w:r>
        <w:rPr/>
        <w:t>未纳入合并财务报表范围的结构化主体的相关说明：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6、其他" w:id="425"/>
      <w:bookmarkEnd w:id="425"/>
      <w:r>
        <w:rPr>
          <w:b w:val="0"/>
          <w:bCs w:val="0"/>
        </w:rPr>
      </w:r>
      <w:r>
        <w:rPr>
          <w:rFonts w:ascii="Times New Roman" w:hAnsi="Times New Roman" w:cs="Times New Roman" w:eastAsia="Times New Roman" w:hint="default"/>
        </w:rPr>
        <w:t>6</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十、与金融工具相关的风险" w:id="426"/>
      <w:bookmarkEnd w:id="426"/>
      <w:r>
        <w:rPr>
          <w:b w:val="0"/>
          <w:bCs w:val="0"/>
        </w:rPr>
      </w:r>
      <w:r>
        <w:rPr/>
        <w:t>十、与金融工具相关的风险</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917" w:footer="1019" w:top="1120" w:bottom="1200" w:left="980" w:right="0"/>
        </w:sectPr>
      </w:pPr>
    </w:p>
    <w:p>
      <w:pPr>
        <w:spacing w:line="240" w:lineRule="auto" w:before="7"/>
        <w:rPr>
          <w:rFonts w:ascii="宋体" w:hAnsi="宋体" w:cs="宋体" w:eastAsia="宋体" w:hint="default"/>
          <w:sz w:val="18"/>
          <w:szCs w:val="18"/>
        </w:rPr>
      </w:pPr>
    </w:p>
    <w:p>
      <w:pPr>
        <w:pStyle w:val="Heading2"/>
        <w:spacing w:line="240" w:lineRule="auto" w:before="26"/>
        <w:ind w:right="0"/>
        <w:jc w:val="left"/>
        <w:rPr>
          <w:b w:val="0"/>
          <w:bCs w:val="0"/>
        </w:rPr>
      </w:pPr>
      <w:bookmarkStart w:name="十一、公允价值的披露" w:id="427"/>
      <w:bookmarkEnd w:id="427"/>
      <w:r>
        <w:rPr>
          <w:b w:val="0"/>
          <w:bCs w:val="0"/>
        </w:rPr>
      </w:r>
      <w:r>
        <w:rPr/>
        <w:t>十一、公允价值的披露</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以公允价值计量的资产和负债的期末公允价值" w:id="428"/>
      <w:bookmarkEnd w:id="428"/>
      <w:r>
        <w:rPr>
          <w:b w:val="0"/>
          <w:bCs w:val="0"/>
        </w:rPr>
      </w: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95"/>
        <w:gridCol w:w="1838"/>
        <w:gridCol w:w="1913"/>
        <w:gridCol w:w="1913"/>
        <w:gridCol w:w="1913"/>
      </w:tblGrid>
      <w:tr>
        <w:trPr>
          <w:trHeight w:val="402"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57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714"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23" w:right="102"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60" w:right="140" w:hanging="720"/>
              <w:jc w:val="left"/>
              <w:rPr>
                <w:rFonts w:ascii="宋体" w:hAnsi="宋体" w:cs="宋体" w:eastAsia="宋体" w:hint="default"/>
                <w:sz w:val="18"/>
                <w:szCs w:val="18"/>
              </w:rPr>
            </w:pPr>
            <w:r>
              <w:rPr>
                <w:rFonts w:ascii="宋体" w:hAnsi="宋体" w:cs="宋体" w:eastAsia="宋体" w:hint="default"/>
                <w:sz w:val="18"/>
                <w:szCs w:val="18"/>
              </w:rPr>
              <w:t>第二层次公允价值计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61" w:right="141" w:hanging="720"/>
              <w:jc w:val="left"/>
              <w:rPr>
                <w:rFonts w:ascii="宋体" w:hAnsi="宋体" w:cs="宋体" w:eastAsia="宋体" w:hint="default"/>
                <w:sz w:val="18"/>
                <w:szCs w:val="18"/>
              </w:rPr>
            </w:pPr>
            <w:r>
              <w:rPr>
                <w:rFonts w:ascii="宋体" w:hAnsi="宋体" w:cs="宋体" w:eastAsia="宋体" w:hint="default"/>
                <w:sz w:val="18"/>
                <w:szCs w:val="18"/>
              </w:rPr>
              <w:t>第三层次公允价值计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01"/>
              <w:jc w:val="left"/>
              <w:rPr>
                <w:rFonts w:ascii="宋体" w:hAnsi="宋体" w:cs="宋体" w:eastAsia="宋体" w:hint="default"/>
                <w:sz w:val="18"/>
                <w:szCs w:val="18"/>
              </w:rPr>
            </w:pPr>
            <w:r>
              <w:rPr>
                <w:rFonts w:ascii="宋体" w:hAnsi="宋体" w:cs="宋体" w:eastAsia="宋体" w:hint="default"/>
                <w:spacing w:val="-3"/>
                <w:sz w:val="18"/>
                <w:szCs w:val="18"/>
              </w:rPr>
              <w:t>一、持续的公允价值计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r>
        <w:trPr>
          <w:trHeight w:val="714"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01"/>
              <w:jc w:val="left"/>
              <w:rPr>
                <w:rFonts w:ascii="宋体" w:hAnsi="宋体" w:cs="宋体" w:eastAsia="宋体" w:hint="default"/>
                <w:sz w:val="18"/>
                <w:szCs w:val="18"/>
              </w:rPr>
            </w:pPr>
            <w:r>
              <w:rPr>
                <w:rFonts w:ascii="宋体" w:hAnsi="宋体" w:cs="宋体" w:eastAsia="宋体" w:hint="default"/>
                <w:spacing w:val="-3"/>
                <w:sz w:val="18"/>
                <w:szCs w:val="18"/>
              </w:rPr>
              <w:t>二、非持续的公允价值</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计量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持续和非持续第一层次公允价值计量项目市价的确定依据" w:id="429"/>
      <w:bookmarkEnd w:id="429"/>
      <w:r>
        <w:rPr>
          <w:b w:val="0"/>
          <w:bCs w:val="0"/>
        </w:rPr>
      </w:r>
      <w:r>
        <w:rPr>
          <w:rFonts w:ascii="Times New Roman" w:hAnsi="Times New Roman" w:cs="Times New Roman" w:eastAsia="Times New Roman" w:hint="default"/>
        </w:rPr>
        <w:t>2</w:t>
      </w:r>
      <w:r>
        <w:rPr/>
        <w:t>、持续和非持续第一层次公允价值计量项目市价的确定依据</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3、持续和非持续第二层次公允价值计量项目，采用的估值技术和重要参数的定性及定量信" w:id="430"/>
      <w:bookmarkEnd w:id="430"/>
      <w:r>
        <w:rPr>
          <w:b w:val="0"/>
          <w:bCs w:val="0"/>
        </w:rPr>
      </w:r>
      <w:r>
        <w:rPr>
          <w:rFonts w:ascii="Times New Roman" w:hAnsi="Times New Roman" w:cs="Times New Roman" w:eastAsia="Times New Roman" w:hint="default"/>
        </w:rPr>
        <w:t>3</w:t>
      </w:r>
      <w:r>
        <w:rPr/>
        <w:t>、持续和非持续第二层次公允价值计量项目，采用的估值技术和重要参数的定性及定量信息</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4、持续和非持续第三层次公允价值计量项目，采用的估值技术和重要参数的定性及定量信" w:id="431"/>
      <w:bookmarkEnd w:id="431"/>
      <w:r>
        <w:rPr>
          <w:b w:val="0"/>
          <w:bCs w:val="0"/>
        </w:rPr>
      </w:r>
      <w:r>
        <w:rPr>
          <w:rFonts w:ascii="Times New Roman" w:hAnsi="Times New Roman" w:cs="Times New Roman" w:eastAsia="Times New Roman" w:hint="default"/>
        </w:rPr>
        <w:t>4</w:t>
      </w:r>
      <w:r>
        <w:rPr/>
        <w:t>、持续和非持续第三层次公允价值计量项目，采用的估值技术和重要参数的定性及定量信息</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5、持续的第三层次公允价值计量项目，期初与期末账面价值间的调节信息及不可观察参数" w:id="432"/>
      <w:bookmarkEnd w:id="432"/>
      <w:r>
        <w:rPr>
          <w:b w:val="0"/>
          <w:bCs w:val="0"/>
        </w:rPr>
      </w:r>
      <w:r>
        <w:rPr>
          <w:rFonts w:ascii="Times New Roman" w:hAnsi="Times New Roman" w:cs="Times New Roman" w:eastAsia="Times New Roman" w:hint="default"/>
        </w:rPr>
        <w:t>5</w:t>
      </w:r>
      <w:r>
        <w:rPr/>
        <w:t>、持续的第三层次公允价值计量项目，期初与期末账面价值间的调节信息及不可观察参数敏感性分析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6、持续的公允价值计量项目，本期内发生各层级之间转换的，转换的原因及确定转换时点" w:id="433"/>
      <w:bookmarkEnd w:id="433"/>
      <w:r>
        <w:rPr>
          <w:b w:val="0"/>
          <w:bCs w:val="0"/>
        </w:rPr>
      </w: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7、本期内发生的估值技术变更及变更原因" w:id="434"/>
      <w:bookmarkEnd w:id="434"/>
      <w:r>
        <w:rPr>
          <w:b w:val="0"/>
          <w:bCs w:val="0"/>
        </w:rPr>
      </w:r>
      <w:r>
        <w:rPr>
          <w:rFonts w:ascii="Times New Roman" w:hAnsi="Times New Roman" w:cs="Times New Roman" w:eastAsia="Times New Roman" w:hint="default"/>
        </w:rPr>
        <w:t>7</w:t>
      </w:r>
      <w:r>
        <w:rPr/>
        <w:t>、本期内发生的估值技术变更及变更原因</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8、不以公允价值计量的金融资产和金融负债的公允价值情况" w:id="435"/>
      <w:bookmarkEnd w:id="435"/>
      <w:r>
        <w:rPr>
          <w:b w:val="0"/>
          <w:bCs w:val="0"/>
        </w:rPr>
      </w:r>
      <w:r>
        <w:rPr>
          <w:rFonts w:ascii="Times New Roman" w:hAnsi="Times New Roman" w:cs="Times New Roman" w:eastAsia="Times New Roman" w:hint="default"/>
        </w:rPr>
        <w:t>8</w:t>
      </w:r>
      <w:r>
        <w:rPr/>
        <w:t>、不以公允价值计量的金融资产和金融负债的公允价值情况</w:t>
      </w:r>
      <w:r>
        <w:rPr>
          <w:b w:val="0"/>
          <w:bCs w:val="0"/>
        </w:rPr>
      </w:r>
    </w:p>
    <w:p>
      <w:pPr>
        <w:spacing w:line="240" w:lineRule="auto" w:before="8"/>
        <w:rPr>
          <w:rFonts w:ascii="宋体" w:hAnsi="宋体" w:cs="宋体" w:eastAsia="宋体" w:hint="default"/>
          <w:b/>
          <w:bCs/>
          <w:sz w:val="24"/>
          <w:szCs w:val="24"/>
        </w:rPr>
      </w:pPr>
    </w:p>
    <w:p>
      <w:pPr>
        <w:spacing w:line="487" w:lineRule="auto" w:before="0"/>
        <w:ind w:left="154" w:right="8102" w:firstLine="0"/>
        <w:jc w:val="left"/>
        <w:rPr>
          <w:rFonts w:ascii="宋体" w:hAnsi="宋体" w:cs="宋体" w:eastAsia="宋体" w:hint="default"/>
          <w:sz w:val="21"/>
          <w:szCs w:val="21"/>
        </w:rPr>
      </w:pPr>
      <w:bookmarkStart w:name="9、其他" w:id="436"/>
      <w:bookmarkEnd w:id="436"/>
      <w:r>
        <w:rPr/>
      </w: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二、关联方及关联交易" w:id="437"/>
      <w:bookmarkEnd w:id="437"/>
      <w:r>
        <w:rPr>
          <w:rFonts w:ascii="宋体" w:hAnsi="宋体" w:cs="宋体" w:eastAsia="宋体" w:hint="default"/>
          <w:b/>
          <w:bCs/>
          <w:spacing w:val="1"/>
          <w:w w:val="99"/>
          <w:sz w:val="21"/>
          <w:szCs w:val="21"/>
        </w:rPr>
      </w:r>
      <w:r>
        <w:rPr>
          <w:rFonts w:ascii="宋体" w:hAnsi="宋体" w:cs="宋体" w:eastAsia="宋体" w:hint="default"/>
          <w:b/>
          <w:bCs/>
          <w:sz w:val="24"/>
          <w:szCs w:val="24"/>
        </w:rPr>
        <w:t>十二、关联方及关联交易</w:t>
      </w:r>
      <w:r>
        <w:rPr>
          <w:rFonts w:ascii="宋体" w:hAnsi="宋体" w:cs="宋体" w:eastAsia="宋体" w:hint="default"/>
          <w:b/>
          <w:bCs/>
          <w:w w:val="99"/>
          <w:sz w:val="24"/>
          <w:szCs w:val="24"/>
        </w:rPr>
        <w:t> </w:t>
      </w:r>
      <w:bookmarkStart w:name="1、本企业的母公司情况" w:id="438"/>
      <w:bookmarkEnd w:id="438"/>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sz w:val="21"/>
          <w:szCs w:val="21"/>
        </w:rPr>
      </w:r>
    </w:p>
    <w:p>
      <w:pPr>
        <w:spacing w:line="240" w:lineRule="auto" w:before="5"/>
        <w:rPr>
          <w:rFonts w:ascii="宋体" w:hAnsi="宋体" w:cs="宋体" w:eastAsia="宋体" w:hint="default"/>
          <w:b/>
          <w:bCs/>
          <w:sz w:val="7"/>
          <w:szCs w:val="7"/>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4"/>
        <w:gridCol w:w="1594"/>
        <w:gridCol w:w="1595"/>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2" w:right="161" w:hanging="180"/>
              <w:jc w:val="left"/>
              <w:rPr>
                <w:rFonts w:ascii="宋体" w:hAnsi="宋体" w:cs="宋体" w:eastAsia="宋体" w:hint="default"/>
                <w:sz w:val="18"/>
                <w:szCs w:val="18"/>
              </w:rPr>
            </w:pPr>
            <w:r>
              <w:rPr>
                <w:rFonts w:ascii="宋体" w:hAnsi="宋体" w:cs="宋体" w:eastAsia="宋体" w:hint="default"/>
                <w:sz w:val="18"/>
                <w:szCs w:val="18"/>
              </w:rPr>
              <w:t>母公司对本企业 的持股比例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50" w:right="162" w:hanging="90"/>
              <w:jc w:val="left"/>
              <w:rPr>
                <w:rFonts w:ascii="宋体" w:hAnsi="宋体" w:cs="宋体" w:eastAsia="宋体" w:hint="default"/>
                <w:sz w:val="18"/>
                <w:szCs w:val="18"/>
              </w:rPr>
            </w:pPr>
            <w:r>
              <w:rPr>
                <w:rFonts w:ascii="宋体" w:hAnsi="宋体" w:cs="宋体" w:eastAsia="宋体" w:hint="default"/>
                <w:sz w:val="18"/>
                <w:szCs w:val="18"/>
              </w:rPr>
              <w:t>母公司对本企业 的表决权比例</w:t>
            </w:r>
          </w:p>
        </w:tc>
      </w:tr>
    </w:tbl>
    <w:p>
      <w:pPr>
        <w:pStyle w:val="BodyText"/>
        <w:spacing w:line="357" w:lineRule="auto" w:before="51"/>
        <w:ind w:right="8592"/>
        <w:jc w:val="left"/>
      </w:pPr>
      <w:r>
        <w:rPr/>
        <w:t>本企业的母公司情况的说明 无</w:t>
      </w:r>
    </w:p>
    <w:p>
      <w:pPr>
        <w:pStyle w:val="BodyText"/>
        <w:spacing w:line="357" w:lineRule="auto" w:before="29"/>
        <w:ind w:right="8412"/>
        <w:jc w:val="left"/>
      </w:pPr>
      <w:r>
        <w:rPr/>
        <w:t>本企业最终控制方是夏传武。 其他说明：</w:t>
      </w:r>
    </w:p>
    <w:p>
      <w:pPr>
        <w:pStyle w:val="BodyText"/>
        <w:spacing w:line="240" w:lineRule="auto" w:before="28"/>
        <w:ind w:right="0"/>
        <w:jc w:val="left"/>
      </w:pPr>
      <w:r>
        <w:rPr/>
        <w:t>截止报告期末，夏传武先生直接持有公司</w:t>
      </w:r>
      <w:r>
        <w:rPr>
          <w:rFonts w:ascii="宋体" w:hAnsi="宋体" w:cs="宋体" w:eastAsia="宋体" w:hint="default"/>
        </w:rPr>
        <w:t>19.58%</w:t>
      </w:r>
      <w:r>
        <w:rPr/>
        <w:t>股份。</w:t>
      </w:r>
    </w:p>
    <w:p>
      <w:pPr>
        <w:spacing w:after="0" w:line="240" w:lineRule="auto"/>
        <w:jc w:val="left"/>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spacing w:line="544" w:lineRule="auto" w:before="35"/>
        <w:ind w:left="154" w:right="5262" w:firstLine="0"/>
        <w:jc w:val="left"/>
        <w:rPr>
          <w:rFonts w:ascii="宋体" w:hAnsi="宋体" w:cs="宋体" w:eastAsia="宋体" w:hint="default"/>
          <w:sz w:val="21"/>
          <w:szCs w:val="21"/>
        </w:rPr>
      </w:pPr>
      <w:bookmarkStart w:name="2、本企业的子公司情况" w:id="439"/>
      <w:bookmarkEnd w:id="439"/>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99"/>
          <w:sz w:val="21"/>
          <w:szCs w:val="21"/>
        </w:rPr>
        <w:t> </w:t>
      </w:r>
      <w:r>
        <w:rPr>
          <w:rFonts w:ascii="宋体" w:hAnsi="宋体" w:cs="宋体" w:eastAsia="宋体" w:hint="default"/>
          <w:sz w:val="18"/>
          <w:szCs w:val="18"/>
        </w:rPr>
        <w:t>本企业子公司的情况详见附注第十一节、九、</w:t>
      </w:r>
      <w:r>
        <w:rPr>
          <w:rFonts w:ascii="Times New Roman" w:hAnsi="Times New Roman" w:cs="Times New Roman" w:eastAsia="Times New Roman" w:hint="default"/>
          <w:sz w:val="18"/>
          <w:szCs w:val="18"/>
        </w:rPr>
        <w:t>1</w:t>
      </w:r>
      <w:r>
        <w:rPr>
          <w:rFonts w:ascii="宋体" w:hAnsi="宋体" w:cs="宋体" w:eastAsia="宋体" w:hint="default"/>
          <w:sz w:val="18"/>
          <w:szCs w:val="18"/>
        </w:rPr>
        <w:t>、在子公司中的权益。 </w:t>
      </w:r>
      <w:bookmarkStart w:name="3、本企业合营和联营企业情况" w:id="440"/>
      <w:bookmarkEnd w:id="440"/>
      <w:r>
        <w:rPr>
          <w:rFonts w:ascii="宋体" w:hAnsi="宋体" w:cs="宋体" w:eastAsia="宋体" w:hint="default"/>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pStyle w:val="BodyText"/>
        <w:spacing w:line="338" w:lineRule="auto" w:before="53"/>
        <w:ind w:right="2292"/>
        <w:jc w:val="left"/>
      </w:pPr>
      <w:r>
        <w:rPr>
          <w:spacing w:val="-5"/>
        </w:rPr>
        <w:t>本企业重要的合营或联营企业详见附注第十一节、九、</w:t>
      </w:r>
      <w:r>
        <w:rPr>
          <w:rFonts w:ascii="Times New Roman" w:hAnsi="Times New Roman" w:cs="Times New Roman" w:eastAsia="Times New Roman" w:hint="default"/>
          <w:spacing w:val="-5"/>
        </w:rPr>
        <w:t>3</w:t>
      </w:r>
      <w:r>
        <w:rPr>
          <w:spacing w:val="-5"/>
        </w:rPr>
        <w:t>、（</w:t>
      </w:r>
      <w:r>
        <w:rPr>
          <w:rFonts w:ascii="Times New Roman" w:hAnsi="Times New Roman" w:cs="Times New Roman" w:eastAsia="Times New Roman" w:hint="default"/>
          <w:spacing w:val="-5"/>
        </w:rPr>
        <w:t>3</w:t>
      </w:r>
      <w:r>
        <w:rPr>
          <w:spacing w:val="-5"/>
        </w:rPr>
        <w:t>）、重要联营企业的主要财务信息。</w:t>
      </w:r>
      <w:r>
        <w:rPr>
          <w:spacing w:val="-50"/>
        </w:rPr>
        <w:t> </w:t>
      </w:r>
      <w:r>
        <w:rPr>
          <w:spacing w:val="-50"/>
        </w:rPr>
      </w:r>
      <w:r>
        <w:rPr/>
        <w:t>本期与本公司发生关联方交易，或前期与本公司发生关联方交易形成余额的其他合营或联营企业情况如下：</w:t>
      </w:r>
    </w:p>
    <w:p>
      <w:pPr>
        <w:spacing w:line="240" w:lineRule="auto" w:before="6"/>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翼智（厦门）信息科技有限公司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本公司持有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w:t>
            </w:r>
            <w:r>
              <w:rPr>
                <w:rFonts w:ascii="宋体" w:hAnsi="宋体" w:cs="宋体" w:eastAsia="宋体" w:hint="default"/>
                <w:sz w:val="18"/>
                <w:szCs w:val="18"/>
              </w:rPr>
              <w:t>的股权</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深圳市深创谷技术服务有限公司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本公司持有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37.9265%</w:t>
            </w:r>
            <w:r>
              <w:rPr>
                <w:rFonts w:ascii="宋体" w:hAnsi="宋体" w:cs="宋体" w:eastAsia="宋体" w:hint="default"/>
                <w:sz w:val="18"/>
                <w:szCs w:val="18"/>
              </w:rPr>
              <w:t>的股权</w:t>
            </w:r>
          </w:p>
        </w:tc>
      </w:tr>
    </w:tbl>
    <w:p>
      <w:pPr>
        <w:pStyle w:val="BodyText"/>
        <w:spacing w:line="357" w:lineRule="auto" w:before="51"/>
        <w:ind w:right="1003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4、其他关联方情况" w:id="441"/>
      <w:bookmarkEnd w:id="441"/>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98"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深圳市格兰莫尔科技有限公司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本公司持有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4.80%</w:t>
            </w:r>
            <w:r>
              <w:rPr>
                <w:rFonts w:ascii="宋体" w:hAnsi="宋体" w:cs="宋体" w:eastAsia="宋体" w:hint="default"/>
                <w:sz w:val="18"/>
                <w:szCs w:val="18"/>
              </w:rPr>
              <w:t>的股权</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北京朝歌数码科技股份有限公司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本公司持有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4.6188%</w:t>
            </w:r>
            <w:r>
              <w:rPr>
                <w:rFonts w:ascii="宋体" w:hAnsi="宋体" w:cs="宋体" w:eastAsia="宋体" w:hint="default"/>
                <w:sz w:val="18"/>
                <w:szCs w:val="18"/>
              </w:rPr>
              <w:t>的股权</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Itasca Holdings</w:t>
            </w:r>
            <w:r>
              <w:rPr>
                <w:rFonts w:ascii="Times New Roman"/>
                <w:spacing w:val="-3"/>
                <w:sz w:val="18"/>
              </w:rPr>
              <w:t> </w:t>
            </w:r>
            <w:r>
              <w:rPr>
                <w:rFonts w:ascii="Times New Roman"/>
                <w:sz w:val="18"/>
              </w:rPr>
              <w:t>Ltd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联营公司之子公司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Haxis</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z w:val="18"/>
                <w:szCs w:val="18"/>
              </w:rPr>
              <w:t>Labs(</w:t>
            </w:r>
            <w:r>
              <w:rPr>
                <w:rFonts w:ascii="宋体" w:hAnsi="宋体" w:cs="宋体" w:eastAsia="宋体" w:hint="default"/>
                <w:sz w:val="18"/>
                <w:szCs w:val="18"/>
              </w:rPr>
              <w:t>美国</w:t>
            </w:r>
            <w:r>
              <w:rPr>
                <w:rFonts w:ascii="Times New Roman" w:hAnsi="Times New Roman" w:cs="Times New Roman" w:eastAsia="Times New Roman"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联营公司之子公司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深创谷技术（香港）有限公司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联营公司之子公司</w:t>
            </w:r>
          </w:p>
        </w:tc>
      </w:tr>
    </w:tbl>
    <w:p>
      <w:pPr>
        <w:pStyle w:val="BodyText"/>
        <w:spacing w:line="357" w:lineRule="auto" w:before="51"/>
        <w:ind w:right="1003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5、关联交易情况" w:id="442"/>
      <w:bookmarkEnd w:id="442"/>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购销商品、提供和接受劳务的关联交易" w:id="443"/>
      <w:bookmarkEnd w:id="443"/>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40"/>
        <w:gridCol w:w="1454"/>
        <w:gridCol w:w="1455"/>
        <w:gridCol w:w="1706"/>
        <w:gridCol w:w="1708"/>
        <w:gridCol w:w="1706"/>
      </w:tblGrid>
      <w:tr>
        <w:trPr>
          <w:trHeight w:val="402" w:hRule="exact"/>
        </w:trPr>
        <w:tc>
          <w:tcPr>
            <w:tcW w:w="1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8"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65"/>
              <w:jc w:val="left"/>
              <w:rPr>
                <w:rFonts w:ascii="宋体" w:hAnsi="宋体" w:cs="宋体" w:eastAsia="宋体" w:hint="default"/>
                <w:sz w:val="18"/>
                <w:szCs w:val="18"/>
              </w:rPr>
            </w:pPr>
            <w:r>
              <w:rPr>
                <w:rFonts w:ascii="宋体" w:hAnsi="宋体" w:cs="宋体" w:eastAsia="宋体" w:hint="default"/>
                <w:sz w:val="18"/>
                <w:szCs w:val="18"/>
              </w:rPr>
              <w:t>深圳市深创谷技 术服务有限公司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46,099.06</w:t>
            </w:r>
          </w:p>
        </w:tc>
        <w:tc>
          <w:tcPr>
            <w:tcW w:w="1706" w:type="dxa"/>
            <w:tcBorders>
              <w:top w:val="single" w:sz="4" w:space="0" w:color="000000"/>
              <w:left w:val="single" w:sz="4" w:space="0" w:color="000000"/>
              <w:bottom w:val="single" w:sz="4" w:space="0" w:color="000000"/>
              <w:right w:val="single" w:sz="4" w:space="0" w:color="000000"/>
            </w:tcBorders>
          </w:tcPr>
          <w:p>
            <w:pPr/>
          </w:p>
        </w:tc>
        <w:tc>
          <w:tcPr>
            <w:tcW w:w="1708"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54"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46,099.06</w:t>
            </w:r>
          </w:p>
        </w:tc>
        <w:tc>
          <w:tcPr>
            <w:tcW w:w="1706" w:type="dxa"/>
            <w:tcBorders>
              <w:top w:val="single" w:sz="4" w:space="0" w:color="000000"/>
              <w:left w:val="single" w:sz="4" w:space="0" w:color="000000"/>
              <w:bottom w:val="single" w:sz="4" w:space="0" w:color="000000"/>
              <w:right w:val="single" w:sz="4" w:space="0" w:color="000000"/>
            </w:tcBorders>
          </w:tcPr>
          <w:p>
            <w:pPr/>
          </w:p>
        </w:tc>
        <w:tc>
          <w:tcPr>
            <w:tcW w:w="1708"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8"/>
        <w:gridCol w:w="2259"/>
        <w:gridCol w:w="2260"/>
        <w:gridCol w:w="2652"/>
      </w:tblGrid>
      <w:tr>
        <w:trPr>
          <w:trHeight w:val="402" w:hRule="exact"/>
        </w:trPr>
        <w:tc>
          <w:tcPr>
            <w:tcW w:w="2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3"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21"/>
              <w:jc w:val="center"/>
              <w:rPr>
                <w:rFonts w:ascii="宋体" w:hAnsi="宋体" w:cs="宋体" w:eastAsia="宋体" w:hint="default"/>
                <w:sz w:val="18"/>
                <w:szCs w:val="18"/>
              </w:rPr>
            </w:pPr>
            <w:r>
              <w:rPr>
                <w:rFonts w:ascii="宋体" w:hAnsi="宋体" w:cs="宋体" w:eastAsia="宋体" w:hint="default"/>
                <w:sz w:val="18"/>
                <w:szCs w:val="18"/>
              </w:rPr>
              <w:t>深圳市格兰莫尔科技有限公</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销售商品提供劳务</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01" w:right="0"/>
              <w:jc w:val="left"/>
              <w:rPr>
                <w:rFonts w:ascii="Times New Roman" w:hAnsi="Times New Roman" w:cs="Times New Roman" w:eastAsia="Times New Roman" w:hint="default"/>
                <w:sz w:val="18"/>
                <w:szCs w:val="18"/>
              </w:rPr>
            </w:pPr>
            <w:r>
              <w:rPr>
                <w:rFonts w:ascii="Times New Roman"/>
                <w:sz w:val="18"/>
              </w:rPr>
              <w:t>2,263,737.21</w:t>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29" w:right="0"/>
              <w:jc w:val="left"/>
              <w:rPr>
                <w:rFonts w:ascii="Times New Roman" w:hAnsi="Times New Roman" w:cs="Times New Roman" w:eastAsia="Times New Roman" w:hint="default"/>
                <w:sz w:val="18"/>
                <w:szCs w:val="18"/>
              </w:rPr>
            </w:pPr>
            <w:r>
              <w:rPr>
                <w:rFonts w:ascii="Times New Roman"/>
                <w:sz w:val="18"/>
              </w:rPr>
              <w:t>777,021.95</w:t>
            </w:r>
          </w:p>
        </w:tc>
      </w:tr>
    </w:tbl>
    <w:p>
      <w:pPr>
        <w:spacing w:after="0" w:line="240" w:lineRule="auto"/>
        <w:jc w:val="lef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2398"/>
        <w:gridCol w:w="2259"/>
        <w:gridCol w:w="2260"/>
        <w:gridCol w:w="2652"/>
      </w:tblGrid>
      <w:tr>
        <w:trPr>
          <w:trHeight w:val="36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2259" w:type="dxa"/>
            <w:tcBorders>
              <w:top w:val="single" w:sz="4" w:space="0" w:color="000000"/>
              <w:left w:val="single" w:sz="4" w:space="0" w:color="000000"/>
              <w:bottom w:val="single" w:sz="4" w:space="0" w:color="000000"/>
              <w:right w:val="single" w:sz="4" w:space="0" w:color="000000"/>
            </w:tcBorders>
          </w:tcPr>
          <w:p>
            <w:pPr/>
          </w:p>
        </w:tc>
        <w:tc>
          <w:tcPr>
            <w:tcW w:w="2260" w:type="dxa"/>
            <w:tcBorders>
              <w:top w:val="single" w:sz="4" w:space="0" w:color="000000"/>
              <w:left w:val="single" w:sz="4" w:space="0" w:color="000000"/>
              <w:bottom w:val="single" w:sz="4" w:space="0" w:color="000000"/>
              <w:right w:val="single" w:sz="4" w:space="0" w:color="000000"/>
            </w:tcBorders>
          </w:tcPr>
          <w:p>
            <w:pPr/>
          </w:p>
        </w:tc>
        <w:tc>
          <w:tcPr>
            <w:tcW w:w="265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23"/>
              <w:jc w:val="left"/>
              <w:rPr>
                <w:rFonts w:ascii="宋体" w:hAnsi="宋体" w:cs="宋体" w:eastAsia="宋体" w:hint="default"/>
                <w:sz w:val="18"/>
                <w:szCs w:val="18"/>
              </w:rPr>
            </w:pPr>
            <w:r>
              <w:rPr>
                <w:rFonts w:ascii="宋体" w:hAnsi="宋体" w:cs="宋体" w:eastAsia="宋体" w:hint="default"/>
                <w:sz w:val="18"/>
                <w:szCs w:val="18"/>
              </w:rPr>
              <w:t>深圳市深创谷技术服务有限 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销售商品提供劳务</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2,845,552.06</w:t>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1,932,999.42</w:t>
            </w:r>
          </w:p>
        </w:tc>
      </w:tr>
      <w:tr>
        <w:trPr>
          <w:trHeight w:val="714"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3"/>
              <w:jc w:val="left"/>
              <w:rPr>
                <w:rFonts w:ascii="宋体" w:hAnsi="宋体" w:cs="宋体" w:eastAsia="宋体" w:hint="default"/>
                <w:sz w:val="18"/>
                <w:szCs w:val="18"/>
              </w:rPr>
            </w:pPr>
            <w:r>
              <w:rPr>
                <w:rFonts w:ascii="宋体" w:hAnsi="宋体" w:cs="宋体" w:eastAsia="宋体" w:hint="default"/>
                <w:sz w:val="18"/>
                <w:szCs w:val="18"/>
              </w:rPr>
              <w:t>北京朝歌数码科技股份有限 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销售商品提供劳务</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2"/>
                <w:sz w:val="18"/>
              </w:rPr>
              <w:t>911.38</w:t>
            </w:r>
          </w:p>
        </w:tc>
        <w:tc>
          <w:tcPr>
            <w:tcW w:w="265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59" w:type="dxa"/>
            <w:tcBorders>
              <w:top w:val="single" w:sz="4" w:space="0" w:color="000000"/>
              <w:left w:val="single" w:sz="4" w:space="0" w:color="000000"/>
              <w:bottom w:val="single" w:sz="4" w:space="0" w:color="000000"/>
              <w:right w:val="single" w:sz="4" w:space="0" w:color="000000"/>
            </w:tcBorders>
          </w:tcPr>
          <w:p>
            <w:pP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5,110,200.65</w:t>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2,710,021.37</w:t>
            </w:r>
          </w:p>
        </w:tc>
      </w:tr>
    </w:tbl>
    <w:p>
      <w:pPr>
        <w:pStyle w:val="BodyText"/>
        <w:spacing w:line="357" w:lineRule="auto" w:before="51"/>
        <w:ind w:right="7332"/>
        <w:jc w:val="left"/>
      </w:pPr>
      <w:r>
        <w:rPr/>
        <w:t>购销商品、提供和接受劳务的关联交易说明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关联受托管理/承包及委托管理/出包情况" w:id="444"/>
      <w:bookmarkEnd w:id="444"/>
      <w:r>
        <w:rPr>
          <w:b w:val="0"/>
          <w:bCs w:val="0"/>
        </w:rPr>
      </w: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本公司受托管理</w:t>
      </w:r>
      <w:r>
        <w:rPr>
          <w:rFonts w:ascii="Times New Roman" w:hAnsi="Times New Roman" w:cs="Times New Roman" w:eastAsia="Times New Roman" w:hint="default"/>
        </w:rPr>
        <w:t>/</w:t>
      </w:r>
      <w:r>
        <w:rPr/>
        <w:t>承包情况表：</w:t>
      </w:r>
    </w:p>
    <w:p>
      <w:pPr>
        <w:pStyle w:val="BodyText"/>
        <w:spacing w:line="240" w:lineRule="auto" w:before="102"/>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499" w:right="113" w:hanging="386"/>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 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497" w:right="113" w:hanging="386"/>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 名称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499" w:right="112" w:hanging="38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承包资产 类型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587" w:right="113" w:hanging="47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承包起始 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587" w:right="113" w:hanging="47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承包终止 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136" w:right="113" w:hanging="26"/>
              <w:jc w:val="left"/>
              <w:rPr>
                <w:rFonts w:ascii="宋体" w:hAnsi="宋体" w:cs="宋体" w:eastAsia="宋体" w:hint="default"/>
                <w:sz w:val="18"/>
                <w:szCs w:val="18"/>
              </w:rPr>
            </w:pPr>
            <w:r>
              <w:rPr>
                <w:rFonts w:ascii="宋体" w:hAnsi="宋体" w:cs="宋体" w:eastAsia="宋体" w:hint="default"/>
                <w:sz w:val="18"/>
                <w:szCs w:val="18"/>
              </w:rPr>
              <w:t>托管收益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 收益定价依据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12" w:right="113"/>
              <w:jc w:val="center"/>
              <w:rPr>
                <w:rFonts w:ascii="宋体" w:hAnsi="宋体" w:cs="宋体" w:eastAsia="宋体" w:hint="default"/>
                <w:sz w:val="18"/>
                <w:szCs w:val="18"/>
              </w:rPr>
            </w:pPr>
            <w:r>
              <w:rPr>
                <w:rFonts w:ascii="宋体" w:hAnsi="宋体" w:cs="宋体" w:eastAsia="宋体" w:hint="default"/>
                <w:sz w:val="18"/>
                <w:szCs w:val="18"/>
              </w:rPr>
              <w:t>本期确认的托 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 益</w:t>
            </w:r>
          </w:p>
        </w:tc>
      </w:tr>
    </w:tbl>
    <w:p>
      <w:pPr>
        <w:spacing w:after="0" w:line="309" w:lineRule="auto"/>
        <w:jc w:val="center"/>
        <w:rPr>
          <w:rFonts w:ascii="宋体" w:hAnsi="宋体" w:cs="宋体" w:eastAsia="宋体" w:hint="default"/>
          <w:sz w:val="18"/>
          <w:szCs w:val="18"/>
        </w:rPr>
        <w:sectPr>
          <w:pgSz w:w="11910" w:h="16840"/>
          <w:pgMar w:header="917" w:footer="1019" w:top="1120" w:bottom="1200" w:left="980" w:right="0"/>
        </w:sectPr>
      </w:pPr>
    </w:p>
    <w:p>
      <w:pPr>
        <w:pStyle w:val="BodyText"/>
        <w:spacing w:line="338" w:lineRule="auto" w:before="52"/>
        <w:ind w:right="520"/>
        <w:jc w:val="left"/>
      </w:pPr>
      <w:r>
        <w:rPr/>
        <w:t>关联托管</w:t>
      </w:r>
      <w:r>
        <w:rPr>
          <w:rFonts w:ascii="Times New Roman" w:hAnsi="Times New Roman" w:cs="Times New Roman" w:eastAsia="Times New Roman" w:hint="default"/>
        </w:rPr>
        <w:t>/</w:t>
      </w:r>
      <w:r>
        <w:rPr/>
        <w:t>承包情况说明 无</w:t>
      </w:r>
    </w:p>
    <w:p>
      <w:pPr>
        <w:pStyle w:val="BodyText"/>
        <w:spacing w:line="240" w:lineRule="auto" w:before="43"/>
        <w:ind w:right="-20"/>
        <w:jc w:val="left"/>
      </w:pPr>
      <w:r>
        <w:rPr/>
        <w:t>本公司委托管理</w:t>
      </w:r>
      <w:r>
        <w:rPr>
          <w:rFonts w:ascii="Times New Roman" w:hAnsi="Times New Roman" w:cs="Times New Roman" w:eastAsia="Times New Roman" w:hint="default"/>
        </w:rPr>
        <w:t>/</w:t>
      </w:r>
      <w:r>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2"/>
          <w:szCs w:val="12"/>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2545" w:space="6284"/>
            <w:col w:w="210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499" w:right="113" w:hanging="386"/>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 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497" w:right="113" w:hanging="386"/>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 名称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499" w:right="112" w:hanging="386"/>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出包资产 类型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587" w:right="113" w:hanging="476"/>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出包起始 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587" w:right="113" w:hanging="476"/>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出包终止 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317" w:right="113" w:hanging="206"/>
              <w:jc w:val="left"/>
              <w:rPr>
                <w:rFonts w:ascii="宋体" w:hAnsi="宋体" w:cs="宋体" w:eastAsia="宋体" w:hint="default"/>
                <w:sz w:val="18"/>
                <w:szCs w:val="18"/>
              </w:rPr>
            </w:pPr>
            <w:r>
              <w:rPr>
                <w:rFonts w:ascii="宋体" w:hAnsi="宋体" w:cs="宋体" w:eastAsia="宋体" w:hint="default"/>
                <w:sz w:val="18"/>
                <w:szCs w:val="18"/>
              </w:rPr>
              <w:t>托管费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 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02" w:right="137" w:hanging="65"/>
              <w:jc w:val="left"/>
              <w:rPr>
                <w:rFonts w:ascii="宋体" w:hAnsi="宋体" w:cs="宋体" w:eastAsia="宋体" w:hint="default"/>
                <w:sz w:val="18"/>
                <w:szCs w:val="18"/>
              </w:rPr>
            </w:pPr>
            <w:r>
              <w:rPr>
                <w:rFonts w:ascii="宋体" w:hAnsi="宋体" w:cs="宋体" w:eastAsia="宋体" w:hint="default"/>
                <w:sz w:val="18"/>
                <w:szCs w:val="18"/>
              </w:rPr>
              <w:t>本期确认的托 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pStyle w:val="BodyText"/>
        <w:spacing w:line="338" w:lineRule="auto" w:before="52"/>
        <w:ind w:right="8902"/>
        <w:jc w:val="left"/>
      </w:pPr>
      <w:r>
        <w:rPr/>
        <w:t>关联管理</w:t>
      </w:r>
      <w:r>
        <w:rPr>
          <w:rFonts w:ascii="Times New Roman" w:hAnsi="Times New Roman" w:cs="Times New Roman" w:eastAsia="Times New Roman" w:hint="default"/>
        </w:rPr>
        <w:t>/</w:t>
      </w:r>
      <w:r>
        <w:rPr/>
        <w:t>出包情况说明 无</w:t>
      </w:r>
    </w:p>
    <w:p>
      <w:pPr>
        <w:spacing w:line="240" w:lineRule="auto" w:before="4"/>
        <w:rPr>
          <w:rFonts w:ascii="宋体" w:hAnsi="宋体" w:cs="宋体" w:eastAsia="宋体" w:hint="default"/>
          <w:sz w:val="21"/>
          <w:szCs w:val="21"/>
        </w:rPr>
      </w:pPr>
    </w:p>
    <w:p>
      <w:pPr>
        <w:pStyle w:val="Heading3"/>
        <w:spacing w:line="240" w:lineRule="auto"/>
        <w:ind w:right="0"/>
        <w:jc w:val="left"/>
        <w:rPr>
          <w:b w:val="0"/>
          <w:bCs w:val="0"/>
        </w:rPr>
      </w:pPr>
      <w:bookmarkStart w:name="（3）关联租赁情况" w:id="445"/>
      <w:bookmarkEnd w:id="445"/>
      <w:r>
        <w:rPr>
          <w:b w:val="0"/>
          <w:bCs w:val="0"/>
        </w:rPr>
      </w:r>
      <w:r>
        <w:rPr/>
        <w:t>（</w:t>
      </w:r>
      <w:r>
        <w:rPr>
          <w:rFonts w:ascii="Times New Roman" w:hAnsi="Times New Roman" w:cs="Times New Roman" w:eastAsia="Times New Roman" w:hint="default"/>
        </w:rPr>
        <w:t>3</w:t>
      </w:r>
      <w:r>
        <w:rPr/>
        <w:t>）关联租赁情况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本公司作为出租方：</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88"/>
        <w:gridCol w:w="2394"/>
        <w:gridCol w:w="2393"/>
        <w:gridCol w:w="2393"/>
      </w:tblGrid>
      <w:tr>
        <w:trPr>
          <w:trHeight w:val="402"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9"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3"/>
              <w:jc w:val="left"/>
              <w:rPr>
                <w:rFonts w:ascii="宋体" w:hAnsi="宋体" w:cs="宋体" w:eastAsia="宋体" w:hint="default"/>
                <w:sz w:val="18"/>
                <w:szCs w:val="18"/>
              </w:rPr>
            </w:pPr>
            <w:r>
              <w:rPr>
                <w:rFonts w:ascii="宋体" w:hAnsi="宋体" w:cs="宋体" w:eastAsia="宋体" w:hint="default"/>
                <w:sz w:val="18"/>
                <w:szCs w:val="18"/>
              </w:rPr>
              <w:t>深圳市深创谷技术服务有限 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606,840.00</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4"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606,840.00</w:t>
            </w:r>
          </w:p>
        </w:tc>
        <w:tc>
          <w:tcPr>
            <w:tcW w:w="239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本公司作为承租方：</w:t>
      </w:r>
    </w:p>
    <w:p>
      <w:pPr>
        <w:pStyle w:val="BodyText"/>
        <w:spacing w:line="240" w:lineRule="auto" w:before="117"/>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0"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70"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70"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bl>
    <w:p>
      <w:pPr>
        <w:pStyle w:val="BodyText"/>
        <w:spacing w:line="357" w:lineRule="auto" w:before="52"/>
        <w:ind w:right="9312"/>
        <w:jc w:val="left"/>
      </w:pPr>
      <w:r>
        <w:rPr/>
        <w:t>关联租赁情况说明 无</w:t>
      </w:r>
    </w:p>
    <w:p>
      <w:pPr>
        <w:spacing w:after="0" w:line="357" w:lineRule="auto"/>
        <w:jc w:val="left"/>
        <w:sectPr>
          <w:type w:val="continuous"/>
          <w:pgSz w:w="11910" w:h="16840"/>
          <w:pgMar w:top="110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4）关联担保情况" w:id="446"/>
      <w:bookmarkEnd w:id="446"/>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本公司作为担保方</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61" w:right="140" w:hanging="720"/>
              <w:jc w:val="left"/>
              <w:rPr>
                <w:rFonts w:ascii="宋体" w:hAnsi="宋体" w:cs="宋体" w:eastAsia="宋体" w:hint="default"/>
                <w:sz w:val="18"/>
                <w:szCs w:val="18"/>
              </w:rPr>
            </w:pPr>
            <w:r>
              <w:rPr>
                <w:rFonts w:ascii="宋体" w:hAnsi="宋体" w:cs="宋体" w:eastAsia="宋体" w:hint="default"/>
                <w:sz w:val="18"/>
                <w:szCs w:val="18"/>
              </w:rPr>
              <w:t>担保是否已经履行完 毕</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8"/>
              <w:jc w:val="left"/>
              <w:rPr>
                <w:rFonts w:ascii="宋体" w:hAnsi="宋体" w:cs="宋体" w:eastAsia="宋体" w:hint="default"/>
                <w:sz w:val="18"/>
                <w:szCs w:val="18"/>
              </w:rPr>
            </w:pPr>
            <w:r>
              <w:rPr>
                <w:rFonts w:ascii="宋体" w:hAnsi="宋体" w:cs="宋体" w:eastAsia="宋体" w:hint="default"/>
                <w:sz w:val="18"/>
                <w:szCs w:val="18"/>
              </w:rPr>
              <w:t>深圳市卓翼智造有限 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8"/>
              <w:jc w:val="left"/>
              <w:rPr>
                <w:rFonts w:ascii="宋体" w:hAnsi="宋体" w:cs="宋体" w:eastAsia="宋体" w:hint="default"/>
                <w:sz w:val="18"/>
                <w:szCs w:val="18"/>
              </w:rPr>
            </w:pPr>
            <w:r>
              <w:rPr>
                <w:rFonts w:ascii="宋体" w:hAnsi="宋体" w:cs="宋体" w:eastAsia="宋体" w:hint="default"/>
                <w:sz w:val="18"/>
                <w:szCs w:val="18"/>
              </w:rPr>
              <w:t>深圳市卓翼智造有限 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8"/>
              <w:jc w:val="left"/>
              <w:rPr>
                <w:rFonts w:ascii="宋体" w:hAnsi="宋体" w:cs="宋体" w:eastAsia="宋体" w:hint="default"/>
                <w:sz w:val="18"/>
                <w:szCs w:val="18"/>
              </w:rPr>
            </w:pPr>
            <w:r>
              <w:rPr>
                <w:rFonts w:ascii="宋体" w:hAnsi="宋体" w:cs="宋体" w:eastAsia="宋体" w:hint="default"/>
                <w:sz w:val="18"/>
                <w:szCs w:val="18"/>
              </w:rPr>
              <w:t>天津卓达科技发展有 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8"/>
              <w:jc w:val="left"/>
              <w:rPr>
                <w:rFonts w:ascii="宋体" w:hAnsi="宋体" w:cs="宋体" w:eastAsia="宋体" w:hint="default"/>
                <w:sz w:val="18"/>
                <w:szCs w:val="18"/>
              </w:rPr>
            </w:pPr>
            <w:r>
              <w:rPr>
                <w:rFonts w:ascii="宋体" w:hAnsi="宋体" w:cs="宋体" w:eastAsia="宋体" w:hint="default"/>
                <w:sz w:val="18"/>
                <w:szCs w:val="18"/>
              </w:rPr>
              <w:t>深圳市卓翼智造有限 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8"/>
              <w:jc w:val="left"/>
              <w:rPr>
                <w:rFonts w:ascii="宋体" w:hAnsi="宋体" w:cs="宋体" w:eastAsia="宋体" w:hint="default"/>
                <w:sz w:val="18"/>
                <w:szCs w:val="18"/>
              </w:rPr>
            </w:pPr>
            <w:r>
              <w:rPr>
                <w:rFonts w:ascii="宋体" w:hAnsi="宋体" w:cs="宋体" w:eastAsia="宋体" w:hint="default"/>
                <w:sz w:val="18"/>
                <w:szCs w:val="18"/>
              </w:rPr>
              <w:t>深圳市卓翼智造有限 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8"/>
              <w:jc w:val="both"/>
              <w:rPr>
                <w:rFonts w:ascii="宋体" w:hAnsi="宋体" w:cs="宋体" w:eastAsia="宋体" w:hint="default"/>
                <w:sz w:val="18"/>
                <w:szCs w:val="18"/>
              </w:rPr>
            </w:pPr>
            <w:r>
              <w:rPr>
                <w:rFonts w:ascii="宋体" w:hAnsi="宋体" w:cs="宋体" w:eastAsia="宋体" w:hint="default"/>
                <w:sz w:val="18"/>
                <w:szCs w:val="18"/>
              </w:rPr>
              <w:t>中广互联（厦门）信 息科技有限公司（注 </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8"/>
              <w:jc w:val="left"/>
              <w:rPr>
                <w:rFonts w:ascii="宋体" w:hAnsi="宋体" w:cs="宋体" w:eastAsia="宋体" w:hint="default"/>
                <w:sz w:val="18"/>
                <w:szCs w:val="18"/>
              </w:rPr>
            </w:pPr>
            <w:r>
              <w:rPr>
                <w:rFonts w:ascii="宋体" w:hAnsi="宋体" w:cs="宋体" w:eastAsia="宋体" w:hint="default"/>
                <w:sz w:val="18"/>
                <w:szCs w:val="18"/>
              </w:rPr>
              <w:t>天津卓达科技发展有 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8"/>
              <w:jc w:val="left"/>
              <w:rPr>
                <w:rFonts w:ascii="宋体" w:hAnsi="宋体" w:cs="宋体" w:eastAsia="宋体" w:hint="default"/>
                <w:sz w:val="18"/>
                <w:szCs w:val="18"/>
              </w:rPr>
            </w:pPr>
            <w:r>
              <w:rPr>
                <w:rFonts w:ascii="宋体" w:hAnsi="宋体" w:cs="宋体" w:eastAsia="宋体" w:hint="default"/>
                <w:sz w:val="18"/>
                <w:szCs w:val="18"/>
              </w:rPr>
              <w:t>天津卓达科技发展有 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8"/>
              <w:jc w:val="left"/>
              <w:rPr>
                <w:rFonts w:ascii="宋体" w:hAnsi="宋体" w:cs="宋体" w:eastAsia="宋体" w:hint="default"/>
                <w:sz w:val="18"/>
                <w:szCs w:val="18"/>
              </w:rPr>
            </w:pPr>
            <w:r>
              <w:rPr>
                <w:rFonts w:ascii="宋体" w:hAnsi="宋体" w:cs="宋体" w:eastAsia="宋体" w:hint="default"/>
                <w:sz w:val="18"/>
                <w:szCs w:val="18"/>
              </w:rPr>
              <w:t>深圳市卓翼智造有限 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8"/>
              <w:jc w:val="left"/>
              <w:rPr>
                <w:rFonts w:ascii="宋体" w:hAnsi="宋体" w:cs="宋体" w:eastAsia="宋体" w:hint="default"/>
                <w:sz w:val="18"/>
                <w:szCs w:val="18"/>
              </w:rPr>
            </w:pPr>
            <w:r>
              <w:rPr>
                <w:rFonts w:ascii="宋体" w:hAnsi="宋体" w:cs="宋体" w:eastAsia="宋体" w:hint="default"/>
                <w:sz w:val="18"/>
                <w:szCs w:val="18"/>
              </w:rPr>
              <w:t>深圳市卓翼智造有限 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8"/>
              <w:jc w:val="left"/>
              <w:rPr>
                <w:rFonts w:ascii="宋体" w:hAnsi="宋体" w:cs="宋体" w:eastAsia="宋体" w:hint="default"/>
                <w:sz w:val="18"/>
                <w:szCs w:val="18"/>
              </w:rPr>
            </w:pPr>
            <w:r>
              <w:rPr>
                <w:rFonts w:ascii="宋体" w:hAnsi="宋体" w:cs="宋体" w:eastAsia="宋体" w:hint="default"/>
                <w:sz w:val="18"/>
                <w:szCs w:val="18"/>
              </w:rPr>
              <w:t>深圳市卓翼智造有限 公司（注</w:t>
            </w:r>
            <w:r>
              <w:rPr>
                <w:rFonts w:ascii="宋体" w:hAnsi="宋体" w:cs="宋体" w:eastAsia="宋体" w:hint="default"/>
                <w:spacing w:val="-45"/>
                <w:sz w:val="18"/>
                <w:szCs w:val="18"/>
              </w:rPr>
              <w:t> </w:t>
            </w:r>
            <w:r>
              <w:rPr>
                <w:rFonts w:ascii="Times New Roman" w:hAnsi="Times New Roman" w:cs="Times New Roman" w:eastAsia="Times New Roman" w:hint="default"/>
                <w:spacing w:val="-3"/>
                <w:sz w:val="18"/>
                <w:szCs w:val="18"/>
              </w:rPr>
              <w:t>11</w:t>
            </w:r>
            <w:r>
              <w:rPr>
                <w:rFonts w:ascii="宋体" w:hAnsi="宋体" w:cs="宋体" w:eastAsia="宋体" w:hint="default"/>
                <w:spacing w:val="-3"/>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8"/>
              <w:jc w:val="left"/>
              <w:rPr>
                <w:rFonts w:ascii="宋体" w:hAnsi="宋体" w:cs="宋体" w:eastAsia="宋体" w:hint="default"/>
                <w:sz w:val="18"/>
                <w:szCs w:val="18"/>
              </w:rPr>
            </w:pPr>
            <w:r>
              <w:rPr>
                <w:rFonts w:ascii="宋体" w:hAnsi="宋体" w:cs="宋体" w:eastAsia="宋体" w:hint="default"/>
                <w:sz w:val="18"/>
                <w:szCs w:val="18"/>
              </w:rPr>
              <w:t>深圳市卓翼智造有限 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1,000,000,000.00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1"/>
        <w:ind w:right="0"/>
        <w:jc w:val="left"/>
      </w:pPr>
      <w:r>
        <w:rPr/>
        <w:t>本公司作为被担保方</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861" w:right="140" w:hanging="720"/>
              <w:jc w:val="left"/>
              <w:rPr>
                <w:rFonts w:ascii="宋体" w:hAnsi="宋体" w:cs="宋体" w:eastAsia="宋体" w:hint="default"/>
                <w:sz w:val="18"/>
                <w:szCs w:val="18"/>
              </w:rPr>
            </w:pPr>
            <w:r>
              <w:rPr>
                <w:rFonts w:ascii="宋体" w:hAnsi="宋体" w:cs="宋体" w:eastAsia="宋体" w:hint="default"/>
                <w:sz w:val="18"/>
                <w:szCs w:val="18"/>
              </w:rPr>
              <w:t>担保是否已经履行完 毕</w:t>
            </w:r>
          </w:p>
        </w:tc>
      </w:tr>
    </w:tbl>
    <w:p>
      <w:pPr>
        <w:pStyle w:val="BodyText"/>
        <w:spacing w:line="240" w:lineRule="auto" w:before="51"/>
        <w:ind w:right="0"/>
        <w:jc w:val="left"/>
      </w:pPr>
      <w:r>
        <w:rPr/>
        <w:t>关联担保情况说明</w:t>
      </w:r>
    </w:p>
    <w:p>
      <w:pPr>
        <w:pStyle w:val="BodyText"/>
        <w:spacing w:line="316" w:lineRule="auto" w:before="116"/>
        <w:ind w:right="1132" w:firstLine="420"/>
        <w:jc w:val="both"/>
      </w:pPr>
      <w:r>
        <w:rPr/>
        <w:t>注</w:t>
      </w:r>
      <w:r>
        <w:rPr>
          <w:rFonts w:ascii="宋体" w:hAnsi="宋体" w:cs="宋体" w:eastAsia="宋体" w:hint="default"/>
        </w:rPr>
        <w:t>1</w:t>
      </w:r>
      <w:r>
        <w:rPr/>
        <w:t>：本公司于</w:t>
      </w:r>
      <w:r>
        <w:rPr>
          <w:rFonts w:ascii="宋体" w:hAnsi="宋体" w:cs="宋体" w:eastAsia="宋体" w:hint="default"/>
        </w:rPr>
        <w:t>2017</w:t>
      </w:r>
      <w:r>
        <w:rPr/>
        <w:t>年</w:t>
      </w:r>
      <w:r>
        <w:rPr>
          <w:rFonts w:ascii="宋体" w:hAnsi="宋体" w:cs="宋体" w:eastAsia="宋体" w:hint="default"/>
        </w:rPr>
        <w:t>3</w:t>
      </w:r>
      <w:r>
        <w:rPr/>
        <w:t>月</w:t>
      </w:r>
      <w:r>
        <w:rPr>
          <w:rFonts w:ascii="宋体" w:hAnsi="宋体" w:cs="宋体" w:eastAsia="宋体" w:hint="default"/>
        </w:rPr>
        <w:t>2</w:t>
      </w:r>
      <w:r>
        <w:rPr/>
        <w:t>日与中国建设银行股份有限公司深圳市分行签订合同编号为 保借</w:t>
      </w:r>
      <w:r>
        <w:rPr>
          <w:rFonts w:ascii="宋体" w:hAnsi="宋体" w:cs="宋体" w:eastAsia="宋体" w:hint="default"/>
        </w:rPr>
        <w:t>2017</w:t>
      </w:r>
      <w:r>
        <w:rPr/>
        <w:t>综</w:t>
      </w:r>
      <w:r>
        <w:rPr>
          <w:rFonts w:ascii="宋体" w:hAnsi="宋体" w:cs="宋体" w:eastAsia="宋体" w:hint="default"/>
        </w:rPr>
        <w:t>0937</w:t>
      </w:r>
      <w:r>
        <w:rPr/>
        <w:t>中心区的额度 </w:t>
      </w:r>
      <w:r>
        <w:rPr>
          <w:spacing w:val="-2"/>
        </w:rPr>
        <w:t>保证合同，为全资子公司卓翼智造提供最高不超过人民币贰亿元的债权担保。担保期间为贷款之日起至债务履行期届满之日</w:t>
      </w:r>
      <w:r>
        <w:rPr>
          <w:spacing w:val="-64"/>
        </w:rPr>
        <w:t> </w:t>
      </w:r>
      <w:r>
        <w:rPr>
          <w:spacing w:val="-64"/>
        </w:rPr>
      </w:r>
      <w:r>
        <w:rPr/>
        <w:t>起</w:t>
      </w:r>
      <w:r>
        <w:rPr>
          <w:rFonts w:ascii="宋体" w:hAnsi="宋体" w:cs="宋体" w:eastAsia="宋体" w:hint="default"/>
        </w:rPr>
        <w:t>2</w:t>
      </w:r>
      <w:r>
        <w:rPr/>
        <w:t>年。</w:t>
      </w:r>
    </w:p>
    <w:p>
      <w:pPr>
        <w:spacing w:after="0" w:line="316" w:lineRule="auto"/>
        <w:jc w:val="both"/>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316" w:lineRule="auto" w:before="44"/>
        <w:ind w:right="0" w:firstLine="420"/>
        <w:jc w:val="left"/>
      </w:pPr>
      <w:r>
        <w:rPr/>
        <w:t>注</w:t>
      </w:r>
      <w:r>
        <w:rPr>
          <w:rFonts w:ascii="宋体" w:hAnsi="宋体" w:cs="宋体" w:eastAsia="宋体" w:hint="default"/>
        </w:rPr>
        <w:t>2</w:t>
      </w:r>
      <w:r>
        <w:rPr/>
        <w:t>：本公司于</w:t>
      </w:r>
      <w:r>
        <w:rPr>
          <w:rFonts w:ascii="宋体" w:hAnsi="宋体" w:cs="宋体" w:eastAsia="宋体" w:hint="default"/>
        </w:rPr>
        <w:t>2017</w:t>
      </w:r>
      <w:r>
        <w:rPr/>
        <w:t>年</w:t>
      </w:r>
      <w:r>
        <w:rPr>
          <w:rFonts w:ascii="宋体" w:hAnsi="宋体" w:cs="宋体" w:eastAsia="宋体" w:hint="default"/>
        </w:rPr>
        <w:t>11</w:t>
      </w:r>
      <w:r>
        <w:rPr/>
        <w:t>月</w:t>
      </w:r>
      <w:r>
        <w:rPr>
          <w:rFonts w:ascii="宋体" w:hAnsi="宋体" w:cs="宋体" w:eastAsia="宋体" w:hint="default"/>
        </w:rPr>
        <w:t>20</w:t>
      </w:r>
      <w:r>
        <w:rPr/>
        <w:t>日与中国建设银行股份有限公司深圳高新区支行签订合同编号为</w:t>
      </w:r>
      <w:r>
        <w:rPr>
          <w:rFonts w:ascii="宋体" w:hAnsi="宋体" w:cs="宋体" w:eastAsia="宋体" w:hint="default"/>
        </w:rPr>
        <w:t>2017</w:t>
      </w:r>
      <w:r>
        <w:rPr/>
        <w:t>圳中银高司保字第 </w:t>
      </w:r>
      <w:r>
        <w:rPr>
          <w:rFonts w:ascii="宋体" w:hAnsi="宋体" w:cs="宋体" w:eastAsia="宋体" w:hint="default"/>
          <w:spacing w:val="-2"/>
        </w:rPr>
        <w:t>0103</w:t>
      </w:r>
      <w:r>
        <w:rPr>
          <w:spacing w:val="-2"/>
        </w:rPr>
        <w:t>号最高额保证合同，为全资子公司卓翼智造提供最高不超过人民币伍仟万元的债权担保。担保期间为贷款之日起至主债</w:t>
      </w:r>
      <w:r>
        <w:rPr>
          <w:spacing w:val="-60"/>
        </w:rPr>
        <w:t> </w:t>
      </w:r>
      <w:r>
        <w:rPr>
          <w:spacing w:val="-60"/>
        </w:rPr>
      </w:r>
      <w:r>
        <w:rPr/>
        <w:t>权发生期间届满之日起</w:t>
      </w:r>
      <w:r>
        <w:rPr>
          <w:rFonts w:ascii="宋体" w:hAnsi="宋体" w:cs="宋体" w:eastAsia="宋体" w:hint="default"/>
        </w:rPr>
        <w:t>2</w:t>
      </w:r>
      <w:r>
        <w:rPr/>
        <w:t>年。</w:t>
      </w:r>
    </w:p>
    <w:p>
      <w:pPr>
        <w:pStyle w:val="BodyText"/>
        <w:spacing w:line="319" w:lineRule="auto" w:before="19"/>
        <w:ind w:right="1130" w:firstLine="420"/>
        <w:jc w:val="both"/>
      </w:pPr>
      <w:r>
        <w:rPr>
          <w:spacing w:val="-1"/>
        </w:rPr>
        <w:t>注</w:t>
      </w:r>
      <w:r>
        <w:rPr>
          <w:rFonts w:ascii="宋体" w:hAnsi="宋体" w:cs="宋体" w:eastAsia="宋体" w:hint="default"/>
          <w:spacing w:val="-1"/>
        </w:rPr>
        <w:t>3</w:t>
      </w:r>
      <w:r>
        <w:rPr>
          <w:spacing w:val="-1"/>
        </w:rPr>
        <w:t>：本公司于</w:t>
      </w:r>
      <w:r>
        <w:rPr>
          <w:rFonts w:ascii="宋体" w:hAnsi="宋体" w:cs="宋体" w:eastAsia="宋体" w:hint="default"/>
          <w:spacing w:val="-1"/>
        </w:rPr>
        <w:t>2017</w:t>
      </w:r>
      <w:r>
        <w:rPr>
          <w:spacing w:val="-1"/>
        </w:rPr>
        <w:t>年</w:t>
      </w:r>
      <w:r>
        <w:rPr>
          <w:rFonts w:ascii="宋体" w:hAnsi="宋体" w:cs="宋体" w:eastAsia="宋体" w:hint="default"/>
          <w:spacing w:val="-1"/>
        </w:rPr>
        <w:t>11</w:t>
      </w:r>
      <w:r>
        <w:rPr>
          <w:spacing w:val="-1"/>
        </w:rPr>
        <w:t>月</w:t>
      </w:r>
      <w:r>
        <w:rPr>
          <w:rFonts w:ascii="宋体" w:hAnsi="宋体" w:cs="宋体" w:eastAsia="宋体" w:hint="default"/>
          <w:spacing w:val="-1"/>
        </w:rPr>
        <w:t>15</w:t>
      </w:r>
      <w:r>
        <w:rPr>
          <w:spacing w:val="-1"/>
        </w:rPr>
        <w:t>日与上海浦东发展银行股份有限公司天津分行签订合同编号为</w:t>
      </w:r>
      <w:r>
        <w:rPr>
          <w:rFonts w:ascii="宋体" w:hAnsi="宋体" w:cs="宋体" w:eastAsia="宋体" w:hint="default"/>
          <w:spacing w:val="-1"/>
        </w:rPr>
        <w:t>ZB7705201700000127</w:t>
      </w:r>
      <w:r>
        <w:rPr>
          <w:spacing w:val="-1"/>
        </w:rPr>
        <w:t>的最高</w:t>
      </w:r>
      <w:r>
        <w:rPr/>
        <w:t> 额保证合同，为全资子公司天津卓达提供最高不超过人民币捌仟万元的债权担保。担保期间为</w:t>
      </w:r>
      <w:r>
        <w:rPr>
          <w:rFonts w:ascii="宋体" w:hAnsi="宋体" w:cs="宋体" w:eastAsia="宋体" w:hint="default"/>
        </w:rPr>
        <w:t>2017</w:t>
      </w:r>
      <w:r>
        <w:rPr/>
        <w:t>年</w:t>
      </w:r>
      <w:r>
        <w:rPr>
          <w:rFonts w:ascii="宋体" w:hAnsi="宋体" w:cs="宋体" w:eastAsia="宋体" w:hint="default"/>
        </w:rPr>
        <w:t>11</w:t>
      </w:r>
      <w:r>
        <w:rPr/>
        <w:t>月</w:t>
      </w:r>
      <w:r>
        <w:rPr>
          <w:rFonts w:ascii="宋体" w:hAnsi="宋体" w:cs="宋体" w:eastAsia="宋体" w:hint="default"/>
        </w:rPr>
        <w:t>15</w:t>
      </w:r>
      <w:r>
        <w:rPr/>
        <w:t>日至</w:t>
      </w:r>
      <w:r>
        <w:rPr>
          <w:rFonts w:ascii="宋体" w:hAnsi="宋体" w:cs="宋体" w:eastAsia="宋体" w:hint="default"/>
        </w:rPr>
        <w:t>2018</w:t>
      </w:r>
      <w:r>
        <w:rPr/>
        <w:t>年</w:t>
      </w:r>
      <w:r>
        <w:rPr>
          <w:rFonts w:ascii="宋体" w:hAnsi="宋体" w:cs="宋体" w:eastAsia="宋体" w:hint="default"/>
        </w:rPr>
        <w:t>3</w:t>
      </w:r>
      <w:r>
        <w:rPr/>
        <w:t>月 </w:t>
      </w:r>
      <w:r>
        <w:rPr>
          <w:rFonts w:ascii="宋体" w:hAnsi="宋体" w:cs="宋体" w:eastAsia="宋体" w:hint="default"/>
        </w:rPr>
        <w:t>31</w:t>
      </w:r>
      <w:r>
        <w:rPr/>
        <w:t>日。</w:t>
      </w:r>
    </w:p>
    <w:p>
      <w:pPr>
        <w:pStyle w:val="BodyText"/>
        <w:spacing w:line="316" w:lineRule="auto" w:before="17"/>
        <w:ind w:right="1130" w:firstLine="420"/>
        <w:jc w:val="both"/>
      </w:pPr>
      <w:r>
        <w:rPr>
          <w:spacing w:val="-1"/>
        </w:rPr>
        <w:t>注</w:t>
      </w:r>
      <w:r>
        <w:rPr>
          <w:rFonts w:ascii="宋体" w:hAnsi="宋体" w:cs="宋体" w:eastAsia="宋体" w:hint="default"/>
          <w:spacing w:val="-1"/>
        </w:rPr>
        <w:t>4</w:t>
      </w:r>
      <w:r>
        <w:rPr>
          <w:spacing w:val="-1"/>
        </w:rPr>
        <w:t>：本公司于</w:t>
      </w:r>
      <w:r>
        <w:rPr>
          <w:rFonts w:ascii="宋体" w:hAnsi="宋体" w:cs="宋体" w:eastAsia="宋体" w:hint="default"/>
          <w:spacing w:val="-1"/>
        </w:rPr>
        <w:t>2018</w:t>
      </w:r>
      <w:r>
        <w:rPr>
          <w:spacing w:val="-1"/>
        </w:rPr>
        <w:t>年</w:t>
      </w:r>
      <w:r>
        <w:rPr>
          <w:rFonts w:ascii="宋体" w:hAnsi="宋体" w:cs="宋体" w:eastAsia="宋体" w:hint="default"/>
          <w:spacing w:val="-1"/>
        </w:rPr>
        <w:t>05</w:t>
      </w:r>
      <w:r>
        <w:rPr>
          <w:spacing w:val="-1"/>
        </w:rPr>
        <w:t>月</w:t>
      </w:r>
      <w:r>
        <w:rPr>
          <w:rFonts w:ascii="宋体" w:hAnsi="宋体" w:cs="宋体" w:eastAsia="宋体" w:hint="default"/>
          <w:spacing w:val="-1"/>
        </w:rPr>
        <w:t>23</w:t>
      </w:r>
      <w:r>
        <w:rPr>
          <w:spacing w:val="-1"/>
        </w:rPr>
        <w:t>日与中国建设银行股份有限公司深圳市分行签订合同编号为保借</w:t>
      </w:r>
      <w:r>
        <w:rPr>
          <w:rFonts w:ascii="宋体" w:hAnsi="宋体" w:cs="宋体" w:eastAsia="宋体" w:hint="default"/>
          <w:spacing w:val="-1"/>
        </w:rPr>
        <w:t>2018</w:t>
      </w:r>
      <w:r>
        <w:rPr>
          <w:spacing w:val="-1"/>
        </w:rPr>
        <w:t>综</w:t>
      </w:r>
      <w:r>
        <w:rPr>
          <w:rFonts w:ascii="宋体" w:hAnsi="宋体" w:cs="宋体" w:eastAsia="宋体" w:hint="default"/>
          <w:spacing w:val="-1"/>
        </w:rPr>
        <w:t>5209</w:t>
      </w:r>
      <w:r>
        <w:rPr>
          <w:spacing w:val="-1"/>
        </w:rPr>
        <w:t>中心区的额度</w:t>
      </w:r>
      <w:r>
        <w:rPr/>
        <w:t> </w:t>
      </w:r>
      <w:r>
        <w:rPr>
          <w:spacing w:val="-2"/>
        </w:rPr>
        <w:t>保证合同，为全资子公司卓翼智造提供最高不超过人民币壹亿伍仟万元的债权担保。担保期间为贷款之日起至该笔债务履行</w:t>
      </w:r>
      <w:r>
        <w:rPr>
          <w:spacing w:val="-64"/>
        </w:rPr>
        <w:t> </w:t>
      </w:r>
      <w:r>
        <w:rPr>
          <w:spacing w:val="-64"/>
        </w:rPr>
      </w:r>
      <w:r>
        <w:rPr/>
        <w:t>期限届满之日后</w:t>
      </w:r>
      <w:r>
        <w:rPr>
          <w:rFonts w:ascii="宋体" w:hAnsi="宋体" w:cs="宋体" w:eastAsia="宋体" w:hint="default"/>
        </w:rPr>
        <w:t>3</w:t>
      </w:r>
      <w:r>
        <w:rPr/>
        <w:t>年止。</w:t>
      </w:r>
    </w:p>
    <w:p>
      <w:pPr>
        <w:pStyle w:val="BodyText"/>
        <w:spacing w:line="316" w:lineRule="auto" w:before="19"/>
        <w:ind w:right="1132" w:firstLine="420"/>
        <w:jc w:val="both"/>
      </w:pPr>
      <w:r>
        <w:rPr/>
        <w:t>注</w:t>
      </w:r>
      <w:r>
        <w:rPr>
          <w:rFonts w:ascii="宋体" w:hAnsi="宋体" w:cs="宋体" w:eastAsia="宋体" w:hint="default"/>
        </w:rPr>
        <w:t>5</w:t>
      </w:r>
      <w:r>
        <w:rPr/>
        <w:t>：本公司于</w:t>
      </w:r>
      <w:r>
        <w:rPr>
          <w:rFonts w:ascii="宋体" w:hAnsi="宋体" w:cs="宋体" w:eastAsia="宋体" w:hint="default"/>
        </w:rPr>
        <w:t>2018</w:t>
      </w:r>
      <w:r>
        <w:rPr/>
        <w:t>年</w:t>
      </w:r>
      <w:r>
        <w:rPr>
          <w:rFonts w:ascii="宋体" w:hAnsi="宋体" w:cs="宋体" w:eastAsia="宋体" w:hint="default"/>
        </w:rPr>
        <w:t>11</w:t>
      </w:r>
      <w:r>
        <w:rPr/>
        <w:t>月</w:t>
      </w:r>
      <w:r>
        <w:rPr>
          <w:rFonts w:ascii="宋体" w:hAnsi="宋体" w:cs="宋体" w:eastAsia="宋体" w:hint="default"/>
        </w:rPr>
        <w:t>02</w:t>
      </w:r>
      <w:r>
        <w:rPr/>
        <w:t>日与华夏银行股份有限公司深圳蔡屋围支行签订合同编号为</w:t>
      </w:r>
      <w:r>
        <w:rPr>
          <w:rFonts w:ascii="宋体" w:hAnsi="宋体" w:cs="宋体" w:eastAsia="宋体" w:hint="default"/>
        </w:rPr>
        <w:t>SZ32</w:t>
      </w:r>
      <w:r>
        <w:rPr/>
        <w:t>（高保）</w:t>
      </w:r>
      <w:r>
        <w:rPr>
          <w:rFonts w:ascii="宋体" w:hAnsi="宋体" w:cs="宋体" w:eastAsia="宋体" w:hint="default"/>
        </w:rPr>
        <w:t>20180006-11</w:t>
      </w:r>
      <w:r>
        <w:rPr/>
        <w:t>的 </w:t>
      </w:r>
      <w:r>
        <w:rPr>
          <w:spacing w:val="-2"/>
        </w:rPr>
        <w:t>最高额保证合同，为全资子公司卓翼智造提供最高不超过人民币壹亿元的债权担保。担保期间为贷款之日起至债务履行期届</w:t>
      </w:r>
      <w:r>
        <w:rPr>
          <w:spacing w:val="-64"/>
        </w:rPr>
        <w:t> </w:t>
      </w:r>
      <w:r>
        <w:rPr>
          <w:spacing w:val="-64"/>
        </w:rPr>
      </w:r>
      <w:r>
        <w:rPr/>
        <w:t>满之日起</w:t>
      </w:r>
      <w:r>
        <w:rPr>
          <w:rFonts w:ascii="宋体" w:hAnsi="宋体" w:cs="宋体" w:eastAsia="宋体" w:hint="default"/>
        </w:rPr>
        <w:t>2</w:t>
      </w:r>
      <w:r>
        <w:rPr/>
        <w:t>年。</w:t>
      </w:r>
    </w:p>
    <w:p>
      <w:pPr>
        <w:pStyle w:val="BodyText"/>
        <w:spacing w:line="316" w:lineRule="auto" w:before="19"/>
        <w:ind w:right="1043" w:firstLine="420"/>
        <w:jc w:val="both"/>
      </w:pPr>
      <w:r>
        <w:rPr/>
        <w:t>注</w:t>
      </w:r>
      <w:r>
        <w:rPr>
          <w:rFonts w:ascii="宋体" w:hAnsi="宋体" w:cs="宋体" w:eastAsia="宋体" w:hint="default"/>
        </w:rPr>
        <w:t>6</w:t>
      </w:r>
      <w:r>
        <w:rPr/>
        <w:t>：本公司于</w:t>
      </w:r>
      <w:r>
        <w:rPr>
          <w:rFonts w:ascii="宋体" w:hAnsi="宋体" w:cs="宋体" w:eastAsia="宋体" w:hint="default"/>
        </w:rPr>
        <w:t>2017</w:t>
      </w:r>
      <w:r>
        <w:rPr/>
        <w:t>年</w:t>
      </w:r>
      <w:r>
        <w:rPr>
          <w:rFonts w:ascii="宋体" w:hAnsi="宋体" w:cs="宋体" w:eastAsia="宋体" w:hint="default"/>
        </w:rPr>
        <w:t>12</w:t>
      </w:r>
      <w:r>
        <w:rPr/>
        <w:t>月</w:t>
      </w:r>
      <w:r>
        <w:rPr>
          <w:rFonts w:ascii="宋体" w:hAnsi="宋体" w:cs="宋体" w:eastAsia="宋体" w:hint="default"/>
        </w:rPr>
        <w:t>12</w:t>
      </w:r>
      <w:r>
        <w:rPr/>
        <w:t>日与中国工商银行股份有限公司厦门软件园支行签订合同编号为</w:t>
      </w:r>
      <w:r>
        <w:rPr>
          <w:rFonts w:ascii="宋体" w:hAnsi="宋体" w:cs="宋体" w:eastAsia="宋体" w:hint="default"/>
        </w:rPr>
        <w:t>2017</w:t>
      </w:r>
      <w:r>
        <w:rPr/>
        <w:t>年软件园保字</w:t>
      </w:r>
      <w:r>
        <w:rPr>
          <w:rFonts w:ascii="宋体" w:hAnsi="宋体" w:cs="宋体" w:eastAsia="宋体" w:hint="default"/>
        </w:rPr>
        <w:t>120</w:t>
      </w:r>
      <w:r>
        <w:rPr/>
        <w:t>号 </w:t>
      </w:r>
      <w:r>
        <w:rPr>
          <w:spacing w:val="-4"/>
        </w:rPr>
        <w:t>的最高额保证合同，为全资子公司中广互联提供最高不超过人民币贰亿元的债权担保。担保期限系借款期限届满之日起两年。</w:t>
      </w:r>
    </w:p>
    <w:p>
      <w:pPr>
        <w:pStyle w:val="BodyText"/>
        <w:spacing w:line="316" w:lineRule="auto" w:before="19"/>
        <w:ind w:right="1050" w:firstLine="420"/>
        <w:jc w:val="both"/>
      </w:pPr>
      <w:r>
        <w:rPr/>
        <w:t>注</w:t>
      </w:r>
      <w:r>
        <w:rPr>
          <w:rFonts w:ascii="宋体" w:hAnsi="宋体" w:cs="宋体" w:eastAsia="宋体" w:hint="default"/>
        </w:rPr>
        <w:t>7</w:t>
      </w:r>
      <w:r>
        <w:rPr/>
        <w:t>：本公司于</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1</w:t>
      </w:r>
      <w:r>
        <w:rPr/>
        <w:t>日与上海浦东发展银行股份有限公司天津分行签订合同编号为</w:t>
      </w:r>
      <w:r>
        <w:rPr>
          <w:rFonts w:ascii="宋体" w:hAnsi="宋体" w:cs="宋体" w:eastAsia="宋体" w:hint="default"/>
        </w:rPr>
        <w:t>ZB7705201800000019</w:t>
      </w:r>
      <w:r>
        <w:rPr/>
        <w:t>的最高额 保证合同，为全资子公司天津卓达提供最高不超过人民币捌仟万元的债权担保。担保期限系债务履行期届满之日后两年止。</w:t>
      </w:r>
    </w:p>
    <w:p>
      <w:pPr>
        <w:pStyle w:val="BodyText"/>
        <w:spacing w:line="316" w:lineRule="auto" w:before="19"/>
        <w:ind w:right="1132" w:firstLine="420"/>
        <w:jc w:val="both"/>
      </w:pPr>
      <w:r>
        <w:rPr/>
        <w:t>注</w:t>
      </w:r>
      <w:r>
        <w:rPr>
          <w:rFonts w:ascii="宋体" w:hAnsi="宋体" w:cs="宋体" w:eastAsia="宋体" w:hint="default"/>
        </w:rPr>
        <w:t>8</w:t>
      </w:r>
      <w:r>
        <w:rPr/>
        <w:t>：本公司于</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4</w:t>
      </w:r>
      <w:r>
        <w:rPr/>
        <w:t>日与上海浦东发展银行股份有限公司天津分行签订合同编号为</w:t>
      </w:r>
      <w:r>
        <w:rPr>
          <w:rFonts w:ascii="宋体" w:hAnsi="宋体" w:cs="宋体" w:eastAsia="宋体" w:hint="default"/>
        </w:rPr>
        <w:t>ZB7705201800000116</w:t>
      </w:r>
      <w:r>
        <w:rPr/>
        <w:t>的最高 </w:t>
      </w:r>
      <w:r>
        <w:rPr>
          <w:spacing w:val="-2"/>
        </w:rPr>
        <w:t>额保证合同，为全资子公司天津卓达提供最高不超过人民币捌仟万元的债权担保。保证期限系担保期限系债务履行期届满之</w:t>
      </w:r>
      <w:r>
        <w:rPr>
          <w:spacing w:val="-64"/>
        </w:rPr>
        <w:t> </w:t>
      </w:r>
      <w:r>
        <w:rPr>
          <w:spacing w:val="-64"/>
        </w:rPr>
      </w:r>
      <w:r>
        <w:rPr/>
        <w:t>日后两年止。</w:t>
      </w:r>
    </w:p>
    <w:p>
      <w:pPr>
        <w:pStyle w:val="BodyText"/>
        <w:spacing w:line="316" w:lineRule="auto" w:before="19"/>
        <w:ind w:right="1132" w:firstLine="420"/>
        <w:jc w:val="both"/>
      </w:pPr>
      <w:r>
        <w:rPr/>
        <w:t>注</w:t>
      </w:r>
      <w:r>
        <w:rPr>
          <w:rFonts w:ascii="宋体" w:hAnsi="宋体" w:cs="宋体" w:eastAsia="宋体" w:hint="default"/>
        </w:rPr>
        <w:t>9</w:t>
      </w:r>
      <w:r>
        <w:rPr/>
        <w:t>：本公司于</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w:t>
      </w:r>
      <w:r>
        <w:rPr/>
        <w:t>日与上海浦东发展银行股份有限公司深圳分行签订合同编号为</w:t>
      </w:r>
      <w:r>
        <w:rPr>
          <w:rFonts w:ascii="宋体" w:hAnsi="宋体" w:cs="宋体" w:eastAsia="宋体" w:hint="default"/>
        </w:rPr>
        <w:t>ZB7932201900000003</w:t>
      </w:r>
      <w:r>
        <w:rPr/>
        <w:t>的最高 </w:t>
      </w:r>
      <w:r>
        <w:rPr>
          <w:spacing w:val="-2"/>
        </w:rPr>
        <w:t>额保证合同，为全资子公司卓翼智造提供最高不超过人民币捌仟万元的债权担保。担保期间为贷款之日起至债务履行期届满</w:t>
      </w:r>
      <w:r>
        <w:rPr>
          <w:spacing w:val="-64"/>
        </w:rPr>
        <w:t> </w:t>
      </w:r>
      <w:r>
        <w:rPr>
          <w:spacing w:val="-64"/>
        </w:rPr>
      </w:r>
      <w:r>
        <w:rPr/>
        <w:t>之日起</w:t>
      </w:r>
      <w:r>
        <w:rPr>
          <w:rFonts w:ascii="宋体" w:hAnsi="宋体" w:cs="宋体" w:eastAsia="宋体" w:hint="default"/>
        </w:rPr>
        <w:t>2</w:t>
      </w:r>
      <w:r>
        <w:rPr/>
        <w:t>年。</w:t>
      </w:r>
    </w:p>
    <w:p>
      <w:pPr>
        <w:pStyle w:val="BodyText"/>
        <w:spacing w:line="316" w:lineRule="auto" w:before="19"/>
        <w:ind w:right="1131" w:firstLine="420"/>
        <w:jc w:val="both"/>
      </w:pPr>
      <w:r>
        <w:rPr/>
        <w:t>注</w:t>
      </w:r>
      <w:r>
        <w:rPr>
          <w:rFonts w:ascii="宋体" w:hAnsi="宋体" w:cs="宋体" w:eastAsia="宋体" w:hint="default"/>
        </w:rPr>
        <w:t>10</w:t>
      </w:r>
      <w:r>
        <w:rPr/>
        <w:t>：本公司于</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28</w:t>
      </w:r>
      <w:r>
        <w:rPr/>
        <w:t>日与中国银行股份有限公司深圳高新区支行签订合同编号为</w:t>
      </w:r>
      <w:r>
        <w:rPr>
          <w:rFonts w:ascii="宋体" w:hAnsi="宋体" w:cs="宋体" w:eastAsia="宋体" w:hint="default"/>
        </w:rPr>
        <w:t>2018</w:t>
      </w:r>
      <w:r>
        <w:rPr/>
        <w:t>圳中银高司保字第</w:t>
      </w:r>
      <w:r>
        <w:rPr>
          <w:rFonts w:ascii="宋体" w:hAnsi="宋体" w:cs="宋体" w:eastAsia="宋体" w:hint="default"/>
        </w:rPr>
        <w:t>0095 </w:t>
      </w:r>
      <w:r>
        <w:rPr>
          <w:spacing w:val="-2"/>
        </w:rPr>
        <w:t>号的最高额保证合同，为全资子公司卓翼智造提供最高不超过人民币伍仟万元的债权担保。担保期间为贷款之日起至债务履</w:t>
      </w:r>
      <w:r>
        <w:rPr>
          <w:spacing w:val="-64"/>
        </w:rPr>
        <w:t> </w:t>
      </w:r>
      <w:r>
        <w:rPr>
          <w:spacing w:val="-64"/>
        </w:rPr>
      </w:r>
      <w:r>
        <w:rPr/>
        <w:t>行期届满之日起</w:t>
      </w:r>
      <w:r>
        <w:rPr>
          <w:rFonts w:ascii="宋体" w:hAnsi="宋体" w:cs="宋体" w:eastAsia="宋体" w:hint="default"/>
        </w:rPr>
        <w:t>2</w:t>
      </w:r>
      <w:r>
        <w:rPr/>
        <w:t>年。</w:t>
      </w:r>
    </w:p>
    <w:p>
      <w:pPr>
        <w:pStyle w:val="BodyText"/>
        <w:spacing w:line="316" w:lineRule="auto" w:before="19"/>
        <w:ind w:right="1132" w:firstLine="420"/>
        <w:jc w:val="both"/>
      </w:pPr>
      <w:r>
        <w:rPr/>
        <w:t>注</w:t>
      </w:r>
      <w:r>
        <w:rPr>
          <w:rFonts w:ascii="宋体" w:hAnsi="宋体" w:cs="宋体" w:eastAsia="宋体" w:hint="default"/>
        </w:rPr>
        <w:t>11</w:t>
      </w:r>
      <w:r>
        <w:rPr/>
        <w:t>：本公司于</w:t>
      </w:r>
      <w:r>
        <w:rPr>
          <w:rFonts w:ascii="宋体" w:hAnsi="宋体" w:cs="宋体" w:eastAsia="宋体" w:hint="default"/>
        </w:rPr>
        <w:t>2017</w:t>
      </w:r>
      <w:r>
        <w:rPr/>
        <w:t>年</w:t>
      </w:r>
      <w:r>
        <w:rPr>
          <w:rFonts w:ascii="宋体" w:hAnsi="宋体" w:cs="宋体" w:eastAsia="宋体" w:hint="default"/>
        </w:rPr>
        <w:t>11</w:t>
      </w:r>
      <w:r>
        <w:rPr/>
        <w:t>月</w:t>
      </w:r>
      <w:r>
        <w:rPr>
          <w:rFonts w:ascii="宋体" w:hAnsi="宋体" w:cs="宋体" w:eastAsia="宋体" w:hint="default"/>
        </w:rPr>
        <w:t>24</w:t>
      </w:r>
      <w:r>
        <w:rPr/>
        <w:t>日与上海浦东发展银行股份有限公司深圳分行签订合同编号为</w:t>
      </w:r>
      <w:r>
        <w:rPr>
          <w:rFonts w:ascii="宋体" w:hAnsi="宋体" w:cs="宋体" w:eastAsia="宋体" w:hint="default"/>
        </w:rPr>
        <w:t>ZB7906201700000015</w:t>
      </w:r>
      <w:r>
        <w:rPr/>
        <w:t>的最 </w:t>
      </w:r>
      <w:r>
        <w:rPr>
          <w:spacing w:val="-2"/>
        </w:rPr>
        <w:t>高额保证合同，为全资子公司卓翼智造提供最高不超过人民币捌仟万元的债权担保。担保期限为债务履行期届满之日后两年</w:t>
      </w:r>
      <w:r>
        <w:rPr>
          <w:spacing w:val="-64"/>
        </w:rPr>
        <w:t> </w:t>
      </w:r>
      <w:r>
        <w:rPr>
          <w:spacing w:val="-64"/>
        </w:rPr>
      </w:r>
      <w:r>
        <w:rPr/>
        <w:t>止。</w:t>
      </w:r>
    </w:p>
    <w:p>
      <w:pPr>
        <w:pStyle w:val="BodyText"/>
        <w:spacing w:line="316" w:lineRule="auto" w:before="19"/>
        <w:ind w:right="1118" w:firstLine="420"/>
        <w:jc w:val="left"/>
      </w:pPr>
      <w:r>
        <w:rPr>
          <w:spacing w:val="-1"/>
        </w:rPr>
        <w:t>注</w:t>
      </w:r>
      <w:r>
        <w:rPr>
          <w:rFonts w:ascii="宋体" w:hAnsi="宋体" w:cs="宋体" w:eastAsia="宋体" w:hint="default"/>
          <w:spacing w:val="-1"/>
        </w:rPr>
        <w:t>12</w:t>
      </w:r>
      <w:r>
        <w:rPr>
          <w:spacing w:val="-1"/>
        </w:rPr>
        <w:t>：本公司于</w:t>
      </w:r>
      <w:r>
        <w:rPr>
          <w:rFonts w:ascii="宋体" w:hAnsi="宋体" w:cs="宋体" w:eastAsia="宋体" w:hint="default"/>
          <w:spacing w:val="-1"/>
        </w:rPr>
        <w:t>2018</w:t>
      </w:r>
      <w:r>
        <w:rPr>
          <w:spacing w:val="-1"/>
        </w:rPr>
        <w:t>年</w:t>
      </w:r>
      <w:r>
        <w:rPr>
          <w:rFonts w:ascii="宋体" w:hAnsi="宋体" w:cs="宋体" w:eastAsia="宋体" w:hint="default"/>
          <w:spacing w:val="-1"/>
        </w:rPr>
        <w:t>3</w:t>
      </w:r>
      <w:r>
        <w:rPr>
          <w:spacing w:val="-1"/>
        </w:rPr>
        <w:t>月</w:t>
      </w:r>
      <w:r>
        <w:rPr>
          <w:rFonts w:ascii="宋体" w:hAnsi="宋体" w:cs="宋体" w:eastAsia="宋体" w:hint="default"/>
          <w:spacing w:val="-1"/>
        </w:rPr>
        <w:t>13</w:t>
      </w:r>
      <w:r>
        <w:rPr>
          <w:spacing w:val="-1"/>
        </w:rPr>
        <w:t>日与小米通讯技术有限公司签订最高额保证协议，为全资子公司卓翼智造提供最高不超过</w:t>
      </w:r>
      <w:r>
        <w:rPr/>
        <w:t> 人民币壹拾亿元的债权担保。担保期间为主合同子公司卓翼智造债务履行期届满之日起三年。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5"/>
        <w:ind w:right="0"/>
        <w:jc w:val="left"/>
        <w:rPr>
          <w:b w:val="0"/>
          <w:bCs w:val="0"/>
        </w:rPr>
      </w:pPr>
      <w:bookmarkStart w:name="（5）关联方资金拆借" w:id="447"/>
      <w:bookmarkEnd w:id="447"/>
      <w:r>
        <w:rPr>
          <w:b w:val="0"/>
          <w:bCs w:val="0"/>
        </w:rPr>
      </w:r>
      <w:r>
        <w:rPr/>
        <w:t>（</w:t>
      </w:r>
      <w:r>
        <w:rPr>
          <w:rFonts w:ascii="Times New Roman" w:hAnsi="Times New Roman" w:cs="Times New Roman" w:eastAsia="Times New Roman" w:hint="default"/>
        </w:rPr>
        <w:t>5</w:t>
      </w:r>
      <w:r>
        <w:rPr/>
        <w:t>）关联方资金拆借</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4"/>
        <w:gridCol w:w="1915"/>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957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拆入</w:t>
            </w:r>
          </w:p>
        </w:tc>
      </w:tr>
      <w:tr>
        <w:trPr>
          <w:trHeight w:val="402" w:hRule="exact"/>
        </w:trPr>
        <w:tc>
          <w:tcPr>
            <w:tcW w:w="957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拆出</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6）关联方资产转让、债务重组情况" w:id="448"/>
      <w:bookmarkEnd w:id="448"/>
      <w:r>
        <w:rPr>
          <w:b w:val="0"/>
          <w:bCs w:val="0"/>
        </w:rPr>
      </w: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7）关键管理人员报酬" w:id="449"/>
      <w:bookmarkEnd w:id="449"/>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8）其他关联交易" w:id="450"/>
      <w:bookmarkEnd w:id="450"/>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6、关联方应收应付款项" w:id="451"/>
      <w:bookmarkEnd w:id="451"/>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应收项目" w:id="452"/>
      <w:bookmarkEnd w:id="452"/>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1" w:hRule="exact"/>
        </w:trPr>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21"/>
              <w:jc w:val="left"/>
              <w:rPr>
                <w:rFonts w:ascii="宋体" w:hAnsi="宋体" w:cs="宋体" w:eastAsia="宋体" w:hint="default"/>
                <w:sz w:val="18"/>
                <w:szCs w:val="18"/>
              </w:rPr>
            </w:pPr>
            <w:r>
              <w:rPr>
                <w:rFonts w:ascii="宋体" w:hAnsi="宋体" w:cs="宋体" w:eastAsia="宋体" w:hint="default"/>
                <w:sz w:val="18"/>
                <w:szCs w:val="18"/>
              </w:rPr>
              <w:t>北京朝歌数码科 技股份有限公司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1,057.20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21"/>
              <w:jc w:val="left"/>
              <w:rPr>
                <w:rFonts w:ascii="宋体" w:hAnsi="宋体" w:cs="宋体" w:eastAsia="宋体" w:hint="default"/>
                <w:sz w:val="18"/>
                <w:szCs w:val="18"/>
              </w:rPr>
            </w:pPr>
            <w:r>
              <w:rPr>
                <w:rFonts w:ascii="宋体" w:hAnsi="宋体" w:cs="宋体" w:eastAsia="宋体" w:hint="default"/>
                <w:sz w:val="18"/>
                <w:szCs w:val="18"/>
              </w:rPr>
              <w:t>深圳市深创谷技 术服务有限公司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2,562,827.61</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1,430,103.52</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2"/>
              <w:ind w:left="103" w:right="354"/>
              <w:jc w:val="left"/>
              <w:rPr>
                <w:rFonts w:ascii="Times New Roman" w:hAnsi="Times New Roman" w:cs="Times New Roman" w:eastAsia="Times New Roman" w:hint="default"/>
                <w:sz w:val="18"/>
                <w:szCs w:val="18"/>
              </w:rPr>
            </w:pPr>
            <w:r>
              <w:rPr>
                <w:rFonts w:ascii="Times New Roman"/>
                <w:sz w:val="18"/>
              </w:rPr>
              <w:t>Itasca</w:t>
            </w:r>
            <w:r>
              <w:rPr>
                <w:rFonts w:ascii="Times New Roman"/>
                <w:spacing w:val="-1"/>
                <w:sz w:val="18"/>
              </w:rPr>
              <w:t> </w:t>
            </w:r>
            <w:r>
              <w:rPr>
                <w:rFonts w:ascii="Times New Roman"/>
                <w:sz w:val="18"/>
              </w:rPr>
              <w:t>Holdings</w:t>
            </w:r>
            <w:r>
              <w:rPr>
                <w:rFonts w:ascii="Times New Roman"/>
                <w:sz w:val="18"/>
              </w:rPr>
              <w:t> Ltd</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2,562,229.34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1,233,652.47</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21"/>
              <w:jc w:val="left"/>
              <w:rPr>
                <w:rFonts w:ascii="宋体" w:hAnsi="宋体" w:cs="宋体" w:eastAsia="宋体" w:hint="default"/>
                <w:sz w:val="18"/>
                <w:szCs w:val="18"/>
              </w:rPr>
            </w:pPr>
            <w:r>
              <w:rPr>
                <w:rFonts w:ascii="宋体" w:hAnsi="宋体" w:cs="宋体" w:eastAsia="宋体" w:hint="default"/>
                <w:sz w:val="18"/>
                <w:szCs w:val="18"/>
              </w:rPr>
              <w:t>深圳市深创谷技 术服务有限公司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1,808,927.99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1,964,921.82</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Haxis</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Labs(</w:t>
            </w:r>
            <w:r>
              <w:rPr>
                <w:rFonts w:ascii="宋体" w:hAnsi="宋体" w:cs="宋体" w:eastAsia="宋体" w:hint="default"/>
                <w:sz w:val="18"/>
                <w:szCs w:val="18"/>
              </w:rPr>
              <w:t>美国</w:t>
            </w:r>
            <w:r>
              <w:rPr>
                <w:rFonts w:ascii="Times New Roman" w:hAnsi="Times New Roman" w:cs="Times New Roman" w:eastAsia="Times New Roman" w:hint="default"/>
                <w:sz w:val="18"/>
                <w:szCs w:val="18"/>
              </w:rPr>
              <w:t>)</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1,306,840.00</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21"/>
              <w:jc w:val="left"/>
              <w:rPr>
                <w:rFonts w:ascii="宋体" w:hAnsi="宋体" w:cs="宋体" w:eastAsia="宋体" w:hint="default"/>
                <w:sz w:val="18"/>
                <w:szCs w:val="18"/>
              </w:rPr>
            </w:pPr>
            <w:r>
              <w:rPr>
                <w:rFonts w:ascii="宋体" w:hAnsi="宋体" w:cs="宋体" w:eastAsia="宋体" w:hint="default"/>
                <w:sz w:val="18"/>
                <w:szCs w:val="18"/>
              </w:rPr>
              <w:t>深创谷技术（香 港）有限公司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205,896.00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196,026.00</w:t>
            </w:r>
          </w:p>
        </w:tc>
        <w:tc>
          <w:tcPr>
            <w:tcW w:w="159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应付项目" w:id="453"/>
      <w:bookmarkEnd w:id="453"/>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1" w:right="119"/>
              <w:jc w:val="left"/>
              <w:rPr>
                <w:rFonts w:ascii="宋体" w:hAnsi="宋体" w:cs="宋体" w:eastAsia="宋体" w:hint="default"/>
                <w:sz w:val="18"/>
                <w:szCs w:val="18"/>
              </w:rPr>
            </w:pPr>
            <w:r>
              <w:rPr>
                <w:rFonts w:ascii="宋体" w:hAnsi="宋体" w:cs="宋体" w:eastAsia="宋体" w:hint="default"/>
                <w:sz w:val="18"/>
                <w:szCs w:val="18"/>
              </w:rPr>
              <w:t>翼智（厦门）信息科技有限 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1,170,000.00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1,170,000.00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1" w:right="119"/>
              <w:jc w:val="left"/>
              <w:rPr>
                <w:rFonts w:ascii="宋体" w:hAnsi="宋体" w:cs="宋体" w:eastAsia="宋体" w:hint="default"/>
                <w:sz w:val="18"/>
                <w:szCs w:val="18"/>
              </w:rPr>
            </w:pPr>
            <w:r>
              <w:rPr>
                <w:rFonts w:ascii="宋体" w:hAnsi="宋体" w:cs="宋体" w:eastAsia="宋体" w:hint="default"/>
                <w:sz w:val="18"/>
                <w:szCs w:val="18"/>
              </w:rPr>
              <w:t>深圳市格兰莫尔科技有限公 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330,852.98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197,300.78</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1" w:right="119"/>
              <w:jc w:val="left"/>
              <w:rPr>
                <w:rFonts w:ascii="宋体" w:hAnsi="宋体" w:cs="宋体" w:eastAsia="宋体" w:hint="default"/>
                <w:sz w:val="18"/>
                <w:szCs w:val="18"/>
              </w:rPr>
            </w:pPr>
            <w:r>
              <w:rPr>
                <w:rFonts w:ascii="宋体" w:hAnsi="宋体" w:cs="宋体" w:eastAsia="宋体" w:hint="default"/>
                <w:sz w:val="18"/>
                <w:szCs w:val="18"/>
              </w:rPr>
              <w:t>深圳市深创谷技术服务有限 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34,610.00</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7、关联方承诺" w:id="454"/>
      <w:bookmarkEnd w:id="454"/>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8、其他" w:id="455"/>
      <w:bookmarkEnd w:id="455"/>
      <w:r>
        <w:rPr>
          <w:b w:val="0"/>
          <w:bCs w:val="0"/>
        </w:rPr>
      </w:r>
      <w:r>
        <w:rPr>
          <w:rFonts w:ascii="Times New Roman" w:hAnsi="Times New Roman" w:cs="Times New Roman" w:eastAsia="Times New Roman" w:hint="default"/>
        </w:rPr>
        <w:t>8</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十三、股份支付" w:id="456"/>
      <w:bookmarkEnd w:id="456"/>
      <w:r>
        <w:rPr>
          <w:b w:val="0"/>
          <w:bCs w:val="0"/>
        </w:rPr>
      </w:r>
      <w:r>
        <w:rPr/>
        <w:t>十三、股份支付</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股份支付总体情况" w:id="457"/>
      <w:bookmarkEnd w:id="457"/>
      <w:r>
        <w:rPr>
          <w:b w:val="0"/>
          <w:bCs w:val="0"/>
        </w:rPr>
      </w:r>
      <w:r>
        <w:rPr>
          <w:rFonts w:ascii="Times New Roman" w:hAnsi="Times New Roman" w:cs="Times New Roman" w:eastAsia="Times New Roman" w:hint="default"/>
        </w:rPr>
        <w:t>1</w:t>
      </w:r>
      <w:r>
        <w:rPr/>
        <w:t>、股份支付总体情况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5455"/>
        <w:gridCol w:w="4114"/>
      </w:tblGrid>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1,067,500.00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8.79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,33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4.37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,33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以权益结算的股份支付情况" w:id="458"/>
      <w:bookmarkEnd w:id="458"/>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6"/>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984"/>
        <w:gridCol w:w="4585"/>
      </w:tblGrid>
      <w:tr>
        <w:trPr>
          <w:trHeight w:val="715"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150"/>
              <w:jc w:val="left"/>
              <w:rPr>
                <w:rFonts w:ascii="宋体" w:hAnsi="宋体" w:cs="宋体" w:eastAsia="宋体" w:hint="default"/>
                <w:sz w:val="18"/>
                <w:szCs w:val="18"/>
              </w:rPr>
            </w:pPr>
            <w:r>
              <w:rPr>
                <w:rFonts w:ascii="宋体" w:hAnsi="宋体" w:cs="宋体" w:eastAsia="宋体" w:hint="default"/>
                <w:sz w:val="18"/>
                <w:szCs w:val="18"/>
              </w:rPr>
              <w:t>本公司授予的股份期权采用授予日限制性股票的公允价 值定价</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预计可行权人数</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N/A</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5,469,040.11</w:t>
            </w:r>
          </w:p>
        </w:tc>
      </w:tr>
      <w:tr>
        <w:trPr>
          <w:trHeight w:val="403"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1,242,694.34</w:t>
            </w:r>
          </w:p>
        </w:tc>
      </w:tr>
    </w:tbl>
    <w:p>
      <w:pPr>
        <w:pStyle w:val="BodyText"/>
        <w:spacing w:line="240" w:lineRule="auto" w:before="51"/>
        <w:ind w:right="0"/>
        <w:jc w:val="left"/>
      </w:pPr>
      <w:r>
        <w:rPr/>
        <w:t>其他说明</w:t>
      </w:r>
    </w:p>
    <w:p>
      <w:pPr>
        <w:pStyle w:val="BodyText"/>
        <w:spacing w:line="316" w:lineRule="auto" w:before="115"/>
        <w:ind w:right="1120" w:firstLine="420"/>
        <w:jc w:val="left"/>
      </w:pPr>
      <w:r>
        <w:rPr/>
        <w:t>根据卓翼科技公司</w:t>
      </w:r>
      <w:r>
        <w:rPr>
          <w:rFonts w:ascii="宋体" w:hAnsi="宋体" w:cs="宋体" w:eastAsia="宋体" w:hint="default"/>
        </w:rPr>
        <w:t>2017</w:t>
      </w:r>
      <w:r>
        <w:rPr/>
        <w:t>年</w:t>
      </w:r>
      <w:r>
        <w:rPr>
          <w:rFonts w:ascii="宋体" w:hAnsi="宋体" w:cs="宋体" w:eastAsia="宋体" w:hint="default"/>
        </w:rPr>
        <w:t>9</w:t>
      </w:r>
      <w:r>
        <w:rPr/>
        <w:t>月</w:t>
      </w:r>
      <w:r>
        <w:rPr>
          <w:rFonts w:ascii="宋体" w:hAnsi="宋体" w:cs="宋体" w:eastAsia="宋体" w:hint="default"/>
        </w:rPr>
        <w:t>20</w:t>
      </w:r>
      <w:r>
        <w:rPr/>
        <w:t>日召开的公司第四届董事会第十二次会议以及</w:t>
      </w:r>
      <w:r>
        <w:rPr>
          <w:rFonts w:ascii="宋体" w:hAnsi="宋体" w:cs="宋体" w:eastAsia="宋体" w:hint="default"/>
        </w:rPr>
        <w:t>2017</w:t>
      </w:r>
      <w:r>
        <w:rPr/>
        <w:t>年</w:t>
      </w:r>
      <w:r>
        <w:rPr>
          <w:rFonts w:ascii="宋体" w:hAnsi="宋体" w:cs="宋体" w:eastAsia="宋体" w:hint="default"/>
        </w:rPr>
        <w:t>10</w:t>
      </w:r>
      <w:r>
        <w:rPr/>
        <w:t>月</w:t>
      </w:r>
      <w:r>
        <w:rPr>
          <w:rFonts w:ascii="宋体" w:hAnsi="宋体" w:cs="宋体" w:eastAsia="宋体" w:hint="default"/>
        </w:rPr>
        <w:t>18</w:t>
      </w:r>
      <w:r>
        <w:rPr/>
        <w:t>日召开的</w:t>
      </w:r>
      <w:r>
        <w:rPr>
          <w:rFonts w:ascii="宋体" w:hAnsi="宋体" w:cs="宋体" w:eastAsia="宋体" w:hint="default"/>
        </w:rPr>
        <w:t>2017</w:t>
      </w:r>
      <w:r>
        <w:rPr/>
        <w:t>年第二次临 时股东大会审议通过的</w:t>
      </w:r>
      <w:r>
        <w:rPr>
          <w:spacing w:val="14"/>
        </w:rPr>
        <w:t> </w:t>
      </w:r>
      <w:r>
        <w:rPr>
          <w:spacing w:val="-6"/>
        </w:rPr>
        <w:t>《深圳市卓翼科技股份有限公司</w:t>
      </w:r>
      <w:r>
        <w:rPr>
          <w:rFonts w:ascii="宋体" w:hAnsi="宋体" w:cs="宋体" w:eastAsia="宋体" w:hint="default"/>
          <w:spacing w:val="-6"/>
        </w:rPr>
        <w:t>2017</w:t>
      </w:r>
      <w:r>
        <w:rPr>
          <w:spacing w:val="-6"/>
        </w:rPr>
        <w:t>年股票期权与限制性股票激励计划（草案）</w:t>
      </w:r>
      <w:r>
        <w:rPr>
          <w:rFonts w:ascii="宋体" w:hAnsi="宋体" w:cs="宋体" w:eastAsia="宋体" w:hint="default"/>
          <w:spacing w:val="-6"/>
        </w:rPr>
        <w:t>&gt;</w:t>
      </w:r>
      <w:r>
        <w:rPr>
          <w:spacing w:val="-6"/>
        </w:rPr>
        <w:t>及其摘要》，《深圳</w:t>
      </w:r>
      <w:r>
        <w:rPr>
          <w:spacing w:val="-86"/>
        </w:rPr>
        <w:t> </w:t>
      </w:r>
      <w:r>
        <w:rPr>
          <w:spacing w:val="-86"/>
        </w:rPr>
      </w:r>
      <w:r>
        <w:rPr>
          <w:spacing w:val="-5"/>
        </w:rPr>
        <w:t>市卓翼科技股份有限公司</w:t>
      </w:r>
      <w:r>
        <w:rPr>
          <w:rFonts w:ascii="宋体" w:hAnsi="宋体" w:cs="宋体" w:eastAsia="宋体" w:hint="default"/>
          <w:spacing w:val="-5"/>
        </w:rPr>
        <w:t>2017</w:t>
      </w:r>
      <w:r>
        <w:rPr>
          <w:spacing w:val="-5"/>
        </w:rPr>
        <w:t>年股票期权与限制性股票激励计划实施考核方案管理办法》、《关于提请股东大会授权董事会办</w:t>
      </w:r>
      <w:r>
        <w:rPr>
          <w:spacing w:val="-67"/>
        </w:rPr>
        <w:t> </w:t>
      </w:r>
      <w:r>
        <w:rPr>
          <w:spacing w:val="-67"/>
        </w:rPr>
      </w:r>
      <w:r>
        <w:rPr>
          <w:spacing w:val="-2"/>
        </w:rPr>
        <w:t>理公司</w:t>
      </w:r>
      <w:r>
        <w:rPr>
          <w:rFonts w:ascii="宋体" w:hAnsi="宋体" w:cs="宋体" w:eastAsia="宋体" w:hint="default"/>
          <w:spacing w:val="-2"/>
        </w:rPr>
        <w:t>2017</w:t>
      </w:r>
      <w:r>
        <w:rPr>
          <w:spacing w:val="-2"/>
        </w:rPr>
        <w:t>年股票期权与限制性股票激励计划有关事项的议案》，激励计划的具体内容、实施情况以及成本费用的确认情况</w:t>
      </w:r>
      <w:r>
        <w:rPr>
          <w:spacing w:val="-68"/>
        </w:rPr>
        <w:t> </w:t>
      </w:r>
      <w:r>
        <w:rPr>
          <w:spacing w:val="-68"/>
        </w:rPr>
      </w:r>
      <w:r>
        <w:rPr/>
        <w:t>如下：</w:t>
      </w:r>
    </w:p>
    <w:p>
      <w:pPr>
        <w:pStyle w:val="BodyText"/>
        <w:spacing w:line="316" w:lineRule="auto" w:before="19"/>
        <w:ind w:left="574" w:right="1152"/>
        <w:jc w:val="left"/>
      </w:pPr>
      <w:r>
        <w:rPr>
          <w:rFonts w:ascii="宋体" w:hAnsi="宋体" w:cs="宋体" w:eastAsia="宋体" w:hint="default"/>
        </w:rPr>
        <w:t>1</w:t>
      </w:r>
      <w:r>
        <w:rPr/>
        <w:t>、计划具体内容 计划采用的激励形式为股票期权激励计划和限制性股票激励计划，股票来源为本公司向激励对象定向发行新股。激励</w:t>
      </w:r>
    </w:p>
    <w:p>
      <w:pPr>
        <w:pStyle w:val="BodyText"/>
        <w:spacing w:line="316" w:lineRule="auto" w:before="19"/>
        <w:ind w:right="1122"/>
        <w:jc w:val="left"/>
      </w:pPr>
      <w:r>
        <w:rPr/>
        <w:t>对象包括公司董事、高级管理人员、中层管理人员以及公司认定的核心技术（业务）人员共</w:t>
      </w:r>
      <w:r>
        <w:rPr>
          <w:rFonts w:ascii="宋体" w:hAnsi="宋体" w:cs="宋体" w:eastAsia="宋体" w:hint="default"/>
        </w:rPr>
        <w:t>165</w:t>
      </w:r>
      <w:r>
        <w:rPr/>
        <w:t>人（不包括独立董事、监事 </w:t>
      </w:r>
      <w:r>
        <w:rPr>
          <w:spacing w:val="-3"/>
        </w:rPr>
        <w:t>及单独或合计持有公司</w:t>
      </w:r>
      <w:r>
        <w:rPr>
          <w:rFonts w:ascii="宋体" w:hAnsi="宋体" w:cs="宋体" w:eastAsia="宋体" w:hint="default"/>
          <w:spacing w:val="-3"/>
        </w:rPr>
        <w:t>5%</w:t>
      </w:r>
      <w:r>
        <w:rPr>
          <w:spacing w:val="-3"/>
        </w:rPr>
        <w:t>以上股份的股东或实际控制人及其配偶、父母、子女）。</w:t>
      </w:r>
    </w:p>
    <w:p>
      <w:pPr>
        <w:spacing w:after="0" w:line="316" w:lineRule="auto"/>
        <w:jc w:val="left"/>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240" w:lineRule="auto" w:before="44"/>
        <w:ind w:left="574" w:right="0"/>
        <w:jc w:val="left"/>
      </w:pPr>
      <w:r>
        <w:rPr>
          <w:rFonts w:ascii="宋体" w:hAnsi="宋体" w:cs="宋体" w:eastAsia="宋体" w:hint="default"/>
        </w:rPr>
        <w:t>1.1</w:t>
      </w:r>
      <w:r>
        <w:rPr/>
        <w:t>股票期权激励计划</w:t>
      </w:r>
    </w:p>
    <w:p>
      <w:pPr>
        <w:pStyle w:val="BodyText"/>
        <w:spacing w:line="316" w:lineRule="auto" w:before="76"/>
        <w:ind w:right="1152" w:firstLine="420"/>
        <w:jc w:val="left"/>
      </w:pPr>
      <w:r>
        <w:rPr/>
        <w:t>（</w:t>
      </w:r>
      <w:r>
        <w:rPr>
          <w:rFonts w:ascii="宋体" w:hAnsi="宋体" w:cs="宋体" w:eastAsia="宋体" w:hint="default"/>
        </w:rPr>
        <w:t>1</w:t>
      </w:r>
      <w:r>
        <w:rPr/>
        <w:t>）计划拟授予的股票期权总数为</w:t>
      </w:r>
      <w:r>
        <w:rPr>
          <w:rFonts w:ascii="宋体" w:hAnsi="宋体" w:cs="宋体" w:eastAsia="宋体" w:hint="default"/>
        </w:rPr>
        <w:t>1,180</w:t>
      </w:r>
      <w:r>
        <w:rPr/>
        <w:t>万股，每份股票期权在满足行权条件的情况下，拥有在有效期内以获授价格 获授</w:t>
      </w:r>
      <w:r>
        <w:rPr>
          <w:rFonts w:ascii="宋体" w:hAnsi="宋体" w:cs="宋体" w:eastAsia="宋体" w:hint="default"/>
        </w:rPr>
        <w:t>1</w:t>
      </w:r>
      <w:r>
        <w:rPr/>
        <w:t>股公司股票的权利。</w:t>
      </w:r>
    </w:p>
    <w:p>
      <w:pPr>
        <w:pStyle w:val="BodyText"/>
        <w:spacing w:line="319" w:lineRule="auto" w:before="19"/>
        <w:ind w:right="1152" w:firstLine="420"/>
        <w:jc w:val="left"/>
      </w:pPr>
      <w:r>
        <w:rPr/>
        <w:t>（</w:t>
      </w:r>
      <w:r>
        <w:rPr>
          <w:rFonts w:ascii="宋体" w:hAnsi="宋体" w:cs="宋体" w:eastAsia="宋体" w:hint="default"/>
        </w:rPr>
        <w:t>2</w:t>
      </w:r>
      <w:r>
        <w:rPr/>
        <w:t>）激励计划授予的股票期权的行权价格为</w:t>
      </w:r>
      <w:r>
        <w:rPr>
          <w:rFonts w:ascii="宋体" w:hAnsi="宋体" w:cs="宋体" w:eastAsia="宋体" w:hint="default"/>
        </w:rPr>
        <w:t>8.85</w:t>
      </w:r>
      <w:r>
        <w:rPr/>
        <w:t>元</w:t>
      </w:r>
      <w:r>
        <w:rPr>
          <w:rFonts w:ascii="宋体" w:hAnsi="宋体" w:cs="宋体" w:eastAsia="宋体" w:hint="default"/>
        </w:rPr>
        <w:t>/</w:t>
      </w:r>
      <w:r>
        <w:rPr/>
        <w:t>股。股票期权激励计划有效期为授予登记完成之日至激励对象获 授的股票期权全部行权或注销之日止，最长不超过</w:t>
      </w:r>
      <w:r>
        <w:rPr>
          <w:rFonts w:ascii="宋体" w:hAnsi="宋体" w:cs="宋体" w:eastAsia="宋体" w:hint="default"/>
        </w:rPr>
        <w:t>48</w:t>
      </w:r>
      <w:r>
        <w:rPr/>
        <w:t>月。</w:t>
      </w:r>
    </w:p>
    <w:p>
      <w:pPr>
        <w:pStyle w:val="BodyText"/>
        <w:spacing w:line="240" w:lineRule="auto" w:before="17"/>
        <w:ind w:left="577" w:right="0"/>
        <w:jc w:val="left"/>
      </w:pPr>
      <w:r>
        <w:rPr/>
        <w:t>（</w:t>
      </w:r>
      <w:r>
        <w:rPr>
          <w:rFonts w:ascii="宋体" w:hAnsi="宋体" w:cs="宋体" w:eastAsia="宋体" w:hint="default"/>
        </w:rPr>
        <w:t>3</w:t>
      </w:r>
      <w:r>
        <w:rPr/>
        <w:t>）股票期权激励计划首次授予激励对象的股票期权分三期行权。</w:t>
      </w:r>
    </w:p>
    <w:p>
      <w:pPr>
        <w:spacing w:line="240" w:lineRule="auto" w:before="0"/>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1384"/>
        <w:gridCol w:w="5671"/>
        <w:gridCol w:w="1470"/>
      </w:tblGrid>
      <w:tr>
        <w:trPr>
          <w:trHeight w:val="966" w:hRule="exact"/>
        </w:trPr>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行权期</w:t>
            </w:r>
            <w:r>
              <w:rPr>
                <w:rFonts w:ascii="宋体" w:hAnsi="宋体" w:cs="宋体" w:eastAsia="宋体" w:hint="default"/>
                <w:sz w:val="18"/>
                <w:szCs w:val="18"/>
              </w:rPr>
            </w:r>
          </w:p>
        </w:tc>
        <w:tc>
          <w:tcPr>
            <w:tcW w:w="5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b/>
                <w:bCs/>
                <w:sz w:val="18"/>
                <w:szCs w:val="18"/>
              </w:rPr>
              <w:t>行权时间</w:t>
            </w:r>
            <w:r>
              <w:rPr>
                <w:rFonts w:ascii="宋体" w:hAnsi="宋体" w:cs="宋体" w:eastAsia="宋体" w:hint="default"/>
                <w:sz w:val="18"/>
                <w:szCs w:val="18"/>
              </w:rPr>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b/>
                <w:bCs/>
                <w:sz w:val="18"/>
                <w:szCs w:val="18"/>
              </w:rPr>
              <w:t>行权比例</w:t>
            </w:r>
            <w:r>
              <w:rPr>
                <w:rFonts w:ascii="宋体" w:hAnsi="宋体" w:cs="宋体" w:eastAsia="宋体" w:hint="default"/>
                <w:sz w:val="18"/>
                <w:szCs w:val="18"/>
              </w:rPr>
            </w:r>
          </w:p>
        </w:tc>
      </w:tr>
      <w:tr>
        <w:trPr>
          <w:trHeight w:val="654" w:hRule="exact"/>
        </w:trPr>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第一个行权期</w:t>
            </w:r>
          </w:p>
        </w:tc>
        <w:tc>
          <w:tcPr>
            <w:tcW w:w="56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5" w:right="72"/>
              <w:jc w:val="left"/>
              <w:rPr>
                <w:rFonts w:ascii="宋体" w:hAnsi="宋体" w:cs="宋体" w:eastAsia="宋体" w:hint="default"/>
                <w:sz w:val="18"/>
                <w:szCs w:val="18"/>
              </w:rPr>
            </w:pPr>
            <w:r>
              <w:rPr>
                <w:rFonts w:ascii="宋体" w:hAnsi="宋体" w:cs="宋体" w:eastAsia="宋体" w:hint="default"/>
                <w:sz w:val="18"/>
                <w:szCs w:val="18"/>
              </w:rPr>
              <w:t>自首次授予日起满</w:t>
            </w:r>
            <w:r>
              <w:rPr>
                <w:rFonts w:ascii="宋体" w:hAnsi="宋体" w:cs="宋体" w:eastAsia="宋体" w:hint="default"/>
                <w:sz w:val="18"/>
                <w:szCs w:val="18"/>
              </w:rPr>
              <w:t>12</w:t>
            </w:r>
            <w:r>
              <w:rPr>
                <w:rFonts w:ascii="宋体" w:hAnsi="宋体" w:cs="宋体" w:eastAsia="宋体" w:hint="default"/>
                <w:sz w:val="18"/>
                <w:szCs w:val="18"/>
              </w:rPr>
              <w:t>个月后的首个交易日起至首次授予日起</w:t>
            </w:r>
            <w:r>
              <w:rPr>
                <w:rFonts w:ascii="宋体" w:hAnsi="宋体" w:cs="宋体" w:eastAsia="宋体" w:hint="default"/>
                <w:sz w:val="18"/>
                <w:szCs w:val="18"/>
              </w:rPr>
              <w:t>24</w:t>
            </w:r>
            <w:r>
              <w:rPr>
                <w:rFonts w:ascii="宋体" w:hAnsi="宋体" w:cs="宋体" w:eastAsia="宋体" w:hint="default"/>
                <w:sz w:val="18"/>
                <w:szCs w:val="18"/>
              </w:rPr>
              <w:t>个月内的 最后一个交易日止；</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sz w:val="18"/>
              </w:rPr>
              <w:t>25%</w:t>
            </w:r>
          </w:p>
        </w:tc>
      </w:tr>
      <w:tr>
        <w:trPr>
          <w:trHeight w:val="654" w:hRule="exact"/>
        </w:trPr>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第二个行权期</w:t>
            </w:r>
          </w:p>
        </w:tc>
        <w:tc>
          <w:tcPr>
            <w:tcW w:w="56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5" w:right="72"/>
              <w:jc w:val="left"/>
              <w:rPr>
                <w:rFonts w:ascii="宋体" w:hAnsi="宋体" w:cs="宋体" w:eastAsia="宋体" w:hint="default"/>
                <w:sz w:val="18"/>
                <w:szCs w:val="18"/>
              </w:rPr>
            </w:pPr>
            <w:r>
              <w:rPr>
                <w:rFonts w:ascii="宋体" w:hAnsi="宋体" w:cs="宋体" w:eastAsia="宋体" w:hint="default"/>
                <w:sz w:val="18"/>
                <w:szCs w:val="18"/>
              </w:rPr>
              <w:t>自首次授予日起满</w:t>
            </w:r>
            <w:r>
              <w:rPr>
                <w:rFonts w:ascii="宋体" w:hAnsi="宋体" w:cs="宋体" w:eastAsia="宋体" w:hint="default"/>
                <w:sz w:val="18"/>
                <w:szCs w:val="18"/>
              </w:rPr>
              <w:t>24</w:t>
            </w:r>
            <w:r>
              <w:rPr>
                <w:rFonts w:ascii="宋体" w:hAnsi="宋体" w:cs="宋体" w:eastAsia="宋体" w:hint="default"/>
                <w:sz w:val="18"/>
                <w:szCs w:val="18"/>
              </w:rPr>
              <w:t>个月后的首个交易日起至首次授予日起</w:t>
            </w:r>
            <w:r>
              <w:rPr>
                <w:rFonts w:ascii="宋体" w:hAnsi="宋体" w:cs="宋体" w:eastAsia="宋体" w:hint="default"/>
                <w:sz w:val="18"/>
                <w:szCs w:val="18"/>
              </w:rPr>
              <w:t>36</w:t>
            </w:r>
            <w:r>
              <w:rPr>
                <w:rFonts w:ascii="宋体" w:hAnsi="宋体" w:cs="宋体" w:eastAsia="宋体" w:hint="default"/>
                <w:sz w:val="18"/>
                <w:szCs w:val="18"/>
              </w:rPr>
              <w:t>个月内的 最后一个交易日止；</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sz w:val="18"/>
              </w:rPr>
              <w:t>40%</w:t>
            </w:r>
          </w:p>
        </w:tc>
      </w:tr>
      <w:tr>
        <w:trPr>
          <w:trHeight w:val="654" w:hRule="exact"/>
        </w:trPr>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第三个行权期</w:t>
            </w:r>
          </w:p>
        </w:tc>
        <w:tc>
          <w:tcPr>
            <w:tcW w:w="56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5" w:right="72"/>
              <w:jc w:val="left"/>
              <w:rPr>
                <w:rFonts w:ascii="宋体" w:hAnsi="宋体" w:cs="宋体" w:eastAsia="宋体" w:hint="default"/>
                <w:sz w:val="18"/>
                <w:szCs w:val="18"/>
              </w:rPr>
            </w:pPr>
            <w:r>
              <w:rPr>
                <w:rFonts w:ascii="宋体" w:hAnsi="宋体" w:cs="宋体" w:eastAsia="宋体" w:hint="default"/>
                <w:sz w:val="18"/>
                <w:szCs w:val="18"/>
              </w:rPr>
              <w:t>自首次授予日起满</w:t>
            </w:r>
            <w:r>
              <w:rPr>
                <w:rFonts w:ascii="宋体" w:hAnsi="宋体" w:cs="宋体" w:eastAsia="宋体" w:hint="default"/>
                <w:sz w:val="18"/>
                <w:szCs w:val="18"/>
              </w:rPr>
              <w:t>36</w:t>
            </w:r>
            <w:r>
              <w:rPr>
                <w:rFonts w:ascii="宋体" w:hAnsi="宋体" w:cs="宋体" w:eastAsia="宋体" w:hint="default"/>
                <w:sz w:val="18"/>
                <w:szCs w:val="18"/>
              </w:rPr>
              <w:t>个月后的首个交易日起至首次授予日起</w:t>
            </w:r>
            <w:r>
              <w:rPr>
                <w:rFonts w:ascii="宋体" w:hAnsi="宋体" w:cs="宋体" w:eastAsia="宋体" w:hint="default"/>
                <w:sz w:val="18"/>
                <w:szCs w:val="18"/>
              </w:rPr>
              <w:t>48</w:t>
            </w:r>
            <w:r>
              <w:rPr>
                <w:rFonts w:ascii="宋体" w:hAnsi="宋体" w:cs="宋体" w:eastAsia="宋体" w:hint="default"/>
                <w:sz w:val="18"/>
                <w:szCs w:val="18"/>
              </w:rPr>
              <w:t>个月内的 最后一个交易日止；</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sz w:val="18"/>
              </w:rPr>
              <w:t>35%</w:t>
            </w:r>
          </w:p>
        </w:tc>
      </w:tr>
    </w:tbl>
    <w:p>
      <w:pPr>
        <w:pStyle w:val="BodyText"/>
        <w:spacing w:line="316" w:lineRule="auto" w:before="10"/>
        <w:ind w:left="574" w:right="7812" w:firstLine="3"/>
        <w:jc w:val="left"/>
      </w:pPr>
      <w:r>
        <w:rPr/>
        <w:t>（</w:t>
      </w:r>
      <w:r>
        <w:rPr>
          <w:rFonts w:ascii="宋体" w:hAnsi="宋体" w:cs="宋体" w:eastAsia="宋体" w:hint="default"/>
        </w:rPr>
        <w:t>4</w:t>
      </w:r>
      <w:r>
        <w:rPr/>
        <w:t>）主要行权条件 授予股票期权各期的行权条件：</w:t>
      </w:r>
    </w:p>
    <w:p>
      <w:pPr>
        <w:pStyle w:val="BodyText"/>
        <w:spacing w:line="316" w:lineRule="auto" w:before="19"/>
        <w:ind w:left="574" w:right="4752"/>
        <w:jc w:val="left"/>
      </w:pPr>
      <w:r>
        <w:rPr/>
        <w:t>行权期间，同时满足下列条件时，激励对象获授的股票期权方可行权。 </w:t>
      </w:r>
      <w:r>
        <w:rPr>
          <w:rFonts w:ascii="宋体" w:hAnsi="宋体" w:cs="宋体" w:eastAsia="宋体" w:hint="default"/>
        </w:rPr>
        <w:t>A.</w:t>
      </w:r>
      <w:r>
        <w:rPr>
          <w:rFonts w:ascii="宋体" w:hAnsi="宋体" w:cs="宋体" w:eastAsia="宋体" w:hint="default"/>
          <w:spacing w:val="-19"/>
        </w:rPr>
        <w:t> </w:t>
      </w:r>
      <w:r>
        <w:rPr/>
        <w:t>公司未发生以下任一情形：</w:t>
      </w:r>
    </w:p>
    <w:p>
      <w:pPr>
        <w:pStyle w:val="BodyText"/>
        <w:spacing w:line="240" w:lineRule="auto" w:before="19"/>
        <w:ind w:left="574" w:right="0"/>
        <w:jc w:val="left"/>
      </w:pPr>
      <w:r>
        <w:rPr/>
        <w:t>①最近一个会计年度财务会计报告被注册会计师出具否定意见或者无法表示意见的审计报告；</w:t>
      </w:r>
    </w:p>
    <w:p>
      <w:pPr>
        <w:pStyle w:val="BodyText"/>
        <w:spacing w:line="240" w:lineRule="auto" w:before="76"/>
        <w:ind w:left="574" w:right="0"/>
        <w:jc w:val="left"/>
      </w:pPr>
      <w:r>
        <w:rPr/>
        <w:t>②最近一个会计年度财务报告内部控制被注册会计师出具否定意见或者无法表示意见的审计报告；</w:t>
      </w:r>
    </w:p>
    <w:p>
      <w:pPr>
        <w:pStyle w:val="BodyText"/>
        <w:spacing w:line="240" w:lineRule="auto" w:before="76"/>
        <w:ind w:left="574" w:right="0"/>
        <w:jc w:val="left"/>
      </w:pPr>
      <w:r>
        <w:rPr/>
        <w:t>③上市后最近 </w:t>
      </w:r>
      <w:r>
        <w:rPr>
          <w:rFonts w:ascii="宋体" w:hAnsi="宋体" w:cs="宋体" w:eastAsia="宋体" w:hint="default"/>
        </w:rPr>
        <w:t>36 </w:t>
      </w:r>
      <w:r>
        <w:rPr/>
        <w:t>个月内出现过未按法律法规、公司章程、公开承诺进行利润分配的情形；</w:t>
      </w:r>
    </w:p>
    <w:p>
      <w:pPr>
        <w:pStyle w:val="BodyText"/>
        <w:spacing w:line="240" w:lineRule="auto" w:before="77"/>
        <w:ind w:left="574" w:right="0"/>
        <w:jc w:val="left"/>
      </w:pPr>
      <w:r>
        <w:rPr/>
        <w:t>④法律法规规定不得实行股权激励的；</w:t>
      </w:r>
    </w:p>
    <w:p>
      <w:pPr>
        <w:pStyle w:val="BodyText"/>
        <w:spacing w:line="240" w:lineRule="auto" w:before="76"/>
        <w:ind w:left="574" w:right="0"/>
        <w:jc w:val="left"/>
      </w:pPr>
      <w:r>
        <w:rPr/>
        <w:t>⑤中国证监会认定的其他情形。</w:t>
      </w:r>
    </w:p>
    <w:p>
      <w:pPr>
        <w:pStyle w:val="BodyText"/>
        <w:spacing w:line="240" w:lineRule="auto" w:before="76"/>
        <w:ind w:left="574" w:right="0"/>
        <w:jc w:val="left"/>
      </w:pPr>
      <w:r>
        <w:rPr>
          <w:rFonts w:ascii="宋体" w:hAnsi="宋体" w:cs="宋体" w:eastAsia="宋体" w:hint="default"/>
        </w:rPr>
        <w:t>B.</w:t>
      </w:r>
      <w:r>
        <w:rPr>
          <w:rFonts w:ascii="宋体" w:hAnsi="宋体" w:cs="宋体" w:eastAsia="宋体" w:hint="default"/>
          <w:spacing w:val="-19"/>
        </w:rPr>
        <w:t> </w:t>
      </w:r>
      <w:r>
        <w:rPr/>
        <w:t>激励对象未发生以下任一情形：</w:t>
      </w:r>
    </w:p>
    <w:p>
      <w:pPr>
        <w:pStyle w:val="BodyText"/>
        <w:spacing w:line="240" w:lineRule="auto" w:before="76"/>
        <w:ind w:left="574" w:right="0"/>
        <w:jc w:val="left"/>
      </w:pPr>
      <w:r>
        <w:rPr/>
        <w:t>①最近 </w:t>
      </w:r>
      <w:r>
        <w:rPr>
          <w:rFonts w:ascii="宋体" w:hAnsi="宋体" w:cs="宋体" w:eastAsia="宋体" w:hint="default"/>
        </w:rPr>
        <w:t>12 </w:t>
      </w:r>
      <w:r>
        <w:rPr/>
        <w:t>个月内被证券交易所认定为不适当人选；</w:t>
      </w:r>
    </w:p>
    <w:p>
      <w:pPr>
        <w:pStyle w:val="BodyText"/>
        <w:spacing w:line="240" w:lineRule="auto" w:before="76"/>
        <w:ind w:left="574" w:right="0"/>
        <w:jc w:val="left"/>
      </w:pPr>
      <w:r>
        <w:rPr/>
        <w:t>②最近 </w:t>
      </w:r>
      <w:r>
        <w:rPr>
          <w:rFonts w:ascii="宋体" w:hAnsi="宋体" w:cs="宋体" w:eastAsia="宋体" w:hint="default"/>
        </w:rPr>
        <w:t>12 </w:t>
      </w:r>
      <w:r>
        <w:rPr/>
        <w:t>个月内被中国证监会及其派出机构认定为不适当人选；</w:t>
      </w:r>
    </w:p>
    <w:p>
      <w:pPr>
        <w:pStyle w:val="BodyText"/>
        <w:spacing w:line="240" w:lineRule="auto" w:before="76"/>
        <w:ind w:left="574" w:right="0"/>
        <w:jc w:val="left"/>
      </w:pPr>
      <w:r>
        <w:rPr/>
        <w:t>③最近 </w:t>
      </w:r>
      <w:r>
        <w:rPr>
          <w:rFonts w:ascii="宋体" w:hAnsi="宋体" w:cs="宋体" w:eastAsia="宋体" w:hint="default"/>
        </w:rPr>
        <w:t>12 </w:t>
      </w:r>
      <w:r>
        <w:rPr/>
        <w:t>个月内因重大违法违规行为被中国证监会及其派出机构行政处罚或者采取市场禁入措施；</w:t>
      </w:r>
    </w:p>
    <w:p>
      <w:pPr>
        <w:pStyle w:val="BodyText"/>
        <w:spacing w:line="240" w:lineRule="auto" w:before="76"/>
        <w:ind w:left="574" w:right="0"/>
        <w:jc w:val="left"/>
      </w:pPr>
      <w:r>
        <w:rPr/>
        <w:t>④具有《公司法》规定的不得担任公司董事、高级管理人员情形的；</w:t>
      </w:r>
    </w:p>
    <w:p>
      <w:pPr>
        <w:pStyle w:val="BodyText"/>
        <w:spacing w:line="240" w:lineRule="auto" w:before="76"/>
        <w:ind w:left="574" w:right="0"/>
        <w:jc w:val="left"/>
      </w:pPr>
      <w:r>
        <w:rPr/>
        <w:t>⑤法律法规规定不得参与上市公司股权激励的；</w:t>
      </w:r>
    </w:p>
    <w:p>
      <w:pPr>
        <w:pStyle w:val="BodyText"/>
        <w:spacing w:line="316" w:lineRule="auto" w:before="76"/>
        <w:ind w:left="574" w:right="7812"/>
        <w:jc w:val="left"/>
      </w:pPr>
      <w:r>
        <w:rPr/>
        <w:t>⑥中国证监会认定的其他情形。 </w:t>
      </w:r>
      <w:r>
        <w:rPr>
          <w:rFonts w:ascii="宋体" w:hAnsi="宋体" w:cs="宋体" w:eastAsia="宋体" w:hint="default"/>
        </w:rPr>
        <w:t>C.</w:t>
      </w:r>
      <w:r>
        <w:rPr>
          <w:rFonts w:ascii="宋体" w:hAnsi="宋体" w:cs="宋体" w:eastAsia="宋体" w:hint="default"/>
          <w:spacing w:val="-19"/>
        </w:rPr>
        <w:t> </w:t>
      </w:r>
      <w:r>
        <w:rPr/>
        <w:t>公司层面业绩考核要求</w:t>
      </w:r>
    </w:p>
    <w:p>
      <w:pPr>
        <w:pStyle w:val="BodyText"/>
        <w:spacing w:line="240" w:lineRule="auto" w:before="19"/>
        <w:ind w:left="574" w:right="0"/>
        <w:jc w:val="left"/>
      </w:pPr>
      <w:r>
        <w:rPr/>
        <w:t>激励计划有效期内，本计划授予的股票期权行权的公司业绩指标如下表所示：</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2842"/>
        <w:gridCol w:w="5828"/>
      </w:tblGrid>
      <w:tr>
        <w:trPr>
          <w:trHeight w:val="355" w:hRule="exact"/>
        </w:trPr>
        <w:tc>
          <w:tcPr>
            <w:tcW w:w="28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b/>
                <w:bCs/>
                <w:sz w:val="18"/>
                <w:szCs w:val="18"/>
              </w:rPr>
              <w:t>行权期</w:t>
            </w:r>
            <w:r>
              <w:rPr>
                <w:rFonts w:ascii="宋体" w:hAnsi="宋体" w:cs="宋体" w:eastAsia="宋体" w:hint="default"/>
                <w:sz w:val="18"/>
                <w:szCs w:val="18"/>
              </w:rPr>
            </w:r>
          </w:p>
        </w:tc>
        <w:tc>
          <w:tcPr>
            <w:tcW w:w="5828"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right="4"/>
              <w:jc w:val="center"/>
              <w:rPr>
                <w:rFonts w:ascii="宋体" w:hAnsi="宋体" w:cs="宋体" w:eastAsia="宋体" w:hint="default"/>
                <w:sz w:val="18"/>
                <w:szCs w:val="18"/>
              </w:rPr>
            </w:pPr>
            <w:r>
              <w:rPr>
                <w:rFonts w:ascii="宋体" w:hAnsi="宋体" w:cs="宋体" w:eastAsia="宋体" w:hint="default"/>
                <w:b/>
                <w:bCs/>
                <w:sz w:val="18"/>
                <w:szCs w:val="18"/>
              </w:rPr>
              <w:t>业绩考核指标</w:t>
            </w:r>
            <w:r>
              <w:rPr>
                <w:rFonts w:ascii="宋体" w:hAnsi="宋体" w:cs="宋体" w:eastAsia="宋体" w:hint="default"/>
                <w:sz w:val="18"/>
                <w:szCs w:val="18"/>
              </w:rPr>
            </w:r>
          </w:p>
        </w:tc>
      </w:tr>
      <w:tr>
        <w:trPr>
          <w:trHeight w:val="665" w:hRule="exact"/>
        </w:trPr>
        <w:tc>
          <w:tcPr>
            <w:tcW w:w="28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第一个行权期</w:t>
            </w:r>
          </w:p>
        </w:tc>
        <w:tc>
          <w:tcPr>
            <w:tcW w:w="5828" w:type="dxa"/>
            <w:tcBorders>
              <w:top w:val="single" w:sz="12" w:space="0" w:color="000000"/>
              <w:left w:val="single" w:sz="6" w:space="0" w:color="000000"/>
              <w:bottom w:val="single" w:sz="12" w:space="0" w:color="000000"/>
              <w:right w:val="nil" w:sz="6" w:space="0" w:color="auto"/>
            </w:tcBorders>
          </w:tcPr>
          <w:p>
            <w:pPr>
              <w:pStyle w:val="TableParagraph"/>
              <w:spacing w:line="316" w:lineRule="auto" w:before="10"/>
              <w:ind w:left="3" w:right="54"/>
              <w:jc w:val="left"/>
              <w:rPr>
                <w:rFonts w:ascii="宋体" w:hAnsi="宋体" w:cs="宋体" w:eastAsia="宋体" w:hint="default"/>
                <w:sz w:val="18"/>
                <w:szCs w:val="18"/>
              </w:rPr>
            </w:pPr>
            <w:r>
              <w:rPr>
                <w:rFonts w:ascii="宋体" w:hAnsi="宋体" w:cs="宋体" w:eastAsia="宋体" w:hint="default"/>
                <w:sz w:val="18"/>
                <w:szCs w:val="18"/>
              </w:rPr>
              <w:t>以公司</w:t>
            </w:r>
            <w:r>
              <w:rPr>
                <w:rFonts w:ascii="宋体" w:hAnsi="宋体" w:cs="宋体" w:eastAsia="宋体" w:hint="default"/>
                <w:sz w:val="18"/>
                <w:szCs w:val="18"/>
              </w:rPr>
              <w:t>2016</w:t>
            </w:r>
            <w:r>
              <w:rPr>
                <w:rFonts w:ascii="宋体" w:hAnsi="宋体" w:cs="宋体" w:eastAsia="宋体" w:hint="default"/>
                <w:sz w:val="18"/>
                <w:szCs w:val="18"/>
              </w:rPr>
              <w:t>年归属于母公司股东的净利润为基数，</w:t>
            </w:r>
            <w:r>
              <w:rPr>
                <w:rFonts w:ascii="宋体" w:hAnsi="宋体" w:cs="宋体" w:eastAsia="宋体" w:hint="default"/>
                <w:sz w:val="18"/>
                <w:szCs w:val="18"/>
              </w:rPr>
              <w:t>2017</w:t>
            </w:r>
            <w:r>
              <w:rPr>
                <w:rFonts w:ascii="宋体" w:hAnsi="宋体" w:cs="宋体" w:eastAsia="宋体" w:hint="default"/>
                <w:sz w:val="18"/>
                <w:szCs w:val="18"/>
              </w:rPr>
              <w:t>年剔除股权激励影 响后归属于母公司股东的净利润增长率不低于</w:t>
            </w:r>
            <w:r>
              <w:rPr>
                <w:rFonts w:ascii="宋体" w:hAnsi="宋体" w:cs="宋体" w:eastAsia="宋体" w:hint="default"/>
                <w:sz w:val="18"/>
                <w:szCs w:val="18"/>
              </w:rPr>
              <w:t>108.33%</w:t>
            </w:r>
          </w:p>
        </w:tc>
      </w:tr>
      <w:tr>
        <w:trPr>
          <w:trHeight w:val="664" w:hRule="exact"/>
        </w:trPr>
        <w:tc>
          <w:tcPr>
            <w:tcW w:w="28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第二个行权期</w:t>
            </w:r>
          </w:p>
        </w:tc>
        <w:tc>
          <w:tcPr>
            <w:tcW w:w="5828" w:type="dxa"/>
            <w:tcBorders>
              <w:top w:val="single" w:sz="12" w:space="0" w:color="000000"/>
              <w:left w:val="single" w:sz="6" w:space="0" w:color="000000"/>
              <w:bottom w:val="single" w:sz="12" w:space="0" w:color="000000"/>
              <w:right w:val="nil" w:sz="6" w:space="0" w:color="auto"/>
            </w:tcBorders>
          </w:tcPr>
          <w:p>
            <w:pPr>
              <w:pStyle w:val="TableParagraph"/>
              <w:spacing w:line="316" w:lineRule="auto" w:before="10"/>
              <w:ind w:left="3" w:right="54"/>
              <w:jc w:val="left"/>
              <w:rPr>
                <w:rFonts w:ascii="宋体" w:hAnsi="宋体" w:cs="宋体" w:eastAsia="宋体" w:hint="default"/>
                <w:sz w:val="18"/>
                <w:szCs w:val="18"/>
              </w:rPr>
            </w:pPr>
            <w:r>
              <w:rPr>
                <w:rFonts w:ascii="宋体" w:hAnsi="宋体" w:cs="宋体" w:eastAsia="宋体" w:hint="default"/>
                <w:sz w:val="18"/>
                <w:szCs w:val="18"/>
              </w:rPr>
              <w:t>以公司</w:t>
            </w:r>
            <w:r>
              <w:rPr>
                <w:rFonts w:ascii="宋体" w:hAnsi="宋体" w:cs="宋体" w:eastAsia="宋体" w:hint="default"/>
                <w:sz w:val="18"/>
                <w:szCs w:val="18"/>
              </w:rPr>
              <w:t>2016</w:t>
            </w:r>
            <w:r>
              <w:rPr>
                <w:rFonts w:ascii="宋体" w:hAnsi="宋体" w:cs="宋体" w:eastAsia="宋体" w:hint="default"/>
                <w:sz w:val="18"/>
                <w:szCs w:val="18"/>
              </w:rPr>
              <w:t>年归属于母公司股东的净利润为基数，</w:t>
            </w:r>
            <w:r>
              <w:rPr>
                <w:rFonts w:ascii="宋体" w:hAnsi="宋体" w:cs="宋体" w:eastAsia="宋体" w:hint="default"/>
                <w:sz w:val="18"/>
                <w:szCs w:val="18"/>
              </w:rPr>
              <w:t>2018</w:t>
            </w:r>
            <w:r>
              <w:rPr>
                <w:rFonts w:ascii="宋体" w:hAnsi="宋体" w:cs="宋体" w:eastAsia="宋体" w:hint="default"/>
                <w:sz w:val="18"/>
                <w:szCs w:val="18"/>
              </w:rPr>
              <w:t>年剔除股权激励影 响后归属于母公司股东的净利润增长率不低于</w:t>
            </w:r>
            <w:r>
              <w:rPr>
                <w:rFonts w:ascii="宋体" w:hAnsi="宋体" w:cs="宋体" w:eastAsia="宋体" w:hint="default"/>
                <w:sz w:val="18"/>
                <w:szCs w:val="18"/>
              </w:rPr>
              <w:t>495.24%</w:t>
            </w:r>
          </w:p>
        </w:tc>
      </w:tr>
      <w:tr>
        <w:trPr>
          <w:trHeight w:val="664" w:hRule="exact"/>
        </w:trPr>
        <w:tc>
          <w:tcPr>
            <w:tcW w:w="28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第三个行权期</w:t>
            </w:r>
          </w:p>
        </w:tc>
        <w:tc>
          <w:tcPr>
            <w:tcW w:w="5828" w:type="dxa"/>
            <w:tcBorders>
              <w:top w:val="single" w:sz="12" w:space="0" w:color="000000"/>
              <w:left w:val="single" w:sz="6" w:space="0" w:color="000000"/>
              <w:bottom w:val="single" w:sz="12" w:space="0" w:color="000000"/>
              <w:right w:val="nil" w:sz="6" w:space="0" w:color="auto"/>
            </w:tcBorders>
          </w:tcPr>
          <w:p>
            <w:pPr>
              <w:pStyle w:val="TableParagraph"/>
              <w:spacing w:line="319" w:lineRule="auto" w:before="10"/>
              <w:ind w:left="3" w:right="54"/>
              <w:jc w:val="left"/>
              <w:rPr>
                <w:rFonts w:ascii="宋体" w:hAnsi="宋体" w:cs="宋体" w:eastAsia="宋体" w:hint="default"/>
                <w:sz w:val="18"/>
                <w:szCs w:val="18"/>
              </w:rPr>
            </w:pPr>
            <w:r>
              <w:rPr>
                <w:rFonts w:ascii="宋体" w:hAnsi="宋体" w:cs="宋体" w:eastAsia="宋体" w:hint="default"/>
                <w:sz w:val="18"/>
                <w:szCs w:val="18"/>
              </w:rPr>
              <w:t>以公司</w:t>
            </w:r>
            <w:r>
              <w:rPr>
                <w:rFonts w:ascii="宋体" w:hAnsi="宋体" w:cs="宋体" w:eastAsia="宋体" w:hint="default"/>
                <w:sz w:val="18"/>
                <w:szCs w:val="18"/>
              </w:rPr>
              <w:t>2016</w:t>
            </w:r>
            <w:r>
              <w:rPr>
                <w:rFonts w:ascii="宋体" w:hAnsi="宋体" w:cs="宋体" w:eastAsia="宋体" w:hint="default"/>
                <w:sz w:val="18"/>
                <w:szCs w:val="18"/>
              </w:rPr>
              <w:t>年归属于母公司股东的净利润为基数，</w:t>
            </w:r>
            <w:r>
              <w:rPr>
                <w:rFonts w:ascii="宋体" w:hAnsi="宋体" w:cs="宋体" w:eastAsia="宋体" w:hint="default"/>
                <w:sz w:val="18"/>
                <w:szCs w:val="18"/>
              </w:rPr>
              <w:t>2019</w:t>
            </w:r>
            <w:r>
              <w:rPr>
                <w:rFonts w:ascii="宋体" w:hAnsi="宋体" w:cs="宋体" w:eastAsia="宋体" w:hint="default"/>
                <w:sz w:val="18"/>
                <w:szCs w:val="18"/>
              </w:rPr>
              <w:t>年剔除股权激励影 响后归属于母公司股东的净利润增长率不低于</w:t>
            </w:r>
            <w:r>
              <w:rPr>
                <w:rFonts w:ascii="宋体" w:hAnsi="宋体" w:cs="宋体" w:eastAsia="宋体" w:hint="default"/>
                <w:sz w:val="18"/>
                <w:szCs w:val="18"/>
              </w:rPr>
              <w:t>792.86%</w:t>
            </w:r>
          </w:p>
        </w:tc>
      </w:tr>
    </w:tbl>
    <w:p>
      <w:pPr>
        <w:pStyle w:val="BodyText"/>
        <w:spacing w:line="316" w:lineRule="auto" w:before="10"/>
        <w:ind w:right="1152" w:firstLine="420"/>
        <w:jc w:val="left"/>
      </w:pPr>
      <w:r>
        <w:rPr/>
        <w:t>期权的行权条件达成，则激励对象按照计划规定比例行权。反之，若行权条件未达成，则公司按照本计划，激励对象 所获期权当期可行权份额注销。</w:t>
      </w:r>
    </w:p>
    <w:p>
      <w:pPr>
        <w:pStyle w:val="BodyText"/>
        <w:spacing w:line="240" w:lineRule="auto" w:before="19"/>
        <w:ind w:left="574" w:right="0"/>
        <w:jc w:val="left"/>
      </w:pPr>
      <w:r>
        <w:rPr>
          <w:rFonts w:ascii="宋体" w:hAnsi="宋体" w:cs="宋体" w:eastAsia="宋体" w:hint="default"/>
        </w:rPr>
        <w:t>D.</w:t>
      </w:r>
      <w:r>
        <w:rPr>
          <w:rFonts w:ascii="宋体" w:hAnsi="宋体" w:cs="宋体" w:eastAsia="宋体" w:hint="default"/>
          <w:spacing w:val="-19"/>
        </w:rPr>
        <w:t> </w:t>
      </w:r>
      <w:r>
        <w:rPr/>
        <w:t>个人层面绩效考核要求</w:t>
      </w:r>
    </w:p>
    <w:p>
      <w:pPr>
        <w:spacing w:after="0" w:line="240" w:lineRule="auto"/>
        <w:jc w:val="left"/>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316" w:lineRule="auto" w:before="44"/>
        <w:ind w:right="1132" w:firstLine="420"/>
        <w:jc w:val="both"/>
      </w:pPr>
      <w:r>
        <w:rPr>
          <w:spacing w:val="-9"/>
        </w:rPr>
        <w:t>根据《</w:t>
      </w:r>
      <w:r>
        <w:rPr/>
        <w:t> 深圳市卓翼科技股份有限公司 </w:t>
      </w:r>
      <w:r>
        <w:rPr>
          <w:rFonts w:ascii="宋体" w:hAnsi="宋体" w:cs="宋体" w:eastAsia="宋体" w:hint="default"/>
        </w:rPr>
        <w:t>2017 </w:t>
      </w:r>
      <w:r>
        <w:rPr>
          <w:spacing w:val="-4"/>
        </w:rPr>
        <w:t>年股票期权与限制性股票激励计划实施考核管理办法》，</w:t>
      </w:r>
      <w:r>
        <w:rPr>
          <w:spacing w:val="-17"/>
        </w:rPr>
        <w:t> </w:t>
      </w:r>
      <w:r>
        <w:rPr/>
        <w:t>激励对象只有在</w:t>
      </w:r>
      <w:r>
        <w:rPr/>
        <w:t> 规定的考核年度内达到公司业绩目标，以及个人绩效考核等级为合格以上的前提下，才可解除行权。</w:t>
      </w:r>
      <w:r>
        <w:rPr>
          <w:spacing w:val="1"/>
        </w:rPr>
        <w:t> </w:t>
      </w:r>
      <w:r>
        <w:rPr/>
        <w:t>个人当次可行权的股</w:t>
      </w:r>
      <w:r>
        <w:rPr/>
        <w:t> 票期权数量的计算公式如下：</w:t>
      </w:r>
    </w:p>
    <w:p>
      <w:pPr>
        <w:pStyle w:val="BodyText"/>
        <w:spacing w:line="319" w:lineRule="auto" w:before="19"/>
        <w:ind w:left="574" w:right="1242"/>
        <w:jc w:val="left"/>
      </w:pPr>
      <w:r>
        <w:rPr/>
        <w:t>个人当次实际行权的股票期权数量 </w:t>
      </w:r>
      <w:r>
        <w:rPr>
          <w:rFonts w:ascii="宋体" w:hAnsi="宋体" w:cs="宋体" w:eastAsia="宋体" w:hint="default"/>
        </w:rPr>
        <w:t>= </w:t>
      </w:r>
      <w:r>
        <w:rPr/>
        <w:t>根据个人绩效考核等级的对应行权比例 × 个人当次计划行权的股票期权数量 个人当次计划行权的股票期权数量 </w:t>
      </w:r>
      <w:r>
        <w:rPr>
          <w:rFonts w:ascii="宋体" w:hAnsi="宋体" w:cs="宋体" w:eastAsia="宋体" w:hint="default"/>
        </w:rPr>
        <w:t>= </w:t>
      </w:r>
      <w:r>
        <w:rPr/>
        <w:t>个人被授予的股票期权总数 × 本计划行权时间安排中规定的当次可行权的比</w:t>
      </w:r>
    </w:p>
    <w:p>
      <w:pPr>
        <w:pStyle w:val="BodyText"/>
        <w:spacing w:line="240" w:lineRule="auto" w:before="17"/>
        <w:ind w:right="0"/>
        <w:jc w:val="left"/>
      </w:pPr>
      <w:r>
        <w:rPr/>
        <w:t>例</w:t>
      </w:r>
    </w:p>
    <w:p>
      <w:pPr>
        <w:pStyle w:val="BodyText"/>
        <w:spacing w:line="240" w:lineRule="auto" w:before="76"/>
        <w:ind w:left="574" w:right="0"/>
        <w:jc w:val="left"/>
      </w:pPr>
      <w:r>
        <w:rPr/>
        <w:t>个人绩效考核结果对应的比例规定具体如下：</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2802"/>
        <w:gridCol w:w="5748"/>
      </w:tblGrid>
      <w:tr>
        <w:trPr>
          <w:trHeight w:val="355" w:hRule="exact"/>
        </w:trPr>
        <w:tc>
          <w:tcPr>
            <w:tcW w:w="28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b/>
                <w:bCs/>
                <w:sz w:val="18"/>
                <w:szCs w:val="18"/>
              </w:rPr>
              <w:t>个人绩效考核等级</w:t>
            </w:r>
            <w:r>
              <w:rPr>
                <w:rFonts w:ascii="宋体" w:hAnsi="宋体" w:cs="宋体" w:eastAsia="宋体" w:hint="default"/>
                <w:sz w:val="18"/>
                <w:szCs w:val="18"/>
              </w:rPr>
            </w:r>
          </w:p>
        </w:tc>
        <w:tc>
          <w:tcPr>
            <w:tcW w:w="5748"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right="6"/>
              <w:jc w:val="center"/>
              <w:rPr>
                <w:rFonts w:ascii="宋体" w:hAnsi="宋体" w:cs="宋体" w:eastAsia="宋体" w:hint="default"/>
                <w:sz w:val="18"/>
                <w:szCs w:val="18"/>
              </w:rPr>
            </w:pPr>
            <w:r>
              <w:rPr>
                <w:rFonts w:ascii="宋体" w:hAnsi="宋体" w:cs="宋体" w:eastAsia="宋体" w:hint="default"/>
                <w:b/>
                <w:bCs/>
                <w:sz w:val="18"/>
                <w:szCs w:val="18"/>
              </w:rPr>
              <w:t>对应解除限售比例</w:t>
            </w:r>
            <w:r>
              <w:rPr>
                <w:rFonts w:ascii="宋体" w:hAnsi="宋体" w:cs="宋体" w:eastAsia="宋体" w:hint="default"/>
                <w:sz w:val="18"/>
                <w:szCs w:val="18"/>
              </w:rPr>
            </w:r>
          </w:p>
        </w:tc>
      </w:tr>
      <w:tr>
        <w:trPr>
          <w:trHeight w:val="352" w:hRule="exact"/>
        </w:trPr>
        <w:tc>
          <w:tcPr>
            <w:tcW w:w="28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优秀</w:t>
            </w:r>
          </w:p>
        </w:tc>
        <w:tc>
          <w:tcPr>
            <w:tcW w:w="574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sz w:val="18"/>
              </w:rPr>
              <w:t>100%</w:t>
            </w:r>
          </w:p>
        </w:tc>
      </w:tr>
      <w:tr>
        <w:trPr>
          <w:trHeight w:val="353" w:hRule="exact"/>
        </w:trPr>
        <w:tc>
          <w:tcPr>
            <w:tcW w:w="28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良好</w:t>
            </w:r>
          </w:p>
        </w:tc>
        <w:tc>
          <w:tcPr>
            <w:tcW w:w="574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sz w:val="18"/>
              </w:rPr>
              <w:t>100%</w:t>
            </w:r>
          </w:p>
        </w:tc>
      </w:tr>
      <w:tr>
        <w:trPr>
          <w:trHeight w:val="352" w:hRule="exact"/>
        </w:trPr>
        <w:tc>
          <w:tcPr>
            <w:tcW w:w="28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合格</w:t>
            </w:r>
          </w:p>
        </w:tc>
        <w:tc>
          <w:tcPr>
            <w:tcW w:w="574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sz w:val="18"/>
              </w:rPr>
              <w:t>80%</w:t>
            </w:r>
          </w:p>
        </w:tc>
      </w:tr>
      <w:tr>
        <w:trPr>
          <w:trHeight w:val="352" w:hRule="exact"/>
        </w:trPr>
        <w:tc>
          <w:tcPr>
            <w:tcW w:w="28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不合格</w:t>
            </w:r>
          </w:p>
        </w:tc>
        <w:tc>
          <w:tcPr>
            <w:tcW w:w="574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sz w:val="18"/>
              </w:rPr>
              <w:t>0%</w:t>
            </w:r>
          </w:p>
        </w:tc>
      </w:tr>
    </w:tbl>
    <w:p>
      <w:pPr>
        <w:spacing w:line="240" w:lineRule="auto" w:before="3"/>
        <w:rPr>
          <w:rFonts w:ascii="宋体" w:hAnsi="宋体" w:cs="宋体" w:eastAsia="宋体" w:hint="default"/>
          <w:sz w:val="21"/>
          <w:szCs w:val="21"/>
        </w:rPr>
      </w:pPr>
    </w:p>
    <w:p>
      <w:pPr>
        <w:pStyle w:val="BodyText"/>
        <w:spacing w:line="316" w:lineRule="auto" w:before="44"/>
        <w:ind w:right="1152" w:firstLine="420"/>
        <w:jc w:val="left"/>
      </w:pPr>
      <w:r>
        <w:rPr/>
        <w:t>薪酬与考核委员会制定考核细则，对各激励对象每个考核年度的表现进行综合考评，激励对象需达到考核指标方可行 权。未能达到考核指标的激励对象不得行权。激励对象当年未能行权部分的股票期权由公司注销。</w:t>
      </w:r>
    </w:p>
    <w:p>
      <w:pPr>
        <w:pStyle w:val="BodyText"/>
        <w:spacing w:line="240" w:lineRule="auto" w:before="19"/>
        <w:ind w:left="574" w:right="0"/>
        <w:jc w:val="left"/>
      </w:pPr>
      <w:r>
        <w:rPr>
          <w:rFonts w:ascii="宋体" w:hAnsi="宋体" w:cs="宋体" w:eastAsia="宋体" w:hint="default"/>
        </w:rPr>
        <w:t>1.2</w:t>
      </w:r>
      <w:r>
        <w:rPr/>
        <w:t>限制性股票激励计划</w:t>
      </w:r>
    </w:p>
    <w:p>
      <w:pPr>
        <w:pStyle w:val="BodyText"/>
        <w:spacing w:line="316" w:lineRule="auto" w:before="76"/>
        <w:ind w:right="1152" w:firstLine="420"/>
        <w:jc w:val="left"/>
      </w:pPr>
      <w:r>
        <w:rPr/>
        <w:t>（</w:t>
      </w:r>
      <w:r>
        <w:rPr>
          <w:rFonts w:ascii="宋体" w:hAnsi="宋体" w:cs="宋体" w:eastAsia="宋体" w:hint="default"/>
        </w:rPr>
        <w:t>1</w:t>
      </w:r>
      <w:r>
        <w:rPr/>
        <w:t>）计划拟授予的限制性股票总数为</w:t>
      </w:r>
      <w:r>
        <w:rPr>
          <w:rFonts w:ascii="宋体" w:hAnsi="宋体" w:cs="宋体" w:eastAsia="宋体" w:hint="default"/>
        </w:rPr>
        <w:t>447</w:t>
      </w:r>
      <w:r>
        <w:rPr/>
        <w:t>万股，每份限制性股票在满足当年业绩考核目标的情况下，才可解除限售。 反之，限制性股票不得解除限售，并由公司回购注销。</w:t>
      </w:r>
    </w:p>
    <w:p>
      <w:pPr>
        <w:pStyle w:val="BodyText"/>
        <w:spacing w:line="316" w:lineRule="auto" w:before="19"/>
        <w:ind w:right="1152" w:firstLine="420"/>
        <w:jc w:val="left"/>
      </w:pPr>
      <w:r>
        <w:rPr/>
        <w:t>（</w:t>
      </w:r>
      <w:r>
        <w:rPr>
          <w:rFonts w:ascii="宋体" w:hAnsi="宋体" w:cs="宋体" w:eastAsia="宋体" w:hint="default"/>
        </w:rPr>
        <w:t>2</w:t>
      </w:r>
      <w:r>
        <w:rPr/>
        <w:t>）限制性股票激励计划授予的限制性股票的授予价格为</w:t>
      </w:r>
      <w:r>
        <w:rPr>
          <w:rFonts w:ascii="宋体" w:hAnsi="宋体" w:cs="宋体" w:eastAsia="宋体" w:hint="default"/>
        </w:rPr>
        <w:t>4.43</w:t>
      </w:r>
      <w:r>
        <w:rPr/>
        <w:t>元</w:t>
      </w:r>
      <w:r>
        <w:rPr>
          <w:rFonts w:ascii="宋体" w:hAnsi="宋体" w:cs="宋体" w:eastAsia="宋体" w:hint="default"/>
        </w:rPr>
        <w:t>/</w:t>
      </w:r>
      <w:r>
        <w:rPr/>
        <w:t>股。限制性股票激励计划有效期为授予登记完成之 日至激励对象获授的限制性股票全部解除限售或回购注销之日止，最长不超过</w:t>
      </w:r>
      <w:r>
        <w:rPr>
          <w:rFonts w:ascii="宋体" w:hAnsi="宋体" w:cs="宋体" w:eastAsia="宋体" w:hint="default"/>
        </w:rPr>
        <w:t>48</w:t>
      </w:r>
      <w:r>
        <w:rPr/>
        <w:t>月。</w:t>
      </w:r>
    </w:p>
    <w:p>
      <w:pPr>
        <w:pStyle w:val="BodyText"/>
        <w:spacing w:line="240" w:lineRule="auto" w:before="19"/>
        <w:ind w:left="577" w:right="0"/>
        <w:jc w:val="left"/>
      </w:pPr>
      <w:r>
        <w:rPr/>
        <w:t>（</w:t>
      </w:r>
      <w:r>
        <w:rPr>
          <w:rFonts w:ascii="宋体" w:hAnsi="宋体" w:cs="宋体" w:eastAsia="宋体" w:hint="default"/>
        </w:rPr>
        <w:t>3</w:t>
      </w:r>
      <w:r>
        <w:rPr/>
        <w:t>）限制性股票激励计划首次授予激励对象的限制性股票分三期解锁。</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1527"/>
        <w:gridCol w:w="5528"/>
        <w:gridCol w:w="1470"/>
      </w:tblGrid>
      <w:tr>
        <w:trPr>
          <w:trHeight w:val="980" w:hRule="exact"/>
        </w:trPr>
        <w:tc>
          <w:tcPr>
            <w:tcW w:w="152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解除限售安排</w:t>
            </w:r>
            <w:r>
              <w:rPr>
                <w:rFonts w:ascii="宋体" w:hAnsi="宋体" w:cs="宋体" w:eastAsia="宋体" w:hint="default"/>
                <w:sz w:val="18"/>
                <w:szCs w:val="18"/>
              </w:rPr>
            </w:r>
          </w:p>
        </w:tc>
        <w:tc>
          <w:tcPr>
            <w:tcW w:w="552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b/>
                <w:bCs/>
                <w:sz w:val="18"/>
                <w:szCs w:val="18"/>
              </w:rPr>
              <w:t>解除限售时间</w:t>
            </w:r>
            <w:r>
              <w:rPr>
                <w:rFonts w:ascii="宋体" w:hAnsi="宋体" w:cs="宋体" w:eastAsia="宋体" w:hint="default"/>
                <w:sz w:val="18"/>
                <w:szCs w:val="18"/>
              </w:rPr>
            </w:r>
          </w:p>
        </w:tc>
        <w:tc>
          <w:tcPr>
            <w:tcW w:w="1470" w:type="dxa"/>
            <w:tcBorders>
              <w:top w:val="single" w:sz="6" w:space="0" w:color="000000"/>
              <w:left w:val="single" w:sz="6" w:space="0" w:color="000000"/>
              <w:bottom w:val="single" w:sz="12" w:space="0" w:color="000000"/>
              <w:right w:val="nil" w:sz="6" w:space="0" w:color="auto"/>
            </w:tcBorders>
          </w:tcPr>
          <w:p>
            <w:pPr>
              <w:pStyle w:val="TableParagraph"/>
              <w:spacing w:line="316" w:lineRule="auto" w:before="21"/>
              <w:ind w:left="3" w:right="12"/>
              <w:jc w:val="left"/>
              <w:rPr>
                <w:rFonts w:ascii="宋体" w:hAnsi="宋体" w:cs="宋体" w:eastAsia="宋体" w:hint="default"/>
                <w:sz w:val="18"/>
                <w:szCs w:val="18"/>
              </w:rPr>
            </w:pPr>
            <w:r>
              <w:rPr>
                <w:rFonts w:ascii="宋体" w:hAnsi="宋体" w:cs="宋体" w:eastAsia="宋体" w:hint="default"/>
                <w:b/>
                <w:bCs/>
                <w:sz w:val="18"/>
                <w:szCs w:val="18"/>
              </w:rPr>
              <w:t>可解锁数量占限制</w:t>
            </w:r>
            <w:r>
              <w:rPr>
                <w:rFonts w:ascii="宋体" w:hAnsi="宋体" w:cs="宋体" w:eastAsia="宋体" w:hint="default"/>
                <w:b/>
                <w:bCs/>
                <w:w w:val="99"/>
                <w:sz w:val="18"/>
                <w:szCs w:val="18"/>
              </w:rPr>
              <w:t> </w:t>
            </w:r>
            <w:r>
              <w:rPr>
                <w:rFonts w:ascii="宋体" w:hAnsi="宋体" w:cs="宋体" w:eastAsia="宋体" w:hint="default"/>
                <w:b/>
                <w:bCs/>
                <w:sz w:val="18"/>
                <w:szCs w:val="18"/>
              </w:rPr>
              <w:t>性股票数量比例</w:t>
            </w:r>
            <w:r>
              <w:rPr>
                <w:rFonts w:ascii="宋体" w:hAnsi="宋体" w:cs="宋体" w:eastAsia="宋体" w:hint="default"/>
                <w:sz w:val="18"/>
                <w:szCs w:val="18"/>
              </w:rPr>
            </w:r>
          </w:p>
        </w:tc>
      </w:tr>
      <w:tr>
        <w:trPr>
          <w:trHeight w:val="664" w:hRule="exact"/>
        </w:trPr>
        <w:tc>
          <w:tcPr>
            <w:tcW w:w="152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第一次解除限售</w:t>
            </w:r>
          </w:p>
        </w:tc>
        <w:tc>
          <w:tcPr>
            <w:tcW w:w="5528" w:type="dxa"/>
            <w:tcBorders>
              <w:top w:val="single" w:sz="12" w:space="0" w:color="000000"/>
              <w:left w:val="single" w:sz="6" w:space="0" w:color="000000"/>
              <w:bottom w:val="single" w:sz="12" w:space="0" w:color="000000"/>
              <w:right w:val="single" w:sz="6" w:space="0" w:color="000000"/>
            </w:tcBorders>
          </w:tcPr>
          <w:p>
            <w:pPr>
              <w:pStyle w:val="TableParagraph"/>
              <w:spacing w:line="316" w:lineRule="auto" w:before="10"/>
              <w:ind w:left="2" w:right="108"/>
              <w:jc w:val="left"/>
              <w:rPr>
                <w:rFonts w:ascii="宋体" w:hAnsi="宋体" w:cs="宋体" w:eastAsia="宋体" w:hint="default"/>
                <w:sz w:val="18"/>
                <w:szCs w:val="18"/>
              </w:rPr>
            </w:pPr>
            <w:r>
              <w:rPr>
                <w:rFonts w:ascii="宋体" w:hAnsi="宋体" w:cs="宋体" w:eastAsia="宋体" w:hint="default"/>
                <w:sz w:val="18"/>
                <w:szCs w:val="18"/>
              </w:rPr>
              <w:t>自首次授予日起满</w:t>
            </w:r>
            <w:r>
              <w:rPr>
                <w:rFonts w:ascii="宋体" w:hAnsi="宋体" w:cs="宋体" w:eastAsia="宋体" w:hint="default"/>
                <w:sz w:val="18"/>
                <w:szCs w:val="18"/>
              </w:rPr>
              <w:t>12</w:t>
            </w:r>
            <w:r>
              <w:rPr>
                <w:rFonts w:ascii="宋体" w:hAnsi="宋体" w:cs="宋体" w:eastAsia="宋体" w:hint="default"/>
                <w:sz w:val="18"/>
                <w:szCs w:val="18"/>
              </w:rPr>
              <w:t>个月后的首个交易日起至首次授予日起</w:t>
            </w:r>
            <w:r>
              <w:rPr>
                <w:rFonts w:ascii="宋体" w:hAnsi="宋体" w:cs="宋体" w:eastAsia="宋体" w:hint="default"/>
                <w:sz w:val="18"/>
                <w:szCs w:val="18"/>
              </w:rPr>
              <w:t>24</w:t>
            </w:r>
            <w:r>
              <w:rPr>
                <w:rFonts w:ascii="宋体" w:hAnsi="宋体" w:cs="宋体" w:eastAsia="宋体" w:hint="default"/>
                <w:sz w:val="18"/>
                <w:szCs w:val="18"/>
              </w:rPr>
              <w:t>个月内 的最后一个交易日止；</w:t>
            </w:r>
          </w:p>
        </w:tc>
        <w:tc>
          <w:tcPr>
            <w:tcW w:w="1470"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sz w:val="18"/>
              </w:rPr>
              <w:t>25%</w:t>
            </w:r>
          </w:p>
        </w:tc>
      </w:tr>
      <w:tr>
        <w:trPr>
          <w:trHeight w:val="664" w:hRule="exact"/>
        </w:trPr>
        <w:tc>
          <w:tcPr>
            <w:tcW w:w="152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第二次解除限售</w:t>
            </w:r>
          </w:p>
        </w:tc>
        <w:tc>
          <w:tcPr>
            <w:tcW w:w="5528" w:type="dxa"/>
            <w:tcBorders>
              <w:top w:val="single" w:sz="12" w:space="0" w:color="000000"/>
              <w:left w:val="single" w:sz="6" w:space="0" w:color="000000"/>
              <w:bottom w:val="single" w:sz="12" w:space="0" w:color="000000"/>
              <w:right w:val="single" w:sz="6" w:space="0" w:color="000000"/>
            </w:tcBorders>
          </w:tcPr>
          <w:p>
            <w:pPr>
              <w:pStyle w:val="TableParagraph"/>
              <w:spacing w:line="316" w:lineRule="auto" w:before="10"/>
              <w:ind w:left="2" w:right="108"/>
              <w:jc w:val="left"/>
              <w:rPr>
                <w:rFonts w:ascii="宋体" w:hAnsi="宋体" w:cs="宋体" w:eastAsia="宋体" w:hint="default"/>
                <w:sz w:val="18"/>
                <w:szCs w:val="18"/>
              </w:rPr>
            </w:pPr>
            <w:r>
              <w:rPr>
                <w:rFonts w:ascii="宋体" w:hAnsi="宋体" w:cs="宋体" w:eastAsia="宋体" w:hint="default"/>
                <w:sz w:val="18"/>
                <w:szCs w:val="18"/>
              </w:rPr>
              <w:t>自首次授予日起满</w:t>
            </w:r>
            <w:r>
              <w:rPr>
                <w:rFonts w:ascii="宋体" w:hAnsi="宋体" w:cs="宋体" w:eastAsia="宋体" w:hint="default"/>
                <w:sz w:val="18"/>
                <w:szCs w:val="18"/>
              </w:rPr>
              <w:t>24</w:t>
            </w:r>
            <w:r>
              <w:rPr>
                <w:rFonts w:ascii="宋体" w:hAnsi="宋体" w:cs="宋体" w:eastAsia="宋体" w:hint="default"/>
                <w:sz w:val="18"/>
                <w:szCs w:val="18"/>
              </w:rPr>
              <w:t>个月后的首个交易日起至首次授予日起</w:t>
            </w:r>
            <w:r>
              <w:rPr>
                <w:rFonts w:ascii="宋体" w:hAnsi="宋体" w:cs="宋体" w:eastAsia="宋体" w:hint="default"/>
                <w:sz w:val="18"/>
                <w:szCs w:val="18"/>
              </w:rPr>
              <w:t>36</w:t>
            </w:r>
            <w:r>
              <w:rPr>
                <w:rFonts w:ascii="宋体" w:hAnsi="宋体" w:cs="宋体" w:eastAsia="宋体" w:hint="default"/>
                <w:sz w:val="18"/>
                <w:szCs w:val="18"/>
              </w:rPr>
              <w:t>个月内 的最后一个交易日止；</w:t>
            </w:r>
          </w:p>
        </w:tc>
        <w:tc>
          <w:tcPr>
            <w:tcW w:w="1470"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sz w:val="18"/>
              </w:rPr>
              <w:t>40%</w:t>
            </w:r>
          </w:p>
        </w:tc>
      </w:tr>
      <w:tr>
        <w:trPr>
          <w:trHeight w:val="665" w:hRule="exact"/>
        </w:trPr>
        <w:tc>
          <w:tcPr>
            <w:tcW w:w="1527"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第三次解除限售</w:t>
            </w:r>
          </w:p>
        </w:tc>
        <w:tc>
          <w:tcPr>
            <w:tcW w:w="5528" w:type="dxa"/>
            <w:tcBorders>
              <w:top w:val="single" w:sz="12" w:space="0" w:color="000000"/>
              <w:left w:val="single" w:sz="6" w:space="0" w:color="000000"/>
              <w:bottom w:val="single" w:sz="12" w:space="0" w:color="000000"/>
              <w:right w:val="single" w:sz="6" w:space="0" w:color="000000"/>
            </w:tcBorders>
          </w:tcPr>
          <w:p>
            <w:pPr>
              <w:pStyle w:val="TableParagraph"/>
              <w:spacing w:line="316" w:lineRule="auto" w:before="10"/>
              <w:ind w:left="2" w:right="108"/>
              <w:jc w:val="left"/>
              <w:rPr>
                <w:rFonts w:ascii="宋体" w:hAnsi="宋体" w:cs="宋体" w:eastAsia="宋体" w:hint="default"/>
                <w:sz w:val="18"/>
                <w:szCs w:val="18"/>
              </w:rPr>
            </w:pPr>
            <w:r>
              <w:rPr>
                <w:rFonts w:ascii="宋体" w:hAnsi="宋体" w:cs="宋体" w:eastAsia="宋体" w:hint="default"/>
                <w:sz w:val="18"/>
                <w:szCs w:val="18"/>
              </w:rPr>
              <w:t>自首次授予日起满</w:t>
            </w:r>
            <w:r>
              <w:rPr>
                <w:rFonts w:ascii="宋体" w:hAnsi="宋体" w:cs="宋体" w:eastAsia="宋体" w:hint="default"/>
                <w:sz w:val="18"/>
                <w:szCs w:val="18"/>
              </w:rPr>
              <w:t>36</w:t>
            </w:r>
            <w:r>
              <w:rPr>
                <w:rFonts w:ascii="宋体" w:hAnsi="宋体" w:cs="宋体" w:eastAsia="宋体" w:hint="default"/>
                <w:sz w:val="18"/>
                <w:szCs w:val="18"/>
              </w:rPr>
              <w:t>个月后的首个交易日起至首次授予日起</w:t>
            </w:r>
            <w:r>
              <w:rPr>
                <w:rFonts w:ascii="宋体" w:hAnsi="宋体" w:cs="宋体" w:eastAsia="宋体" w:hint="default"/>
                <w:sz w:val="18"/>
                <w:szCs w:val="18"/>
              </w:rPr>
              <w:t>48</w:t>
            </w:r>
            <w:r>
              <w:rPr>
                <w:rFonts w:ascii="宋体" w:hAnsi="宋体" w:cs="宋体" w:eastAsia="宋体" w:hint="default"/>
                <w:sz w:val="18"/>
                <w:szCs w:val="18"/>
              </w:rPr>
              <w:t>个月内 的最后一个交易日止；</w:t>
            </w:r>
          </w:p>
        </w:tc>
        <w:tc>
          <w:tcPr>
            <w:tcW w:w="1470"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sz w:val="18"/>
              </w:rPr>
              <w:t>35%</w:t>
            </w:r>
          </w:p>
        </w:tc>
      </w:tr>
    </w:tbl>
    <w:p>
      <w:pPr>
        <w:spacing w:line="240" w:lineRule="auto" w:before="3"/>
        <w:rPr>
          <w:rFonts w:ascii="宋体" w:hAnsi="宋体" w:cs="宋体" w:eastAsia="宋体" w:hint="default"/>
          <w:sz w:val="21"/>
          <w:szCs w:val="21"/>
        </w:rPr>
      </w:pPr>
    </w:p>
    <w:p>
      <w:pPr>
        <w:pStyle w:val="BodyText"/>
        <w:spacing w:line="316" w:lineRule="auto" w:before="44"/>
        <w:ind w:left="574" w:right="7632" w:firstLine="3"/>
        <w:jc w:val="left"/>
      </w:pPr>
      <w:r>
        <w:rPr/>
        <w:t>（</w:t>
      </w:r>
      <w:r>
        <w:rPr>
          <w:rFonts w:ascii="宋体" w:hAnsi="宋体" w:cs="宋体" w:eastAsia="宋体" w:hint="default"/>
        </w:rPr>
        <w:t>4</w:t>
      </w:r>
      <w:r>
        <w:rPr/>
        <w:t>）主要解锁条件 授予限制性股票各期的解锁条件： 公司业绩考核：</w:t>
      </w:r>
    </w:p>
    <w:tbl>
      <w:tblPr>
        <w:tblW w:w="0" w:type="auto"/>
        <w:jc w:val="left"/>
        <w:tblInd w:w="146" w:type="dxa"/>
        <w:tblLayout w:type="fixed"/>
        <w:tblCellMar>
          <w:top w:w="0" w:type="dxa"/>
          <w:left w:w="0" w:type="dxa"/>
          <w:bottom w:w="0" w:type="dxa"/>
          <w:right w:w="0" w:type="dxa"/>
        </w:tblCellMar>
        <w:tblLook w:val="01E0"/>
      </w:tblPr>
      <w:tblGrid>
        <w:gridCol w:w="2842"/>
        <w:gridCol w:w="5828"/>
      </w:tblGrid>
      <w:tr>
        <w:trPr>
          <w:trHeight w:val="355" w:hRule="exact"/>
        </w:trPr>
        <w:tc>
          <w:tcPr>
            <w:tcW w:w="28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b/>
                <w:bCs/>
                <w:sz w:val="18"/>
                <w:szCs w:val="18"/>
              </w:rPr>
              <w:t>解除限售安排</w:t>
            </w:r>
            <w:r>
              <w:rPr>
                <w:rFonts w:ascii="宋体" w:hAnsi="宋体" w:cs="宋体" w:eastAsia="宋体" w:hint="default"/>
                <w:sz w:val="18"/>
                <w:szCs w:val="18"/>
              </w:rPr>
            </w:r>
          </w:p>
        </w:tc>
        <w:tc>
          <w:tcPr>
            <w:tcW w:w="5828"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0"/>
              <w:ind w:right="4"/>
              <w:jc w:val="center"/>
              <w:rPr>
                <w:rFonts w:ascii="宋体" w:hAnsi="宋体" w:cs="宋体" w:eastAsia="宋体" w:hint="default"/>
                <w:sz w:val="18"/>
                <w:szCs w:val="18"/>
              </w:rPr>
            </w:pPr>
            <w:r>
              <w:rPr>
                <w:rFonts w:ascii="宋体" w:hAnsi="宋体" w:cs="宋体" w:eastAsia="宋体" w:hint="default"/>
                <w:b/>
                <w:bCs/>
                <w:sz w:val="18"/>
                <w:szCs w:val="18"/>
              </w:rPr>
              <w:t>业绩考核指标</w:t>
            </w:r>
            <w:r>
              <w:rPr>
                <w:rFonts w:ascii="宋体" w:hAnsi="宋体" w:cs="宋体" w:eastAsia="宋体" w:hint="default"/>
                <w:sz w:val="18"/>
                <w:szCs w:val="18"/>
              </w:rPr>
            </w:r>
          </w:p>
        </w:tc>
      </w:tr>
      <w:tr>
        <w:trPr>
          <w:trHeight w:val="664" w:hRule="exact"/>
        </w:trPr>
        <w:tc>
          <w:tcPr>
            <w:tcW w:w="28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第一次解除限售</w:t>
            </w:r>
          </w:p>
        </w:tc>
        <w:tc>
          <w:tcPr>
            <w:tcW w:w="5828" w:type="dxa"/>
            <w:tcBorders>
              <w:top w:val="single" w:sz="12" w:space="0" w:color="000000"/>
              <w:left w:val="single" w:sz="6" w:space="0" w:color="000000"/>
              <w:bottom w:val="single" w:sz="12" w:space="0" w:color="000000"/>
              <w:right w:val="nil" w:sz="6" w:space="0" w:color="auto"/>
            </w:tcBorders>
          </w:tcPr>
          <w:p>
            <w:pPr>
              <w:pStyle w:val="TableParagraph"/>
              <w:spacing w:line="316" w:lineRule="auto" w:before="10"/>
              <w:ind w:left="3" w:right="54"/>
              <w:jc w:val="left"/>
              <w:rPr>
                <w:rFonts w:ascii="宋体" w:hAnsi="宋体" w:cs="宋体" w:eastAsia="宋体" w:hint="default"/>
                <w:sz w:val="18"/>
                <w:szCs w:val="18"/>
              </w:rPr>
            </w:pPr>
            <w:r>
              <w:rPr>
                <w:rFonts w:ascii="宋体" w:hAnsi="宋体" w:cs="宋体" w:eastAsia="宋体" w:hint="default"/>
                <w:sz w:val="18"/>
                <w:szCs w:val="18"/>
              </w:rPr>
              <w:t>以公司</w:t>
            </w:r>
            <w:r>
              <w:rPr>
                <w:rFonts w:ascii="宋体" w:hAnsi="宋体" w:cs="宋体" w:eastAsia="宋体" w:hint="default"/>
                <w:sz w:val="18"/>
                <w:szCs w:val="18"/>
              </w:rPr>
              <w:t>2016</w:t>
            </w:r>
            <w:r>
              <w:rPr>
                <w:rFonts w:ascii="宋体" w:hAnsi="宋体" w:cs="宋体" w:eastAsia="宋体" w:hint="default"/>
                <w:sz w:val="18"/>
                <w:szCs w:val="18"/>
              </w:rPr>
              <w:t>年归属于母公司股东的净利润为基数，</w:t>
            </w:r>
            <w:r>
              <w:rPr>
                <w:rFonts w:ascii="宋体" w:hAnsi="宋体" w:cs="宋体" w:eastAsia="宋体" w:hint="default"/>
                <w:sz w:val="18"/>
                <w:szCs w:val="18"/>
              </w:rPr>
              <w:t>2017</w:t>
            </w:r>
            <w:r>
              <w:rPr>
                <w:rFonts w:ascii="宋体" w:hAnsi="宋体" w:cs="宋体" w:eastAsia="宋体" w:hint="default"/>
                <w:sz w:val="18"/>
                <w:szCs w:val="18"/>
              </w:rPr>
              <w:t>年剔除股权激励影 响后归属于母公司股东的净利润增长率不低于</w:t>
            </w:r>
            <w:r>
              <w:rPr>
                <w:rFonts w:ascii="宋体" w:hAnsi="宋体" w:cs="宋体" w:eastAsia="宋体" w:hint="default"/>
                <w:sz w:val="18"/>
                <w:szCs w:val="18"/>
              </w:rPr>
              <w:t>108.33%</w:t>
            </w:r>
          </w:p>
        </w:tc>
      </w:tr>
      <w:tr>
        <w:trPr>
          <w:trHeight w:val="664" w:hRule="exact"/>
        </w:trPr>
        <w:tc>
          <w:tcPr>
            <w:tcW w:w="28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第二次解除限售</w:t>
            </w:r>
          </w:p>
        </w:tc>
        <w:tc>
          <w:tcPr>
            <w:tcW w:w="5828" w:type="dxa"/>
            <w:tcBorders>
              <w:top w:val="single" w:sz="12" w:space="0" w:color="000000"/>
              <w:left w:val="single" w:sz="6" w:space="0" w:color="000000"/>
              <w:bottom w:val="single" w:sz="12" w:space="0" w:color="000000"/>
              <w:right w:val="nil" w:sz="6" w:space="0" w:color="auto"/>
            </w:tcBorders>
          </w:tcPr>
          <w:p>
            <w:pPr>
              <w:pStyle w:val="TableParagraph"/>
              <w:spacing w:line="319" w:lineRule="auto" w:before="10"/>
              <w:ind w:left="3" w:right="54"/>
              <w:jc w:val="left"/>
              <w:rPr>
                <w:rFonts w:ascii="宋体" w:hAnsi="宋体" w:cs="宋体" w:eastAsia="宋体" w:hint="default"/>
                <w:sz w:val="18"/>
                <w:szCs w:val="18"/>
              </w:rPr>
            </w:pPr>
            <w:r>
              <w:rPr>
                <w:rFonts w:ascii="宋体" w:hAnsi="宋体" w:cs="宋体" w:eastAsia="宋体" w:hint="default"/>
                <w:sz w:val="18"/>
                <w:szCs w:val="18"/>
              </w:rPr>
              <w:t>以公司</w:t>
            </w:r>
            <w:r>
              <w:rPr>
                <w:rFonts w:ascii="宋体" w:hAnsi="宋体" w:cs="宋体" w:eastAsia="宋体" w:hint="default"/>
                <w:sz w:val="18"/>
                <w:szCs w:val="18"/>
              </w:rPr>
              <w:t>2016</w:t>
            </w:r>
            <w:r>
              <w:rPr>
                <w:rFonts w:ascii="宋体" w:hAnsi="宋体" w:cs="宋体" w:eastAsia="宋体" w:hint="default"/>
                <w:sz w:val="18"/>
                <w:szCs w:val="18"/>
              </w:rPr>
              <w:t>年归属于母公司股东的净利润为基数，</w:t>
            </w:r>
            <w:r>
              <w:rPr>
                <w:rFonts w:ascii="宋体" w:hAnsi="宋体" w:cs="宋体" w:eastAsia="宋体" w:hint="default"/>
                <w:sz w:val="18"/>
                <w:szCs w:val="18"/>
              </w:rPr>
              <w:t>2018</w:t>
            </w:r>
            <w:r>
              <w:rPr>
                <w:rFonts w:ascii="宋体" w:hAnsi="宋体" w:cs="宋体" w:eastAsia="宋体" w:hint="default"/>
                <w:sz w:val="18"/>
                <w:szCs w:val="18"/>
              </w:rPr>
              <w:t>年剔除股权激励影 响后归属于母公司股东的净利润增长率不低于</w:t>
            </w:r>
            <w:r>
              <w:rPr>
                <w:rFonts w:ascii="宋体" w:hAnsi="宋体" w:cs="宋体" w:eastAsia="宋体" w:hint="default"/>
                <w:sz w:val="18"/>
                <w:szCs w:val="18"/>
              </w:rPr>
              <w:t>495.24%</w:t>
            </w:r>
          </w:p>
        </w:tc>
      </w:tr>
      <w:tr>
        <w:trPr>
          <w:trHeight w:val="665" w:hRule="exact"/>
        </w:trPr>
        <w:tc>
          <w:tcPr>
            <w:tcW w:w="284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第三次解除限售</w:t>
            </w:r>
          </w:p>
        </w:tc>
        <w:tc>
          <w:tcPr>
            <w:tcW w:w="5828" w:type="dxa"/>
            <w:tcBorders>
              <w:top w:val="single" w:sz="12" w:space="0" w:color="000000"/>
              <w:left w:val="single" w:sz="6" w:space="0" w:color="000000"/>
              <w:bottom w:val="single" w:sz="12" w:space="0" w:color="000000"/>
              <w:right w:val="nil" w:sz="6" w:space="0" w:color="auto"/>
            </w:tcBorders>
          </w:tcPr>
          <w:p>
            <w:pPr>
              <w:pStyle w:val="TableParagraph"/>
              <w:spacing w:line="316" w:lineRule="auto" w:before="10"/>
              <w:ind w:left="3" w:right="54"/>
              <w:jc w:val="left"/>
              <w:rPr>
                <w:rFonts w:ascii="宋体" w:hAnsi="宋体" w:cs="宋体" w:eastAsia="宋体" w:hint="default"/>
                <w:sz w:val="18"/>
                <w:szCs w:val="18"/>
              </w:rPr>
            </w:pPr>
            <w:r>
              <w:rPr>
                <w:rFonts w:ascii="宋体" w:hAnsi="宋体" w:cs="宋体" w:eastAsia="宋体" w:hint="default"/>
                <w:sz w:val="18"/>
                <w:szCs w:val="18"/>
              </w:rPr>
              <w:t>以公司</w:t>
            </w:r>
            <w:r>
              <w:rPr>
                <w:rFonts w:ascii="宋体" w:hAnsi="宋体" w:cs="宋体" w:eastAsia="宋体" w:hint="default"/>
                <w:sz w:val="18"/>
                <w:szCs w:val="18"/>
              </w:rPr>
              <w:t>2016</w:t>
            </w:r>
            <w:r>
              <w:rPr>
                <w:rFonts w:ascii="宋体" w:hAnsi="宋体" w:cs="宋体" w:eastAsia="宋体" w:hint="default"/>
                <w:sz w:val="18"/>
                <w:szCs w:val="18"/>
              </w:rPr>
              <w:t>年归属于母公司股东的净利润为基数，</w:t>
            </w:r>
            <w:r>
              <w:rPr>
                <w:rFonts w:ascii="宋体" w:hAnsi="宋体" w:cs="宋体" w:eastAsia="宋体" w:hint="default"/>
                <w:sz w:val="18"/>
                <w:szCs w:val="18"/>
              </w:rPr>
              <w:t>2019</w:t>
            </w:r>
            <w:r>
              <w:rPr>
                <w:rFonts w:ascii="宋体" w:hAnsi="宋体" w:cs="宋体" w:eastAsia="宋体" w:hint="default"/>
                <w:sz w:val="18"/>
                <w:szCs w:val="18"/>
              </w:rPr>
              <w:t>年剔除股权激励影 响后归属于母公司股东的净利润增长率不低于</w:t>
            </w:r>
            <w:r>
              <w:rPr>
                <w:rFonts w:ascii="宋体" w:hAnsi="宋体" w:cs="宋体" w:eastAsia="宋体" w:hint="default"/>
                <w:sz w:val="18"/>
                <w:szCs w:val="18"/>
              </w:rPr>
              <w:t>792.86%</w:t>
            </w:r>
          </w:p>
        </w:tc>
      </w:tr>
    </w:tbl>
    <w:p>
      <w:pPr>
        <w:spacing w:after="0" w:line="316"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240" w:lineRule="auto" w:before="44"/>
        <w:ind w:left="574" w:right="0"/>
        <w:jc w:val="left"/>
      </w:pPr>
      <w:r>
        <w:rPr/>
        <w:t>个人层面绩效考核：</w:t>
      </w:r>
    </w:p>
    <w:p>
      <w:pPr>
        <w:pStyle w:val="BodyText"/>
        <w:spacing w:line="316" w:lineRule="auto" w:before="76"/>
        <w:ind w:right="1132" w:firstLine="420"/>
        <w:jc w:val="both"/>
      </w:pPr>
      <w:r>
        <w:rPr/>
        <w:t>根据 《深圳市卓翼科技股份有限公司 </w:t>
      </w:r>
      <w:r>
        <w:rPr>
          <w:rFonts w:ascii="宋体" w:hAnsi="宋体" w:cs="宋体" w:eastAsia="宋体" w:hint="default"/>
        </w:rPr>
        <w:t>2017 </w:t>
      </w:r>
      <w:r>
        <w:rPr>
          <w:spacing w:val="-4"/>
        </w:rPr>
        <w:t>年股票期权与限制性股票激励计划实施考核管理办法》，</w:t>
      </w:r>
      <w:r>
        <w:rPr>
          <w:spacing w:val="-43"/>
        </w:rPr>
        <w:t> </w:t>
      </w:r>
      <w:r>
        <w:rPr/>
        <w:t>激励对象只有在</w:t>
      </w:r>
      <w:r>
        <w:rPr/>
        <w:t> 规定的考核年度内达到公司业绩目标，以及个人绩效考核等级为合格以上的前提下，才可解除行权。</w:t>
      </w:r>
      <w:r>
        <w:rPr>
          <w:spacing w:val="1"/>
        </w:rPr>
        <w:t> </w:t>
      </w:r>
      <w:r>
        <w:rPr/>
        <w:t>个人当次可行权的股</w:t>
      </w:r>
      <w:r>
        <w:rPr/>
        <w:t> 票期权数量的计算公式如下：</w:t>
      </w:r>
    </w:p>
    <w:p>
      <w:pPr>
        <w:pStyle w:val="BodyText"/>
        <w:spacing w:line="316" w:lineRule="auto" w:before="19"/>
        <w:ind w:left="574" w:right="1242"/>
        <w:jc w:val="left"/>
      </w:pPr>
      <w:r>
        <w:rPr/>
        <w:t>个人当次实际行权的股票期权数量 </w:t>
      </w:r>
      <w:r>
        <w:rPr>
          <w:rFonts w:ascii="宋体" w:hAnsi="宋体" w:cs="宋体" w:eastAsia="宋体" w:hint="default"/>
        </w:rPr>
        <w:t>= </w:t>
      </w:r>
      <w:r>
        <w:rPr/>
        <w:t>根据个人绩效考核等级的对应行权比例 × 个人当次计划行权的股票期权数量 个人当次计划行权的股票期权数量 </w:t>
      </w:r>
      <w:r>
        <w:rPr>
          <w:rFonts w:ascii="宋体" w:hAnsi="宋体" w:cs="宋体" w:eastAsia="宋体" w:hint="default"/>
        </w:rPr>
        <w:t>= </w:t>
      </w:r>
      <w:r>
        <w:rPr/>
        <w:t>个人被授予的股票期权总数 × 本计划行权时间安排中规定的当次可行权的比</w:t>
      </w:r>
    </w:p>
    <w:p>
      <w:pPr>
        <w:pStyle w:val="BodyText"/>
        <w:spacing w:line="240" w:lineRule="auto" w:before="19"/>
        <w:ind w:right="0"/>
        <w:jc w:val="left"/>
      </w:pPr>
      <w:r>
        <w:rPr/>
        <w:t>例</w:t>
      </w:r>
    </w:p>
    <w:p>
      <w:pPr>
        <w:pStyle w:val="BodyText"/>
        <w:spacing w:line="240" w:lineRule="auto" w:before="76"/>
        <w:ind w:left="574" w:right="0"/>
        <w:jc w:val="left"/>
      </w:pPr>
      <w:r>
        <w:rPr/>
        <w:t>个人绩效考核结果对应的比例规定具体如下：</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2802"/>
        <w:gridCol w:w="5748"/>
      </w:tblGrid>
      <w:tr>
        <w:trPr>
          <w:trHeight w:val="355" w:hRule="exact"/>
        </w:trPr>
        <w:tc>
          <w:tcPr>
            <w:tcW w:w="28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b/>
                <w:bCs/>
                <w:sz w:val="18"/>
                <w:szCs w:val="18"/>
              </w:rPr>
              <w:t>个人绩效考核等级</w:t>
            </w:r>
            <w:r>
              <w:rPr>
                <w:rFonts w:ascii="宋体" w:hAnsi="宋体" w:cs="宋体" w:eastAsia="宋体" w:hint="default"/>
                <w:sz w:val="18"/>
                <w:szCs w:val="18"/>
              </w:rPr>
            </w:r>
          </w:p>
        </w:tc>
        <w:tc>
          <w:tcPr>
            <w:tcW w:w="5748"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21"/>
              <w:ind w:right="6"/>
              <w:jc w:val="center"/>
              <w:rPr>
                <w:rFonts w:ascii="宋体" w:hAnsi="宋体" w:cs="宋体" w:eastAsia="宋体" w:hint="default"/>
                <w:sz w:val="18"/>
                <w:szCs w:val="18"/>
              </w:rPr>
            </w:pPr>
            <w:r>
              <w:rPr>
                <w:rFonts w:ascii="宋体" w:hAnsi="宋体" w:cs="宋体" w:eastAsia="宋体" w:hint="default"/>
                <w:b/>
                <w:bCs/>
                <w:sz w:val="18"/>
                <w:szCs w:val="18"/>
              </w:rPr>
              <w:t>对应解除限售比例</w:t>
            </w:r>
            <w:r>
              <w:rPr>
                <w:rFonts w:ascii="宋体" w:hAnsi="宋体" w:cs="宋体" w:eastAsia="宋体" w:hint="default"/>
                <w:sz w:val="18"/>
                <w:szCs w:val="18"/>
              </w:rPr>
            </w:r>
          </w:p>
        </w:tc>
      </w:tr>
      <w:tr>
        <w:trPr>
          <w:trHeight w:val="352" w:hRule="exact"/>
        </w:trPr>
        <w:tc>
          <w:tcPr>
            <w:tcW w:w="28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优秀</w:t>
            </w:r>
          </w:p>
        </w:tc>
        <w:tc>
          <w:tcPr>
            <w:tcW w:w="574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sz w:val="18"/>
              </w:rPr>
              <w:t>100%</w:t>
            </w:r>
          </w:p>
        </w:tc>
      </w:tr>
      <w:tr>
        <w:trPr>
          <w:trHeight w:val="353" w:hRule="exact"/>
        </w:trPr>
        <w:tc>
          <w:tcPr>
            <w:tcW w:w="28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良好</w:t>
            </w:r>
          </w:p>
        </w:tc>
        <w:tc>
          <w:tcPr>
            <w:tcW w:w="574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sz w:val="18"/>
              </w:rPr>
              <w:t>100%</w:t>
            </w:r>
          </w:p>
        </w:tc>
      </w:tr>
      <w:tr>
        <w:trPr>
          <w:trHeight w:val="352" w:hRule="exact"/>
        </w:trPr>
        <w:tc>
          <w:tcPr>
            <w:tcW w:w="28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合格</w:t>
            </w:r>
          </w:p>
        </w:tc>
        <w:tc>
          <w:tcPr>
            <w:tcW w:w="574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sz w:val="18"/>
              </w:rPr>
              <w:t>80%</w:t>
            </w:r>
          </w:p>
        </w:tc>
      </w:tr>
      <w:tr>
        <w:trPr>
          <w:trHeight w:val="352" w:hRule="exact"/>
        </w:trPr>
        <w:tc>
          <w:tcPr>
            <w:tcW w:w="2802"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不合格</w:t>
            </w:r>
          </w:p>
        </w:tc>
        <w:tc>
          <w:tcPr>
            <w:tcW w:w="5748"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sz w:val="18"/>
              </w:rPr>
              <w:t>0%</w:t>
            </w:r>
          </w:p>
        </w:tc>
      </w:tr>
    </w:tbl>
    <w:p>
      <w:pPr>
        <w:spacing w:line="240" w:lineRule="auto" w:before="3"/>
        <w:rPr>
          <w:rFonts w:ascii="宋体" w:hAnsi="宋体" w:cs="宋体" w:eastAsia="宋体" w:hint="default"/>
          <w:sz w:val="21"/>
          <w:szCs w:val="21"/>
        </w:rPr>
      </w:pPr>
    </w:p>
    <w:p>
      <w:pPr>
        <w:pStyle w:val="BodyText"/>
        <w:spacing w:line="316" w:lineRule="auto" w:before="44"/>
        <w:ind w:right="1152" w:firstLine="420"/>
        <w:jc w:val="left"/>
      </w:pPr>
      <w:r>
        <w:rPr/>
        <w:t>薪酬与考核委员会制定考核细则，对各激励对象每个考核年度的表现进行综合考评，激励对象需达到考核指标方可行 权。未能达到考核指标的激励对象不得行权。激励对象当年未能行权部分的股票期权由公司注销。</w:t>
      </w:r>
    </w:p>
    <w:p>
      <w:pPr>
        <w:pStyle w:val="BodyText"/>
        <w:spacing w:line="240" w:lineRule="auto" w:before="19"/>
        <w:ind w:left="577" w:right="0"/>
        <w:jc w:val="left"/>
      </w:pPr>
      <w:r>
        <w:rPr>
          <w:rFonts w:ascii="宋体" w:hAnsi="宋体" w:cs="宋体" w:eastAsia="宋体" w:hint="default"/>
        </w:rPr>
        <w:t>2</w:t>
      </w:r>
      <w:r>
        <w:rPr/>
        <w:t>、计划的实施情况</w:t>
      </w:r>
    </w:p>
    <w:p>
      <w:pPr>
        <w:pStyle w:val="BodyText"/>
        <w:spacing w:line="316" w:lineRule="auto" w:before="76"/>
        <w:ind w:right="1028" w:firstLine="420"/>
        <w:jc w:val="left"/>
      </w:pPr>
      <w:r>
        <w:rPr>
          <w:spacing w:val="-3"/>
        </w:rPr>
        <w:t>股票期权的授予日为</w:t>
      </w:r>
      <w:r>
        <w:rPr>
          <w:rFonts w:ascii="宋体" w:hAnsi="宋体" w:cs="宋体" w:eastAsia="宋体" w:hint="default"/>
          <w:spacing w:val="-3"/>
        </w:rPr>
        <w:t>2017</w:t>
      </w:r>
      <w:r>
        <w:rPr>
          <w:spacing w:val="-3"/>
        </w:rPr>
        <w:t>年</w:t>
      </w:r>
      <w:r>
        <w:rPr>
          <w:rFonts w:ascii="宋体" w:hAnsi="宋体" w:cs="宋体" w:eastAsia="宋体" w:hint="default"/>
          <w:spacing w:val="-3"/>
        </w:rPr>
        <w:t>10</w:t>
      </w:r>
      <w:r>
        <w:rPr>
          <w:spacing w:val="-3"/>
        </w:rPr>
        <w:t>月</w:t>
      </w:r>
      <w:r>
        <w:rPr>
          <w:rFonts w:ascii="宋体" w:hAnsi="宋体" w:cs="宋体" w:eastAsia="宋体" w:hint="default"/>
          <w:spacing w:val="-3"/>
        </w:rPr>
        <w:t>25</w:t>
      </w:r>
      <w:r>
        <w:rPr>
          <w:spacing w:val="-3"/>
        </w:rPr>
        <w:t>日，计划授予的股票期权为</w:t>
      </w:r>
      <w:r>
        <w:rPr>
          <w:rFonts w:ascii="宋体" w:hAnsi="宋体" w:cs="宋体" w:eastAsia="宋体" w:hint="default"/>
          <w:spacing w:val="-3"/>
        </w:rPr>
        <w:t>1,180</w:t>
      </w:r>
      <w:r>
        <w:rPr>
          <w:spacing w:val="-3"/>
        </w:rPr>
        <w:t>万份；授予过程中，</w:t>
      </w:r>
      <w:r>
        <w:rPr>
          <w:rFonts w:ascii="宋体" w:hAnsi="宋体" w:cs="宋体" w:eastAsia="宋体" w:hint="default"/>
          <w:spacing w:val="-3"/>
        </w:rPr>
        <w:t>4</w:t>
      </w:r>
      <w:r>
        <w:rPr>
          <w:rFonts w:ascii="宋体" w:hAnsi="宋体" w:cs="宋体" w:eastAsia="宋体" w:hint="default"/>
          <w:spacing w:val="31"/>
        </w:rPr>
        <w:t> </w:t>
      </w:r>
      <w:r>
        <w:rPr>
          <w:spacing w:val="-3"/>
        </w:rPr>
        <w:t>名激励对象张兆民、邓水平、</w:t>
      </w:r>
      <w:r>
        <w:rPr/>
        <w:t> </w:t>
      </w:r>
      <w:r>
        <w:rPr>
          <w:spacing w:val="-3"/>
        </w:rPr>
        <w:t>钱小满、陈金伟因个人原因放弃认购拟授予的全部股票期权，故本次激励计划公司实际向</w:t>
      </w:r>
      <w:r>
        <w:rPr>
          <w:spacing w:val="9"/>
        </w:rPr>
        <w:t> </w:t>
      </w:r>
      <w:r>
        <w:rPr>
          <w:rFonts w:ascii="宋体" w:hAnsi="宋体" w:cs="宋体" w:eastAsia="宋体" w:hint="default"/>
        </w:rPr>
        <w:t>148</w:t>
      </w:r>
      <w:r>
        <w:rPr>
          <w:rFonts w:ascii="宋体" w:hAnsi="宋体" w:cs="宋体" w:eastAsia="宋体" w:hint="default"/>
          <w:spacing w:val="8"/>
        </w:rPr>
        <w:t> </w:t>
      </w:r>
      <w:r>
        <w:rPr/>
        <w:t>名激励对象授予</w:t>
      </w:r>
      <w:r>
        <w:rPr>
          <w:rFonts w:ascii="宋体" w:hAnsi="宋体" w:cs="宋体" w:eastAsia="宋体" w:hint="default"/>
        </w:rPr>
        <w:t>1151.7</w:t>
      </w:r>
      <w:r>
        <w:rPr>
          <w:rFonts w:ascii="宋体" w:hAnsi="宋体" w:cs="宋体" w:eastAsia="宋体" w:hint="default"/>
          <w:spacing w:val="8"/>
        </w:rPr>
        <w:t> </w:t>
      </w:r>
      <w:r>
        <w:rPr/>
        <w:t>万份</w:t>
      </w:r>
      <w:r>
        <w:rPr>
          <w:spacing w:val="-81"/>
        </w:rPr>
        <w:t> </w:t>
      </w:r>
      <w:r>
        <w:rPr/>
        <w:t>股票期权。</w:t>
      </w:r>
    </w:p>
    <w:p>
      <w:pPr>
        <w:pStyle w:val="BodyText"/>
        <w:spacing w:line="319" w:lineRule="auto" w:before="19"/>
        <w:ind w:right="1122" w:firstLine="420"/>
        <w:jc w:val="left"/>
      </w:pPr>
      <w:r>
        <w:rPr/>
        <w:t>限制性股票的授予日为</w:t>
      </w:r>
      <w:r>
        <w:rPr>
          <w:rFonts w:ascii="宋体" w:hAnsi="宋体" w:cs="宋体" w:eastAsia="宋体" w:hint="default"/>
        </w:rPr>
        <w:t>2017</w:t>
      </w:r>
      <w:r>
        <w:rPr/>
        <w:t>年</w:t>
      </w:r>
      <w:r>
        <w:rPr>
          <w:rFonts w:ascii="宋体" w:hAnsi="宋体" w:cs="宋体" w:eastAsia="宋体" w:hint="default"/>
        </w:rPr>
        <w:t>10</w:t>
      </w:r>
      <w:r>
        <w:rPr/>
        <w:t>月</w:t>
      </w:r>
      <w:r>
        <w:rPr>
          <w:rFonts w:ascii="宋体" w:hAnsi="宋体" w:cs="宋体" w:eastAsia="宋体" w:hint="default"/>
        </w:rPr>
        <w:t>25</w:t>
      </w:r>
      <w:r>
        <w:rPr/>
        <w:t>日，计划授予的限制性股票为</w:t>
      </w:r>
      <w:r>
        <w:rPr>
          <w:rFonts w:ascii="宋体" w:hAnsi="宋体" w:cs="宋体" w:eastAsia="宋体" w:hint="default"/>
        </w:rPr>
        <w:t>447</w:t>
      </w:r>
      <w:r>
        <w:rPr/>
        <w:t>万股；实际认购的限制性股票为</w:t>
      </w:r>
      <w:r>
        <w:rPr>
          <w:rFonts w:ascii="宋体" w:hAnsi="宋体" w:cs="宋体" w:eastAsia="宋体" w:hint="default"/>
        </w:rPr>
        <w:t>427</w:t>
      </w:r>
      <w:r>
        <w:rPr/>
        <w:t>万股。在本 次激励计划授予过程中， </w:t>
      </w:r>
      <w:r>
        <w:rPr>
          <w:rFonts w:ascii="宋体" w:hAnsi="宋体" w:cs="宋体" w:eastAsia="宋体" w:hint="default"/>
        </w:rPr>
        <w:t>1 </w:t>
      </w:r>
      <w:r>
        <w:rPr/>
        <w:t>名激励对象因个人原因仅部分认购拟授予的限制性股票。因此，公司本次限制性股票实际授予</w:t>
      </w:r>
    </w:p>
    <w:p>
      <w:pPr>
        <w:pStyle w:val="BodyText"/>
        <w:spacing w:line="316" w:lineRule="auto" w:before="17"/>
        <w:ind w:left="574" w:right="4302" w:hanging="420"/>
        <w:jc w:val="left"/>
      </w:pPr>
      <w:r>
        <w:rPr/>
        <w:t>人数仍为 </w:t>
      </w:r>
      <w:r>
        <w:rPr>
          <w:rFonts w:ascii="宋体" w:hAnsi="宋体" w:cs="宋体" w:eastAsia="宋体" w:hint="default"/>
        </w:rPr>
        <w:t>13 </w:t>
      </w:r>
      <w:r>
        <w:rPr/>
        <w:t>人，授予的限制性股票数量由 </w:t>
      </w:r>
      <w:r>
        <w:rPr>
          <w:rFonts w:ascii="宋体" w:hAnsi="宋体" w:cs="宋体" w:eastAsia="宋体" w:hint="default"/>
        </w:rPr>
        <w:t>447 </w:t>
      </w:r>
      <w:r>
        <w:rPr/>
        <w:t>万股调整为 </w:t>
      </w:r>
      <w:r>
        <w:rPr>
          <w:rFonts w:ascii="宋体" w:hAnsi="宋体" w:cs="宋体" w:eastAsia="宋体" w:hint="default"/>
        </w:rPr>
        <w:t>427 </w:t>
      </w:r>
      <w:r>
        <w:rPr/>
        <w:t>万股。 </w:t>
      </w:r>
      <w:r>
        <w:rPr>
          <w:rFonts w:ascii="宋体" w:hAnsi="宋体" w:cs="宋体" w:eastAsia="宋体" w:hint="default"/>
        </w:rPr>
        <w:t>2017</w:t>
      </w:r>
      <w:r>
        <w:rPr/>
        <w:t>年</w:t>
      </w:r>
      <w:r>
        <w:rPr>
          <w:rFonts w:ascii="宋体" w:hAnsi="宋体" w:cs="宋体" w:eastAsia="宋体" w:hint="default"/>
        </w:rPr>
        <w:t>12</w:t>
      </w:r>
      <w:r>
        <w:rPr/>
        <w:t>月</w:t>
      </w:r>
      <w:r>
        <w:rPr>
          <w:rFonts w:ascii="宋体" w:hAnsi="宋体" w:cs="宋体" w:eastAsia="宋体" w:hint="default"/>
        </w:rPr>
        <w:t>8</w:t>
      </w:r>
      <w:r>
        <w:rPr/>
        <w:t>日，本公司完成了股票期权和限制性股票授予的股权登记工作。</w:t>
      </w:r>
    </w:p>
    <w:p>
      <w:pPr>
        <w:pStyle w:val="BodyText"/>
        <w:spacing w:line="316" w:lineRule="auto" w:before="19"/>
        <w:ind w:right="1119" w:firstLine="420"/>
        <w:jc w:val="left"/>
      </w:pPr>
      <w:r>
        <w:rPr>
          <w:rFonts w:ascii="宋体" w:hAnsi="宋体" w:cs="宋体" w:eastAsia="宋体" w:hint="default"/>
          <w:spacing w:val="-1"/>
        </w:rPr>
        <w:t>2018</w:t>
      </w:r>
      <w:r>
        <w:rPr>
          <w:spacing w:val="-1"/>
        </w:rPr>
        <w:t>年</w:t>
      </w:r>
      <w:r>
        <w:rPr>
          <w:rFonts w:ascii="宋体" w:hAnsi="宋体" w:cs="宋体" w:eastAsia="宋体" w:hint="default"/>
          <w:spacing w:val="-1"/>
        </w:rPr>
        <w:t>6</w:t>
      </w:r>
      <w:r>
        <w:rPr>
          <w:spacing w:val="-1"/>
        </w:rPr>
        <w:t>月</w:t>
      </w:r>
      <w:r>
        <w:rPr>
          <w:rFonts w:ascii="宋体" w:hAnsi="宋体" w:cs="宋体" w:eastAsia="宋体" w:hint="default"/>
          <w:spacing w:val="-1"/>
        </w:rPr>
        <w:t>8</w:t>
      </w:r>
      <w:r>
        <w:rPr>
          <w:spacing w:val="-1"/>
        </w:rPr>
        <w:t>日，本公司回购注销未达</w:t>
      </w:r>
      <w:r>
        <w:rPr>
          <w:rFonts w:ascii="宋体" w:hAnsi="宋体" w:cs="宋体" w:eastAsia="宋体" w:hint="default"/>
          <w:spacing w:val="-1"/>
        </w:rPr>
        <w:t>2017</w:t>
      </w:r>
      <w:r>
        <w:rPr>
          <w:spacing w:val="-1"/>
        </w:rPr>
        <w:t>年股票期权与限制性股票激励计划第一期行权</w:t>
      </w:r>
      <w:r>
        <w:rPr>
          <w:rFonts w:ascii="宋体" w:hAnsi="宋体" w:cs="宋体" w:eastAsia="宋体" w:hint="default"/>
          <w:spacing w:val="-1"/>
        </w:rPr>
        <w:t>/</w:t>
      </w:r>
      <w:r>
        <w:rPr>
          <w:spacing w:val="-1"/>
        </w:rPr>
        <w:t>解锁条件的激励对象持有获授</w:t>
      </w:r>
      <w:r>
        <w:rPr/>
        <w:t> 的限制性股票，共计</w:t>
      </w:r>
      <w:r>
        <w:rPr>
          <w:rFonts w:ascii="宋体" w:hAnsi="宋体" w:cs="宋体" w:eastAsia="宋体" w:hint="default"/>
        </w:rPr>
        <w:t>106.75</w:t>
      </w:r>
      <w:r>
        <w:rPr/>
        <w:t>万股，授予的限制性股票数量由 </w:t>
      </w:r>
      <w:r>
        <w:rPr>
          <w:rFonts w:ascii="宋体" w:hAnsi="宋体" w:cs="宋体" w:eastAsia="宋体" w:hint="default"/>
        </w:rPr>
        <w:t>427</w:t>
      </w:r>
      <w:r>
        <w:rPr/>
        <w:t>万股调整为</w:t>
      </w:r>
      <w:r>
        <w:rPr>
          <w:rFonts w:ascii="宋体" w:hAnsi="宋体" w:cs="宋体" w:eastAsia="宋体" w:hint="default"/>
        </w:rPr>
        <w:t>320.25</w:t>
      </w:r>
      <w:r>
        <w:rPr/>
        <w:t>万股。</w:t>
      </w:r>
    </w:p>
    <w:p>
      <w:pPr>
        <w:pStyle w:val="BodyText"/>
        <w:spacing w:line="316" w:lineRule="auto" w:before="19"/>
        <w:ind w:left="574" w:right="8352" w:firstLine="6"/>
        <w:jc w:val="left"/>
      </w:pPr>
      <w:r>
        <w:rPr>
          <w:rFonts w:ascii="宋体" w:hAnsi="宋体" w:cs="宋体" w:eastAsia="宋体" w:hint="default"/>
        </w:rPr>
        <w:t>3</w:t>
      </w:r>
      <w:r>
        <w:rPr/>
        <w:t>、确认的成本费用 公司计划授予激励对象：</w:t>
      </w:r>
    </w:p>
    <w:p>
      <w:pPr>
        <w:pStyle w:val="BodyText"/>
        <w:spacing w:line="316" w:lineRule="auto" w:before="19"/>
        <w:ind w:left="574" w:right="1152"/>
        <w:jc w:val="left"/>
      </w:pPr>
      <w:r>
        <w:rPr/>
        <w:t>股票期权为</w:t>
      </w:r>
      <w:r>
        <w:rPr>
          <w:rFonts w:ascii="宋体" w:hAnsi="宋体" w:cs="宋体" w:eastAsia="宋体" w:hint="default"/>
        </w:rPr>
        <w:t>1,180</w:t>
      </w:r>
      <w:r>
        <w:rPr/>
        <w:t>万份，行权价格为</w:t>
      </w:r>
      <w:r>
        <w:rPr>
          <w:rFonts w:ascii="宋体" w:hAnsi="宋体" w:cs="宋体" w:eastAsia="宋体" w:hint="default"/>
        </w:rPr>
        <w:t>8.85</w:t>
      </w:r>
      <w:r>
        <w:rPr/>
        <w:t>元，授予日股票价格为</w:t>
      </w:r>
      <w:r>
        <w:rPr>
          <w:rFonts w:ascii="宋体" w:hAnsi="宋体" w:cs="宋体" w:eastAsia="宋体" w:hint="default"/>
        </w:rPr>
        <w:t>10.26</w:t>
      </w:r>
      <w:r>
        <w:rPr/>
        <w:t>元</w:t>
      </w:r>
      <w:r>
        <w:rPr>
          <w:rFonts w:ascii="宋体" w:hAnsi="宋体" w:cs="宋体" w:eastAsia="宋体" w:hint="default"/>
        </w:rPr>
        <w:t>/</w:t>
      </w:r>
      <w:r>
        <w:rPr/>
        <w:t>股，应确认的总费用为</w:t>
      </w:r>
      <w:r>
        <w:rPr>
          <w:rFonts w:ascii="宋体" w:hAnsi="宋体" w:cs="宋体" w:eastAsia="宋体" w:hint="default"/>
        </w:rPr>
        <w:t>28,620,000</w:t>
      </w:r>
      <w:r>
        <w:rPr/>
        <w:t>元。 限制性股票数量为</w:t>
      </w:r>
      <w:r>
        <w:rPr>
          <w:rFonts w:ascii="宋体" w:hAnsi="宋体" w:cs="宋体" w:eastAsia="宋体" w:hint="default"/>
        </w:rPr>
        <w:t>447</w:t>
      </w:r>
      <w:r>
        <w:rPr/>
        <w:t>万股，行权价格为</w:t>
      </w:r>
      <w:r>
        <w:rPr>
          <w:rFonts w:ascii="宋体" w:hAnsi="宋体" w:cs="宋体" w:eastAsia="宋体" w:hint="default"/>
        </w:rPr>
        <w:t>4.43</w:t>
      </w:r>
      <w:r>
        <w:rPr/>
        <w:t>元</w:t>
      </w:r>
      <w:r>
        <w:rPr>
          <w:rFonts w:ascii="宋体" w:hAnsi="宋体" w:cs="宋体" w:eastAsia="宋体" w:hint="default"/>
        </w:rPr>
        <w:t>/</w:t>
      </w:r>
      <w:r>
        <w:rPr/>
        <w:t>股，授予日股票价格为</w:t>
      </w:r>
      <w:r>
        <w:rPr>
          <w:rFonts w:ascii="宋体" w:hAnsi="宋体" w:cs="宋体" w:eastAsia="宋体" w:hint="default"/>
        </w:rPr>
        <w:t>10.26</w:t>
      </w:r>
      <w:r>
        <w:rPr/>
        <w:t>元</w:t>
      </w:r>
      <w:r>
        <w:rPr>
          <w:rFonts w:ascii="宋体" w:hAnsi="宋体" w:cs="宋体" w:eastAsia="宋体" w:hint="default"/>
        </w:rPr>
        <w:t>/</w:t>
      </w:r>
      <w:r>
        <w:rPr/>
        <w:t>股，按照授予日限制性股票的公允价</w:t>
      </w:r>
    </w:p>
    <w:p>
      <w:pPr>
        <w:pStyle w:val="BodyText"/>
        <w:spacing w:line="300" w:lineRule="auto" w:before="19"/>
        <w:ind w:left="574" w:right="1152" w:hanging="420"/>
        <w:jc w:val="left"/>
      </w:pPr>
      <w:r>
        <w:rPr/>
        <w:t>值总额超出授予价格总额部分应确认的总费用为</w:t>
      </w:r>
      <w:r>
        <w:rPr>
          <w:rFonts w:ascii="宋体" w:hAnsi="宋体" w:cs="宋体" w:eastAsia="宋体" w:hint="default"/>
        </w:rPr>
        <w:t>26</w:t>
      </w:r>
      <w:r>
        <w:rPr>
          <w:rFonts w:ascii="Times New Roman" w:hAnsi="Times New Roman" w:cs="Times New Roman" w:eastAsia="Times New Roman" w:hint="default"/>
        </w:rPr>
        <w:t>,</w:t>
      </w:r>
      <w:r>
        <w:rPr>
          <w:rFonts w:ascii="宋体" w:hAnsi="宋体" w:cs="宋体" w:eastAsia="宋体" w:hint="default"/>
        </w:rPr>
        <w:t>060</w:t>
      </w:r>
      <w:r>
        <w:rPr>
          <w:rFonts w:ascii="Times New Roman" w:hAnsi="Times New Roman" w:cs="Times New Roman" w:eastAsia="Times New Roman" w:hint="default"/>
        </w:rPr>
        <w:t>,</w:t>
      </w:r>
      <w:r>
        <w:rPr>
          <w:rFonts w:ascii="宋体" w:hAnsi="宋体" w:cs="宋体" w:eastAsia="宋体" w:hint="default"/>
        </w:rPr>
        <w:t>100</w:t>
      </w:r>
      <w:r>
        <w:rPr>
          <w:rFonts w:ascii="Times New Roman" w:hAnsi="Times New Roman" w:cs="Times New Roman" w:eastAsia="Times New Roman" w:hint="default"/>
        </w:rPr>
        <w:t>.00</w:t>
      </w:r>
      <w:r>
        <w:rPr/>
        <w:t>元。 股权激励计划应确认的费用在等待期内按会计期间内等待期长度占整个等待期长度的比例进行费用分摊。截止</w:t>
      </w:r>
      <w:r>
        <w:rPr>
          <w:rFonts w:ascii="宋体" w:hAnsi="宋体" w:cs="宋体" w:eastAsia="宋体" w:hint="default"/>
        </w:rPr>
        <w:t>2018</w:t>
      </w:r>
      <w:r>
        <w:rPr/>
        <w:t>年</w:t>
      </w:r>
    </w:p>
    <w:p>
      <w:pPr>
        <w:pStyle w:val="BodyText"/>
        <w:spacing w:line="240" w:lineRule="auto" w:before="31"/>
        <w:ind w:right="0"/>
        <w:jc w:val="left"/>
      </w:pPr>
      <w:r>
        <w:rPr>
          <w:rFonts w:ascii="宋体" w:hAnsi="宋体" w:cs="宋体" w:eastAsia="宋体" w:hint="default"/>
        </w:rPr>
        <w:t>12</w:t>
      </w:r>
      <w:r>
        <w:rPr/>
        <w:t>月</w:t>
      </w:r>
      <w:r>
        <w:rPr>
          <w:rFonts w:ascii="宋体" w:hAnsi="宋体" w:cs="宋体" w:eastAsia="宋体" w:hint="default"/>
        </w:rPr>
        <w:t>31</w:t>
      </w:r>
      <w:r>
        <w:rPr/>
        <w:t>日，公司累计已确认的费用</w:t>
      </w:r>
      <w:r>
        <w:rPr>
          <w:rFonts w:ascii="宋体" w:hAnsi="宋体" w:cs="宋体" w:eastAsia="宋体" w:hint="default"/>
        </w:rPr>
        <w:t>5</w:t>
      </w:r>
      <w:r>
        <w:rPr>
          <w:rFonts w:ascii="Times New Roman" w:hAnsi="Times New Roman" w:cs="Times New Roman" w:eastAsia="Times New Roman" w:hint="default"/>
        </w:rPr>
        <w:t>,</w:t>
      </w:r>
      <w:r>
        <w:rPr>
          <w:rFonts w:ascii="宋体" w:hAnsi="宋体" w:cs="宋体" w:eastAsia="宋体" w:hint="default"/>
        </w:rPr>
        <w:t>469</w:t>
      </w:r>
      <w:r>
        <w:rPr>
          <w:rFonts w:ascii="Times New Roman" w:hAnsi="Times New Roman" w:cs="Times New Roman" w:eastAsia="Times New Roman" w:hint="default"/>
        </w:rPr>
        <w:t>,</w:t>
      </w:r>
      <w:r>
        <w:rPr>
          <w:rFonts w:ascii="宋体" w:hAnsi="宋体" w:cs="宋体" w:eastAsia="宋体" w:hint="default"/>
        </w:rPr>
        <w:t>040.11</w:t>
      </w:r>
      <w:r>
        <w:rPr/>
        <w:t>元，其中</w:t>
      </w:r>
      <w:r>
        <w:rPr>
          <w:rFonts w:ascii="宋体" w:hAnsi="宋体" w:cs="宋体" w:eastAsia="宋体" w:hint="default"/>
        </w:rPr>
        <w:t>2018</w:t>
      </w:r>
      <w:r>
        <w:rPr/>
        <w:t>年度确认的费用为</w:t>
      </w:r>
      <w:r>
        <w:rPr>
          <w:rFonts w:ascii="宋体" w:hAnsi="宋体" w:cs="宋体" w:eastAsia="宋体" w:hint="default"/>
        </w:rPr>
        <w:t>1,242,694.34</w:t>
      </w:r>
      <w:r>
        <w:rPr/>
        <w:t>元。</w:t>
      </w:r>
    </w:p>
    <w:p>
      <w:pPr>
        <w:spacing w:line="240" w:lineRule="auto" w:before="11"/>
        <w:rPr>
          <w:rFonts w:ascii="宋体" w:hAnsi="宋体" w:cs="宋体" w:eastAsia="宋体" w:hint="default"/>
          <w:sz w:val="25"/>
          <w:szCs w:val="25"/>
        </w:rPr>
      </w:pPr>
    </w:p>
    <w:p>
      <w:pPr>
        <w:pStyle w:val="Heading3"/>
        <w:spacing w:line="240" w:lineRule="auto"/>
        <w:ind w:right="0"/>
        <w:jc w:val="left"/>
        <w:rPr>
          <w:b w:val="0"/>
          <w:bCs w:val="0"/>
        </w:rPr>
      </w:pPr>
      <w:bookmarkStart w:name="3、以现金结算的股份支付情况" w:id="459"/>
      <w:bookmarkEnd w:id="459"/>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股份支付的修改、终止情况" w:id="460"/>
      <w:bookmarkEnd w:id="460"/>
      <w:r>
        <w:rPr>
          <w:b w:val="0"/>
          <w:bCs w:val="0"/>
        </w:rPr>
      </w:r>
      <w:r>
        <w:rPr>
          <w:rFonts w:ascii="Times New Roman" w:hAnsi="Times New Roman" w:cs="Times New Roman" w:eastAsia="Times New Roman" w:hint="default"/>
        </w:rPr>
        <w:t>4</w:t>
      </w:r>
      <w:r>
        <w:rPr/>
        <w:t>、股份支付的修改、终止情况</w:t>
      </w:r>
      <w:r>
        <w:rPr>
          <w:b w:val="0"/>
          <w:bCs w:val="0"/>
        </w:rPr>
      </w:r>
    </w:p>
    <w:p>
      <w:pPr>
        <w:spacing w:line="240" w:lineRule="auto" w:before="8"/>
        <w:rPr>
          <w:rFonts w:ascii="宋体" w:hAnsi="宋体" w:cs="宋体" w:eastAsia="宋体" w:hint="default"/>
          <w:b/>
          <w:bCs/>
          <w:sz w:val="26"/>
          <w:szCs w:val="26"/>
        </w:rPr>
      </w:pPr>
    </w:p>
    <w:p>
      <w:pPr>
        <w:pStyle w:val="BodyText"/>
        <w:spacing w:line="316" w:lineRule="auto"/>
        <w:ind w:right="1130" w:firstLine="420"/>
        <w:jc w:val="both"/>
      </w:pPr>
      <w:r>
        <w:rPr>
          <w:spacing w:val="-1"/>
        </w:rPr>
        <w:t>根据</w:t>
      </w:r>
      <w:r>
        <w:rPr>
          <w:rFonts w:ascii="宋体" w:hAnsi="宋体" w:cs="宋体" w:eastAsia="宋体" w:hint="default"/>
          <w:spacing w:val="-1"/>
        </w:rPr>
        <w:t>2018</w:t>
      </w:r>
      <w:r>
        <w:rPr>
          <w:spacing w:val="-1"/>
        </w:rPr>
        <w:t>年</w:t>
      </w:r>
      <w:r>
        <w:rPr>
          <w:rFonts w:ascii="宋体" w:hAnsi="宋体" w:cs="宋体" w:eastAsia="宋体" w:hint="default"/>
          <w:spacing w:val="-1"/>
        </w:rPr>
        <w:t>4</w:t>
      </w:r>
      <w:r>
        <w:rPr>
          <w:spacing w:val="-1"/>
        </w:rPr>
        <w:t>月</w:t>
      </w:r>
      <w:r>
        <w:rPr>
          <w:rFonts w:ascii="宋体" w:hAnsi="宋体" w:cs="宋体" w:eastAsia="宋体" w:hint="default"/>
          <w:spacing w:val="-1"/>
        </w:rPr>
        <w:t>23</w:t>
      </w:r>
      <w:r>
        <w:rPr>
          <w:spacing w:val="-1"/>
        </w:rPr>
        <w:t>日第四届董事会第二十次会议和第四届监事会第十五次会议，审议通过了《关于注销部分股票期权及</w:t>
      </w:r>
      <w:r>
        <w:rPr/>
        <w:t> </w:t>
      </w:r>
      <w:r>
        <w:rPr>
          <w:spacing w:val="-3"/>
        </w:rPr>
        <w:t>回购注销部分限制性股票的议案》，公司决定回购注销未达</w:t>
      </w:r>
      <w:r>
        <w:rPr>
          <w:rFonts w:ascii="宋体" w:hAnsi="宋体" w:cs="宋体" w:eastAsia="宋体" w:hint="default"/>
          <w:spacing w:val="-3"/>
        </w:rPr>
        <w:t>2017</w:t>
      </w:r>
      <w:r>
        <w:rPr>
          <w:spacing w:val="-3"/>
        </w:rPr>
        <w:t>年股票期权与限制性股票激励计划第一期行权</w:t>
      </w:r>
      <w:r>
        <w:rPr>
          <w:rFonts w:ascii="宋体" w:hAnsi="宋体" w:cs="宋体" w:eastAsia="宋体" w:hint="default"/>
          <w:spacing w:val="-3"/>
        </w:rPr>
        <w:t>/</w:t>
      </w:r>
      <w:r>
        <w:rPr>
          <w:spacing w:val="-3"/>
        </w:rPr>
        <w:t>解锁条件的激</w:t>
      </w:r>
      <w:r>
        <w:rPr/>
        <w:t> 励对象持有获授的限制性股票，共计</w:t>
      </w:r>
      <w:r>
        <w:rPr>
          <w:rFonts w:ascii="宋体" w:hAnsi="宋体" w:cs="宋体" w:eastAsia="宋体" w:hint="default"/>
        </w:rPr>
        <w:t>1</w:t>
      </w:r>
      <w:r>
        <w:rPr>
          <w:rFonts w:ascii="Times New Roman" w:hAnsi="Times New Roman" w:cs="Times New Roman" w:eastAsia="Times New Roman" w:hint="default"/>
        </w:rPr>
        <w:t>,</w:t>
      </w:r>
      <w:r>
        <w:rPr>
          <w:rFonts w:ascii="宋体" w:hAnsi="宋体" w:cs="宋体" w:eastAsia="宋体" w:hint="default"/>
        </w:rPr>
        <w:t>067</w:t>
      </w:r>
      <w:r>
        <w:rPr>
          <w:rFonts w:ascii="Times New Roman" w:hAnsi="Times New Roman" w:cs="Times New Roman" w:eastAsia="Times New Roman" w:hint="default"/>
        </w:rPr>
        <w:t>,</w:t>
      </w:r>
      <w:r>
        <w:rPr>
          <w:rFonts w:ascii="宋体" w:hAnsi="宋体" w:cs="宋体" w:eastAsia="宋体" w:hint="default"/>
        </w:rPr>
        <w:t>500</w:t>
      </w:r>
      <w:r>
        <w:rPr/>
        <w:t>股，回购价格为</w:t>
      </w:r>
      <w:r>
        <w:rPr>
          <w:rFonts w:ascii="宋体" w:hAnsi="宋体" w:cs="宋体" w:eastAsia="宋体" w:hint="default"/>
        </w:rPr>
        <w:t>4.43</w:t>
      </w:r>
      <w:r>
        <w:rPr/>
        <w:t>元</w:t>
      </w:r>
      <w:r>
        <w:rPr>
          <w:rFonts w:ascii="宋体" w:hAnsi="宋体" w:cs="宋体" w:eastAsia="宋体" w:hint="default"/>
        </w:rPr>
        <w:t>/</w:t>
      </w:r>
      <w:r>
        <w:rPr/>
        <w:t>股。</w:t>
      </w:r>
    </w:p>
    <w:p>
      <w:pPr>
        <w:pStyle w:val="BodyText"/>
        <w:spacing w:line="235" w:lineRule="exact"/>
        <w:ind w:left="574" w:right="0"/>
        <w:jc w:val="left"/>
      </w:pPr>
      <w:r>
        <w:rPr/>
        <w:t>根据</w:t>
      </w:r>
      <w:r>
        <w:rPr>
          <w:rFonts w:ascii="宋体" w:hAnsi="宋体" w:cs="宋体" w:eastAsia="宋体" w:hint="default"/>
        </w:rPr>
        <w:t>2018</w:t>
      </w:r>
      <w:r>
        <w:rPr/>
        <w:t>年</w:t>
      </w:r>
      <w:r>
        <w:rPr>
          <w:rFonts w:ascii="宋体" w:hAnsi="宋体" w:cs="宋体" w:eastAsia="宋体" w:hint="default"/>
        </w:rPr>
        <w:t>7</w:t>
      </w:r>
      <w:r>
        <w:rPr/>
        <w:t>月</w:t>
      </w:r>
      <w:r>
        <w:rPr>
          <w:rFonts w:ascii="宋体" w:hAnsi="宋体" w:cs="宋体" w:eastAsia="宋体" w:hint="default"/>
        </w:rPr>
        <w:t>11</w:t>
      </w:r>
      <w:r>
        <w:rPr/>
        <w:t>日第四届董事会第二十四次会议，审议通过了《关于调整公司股票期权行权价格和限制性股票回购价</w:t>
      </w:r>
    </w:p>
    <w:p>
      <w:pPr>
        <w:spacing w:after="0" w:line="235" w:lineRule="exact"/>
        <w:jc w:val="left"/>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316" w:lineRule="auto" w:before="44"/>
        <w:ind w:right="1139"/>
        <w:jc w:val="both"/>
      </w:pPr>
      <w:r>
        <w:rPr>
          <w:spacing w:val="-8"/>
        </w:rPr>
        <w:t>格的议案》，因公司实施了</w:t>
      </w:r>
      <w:r>
        <w:rPr/>
        <w:t> </w:t>
      </w:r>
      <w:r>
        <w:rPr>
          <w:rFonts w:ascii="宋体" w:hAnsi="宋体" w:cs="宋体" w:eastAsia="宋体" w:hint="default"/>
        </w:rPr>
        <w:t>2017 </w:t>
      </w:r>
      <w:r>
        <w:rPr/>
        <w:t>年度权益分派事宜，根据《深圳市卓翼科技股份有限公司 </w:t>
      </w:r>
      <w:r>
        <w:rPr>
          <w:rFonts w:ascii="宋体" w:hAnsi="宋体" w:cs="宋体" w:eastAsia="宋体" w:hint="default"/>
        </w:rPr>
        <w:t>2017</w:t>
      </w:r>
      <w:r>
        <w:rPr>
          <w:rFonts w:ascii="宋体" w:hAnsi="宋体" w:cs="宋体" w:eastAsia="宋体" w:hint="default"/>
          <w:spacing w:val="5"/>
        </w:rPr>
        <w:t> </w:t>
      </w:r>
      <w:r>
        <w:rPr/>
        <w:t>年股票期权与限制性股票 </w:t>
      </w:r>
      <w:r>
        <w:rPr>
          <w:spacing w:val="-2"/>
        </w:rPr>
        <w:t>激励计划（草案）》及其摘要相关规定，董事会决定对股票期权行权价格和限制性股票回购价格进行调整，股票期权行权价</w:t>
      </w:r>
      <w:r>
        <w:rPr>
          <w:spacing w:val="-72"/>
        </w:rPr>
        <w:t> </w:t>
      </w:r>
      <w:r>
        <w:rPr>
          <w:spacing w:val="-72"/>
        </w:rPr>
      </w:r>
      <w:r>
        <w:rPr/>
        <w:t>格由</w:t>
      </w:r>
      <w:r>
        <w:rPr>
          <w:rFonts w:ascii="宋体" w:hAnsi="宋体" w:cs="宋体" w:eastAsia="宋体" w:hint="default"/>
        </w:rPr>
        <w:t>8.85</w:t>
      </w:r>
      <w:r>
        <w:rPr/>
        <w:t>元</w:t>
      </w:r>
      <w:r>
        <w:rPr>
          <w:rFonts w:ascii="宋体" w:hAnsi="宋体" w:cs="宋体" w:eastAsia="宋体" w:hint="default"/>
        </w:rPr>
        <w:t>/</w:t>
      </w:r>
      <w:r>
        <w:rPr/>
        <w:t>股调整至</w:t>
      </w:r>
      <w:r>
        <w:rPr>
          <w:rFonts w:ascii="宋体" w:hAnsi="宋体" w:cs="宋体" w:eastAsia="宋体" w:hint="default"/>
        </w:rPr>
        <w:t>8.79</w:t>
      </w:r>
      <w:r>
        <w:rPr/>
        <w:t>元</w:t>
      </w:r>
      <w:r>
        <w:rPr>
          <w:rFonts w:ascii="宋体" w:hAnsi="宋体" w:cs="宋体" w:eastAsia="宋体" w:hint="default"/>
        </w:rPr>
        <w:t>/</w:t>
      </w:r>
      <w:r>
        <w:rPr/>
        <w:t>股，限制性股票回购价格由</w:t>
      </w:r>
      <w:r>
        <w:rPr>
          <w:rFonts w:ascii="宋体" w:hAnsi="宋体" w:cs="宋体" w:eastAsia="宋体" w:hint="default"/>
        </w:rPr>
        <w:t>4.43</w:t>
      </w:r>
      <w:r>
        <w:rPr/>
        <w:t>元</w:t>
      </w:r>
      <w:r>
        <w:rPr>
          <w:rFonts w:ascii="宋体" w:hAnsi="宋体" w:cs="宋体" w:eastAsia="宋体" w:hint="default"/>
        </w:rPr>
        <w:t>/</w:t>
      </w:r>
      <w:r>
        <w:rPr/>
        <w:t>股调整至</w:t>
      </w:r>
      <w:r>
        <w:rPr>
          <w:rFonts w:ascii="宋体" w:hAnsi="宋体" w:cs="宋体" w:eastAsia="宋体" w:hint="default"/>
        </w:rPr>
        <w:t>4.37</w:t>
      </w:r>
      <w:r>
        <w:rPr/>
        <w:t>元</w:t>
      </w:r>
      <w:r>
        <w:rPr>
          <w:rFonts w:ascii="宋体" w:hAnsi="宋体" w:cs="宋体" w:eastAsia="宋体" w:hint="default"/>
        </w:rPr>
        <w:t>/</w:t>
      </w:r>
      <w:r>
        <w:rPr/>
        <w:t>股。</w:t>
      </w:r>
    </w:p>
    <w:p>
      <w:pPr>
        <w:spacing w:line="240" w:lineRule="auto" w:before="7"/>
        <w:rPr>
          <w:rFonts w:ascii="宋体" w:hAnsi="宋体" w:cs="宋体" w:eastAsia="宋体" w:hint="default"/>
          <w:sz w:val="22"/>
          <w:szCs w:val="22"/>
        </w:rPr>
      </w:pPr>
    </w:p>
    <w:p>
      <w:pPr>
        <w:pStyle w:val="Heading3"/>
        <w:spacing w:line="240" w:lineRule="auto"/>
        <w:ind w:right="0"/>
        <w:jc w:val="both"/>
        <w:rPr>
          <w:b w:val="0"/>
          <w:bCs w:val="0"/>
        </w:rPr>
      </w:pPr>
      <w:bookmarkStart w:name="5、其他" w:id="461"/>
      <w:bookmarkEnd w:id="461"/>
      <w:r>
        <w:rPr>
          <w:b w:val="0"/>
          <w:bCs w:val="0"/>
        </w:rPr>
      </w:r>
      <w:r>
        <w:rPr>
          <w:rFonts w:ascii="Times New Roman" w:hAnsi="Times New Roman" w:cs="Times New Roman" w:eastAsia="Times New Roman" w:hint="default"/>
        </w:rPr>
        <w:t>5</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无</w:t>
      </w:r>
    </w:p>
    <w:p>
      <w:pPr>
        <w:spacing w:line="240" w:lineRule="auto" w:before="2"/>
        <w:rPr>
          <w:rFonts w:ascii="宋体" w:hAnsi="宋体" w:cs="宋体" w:eastAsia="宋体" w:hint="default"/>
          <w:sz w:val="25"/>
          <w:szCs w:val="25"/>
        </w:rPr>
      </w:pPr>
    </w:p>
    <w:p>
      <w:pPr>
        <w:pStyle w:val="Heading2"/>
        <w:spacing w:line="240" w:lineRule="auto"/>
        <w:ind w:right="0"/>
        <w:jc w:val="both"/>
        <w:rPr>
          <w:b w:val="0"/>
          <w:bCs w:val="0"/>
        </w:rPr>
      </w:pPr>
      <w:bookmarkStart w:name="十四、承诺及或有事项" w:id="462"/>
      <w:bookmarkEnd w:id="462"/>
      <w:r>
        <w:rPr>
          <w:b w:val="0"/>
          <w:bCs w:val="0"/>
        </w:rPr>
      </w:r>
      <w:r>
        <w:rPr/>
        <w:t>十四、承诺及或有事项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bookmarkStart w:name="1、重要承诺事项" w:id="463"/>
      <w:bookmarkEnd w:id="463"/>
      <w:r>
        <w:rPr>
          <w:b w:val="0"/>
          <w:bCs w:val="0"/>
        </w:rPr>
      </w:r>
      <w:r>
        <w:rPr>
          <w:rFonts w:ascii="Times New Roman" w:hAnsi="Times New Roman" w:cs="Times New Roman" w:eastAsia="Times New Roman" w:hint="default"/>
        </w:rPr>
        <w:t>1</w:t>
      </w:r>
      <w:r>
        <w:rPr/>
        <w:t>、重要承诺事项</w:t>
      </w:r>
      <w:r>
        <w:rPr>
          <w:b w:val="0"/>
          <w:bCs w:val="0"/>
        </w:rPr>
      </w:r>
    </w:p>
    <w:p>
      <w:pPr>
        <w:spacing w:line="240" w:lineRule="auto" w:before="8"/>
        <w:rPr>
          <w:rFonts w:ascii="宋体" w:hAnsi="宋体" w:cs="宋体" w:eastAsia="宋体" w:hint="default"/>
          <w:b/>
          <w:bCs/>
          <w:sz w:val="26"/>
          <w:szCs w:val="26"/>
        </w:rPr>
      </w:pPr>
    </w:p>
    <w:p>
      <w:pPr>
        <w:spacing w:line="357" w:lineRule="auto" w:before="0"/>
        <w:ind w:left="576" w:right="3624" w:hanging="423"/>
        <w:jc w:val="left"/>
        <w:rPr>
          <w:rFonts w:ascii="宋体" w:hAnsi="宋体" w:cs="宋体" w:eastAsia="宋体" w:hint="default"/>
          <w:sz w:val="18"/>
          <w:szCs w:val="18"/>
        </w:rPr>
      </w:pPr>
      <w:r>
        <w:rPr>
          <w:rFonts w:ascii="宋体" w:hAnsi="宋体" w:cs="宋体" w:eastAsia="宋体" w:hint="default"/>
          <w:sz w:val="18"/>
          <w:szCs w:val="18"/>
        </w:rPr>
        <w:t>资产负债表日存在的重要承诺 </w:t>
      </w:r>
      <w:r>
        <w:rPr>
          <w:rFonts w:ascii="宋体" w:hAnsi="宋体" w:cs="宋体" w:eastAsia="宋体" w:hint="default"/>
          <w:b/>
          <w:bCs/>
          <w:w w:val="95"/>
          <w:sz w:val="18"/>
          <w:szCs w:val="18"/>
        </w:rPr>
        <w:t>1</w:t>
      </w:r>
      <w:r>
        <w:rPr>
          <w:rFonts w:ascii="宋体" w:hAnsi="宋体" w:cs="宋体" w:eastAsia="宋体" w:hint="default"/>
          <w:b/>
          <w:bCs/>
          <w:w w:val="95"/>
          <w:sz w:val="18"/>
          <w:szCs w:val="18"/>
        </w:rPr>
        <w:t>、截止</w:t>
      </w:r>
      <w:r>
        <w:rPr>
          <w:rFonts w:ascii="宋体" w:hAnsi="宋体" w:cs="宋体" w:eastAsia="宋体" w:hint="default"/>
          <w:b/>
          <w:bCs/>
          <w:w w:val="95"/>
          <w:sz w:val="18"/>
          <w:szCs w:val="18"/>
        </w:rPr>
        <w:t>2018</w:t>
      </w:r>
      <w:r>
        <w:rPr>
          <w:rFonts w:ascii="宋体" w:hAnsi="宋体" w:cs="宋体" w:eastAsia="宋体" w:hint="default"/>
          <w:b/>
          <w:bCs/>
          <w:w w:val="95"/>
          <w:sz w:val="18"/>
          <w:szCs w:val="18"/>
        </w:rPr>
        <w:t>年</w:t>
      </w:r>
      <w:r>
        <w:rPr>
          <w:rFonts w:ascii="宋体" w:hAnsi="宋体" w:cs="宋体" w:eastAsia="宋体" w:hint="default"/>
          <w:b/>
          <w:bCs/>
          <w:w w:val="95"/>
          <w:sz w:val="18"/>
          <w:szCs w:val="18"/>
        </w:rPr>
        <w:t>12</w:t>
      </w:r>
      <w:r>
        <w:rPr>
          <w:rFonts w:ascii="宋体" w:hAnsi="宋体" w:cs="宋体" w:eastAsia="宋体" w:hint="default"/>
          <w:b/>
          <w:bCs/>
          <w:w w:val="95"/>
          <w:sz w:val="18"/>
          <w:szCs w:val="18"/>
        </w:rPr>
        <w:t>月</w:t>
      </w:r>
      <w:r>
        <w:rPr>
          <w:rFonts w:ascii="宋体" w:hAnsi="宋体" w:cs="宋体" w:eastAsia="宋体" w:hint="default"/>
          <w:b/>
          <w:bCs/>
          <w:w w:val="95"/>
          <w:sz w:val="18"/>
          <w:szCs w:val="18"/>
        </w:rPr>
        <w:t>31</w:t>
      </w:r>
      <w:r>
        <w:rPr>
          <w:rFonts w:ascii="宋体" w:hAnsi="宋体" w:cs="宋体" w:eastAsia="宋体" w:hint="default"/>
          <w:b/>
          <w:bCs/>
          <w:w w:val="95"/>
          <w:sz w:val="18"/>
          <w:szCs w:val="18"/>
        </w:rPr>
        <w:t>日，已签订的正在或准备履行的租赁合同及财务影响</w:t>
      </w:r>
      <w:r>
        <w:rPr>
          <w:rFonts w:ascii="宋体" w:hAnsi="宋体" w:cs="宋体" w:eastAsia="宋体" w:hint="default"/>
          <w:sz w:val="18"/>
          <w:szCs w:val="18"/>
        </w:rPr>
      </w:r>
    </w:p>
    <w:p>
      <w:pPr>
        <w:pStyle w:val="BodyText"/>
        <w:spacing w:line="224" w:lineRule="exact"/>
        <w:ind w:right="0" w:firstLine="420"/>
        <w:jc w:val="left"/>
      </w:pPr>
      <w:r>
        <w:rPr/>
        <w:t>（</w:t>
      </w:r>
      <w:r>
        <w:rPr>
          <w:rFonts w:ascii="宋体" w:hAnsi="宋体" w:cs="宋体" w:eastAsia="宋体" w:hint="default"/>
        </w:rPr>
        <w:t>1</w:t>
      </w:r>
      <w:r>
        <w:rPr/>
        <w:t>）本公司与深圳英特利投资有限公司</w:t>
      </w:r>
      <w:r>
        <w:rPr>
          <w:rFonts w:ascii="宋体" w:hAnsi="宋体" w:cs="宋体" w:eastAsia="宋体" w:hint="default"/>
        </w:rPr>
        <w:t>(</w:t>
      </w:r>
      <w:r>
        <w:rPr/>
        <w:t>以下简称“英特利投资”</w:t>
      </w:r>
      <w:r>
        <w:rPr>
          <w:rFonts w:ascii="宋体" w:hAnsi="宋体" w:cs="宋体" w:eastAsia="宋体" w:hint="default"/>
        </w:rPr>
        <w:t>)</w:t>
      </w:r>
      <w:r>
        <w:rPr/>
        <w:t>签订房屋租赁，合同约定：英特利投资将位于松岗</w:t>
      </w:r>
    </w:p>
    <w:p>
      <w:pPr>
        <w:pStyle w:val="BodyText"/>
        <w:spacing w:line="316" w:lineRule="auto" w:before="76"/>
        <w:ind w:right="1132"/>
        <w:jc w:val="both"/>
      </w:pPr>
      <w:r>
        <w:rPr/>
        <w:t>同富裕工业区的</w:t>
      </w:r>
      <w:r>
        <w:rPr>
          <w:rFonts w:ascii="宋体" w:hAnsi="宋体" w:cs="宋体" w:eastAsia="宋体" w:hint="default"/>
        </w:rPr>
        <w:t>1#</w:t>
      </w:r>
      <w:r>
        <w:rPr/>
        <w:t>、</w:t>
      </w:r>
      <w:r>
        <w:rPr>
          <w:rFonts w:ascii="宋体" w:hAnsi="宋体" w:cs="宋体" w:eastAsia="宋体" w:hint="default"/>
        </w:rPr>
        <w:t>2#</w:t>
      </w:r>
      <w:r>
        <w:rPr/>
        <w:t>、</w:t>
      </w:r>
      <w:r>
        <w:rPr>
          <w:rFonts w:ascii="宋体" w:hAnsi="宋体" w:cs="宋体" w:eastAsia="宋体" w:hint="default"/>
        </w:rPr>
        <w:t>3#</w:t>
      </w:r>
      <w:r>
        <w:rPr/>
        <w:t>厂房和</w:t>
      </w:r>
      <w:r>
        <w:rPr>
          <w:rFonts w:ascii="宋体" w:hAnsi="宋体" w:cs="宋体" w:eastAsia="宋体" w:hint="default"/>
        </w:rPr>
        <w:t>4#</w:t>
      </w:r>
      <w:r>
        <w:rPr/>
        <w:t>、</w:t>
      </w:r>
      <w:r>
        <w:rPr>
          <w:rFonts w:ascii="宋体" w:hAnsi="宋体" w:cs="宋体" w:eastAsia="宋体" w:hint="default"/>
        </w:rPr>
        <w:t>5#</w:t>
      </w:r>
      <w:r>
        <w:rPr/>
        <w:t>宿舍出租给公司使用，总面积</w:t>
      </w:r>
      <w:r>
        <w:rPr>
          <w:rFonts w:ascii="宋体" w:hAnsi="宋体" w:cs="宋体" w:eastAsia="宋体" w:hint="default"/>
        </w:rPr>
        <w:t>101,337.14</w:t>
      </w:r>
      <w:r>
        <w:rPr/>
        <w:t>平方米。</w:t>
      </w:r>
      <w:r>
        <w:rPr>
          <w:rFonts w:ascii="宋体" w:hAnsi="宋体" w:cs="宋体" w:eastAsia="宋体" w:hint="default"/>
        </w:rPr>
        <w:t>2010</w:t>
      </w:r>
      <w:r>
        <w:rPr/>
        <w:t>年</w:t>
      </w:r>
      <w:r>
        <w:rPr>
          <w:rFonts w:ascii="宋体" w:hAnsi="宋体" w:cs="宋体" w:eastAsia="宋体" w:hint="default"/>
        </w:rPr>
        <w:t>7</w:t>
      </w:r>
      <w:r>
        <w:rPr/>
        <w:t>月</w:t>
      </w:r>
      <w:r>
        <w:rPr>
          <w:rFonts w:ascii="宋体" w:hAnsi="宋体" w:cs="宋体" w:eastAsia="宋体" w:hint="default"/>
        </w:rPr>
        <w:t>1</w:t>
      </w:r>
      <w:r>
        <w:rPr/>
        <w:t>日至</w:t>
      </w:r>
      <w:r>
        <w:rPr>
          <w:rFonts w:ascii="宋体" w:hAnsi="宋体" w:cs="宋体" w:eastAsia="宋体" w:hint="default"/>
        </w:rPr>
        <w:t>2014</w:t>
      </w:r>
      <w:r>
        <w:rPr/>
        <w:t>年</w:t>
      </w:r>
      <w:r>
        <w:rPr>
          <w:rFonts w:ascii="宋体" w:hAnsi="宋体" w:cs="宋体" w:eastAsia="宋体" w:hint="default"/>
        </w:rPr>
        <w:t>6</w:t>
      </w:r>
      <w:r>
        <w:rPr/>
        <w:t>月</w:t>
      </w:r>
      <w:r>
        <w:rPr>
          <w:rFonts w:ascii="宋体" w:hAnsi="宋体" w:cs="宋体" w:eastAsia="宋体" w:hint="default"/>
        </w:rPr>
        <w:t>30</w:t>
      </w:r>
      <w:r>
        <w:rPr/>
        <w:t>日 </w:t>
      </w:r>
      <w:r>
        <w:rPr>
          <w:spacing w:val="-3"/>
        </w:rPr>
        <w:t>每月租金为人民币</w:t>
      </w:r>
      <w:r>
        <w:rPr>
          <w:rFonts w:ascii="宋体" w:hAnsi="宋体" w:cs="宋体" w:eastAsia="宋体" w:hint="default"/>
          <w:spacing w:val="-3"/>
        </w:rPr>
        <w:t>1,013,371.40</w:t>
      </w:r>
      <w:r>
        <w:rPr>
          <w:spacing w:val="-3"/>
        </w:rPr>
        <w:t>元、</w:t>
      </w:r>
      <w:r>
        <w:rPr>
          <w:rFonts w:ascii="宋体" w:hAnsi="宋体" w:cs="宋体" w:eastAsia="宋体" w:hint="default"/>
          <w:spacing w:val="-3"/>
        </w:rPr>
        <w:t>2014</w:t>
      </w:r>
      <w:r>
        <w:rPr>
          <w:spacing w:val="-3"/>
        </w:rPr>
        <w:t>年</w:t>
      </w:r>
      <w:r>
        <w:rPr>
          <w:rFonts w:ascii="宋体" w:hAnsi="宋体" w:cs="宋体" w:eastAsia="宋体" w:hint="default"/>
          <w:spacing w:val="-3"/>
        </w:rPr>
        <w:t>7</w:t>
      </w:r>
      <w:r>
        <w:rPr>
          <w:spacing w:val="-3"/>
        </w:rPr>
        <w:t>月</w:t>
      </w:r>
      <w:r>
        <w:rPr>
          <w:rFonts w:ascii="宋体" w:hAnsi="宋体" w:cs="宋体" w:eastAsia="宋体" w:hint="default"/>
          <w:spacing w:val="-3"/>
        </w:rPr>
        <w:t>1</w:t>
      </w:r>
      <w:r>
        <w:rPr>
          <w:spacing w:val="-3"/>
        </w:rPr>
        <w:t>日至</w:t>
      </w:r>
      <w:r>
        <w:rPr>
          <w:rFonts w:ascii="宋体" w:hAnsi="宋体" w:cs="宋体" w:eastAsia="宋体" w:hint="default"/>
          <w:spacing w:val="-3"/>
        </w:rPr>
        <w:t>2018</w:t>
      </w:r>
      <w:r>
        <w:rPr>
          <w:spacing w:val="-3"/>
        </w:rPr>
        <w:t>年</w:t>
      </w:r>
      <w:r>
        <w:rPr>
          <w:rFonts w:ascii="宋体" w:hAnsi="宋体" w:cs="宋体" w:eastAsia="宋体" w:hint="default"/>
          <w:spacing w:val="-3"/>
        </w:rPr>
        <w:t>6</w:t>
      </w:r>
      <w:r>
        <w:rPr>
          <w:spacing w:val="-3"/>
        </w:rPr>
        <w:t>月</w:t>
      </w:r>
      <w:r>
        <w:rPr>
          <w:rFonts w:ascii="宋体" w:hAnsi="宋体" w:cs="宋体" w:eastAsia="宋体" w:hint="default"/>
          <w:spacing w:val="-3"/>
        </w:rPr>
        <w:t>30</w:t>
      </w:r>
      <w:r>
        <w:rPr>
          <w:spacing w:val="-3"/>
        </w:rPr>
        <w:t>日每月租金为人民币</w:t>
      </w:r>
      <w:r>
        <w:rPr>
          <w:rFonts w:ascii="宋体" w:hAnsi="宋体" w:cs="宋体" w:eastAsia="宋体" w:hint="default"/>
          <w:spacing w:val="-3"/>
        </w:rPr>
        <w:t>1,064,039.97</w:t>
      </w:r>
      <w:r>
        <w:rPr>
          <w:spacing w:val="-3"/>
        </w:rPr>
        <w:t>元、</w:t>
      </w:r>
      <w:r>
        <w:rPr>
          <w:rFonts w:ascii="宋体" w:hAnsi="宋体" w:cs="宋体" w:eastAsia="宋体" w:hint="default"/>
          <w:spacing w:val="-3"/>
        </w:rPr>
        <w:t>2018</w:t>
      </w:r>
      <w:r>
        <w:rPr>
          <w:spacing w:val="-3"/>
        </w:rPr>
        <w:t>年</w:t>
      </w:r>
      <w:r>
        <w:rPr>
          <w:rFonts w:ascii="宋体" w:hAnsi="宋体" w:cs="宋体" w:eastAsia="宋体" w:hint="default"/>
          <w:spacing w:val="-3"/>
        </w:rPr>
        <w:t>7</w:t>
      </w:r>
      <w:r>
        <w:rPr>
          <w:spacing w:val="-3"/>
        </w:rPr>
        <w:t>月</w:t>
      </w:r>
      <w:r>
        <w:rPr>
          <w:rFonts w:ascii="宋体" w:hAnsi="宋体" w:cs="宋体" w:eastAsia="宋体" w:hint="default"/>
          <w:spacing w:val="-3"/>
        </w:rPr>
        <w:t>1</w:t>
      </w:r>
      <w:r>
        <w:rPr>
          <w:spacing w:val="-3"/>
        </w:rPr>
        <w:t>日至</w:t>
      </w:r>
      <w:r>
        <w:rPr>
          <w:rFonts w:ascii="宋体" w:hAnsi="宋体" w:cs="宋体" w:eastAsia="宋体" w:hint="default"/>
          <w:spacing w:val="-3"/>
        </w:rPr>
        <w:t>2022</w:t>
      </w:r>
      <w:r>
        <w:rPr>
          <w:rFonts w:ascii="宋体" w:hAnsi="宋体" w:cs="宋体" w:eastAsia="宋体" w:hint="default"/>
          <w:spacing w:val="-30"/>
        </w:rPr>
        <w:t> </w:t>
      </w:r>
      <w:r>
        <w:rPr/>
        <w:t>年</w:t>
      </w:r>
      <w:r>
        <w:rPr>
          <w:rFonts w:ascii="宋体" w:hAnsi="宋体" w:cs="宋体" w:eastAsia="宋体" w:hint="default"/>
        </w:rPr>
        <w:t>6</w:t>
      </w:r>
      <w:r>
        <w:rPr/>
        <w:t>月</w:t>
      </w:r>
      <w:r>
        <w:rPr>
          <w:rFonts w:ascii="宋体" w:hAnsi="宋体" w:cs="宋体" w:eastAsia="宋体" w:hint="default"/>
        </w:rPr>
        <w:t>30</w:t>
      </w:r>
      <w:r>
        <w:rPr/>
        <w:t>日每月租金为人民币</w:t>
      </w:r>
      <w:r>
        <w:rPr>
          <w:rFonts w:ascii="宋体" w:hAnsi="宋体" w:cs="宋体" w:eastAsia="宋体" w:hint="default"/>
        </w:rPr>
        <w:t>1,117,241.92</w:t>
      </w:r>
      <w:r>
        <w:rPr/>
        <w:t>元。</w:t>
      </w:r>
    </w:p>
    <w:p>
      <w:pPr>
        <w:pStyle w:val="BodyText"/>
        <w:spacing w:line="316" w:lineRule="auto" w:before="19"/>
        <w:ind w:right="1115" w:firstLine="420"/>
        <w:jc w:val="left"/>
      </w:pPr>
      <w:r>
        <w:rPr>
          <w:spacing w:val="-1"/>
        </w:rPr>
        <w:t>（</w:t>
      </w:r>
      <w:r>
        <w:rPr>
          <w:rFonts w:ascii="宋体" w:hAnsi="宋体" w:cs="宋体" w:eastAsia="宋体" w:hint="default"/>
          <w:spacing w:val="-1"/>
        </w:rPr>
        <w:t>2</w:t>
      </w:r>
      <w:r>
        <w:rPr>
          <w:spacing w:val="-1"/>
        </w:rPr>
        <w:t>）本公司与深圳市同裕洋实业有限公司</w:t>
      </w:r>
      <w:r>
        <w:rPr>
          <w:rFonts w:ascii="宋体" w:hAnsi="宋体" w:cs="宋体" w:eastAsia="宋体" w:hint="default"/>
          <w:spacing w:val="-1"/>
        </w:rPr>
        <w:t>(</w:t>
      </w:r>
      <w:r>
        <w:rPr>
          <w:spacing w:val="-1"/>
        </w:rPr>
        <w:t>以下简称“同裕洋实业”</w:t>
      </w:r>
      <w:r>
        <w:rPr>
          <w:rFonts w:ascii="宋体" w:hAnsi="宋体" w:cs="宋体" w:eastAsia="宋体" w:hint="default"/>
          <w:spacing w:val="-1"/>
        </w:rPr>
        <w:t>)</w:t>
      </w:r>
      <w:r>
        <w:rPr>
          <w:spacing w:val="-1"/>
        </w:rPr>
        <w:t>签订宿舍租赁合同，合同约定：同裕洋实业将位</w:t>
      </w:r>
      <w:r>
        <w:rPr/>
        <w:t> 于深圳市宝安区松岗街道同富裕工业园兴隆路</w:t>
      </w:r>
      <w:r>
        <w:rPr>
          <w:rFonts w:ascii="宋体" w:hAnsi="宋体" w:cs="宋体" w:eastAsia="宋体" w:hint="default"/>
        </w:rPr>
        <w:t>3</w:t>
      </w:r>
      <w:r>
        <w:rPr/>
        <w:t>号建筑面积</w:t>
      </w:r>
      <w:r>
        <w:rPr>
          <w:rFonts w:ascii="宋体" w:hAnsi="宋体" w:cs="宋体" w:eastAsia="宋体" w:hint="default"/>
        </w:rPr>
        <w:t>5,920.14</w:t>
      </w:r>
      <w:r>
        <w:rPr/>
        <w:t>平方米的宿舍出租给公司作为宿舍使用，</w:t>
      </w:r>
      <w:r>
        <w:rPr>
          <w:rFonts w:ascii="宋体" w:hAnsi="宋体" w:cs="宋体" w:eastAsia="宋体" w:hint="default"/>
        </w:rPr>
        <w:t>2013</w:t>
      </w:r>
      <w:r>
        <w:rPr/>
        <w:t>年</w:t>
      </w:r>
      <w:r>
        <w:rPr>
          <w:rFonts w:ascii="宋体" w:hAnsi="宋体" w:cs="宋体" w:eastAsia="宋体" w:hint="default"/>
        </w:rPr>
        <w:t>10</w:t>
      </w:r>
      <w:r>
        <w:rPr/>
        <w:t>月</w:t>
      </w:r>
      <w:r>
        <w:rPr>
          <w:rFonts w:ascii="宋体" w:hAnsi="宋体" w:cs="宋体" w:eastAsia="宋体" w:hint="default"/>
        </w:rPr>
        <w:t>1 </w:t>
      </w:r>
      <w:r>
        <w:rPr/>
        <w:t>日至</w:t>
      </w:r>
      <w:r>
        <w:rPr>
          <w:rFonts w:ascii="宋体" w:hAnsi="宋体" w:cs="宋体" w:eastAsia="宋体" w:hint="default"/>
        </w:rPr>
        <w:t>2015</w:t>
      </w:r>
      <w:r>
        <w:rPr/>
        <w:t>年</w:t>
      </w:r>
      <w:r>
        <w:rPr>
          <w:rFonts w:ascii="宋体" w:hAnsi="宋体" w:cs="宋体" w:eastAsia="宋体" w:hint="default"/>
        </w:rPr>
        <w:t>3</w:t>
      </w:r>
      <w:r>
        <w:rPr/>
        <w:t>月</w:t>
      </w:r>
      <w:r>
        <w:rPr>
          <w:rFonts w:ascii="宋体" w:hAnsi="宋体" w:cs="宋体" w:eastAsia="宋体" w:hint="default"/>
        </w:rPr>
        <w:t>31</w:t>
      </w:r>
      <w:r>
        <w:rPr/>
        <w:t>日每月租金为人民币</w:t>
      </w:r>
      <w:r>
        <w:rPr>
          <w:rFonts w:ascii="宋体" w:hAnsi="宋体" w:cs="宋体" w:eastAsia="宋体" w:hint="default"/>
        </w:rPr>
        <w:t>82,881.96</w:t>
      </w:r>
      <w:r>
        <w:rPr/>
        <w:t>元、</w:t>
      </w:r>
      <w:r>
        <w:rPr>
          <w:rFonts w:ascii="宋体" w:hAnsi="宋体" w:cs="宋体" w:eastAsia="宋体" w:hint="default"/>
        </w:rPr>
        <w:t>2015</w:t>
      </w:r>
      <w:r>
        <w:rPr/>
        <w:t>年</w:t>
      </w:r>
      <w:r>
        <w:rPr>
          <w:rFonts w:ascii="宋体" w:hAnsi="宋体" w:cs="宋体" w:eastAsia="宋体" w:hint="default"/>
        </w:rPr>
        <w:t>4</w:t>
      </w:r>
      <w:r>
        <w:rPr/>
        <w:t>月</w:t>
      </w:r>
      <w:r>
        <w:rPr>
          <w:rFonts w:ascii="宋体" w:hAnsi="宋体" w:cs="宋体" w:eastAsia="宋体" w:hint="default"/>
        </w:rPr>
        <w:t>1</w:t>
      </w:r>
      <w:r>
        <w:rPr/>
        <w:t>日至</w:t>
      </w:r>
      <w:r>
        <w:rPr>
          <w:rFonts w:ascii="宋体" w:hAnsi="宋体" w:cs="宋体" w:eastAsia="宋体" w:hint="default"/>
        </w:rPr>
        <w:t>2019</w:t>
      </w:r>
      <w:r>
        <w:rPr/>
        <w:t>年</w:t>
      </w:r>
      <w:r>
        <w:rPr>
          <w:rFonts w:ascii="宋体" w:hAnsi="宋体" w:cs="宋体" w:eastAsia="宋体" w:hint="default"/>
        </w:rPr>
        <w:t>3</w:t>
      </w:r>
      <w:r>
        <w:rPr/>
        <w:t>月</w:t>
      </w:r>
      <w:r>
        <w:rPr>
          <w:rFonts w:ascii="宋体" w:hAnsi="宋体" w:cs="宋体" w:eastAsia="宋体" w:hint="default"/>
        </w:rPr>
        <w:t>31</w:t>
      </w:r>
      <w:r>
        <w:rPr/>
        <w:t>日每月租金为人民币</w:t>
      </w:r>
      <w:r>
        <w:rPr>
          <w:rFonts w:ascii="宋体" w:hAnsi="宋体" w:cs="宋体" w:eastAsia="宋体" w:hint="default"/>
        </w:rPr>
        <w:t>87,026.06</w:t>
      </w:r>
      <w:r>
        <w:rPr/>
        <w:t>元、</w:t>
      </w:r>
      <w:r>
        <w:rPr>
          <w:rFonts w:ascii="宋体" w:hAnsi="宋体" w:cs="宋体" w:eastAsia="宋体" w:hint="default"/>
        </w:rPr>
        <w:t>2019 </w:t>
      </w:r>
      <w:r>
        <w:rPr/>
        <w:t>年</w:t>
      </w:r>
      <w:r>
        <w:rPr>
          <w:rFonts w:ascii="宋体" w:hAnsi="宋体" w:cs="宋体" w:eastAsia="宋体" w:hint="default"/>
        </w:rPr>
        <w:t>4</w:t>
      </w:r>
      <w:r>
        <w:rPr/>
        <w:t>月</w:t>
      </w:r>
      <w:r>
        <w:rPr>
          <w:rFonts w:ascii="宋体" w:hAnsi="宋体" w:cs="宋体" w:eastAsia="宋体" w:hint="default"/>
        </w:rPr>
        <w:t>1</w:t>
      </w:r>
      <w:r>
        <w:rPr/>
        <w:t>日至</w:t>
      </w:r>
      <w:r>
        <w:rPr>
          <w:rFonts w:ascii="宋体" w:hAnsi="宋体" w:cs="宋体" w:eastAsia="宋体" w:hint="default"/>
        </w:rPr>
        <w:t>2023</w:t>
      </w:r>
      <w:r>
        <w:rPr/>
        <w:t>年</w:t>
      </w:r>
      <w:r>
        <w:rPr>
          <w:rFonts w:ascii="宋体" w:hAnsi="宋体" w:cs="宋体" w:eastAsia="宋体" w:hint="default"/>
        </w:rPr>
        <w:t>3</w:t>
      </w:r>
      <w:r>
        <w:rPr/>
        <w:t>月</w:t>
      </w:r>
      <w:r>
        <w:rPr>
          <w:rFonts w:ascii="宋体" w:hAnsi="宋体" w:cs="宋体" w:eastAsia="宋体" w:hint="default"/>
        </w:rPr>
        <w:t>31</w:t>
      </w:r>
      <w:r>
        <w:rPr/>
        <w:t>日每月租金人民币</w:t>
      </w:r>
      <w:r>
        <w:rPr>
          <w:rFonts w:ascii="宋体" w:hAnsi="宋体" w:cs="宋体" w:eastAsia="宋体" w:hint="default"/>
        </w:rPr>
        <w:t>91,347.76</w:t>
      </w:r>
      <w:r>
        <w:rPr/>
        <w:t>元。</w:t>
      </w:r>
    </w:p>
    <w:p>
      <w:pPr>
        <w:pStyle w:val="BodyText"/>
        <w:spacing w:line="316" w:lineRule="auto" w:before="19"/>
        <w:ind w:right="1049" w:firstLine="420"/>
        <w:jc w:val="left"/>
      </w:pPr>
      <w:r>
        <w:rPr/>
        <w:t>（</w:t>
      </w:r>
      <w:r>
        <w:rPr>
          <w:rFonts w:ascii="宋体" w:hAnsi="宋体" w:cs="宋体" w:eastAsia="宋体" w:hint="default"/>
        </w:rPr>
        <w:t>3</w:t>
      </w:r>
      <w:r>
        <w:rPr/>
        <w:t>）本公司与方俊基签订房屋租赁合同，合同约定：方俊基将其从深圳市平山实业股份有限公司处承租的位于深圳市 南山区桃源街道平山民企工业区第</w:t>
      </w:r>
      <w:r>
        <w:rPr>
          <w:rFonts w:ascii="宋体" w:hAnsi="宋体" w:cs="宋体" w:eastAsia="宋体" w:hint="default"/>
        </w:rPr>
        <w:t>5</w:t>
      </w:r>
      <w:r>
        <w:rPr/>
        <w:t>栋</w:t>
      </w:r>
      <w:r>
        <w:rPr>
          <w:rFonts w:ascii="宋体" w:hAnsi="宋体" w:cs="宋体" w:eastAsia="宋体" w:hint="default"/>
        </w:rPr>
        <w:t>1-6</w:t>
      </w:r>
      <w:r>
        <w:rPr/>
        <w:t>楼厂房整体出租给本公司使用，总面积</w:t>
      </w:r>
      <w:r>
        <w:rPr>
          <w:rFonts w:ascii="宋体" w:hAnsi="宋体" w:cs="宋体" w:eastAsia="宋体" w:hint="default"/>
        </w:rPr>
        <w:t>13,908.60</w:t>
      </w:r>
      <w:r>
        <w:rPr/>
        <w:t>平方米。租赁期限为</w:t>
      </w:r>
      <w:r>
        <w:rPr>
          <w:rFonts w:ascii="宋体" w:hAnsi="宋体" w:cs="宋体" w:eastAsia="宋体" w:hint="default"/>
        </w:rPr>
        <w:t>2016</w:t>
      </w:r>
      <w:r>
        <w:rPr/>
        <w:t>年</w:t>
      </w:r>
      <w:r>
        <w:rPr>
          <w:rFonts w:ascii="宋体" w:hAnsi="宋体" w:cs="宋体" w:eastAsia="宋体" w:hint="default"/>
        </w:rPr>
        <w:t>5</w:t>
      </w:r>
      <w:r>
        <w:rPr/>
        <w:t>月</w:t>
      </w:r>
      <w:r>
        <w:rPr>
          <w:rFonts w:ascii="宋体" w:hAnsi="宋体" w:cs="宋体" w:eastAsia="宋体" w:hint="default"/>
        </w:rPr>
        <w:t>1 </w:t>
      </w:r>
      <w:r>
        <w:rPr>
          <w:spacing w:val="-2"/>
        </w:rPr>
        <w:t>日至</w:t>
      </w:r>
      <w:r>
        <w:rPr>
          <w:rFonts w:ascii="宋体" w:hAnsi="宋体" w:cs="宋体" w:eastAsia="宋体" w:hint="default"/>
          <w:spacing w:val="-2"/>
        </w:rPr>
        <w:t>2028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30</w:t>
      </w:r>
      <w:r>
        <w:rPr>
          <w:spacing w:val="-2"/>
        </w:rPr>
        <w:t>日，其中免租期为两个月。</w:t>
      </w:r>
      <w:r>
        <w:rPr>
          <w:rFonts w:ascii="宋体" w:hAnsi="宋体" w:cs="宋体" w:eastAsia="宋体" w:hint="default"/>
          <w:spacing w:val="-2"/>
        </w:rPr>
        <w:t>2016</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w:t>
      </w:r>
      <w:r>
        <w:rPr>
          <w:spacing w:val="-2"/>
        </w:rPr>
        <w:t>日至</w:t>
      </w:r>
      <w:r>
        <w:rPr>
          <w:rFonts w:ascii="宋体" w:hAnsi="宋体" w:cs="宋体" w:eastAsia="宋体" w:hint="default"/>
          <w:spacing w:val="-2"/>
        </w:rPr>
        <w:t>2018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30</w:t>
      </w:r>
      <w:r>
        <w:rPr>
          <w:spacing w:val="-2"/>
        </w:rPr>
        <w:t>日每月租金为人民币</w:t>
      </w:r>
      <w:r>
        <w:rPr>
          <w:rFonts w:ascii="宋体" w:hAnsi="宋体" w:cs="宋体" w:eastAsia="宋体" w:hint="default"/>
          <w:spacing w:val="-2"/>
        </w:rPr>
        <w:t>1,043,145.00</w:t>
      </w:r>
      <w:r>
        <w:rPr>
          <w:spacing w:val="-2"/>
        </w:rPr>
        <w:t>元、</w:t>
      </w:r>
      <w:r>
        <w:rPr>
          <w:rFonts w:ascii="宋体" w:hAnsi="宋体" w:cs="宋体" w:eastAsia="宋体" w:hint="default"/>
          <w:spacing w:val="-2"/>
        </w:rPr>
        <w:t>2018</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w:t>
      </w:r>
      <w:r>
        <w:rPr>
          <w:rFonts w:ascii="宋体" w:hAnsi="宋体" w:cs="宋体" w:eastAsia="宋体" w:hint="default"/>
          <w:spacing w:val="-28"/>
        </w:rPr>
        <w:t> </w:t>
      </w:r>
      <w:r>
        <w:rPr/>
        <w:t>日至</w:t>
      </w:r>
      <w:r>
        <w:rPr>
          <w:rFonts w:ascii="宋体" w:hAnsi="宋体" w:cs="宋体" w:eastAsia="宋体" w:hint="default"/>
        </w:rPr>
        <w:t>2020</w:t>
      </w:r>
      <w:r>
        <w:rPr/>
        <w:t>年</w:t>
      </w:r>
      <w:r>
        <w:rPr>
          <w:rFonts w:ascii="宋体" w:hAnsi="宋体" w:cs="宋体" w:eastAsia="宋体" w:hint="default"/>
        </w:rPr>
        <w:t>4</w:t>
      </w:r>
      <w:r>
        <w:rPr/>
        <w:t>月</w:t>
      </w:r>
      <w:r>
        <w:rPr>
          <w:rFonts w:ascii="宋体" w:hAnsi="宋体" w:cs="宋体" w:eastAsia="宋体" w:hint="default"/>
        </w:rPr>
        <w:t>30</w:t>
      </w:r>
      <w:r>
        <w:rPr/>
        <w:t>日每月租金为人民币</w:t>
      </w:r>
      <w:r>
        <w:rPr>
          <w:rFonts w:ascii="宋体" w:hAnsi="宋体" w:cs="宋体" w:eastAsia="宋体" w:hint="default"/>
        </w:rPr>
        <w:t>1,112,688.00</w:t>
      </w:r>
      <w:r>
        <w:rPr/>
        <w:t>元、</w:t>
      </w:r>
      <w:r>
        <w:rPr>
          <w:rFonts w:ascii="宋体" w:hAnsi="宋体" w:cs="宋体" w:eastAsia="宋体" w:hint="default"/>
        </w:rPr>
        <w:t>2020</w:t>
      </w:r>
      <w:r>
        <w:rPr/>
        <w:t>年</w:t>
      </w:r>
      <w:r>
        <w:rPr>
          <w:rFonts w:ascii="宋体" w:hAnsi="宋体" w:cs="宋体" w:eastAsia="宋体" w:hint="default"/>
        </w:rPr>
        <w:t>5</w:t>
      </w:r>
      <w:r>
        <w:rPr/>
        <w:t>月</w:t>
      </w:r>
      <w:r>
        <w:rPr>
          <w:rFonts w:ascii="宋体" w:hAnsi="宋体" w:cs="宋体" w:eastAsia="宋体" w:hint="default"/>
        </w:rPr>
        <w:t>1</w:t>
      </w:r>
      <w:r>
        <w:rPr/>
        <w:t>日至</w:t>
      </w:r>
      <w:r>
        <w:rPr>
          <w:rFonts w:ascii="宋体" w:hAnsi="宋体" w:cs="宋体" w:eastAsia="宋体" w:hint="default"/>
        </w:rPr>
        <w:t>2022</w:t>
      </w:r>
      <w:r>
        <w:rPr/>
        <w:t>年</w:t>
      </w:r>
      <w:r>
        <w:rPr>
          <w:rFonts w:ascii="宋体" w:hAnsi="宋体" w:cs="宋体" w:eastAsia="宋体" w:hint="default"/>
        </w:rPr>
        <w:t>4</w:t>
      </w:r>
      <w:r>
        <w:rPr/>
        <w:t>月</w:t>
      </w:r>
      <w:r>
        <w:rPr>
          <w:rFonts w:ascii="宋体" w:hAnsi="宋体" w:cs="宋体" w:eastAsia="宋体" w:hint="default"/>
        </w:rPr>
        <w:t>30</w:t>
      </w:r>
      <w:r>
        <w:rPr/>
        <w:t>日每月租金为人民币</w:t>
      </w:r>
      <w:r>
        <w:rPr>
          <w:rFonts w:ascii="宋体" w:hAnsi="宋体" w:cs="宋体" w:eastAsia="宋体" w:hint="default"/>
        </w:rPr>
        <w:t>1,182,231.00</w:t>
      </w:r>
      <w:r>
        <w:rPr/>
        <w:t>元、 </w:t>
      </w:r>
      <w:r>
        <w:rPr>
          <w:rFonts w:ascii="宋体" w:hAnsi="宋体" w:cs="宋体" w:eastAsia="宋体" w:hint="default"/>
        </w:rPr>
        <w:t>2022</w:t>
      </w:r>
      <w:r>
        <w:rPr/>
        <w:t>年</w:t>
      </w:r>
      <w:r>
        <w:rPr>
          <w:rFonts w:ascii="宋体" w:hAnsi="宋体" w:cs="宋体" w:eastAsia="宋体" w:hint="default"/>
        </w:rPr>
        <w:t>5</w:t>
      </w:r>
      <w:r>
        <w:rPr/>
        <w:t>月</w:t>
      </w:r>
      <w:r>
        <w:rPr>
          <w:rFonts w:ascii="宋体" w:hAnsi="宋体" w:cs="宋体" w:eastAsia="宋体" w:hint="default"/>
        </w:rPr>
        <w:t>1</w:t>
      </w:r>
      <w:r>
        <w:rPr/>
        <w:t>日至</w:t>
      </w:r>
      <w:r>
        <w:rPr>
          <w:rFonts w:ascii="宋体" w:hAnsi="宋体" w:cs="宋体" w:eastAsia="宋体" w:hint="default"/>
        </w:rPr>
        <w:t>2024</w:t>
      </w:r>
      <w:r>
        <w:rPr/>
        <w:t>年</w:t>
      </w:r>
      <w:r>
        <w:rPr>
          <w:rFonts w:ascii="宋体" w:hAnsi="宋体" w:cs="宋体" w:eastAsia="宋体" w:hint="default"/>
        </w:rPr>
        <w:t>4</w:t>
      </w:r>
      <w:r>
        <w:rPr/>
        <w:t>月</w:t>
      </w:r>
      <w:r>
        <w:rPr>
          <w:rFonts w:ascii="宋体" w:hAnsi="宋体" w:cs="宋体" w:eastAsia="宋体" w:hint="default"/>
        </w:rPr>
        <w:t>30</w:t>
      </w:r>
      <w:r>
        <w:rPr/>
        <w:t>日每月租金为人民币</w:t>
      </w:r>
      <w:r>
        <w:rPr>
          <w:rFonts w:ascii="宋体" w:hAnsi="宋体" w:cs="宋体" w:eastAsia="宋体" w:hint="default"/>
        </w:rPr>
        <w:t>1,251,774.00</w:t>
      </w:r>
      <w:r>
        <w:rPr/>
        <w:t>元、</w:t>
      </w:r>
      <w:r>
        <w:rPr>
          <w:rFonts w:ascii="宋体" w:hAnsi="宋体" w:cs="宋体" w:eastAsia="宋体" w:hint="default"/>
        </w:rPr>
        <w:t>2024</w:t>
      </w:r>
      <w:r>
        <w:rPr/>
        <w:t>年</w:t>
      </w:r>
      <w:r>
        <w:rPr>
          <w:rFonts w:ascii="宋体" w:hAnsi="宋体" w:cs="宋体" w:eastAsia="宋体" w:hint="default"/>
        </w:rPr>
        <w:t>5</w:t>
      </w:r>
      <w:r>
        <w:rPr/>
        <w:t>月</w:t>
      </w:r>
      <w:r>
        <w:rPr>
          <w:rFonts w:ascii="宋体" w:hAnsi="宋体" w:cs="宋体" w:eastAsia="宋体" w:hint="default"/>
        </w:rPr>
        <w:t>1</w:t>
      </w:r>
      <w:r>
        <w:rPr/>
        <w:t>日至</w:t>
      </w:r>
      <w:r>
        <w:rPr>
          <w:rFonts w:ascii="宋体" w:hAnsi="宋体" w:cs="宋体" w:eastAsia="宋体" w:hint="default"/>
        </w:rPr>
        <w:t>2026</w:t>
      </w:r>
      <w:r>
        <w:rPr/>
        <w:t>年</w:t>
      </w:r>
      <w:r>
        <w:rPr>
          <w:rFonts w:ascii="宋体" w:hAnsi="宋体" w:cs="宋体" w:eastAsia="宋体" w:hint="default"/>
        </w:rPr>
        <w:t>4</w:t>
      </w:r>
      <w:r>
        <w:rPr/>
        <w:t>月</w:t>
      </w:r>
      <w:r>
        <w:rPr>
          <w:rFonts w:ascii="宋体" w:hAnsi="宋体" w:cs="宋体" w:eastAsia="宋体" w:hint="default"/>
        </w:rPr>
        <w:t>30</w:t>
      </w:r>
      <w:r>
        <w:rPr/>
        <w:t>日每月租金为人民币</w:t>
      </w:r>
    </w:p>
    <w:p>
      <w:pPr>
        <w:pStyle w:val="BodyText"/>
        <w:spacing w:line="240" w:lineRule="auto" w:before="19"/>
        <w:ind w:right="0"/>
        <w:jc w:val="both"/>
      </w:pPr>
      <w:r>
        <w:rPr>
          <w:rFonts w:ascii="宋体" w:hAnsi="宋体" w:cs="宋体" w:eastAsia="宋体" w:hint="default"/>
        </w:rPr>
        <w:t>1,321,317.00</w:t>
      </w:r>
      <w:r>
        <w:rPr/>
        <w:t>元、</w:t>
      </w:r>
      <w:r>
        <w:rPr>
          <w:rFonts w:ascii="宋体" w:hAnsi="宋体" w:cs="宋体" w:eastAsia="宋体" w:hint="default"/>
        </w:rPr>
        <w:t>2026</w:t>
      </w:r>
      <w:r>
        <w:rPr/>
        <w:t>年</w:t>
      </w:r>
      <w:r>
        <w:rPr>
          <w:rFonts w:ascii="宋体" w:hAnsi="宋体" w:cs="宋体" w:eastAsia="宋体" w:hint="default"/>
        </w:rPr>
        <w:t>5</w:t>
      </w:r>
      <w:r>
        <w:rPr/>
        <w:t>月</w:t>
      </w:r>
      <w:r>
        <w:rPr>
          <w:rFonts w:ascii="宋体" w:hAnsi="宋体" w:cs="宋体" w:eastAsia="宋体" w:hint="default"/>
        </w:rPr>
        <w:t>1</w:t>
      </w:r>
      <w:r>
        <w:rPr/>
        <w:t>日至</w:t>
      </w:r>
      <w:r>
        <w:rPr>
          <w:rFonts w:ascii="宋体" w:hAnsi="宋体" w:cs="宋体" w:eastAsia="宋体" w:hint="default"/>
        </w:rPr>
        <w:t>2028</w:t>
      </w:r>
      <w:r>
        <w:rPr/>
        <w:t>年</w:t>
      </w:r>
      <w:r>
        <w:rPr>
          <w:rFonts w:ascii="宋体" w:hAnsi="宋体" w:cs="宋体" w:eastAsia="宋体" w:hint="default"/>
        </w:rPr>
        <w:t>4</w:t>
      </w:r>
      <w:r>
        <w:rPr/>
        <w:t>月</w:t>
      </w:r>
      <w:r>
        <w:rPr>
          <w:rFonts w:ascii="宋体" w:hAnsi="宋体" w:cs="宋体" w:eastAsia="宋体" w:hint="default"/>
        </w:rPr>
        <w:t>30</w:t>
      </w:r>
      <w:r>
        <w:rPr/>
        <w:t>日每月租金为人民币</w:t>
      </w:r>
      <w:r>
        <w:rPr>
          <w:rFonts w:ascii="宋体" w:hAnsi="宋体" w:cs="宋体" w:eastAsia="宋体" w:hint="default"/>
        </w:rPr>
        <w:t>1,390,860.00</w:t>
      </w:r>
      <w:r>
        <w:rPr/>
        <w:t>元。</w:t>
      </w:r>
    </w:p>
    <w:p>
      <w:pPr>
        <w:pStyle w:val="BodyText"/>
        <w:spacing w:line="309" w:lineRule="auto" w:before="76"/>
        <w:ind w:right="1169" w:firstLine="420"/>
        <w:jc w:val="both"/>
      </w:pPr>
      <w:r>
        <w:rPr>
          <w:spacing w:val="-2"/>
        </w:rPr>
        <w:t>（</w:t>
      </w:r>
      <w:r>
        <w:rPr>
          <w:rFonts w:ascii="宋体" w:hAnsi="宋体" w:cs="宋体" w:eastAsia="宋体" w:hint="default"/>
          <w:spacing w:val="-2"/>
        </w:rPr>
        <w:t>4</w:t>
      </w:r>
      <w:r>
        <w:rPr>
          <w:spacing w:val="-2"/>
        </w:rPr>
        <w:t>）本公司与深圳市嘉恒投资有限公司（以下简称“嘉恒投资”）签订宿舍租赁合同，合同约定：嘉恒投资将位于深</w:t>
      </w:r>
      <w:r>
        <w:rPr/>
        <w:t> 圳市宝安区松岗街道塘下涌同富路</w:t>
      </w:r>
      <w:r>
        <w:rPr>
          <w:rFonts w:ascii="宋体" w:hAnsi="宋体" w:cs="宋体" w:eastAsia="宋体" w:hint="default"/>
        </w:rPr>
        <w:t>10</w:t>
      </w:r>
      <w:r>
        <w:rPr/>
        <w:t>嘉恒工业园</w:t>
      </w:r>
      <w:r>
        <w:rPr>
          <w:rFonts w:ascii="宋体" w:hAnsi="宋体" w:cs="宋体" w:eastAsia="宋体" w:hint="default"/>
        </w:rPr>
        <w:t>3</w:t>
      </w:r>
      <w:r>
        <w:rPr/>
        <w:t>号建筑面积</w:t>
      </w:r>
      <w:r>
        <w:rPr>
          <w:rFonts w:ascii="宋体" w:hAnsi="宋体" w:cs="宋体" w:eastAsia="宋体" w:hint="default"/>
        </w:rPr>
        <w:t>2</w:t>
      </w:r>
      <w:r>
        <w:rPr>
          <w:rFonts w:ascii="Times New Roman" w:hAnsi="Times New Roman" w:cs="Times New Roman" w:eastAsia="Times New Roman" w:hint="default"/>
        </w:rPr>
        <w:t>,</w:t>
      </w:r>
      <w:r>
        <w:rPr>
          <w:rFonts w:ascii="宋体" w:hAnsi="宋体" w:cs="宋体" w:eastAsia="宋体" w:hint="default"/>
        </w:rPr>
        <w:t>669.65</w:t>
      </w:r>
      <w:r>
        <w:rPr/>
        <w:t>平方米的宿舍整栋出租给本公司作为宿舍使用，使用 期限</w:t>
      </w:r>
      <w:r>
        <w:rPr>
          <w:rFonts w:ascii="宋体" w:hAnsi="宋体" w:cs="宋体" w:eastAsia="宋体" w:hint="default"/>
        </w:rPr>
        <w:t>2016</w:t>
      </w:r>
      <w:r>
        <w:rPr/>
        <w:t>年</w:t>
      </w:r>
      <w:r>
        <w:rPr>
          <w:rFonts w:ascii="宋体" w:hAnsi="宋体" w:cs="宋体" w:eastAsia="宋体" w:hint="default"/>
        </w:rPr>
        <w:t>6</w:t>
      </w:r>
      <w:r>
        <w:rPr/>
        <w:t>月</w:t>
      </w:r>
      <w:r>
        <w:rPr>
          <w:rFonts w:ascii="宋体" w:hAnsi="宋体" w:cs="宋体" w:eastAsia="宋体" w:hint="default"/>
        </w:rPr>
        <w:t>20</w:t>
      </w:r>
      <w:r>
        <w:rPr/>
        <w:t>日至</w:t>
      </w:r>
      <w:r>
        <w:rPr>
          <w:rFonts w:ascii="宋体" w:hAnsi="宋体" w:cs="宋体" w:eastAsia="宋体" w:hint="default"/>
        </w:rPr>
        <w:t>2021</w:t>
      </w:r>
      <w:r>
        <w:rPr/>
        <w:t>年</w:t>
      </w:r>
      <w:r>
        <w:rPr>
          <w:rFonts w:ascii="宋体" w:hAnsi="宋体" w:cs="宋体" w:eastAsia="宋体" w:hint="default"/>
        </w:rPr>
        <w:t>6</w:t>
      </w:r>
      <w:r>
        <w:rPr/>
        <w:t>月</w:t>
      </w:r>
      <w:r>
        <w:rPr>
          <w:rFonts w:ascii="宋体" w:hAnsi="宋体" w:cs="宋体" w:eastAsia="宋体" w:hint="default"/>
        </w:rPr>
        <w:t>19</w:t>
      </w:r>
      <w:r>
        <w:rPr/>
        <w:t>日，租金每月人民币</w:t>
      </w:r>
      <w:r>
        <w:rPr>
          <w:rFonts w:ascii="宋体" w:hAnsi="宋体" w:cs="宋体" w:eastAsia="宋体" w:hint="default"/>
        </w:rPr>
        <w:t>44,049.22</w:t>
      </w:r>
      <w:r>
        <w:rPr/>
        <w:t>元。</w:t>
      </w:r>
    </w:p>
    <w:p>
      <w:pPr>
        <w:pStyle w:val="BodyText"/>
        <w:spacing w:line="316" w:lineRule="auto" w:before="24"/>
        <w:ind w:right="1132" w:firstLine="420"/>
        <w:jc w:val="both"/>
      </w:pPr>
      <w:r>
        <w:rPr>
          <w:spacing w:val="-2"/>
        </w:rPr>
        <w:t>（</w:t>
      </w:r>
      <w:r>
        <w:rPr>
          <w:rFonts w:ascii="宋体" w:hAnsi="宋体" w:cs="宋体" w:eastAsia="宋体" w:hint="default"/>
          <w:spacing w:val="-2"/>
        </w:rPr>
        <w:t>5</w:t>
      </w:r>
      <w:r>
        <w:rPr>
          <w:spacing w:val="-2"/>
        </w:rPr>
        <w:t>）本公司与深圳市视维科技股份有限公司（以下简称“视维科技”）签订房屋租赁合同，合同约定：视维科技将位</w:t>
      </w:r>
      <w:r>
        <w:rPr/>
        <w:t> 于深圳市南山区南头街道大新路创新大厦</w:t>
      </w:r>
      <w:r>
        <w:rPr>
          <w:rFonts w:ascii="宋体" w:hAnsi="宋体" w:cs="宋体" w:eastAsia="宋体" w:hint="default"/>
        </w:rPr>
        <w:t>B</w:t>
      </w:r>
      <w:r>
        <w:rPr/>
        <w:t>栋十四层建筑面积</w:t>
      </w:r>
      <w:r>
        <w:rPr>
          <w:rFonts w:ascii="宋体" w:hAnsi="宋体" w:cs="宋体" w:eastAsia="宋体" w:hint="default"/>
        </w:rPr>
        <w:t>1,451.12</w:t>
      </w:r>
      <w:r>
        <w:rPr/>
        <w:t>平方米的物业出租给本公司作为办公使用，使用期限 </w:t>
      </w:r>
      <w:r>
        <w:rPr>
          <w:rFonts w:ascii="宋体" w:hAnsi="宋体" w:cs="宋体" w:eastAsia="宋体" w:hint="default"/>
          <w:spacing w:val="-2"/>
        </w:rPr>
        <w:t>2016</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15</w:t>
      </w:r>
      <w:r>
        <w:rPr>
          <w:spacing w:val="-2"/>
        </w:rPr>
        <w:t>日至</w:t>
      </w:r>
      <w:r>
        <w:rPr>
          <w:rFonts w:ascii="宋体" w:hAnsi="宋体" w:cs="宋体" w:eastAsia="宋体" w:hint="default"/>
          <w:spacing w:val="-2"/>
        </w:rPr>
        <w:t>2021</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14</w:t>
      </w:r>
      <w:r>
        <w:rPr>
          <w:spacing w:val="-2"/>
        </w:rPr>
        <w:t>日，租金每月人民币</w:t>
      </w:r>
      <w:r>
        <w:rPr>
          <w:rFonts w:ascii="宋体" w:hAnsi="宋体" w:cs="宋体" w:eastAsia="宋体" w:hint="default"/>
          <w:spacing w:val="-2"/>
        </w:rPr>
        <w:t>137,856.40</w:t>
      </w:r>
      <w:r>
        <w:rPr>
          <w:spacing w:val="-2"/>
        </w:rPr>
        <w:t>元，租金每两年按上年度月租金递增</w:t>
      </w:r>
      <w:r>
        <w:rPr>
          <w:rFonts w:ascii="宋体" w:hAnsi="宋体" w:cs="宋体" w:eastAsia="宋体" w:hint="default"/>
          <w:spacing w:val="-2"/>
        </w:rPr>
        <w:t>5%</w:t>
      </w:r>
      <w:r>
        <w:rPr>
          <w:spacing w:val="-2"/>
        </w:rPr>
        <w:t>。</w:t>
      </w:r>
      <w:r>
        <w:rPr>
          <w:rFonts w:ascii="宋体" w:hAnsi="宋体" w:cs="宋体" w:eastAsia="宋体" w:hint="default"/>
          <w:spacing w:val="-2"/>
        </w:rPr>
        <w:t>2018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w:t>
      </w:r>
      <w:r>
        <w:rPr>
          <w:spacing w:val="-2"/>
        </w:rPr>
        <w:t>日经三方</w:t>
      </w:r>
      <w:r>
        <w:rPr>
          <w:spacing w:val="-34"/>
        </w:rPr>
        <w:t> </w:t>
      </w:r>
      <w:r>
        <w:rPr>
          <w:spacing w:val="-2"/>
        </w:rPr>
        <w:t>协商同意，原合同出租方由视维科技变更为长沙市蓝度信息科技有限公司，原合同出租方权利及义务转移至长沙市蓝度信息</w:t>
      </w:r>
      <w:r>
        <w:rPr>
          <w:spacing w:val="-64"/>
        </w:rPr>
        <w:t> </w:t>
      </w:r>
      <w:r>
        <w:rPr>
          <w:spacing w:val="-64"/>
        </w:rPr>
      </w:r>
      <w:r>
        <w:rPr/>
        <w:t>科技有限公司享有及承担。</w:t>
      </w:r>
    </w:p>
    <w:p>
      <w:pPr>
        <w:pStyle w:val="BodyText"/>
        <w:spacing w:line="316" w:lineRule="auto" w:before="19"/>
        <w:ind w:right="0" w:firstLine="420"/>
        <w:jc w:val="left"/>
      </w:pPr>
      <w:r>
        <w:rPr>
          <w:spacing w:val="-2"/>
        </w:rPr>
        <w:t>（</w:t>
      </w:r>
      <w:r>
        <w:rPr>
          <w:rFonts w:ascii="宋体" w:hAnsi="宋体" w:cs="宋体" w:eastAsia="宋体" w:hint="default"/>
          <w:spacing w:val="-2"/>
        </w:rPr>
        <w:t>6</w:t>
      </w:r>
      <w:r>
        <w:rPr>
          <w:spacing w:val="-2"/>
        </w:rPr>
        <w:t>）本公司与深圳市和燚投资发展股份有限公司（以下简称“和燚投资”）签订房屋租赁合同，合同约定：和燚投资</w:t>
      </w:r>
      <w:r>
        <w:rPr/>
        <w:t> </w:t>
      </w:r>
      <w:r>
        <w:rPr>
          <w:spacing w:val="-2"/>
        </w:rPr>
        <w:t>将位于深圳市南山区南头街道大新路创新大厦</w:t>
      </w:r>
      <w:r>
        <w:rPr>
          <w:rFonts w:ascii="宋体" w:hAnsi="宋体" w:cs="宋体" w:eastAsia="宋体" w:hint="default"/>
          <w:spacing w:val="-2"/>
        </w:rPr>
        <w:t>B</w:t>
      </w:r>
      <w:r>
        <w:rPr>
          <w:spacing w:val="-2"/>
        </w:rPr>
        <w:t>栋十二、十三层建筑面积</w:t>
      </w:r>
      <w:r>
        <w:rPr>
          <w:rFonts w:ascii="宋体" w:hAnsi="宋体" w:cs="宋体" w:eastAsia="宋体" w:hint="default"/>
          <w:spacing w:val="-2"/>
        </w:rPr>
        <w:t>3,249.46</w:t>
      </w:r>
      <w:r>
        <w:rPr>
          <w:spacing w:val="-2"/>
        </w:rPr>
        <w:t>平方米的物业出租给本公司作为办公使用，</w:t>
      </w:r>
      <w:r>
        <w:rPr>
          <w:spacing w:val="-55"/>
        </w:rPr>
        <w:t> </w:t>
      </w:r>
      <w:r>
        <w:rPr/>
        <w:t>使用期限</w:t>
      </w:r>
      <w:r>
        <w:rPr>
          <w:rFonts w:ascii="宋体" w:hAnsi="宋体" w:cs="宋体" w:eastAsia="宋体" w:hint="default"/>
        </w:rPr>
        <w:t>2016</w:t>
      </w:r>
      <w:r>
        <w:rPr/>
        <w:t>年</w:t>
      </w:r>
      <w:r>
        <w:rPr>
          <w:rFonts w:ascii="宋体" w:hAnsi="宋体" w:cs="宋体" w:eastAsia="宋体" w:hint="default"/>
        </w:rPr>
        <w:t>8</w:t>
      </w:r>
      <w:r>
        <w:rPr/>
        <w:t>月</w:t>
      </w:r>
      <w:r>
        <w:rPr>
          <w:rFonts w:ascii="宋体" w:hAnsi="宋体" w:cs="宋体" w:eastAsia="宋体" w:hint="default"/>
        </w:rPr>
        <w:t>9</w:t>
      </w:r>
      <w:r>
        <w:rPr/>
        <w:t>日至</w:t>
      </w:r>
      <w:r>
        <w:rPr>
          <w:rFonts w:ascii="宋体" w:hAnsi="宋体" w:cs="宋体" w:eastAsia="宋体" w:hint="default"/>
        </w:rPr>
        <w:t>2021</w:t>
      </w:r>
      <w:r>
        <w:rPr/>
        <w:t>年</w:t>
      </w:r>
      <w:r>
        <w:rPr>
          <w:rFonts w:ascii="宋体" w:hAnsi="宋体" w:cs="宋体" w:eastAsia="宋体" w:hint="default"/>
        </w:rPr>
        <w:t>8</w:t>
      </w:r>
      <w:r>
        <w:rPr/>
        <w:t>月</w:t>
      </w:r>
      <w:r>
        <w:rPr>
          <w:rFonts w:ascii="宋体" w:hAnsi="宋体" w:cs="宋体" w:eastAsia="宋体" w:hint="default"/>
        </w:rPr>
        <w:t>8</w:t>
      </w:r>
      <w:r>
        <w:rPr/>
        <w:t>日，租金每月人民币</w:t>
      </w:r>
      <w:r>
        <w:rPr>
          <w:rFonts w:ascii="宋体" w:hAnsi="宋体" w:cs="宋体" w:eastAsia="宋体" w:hint="default"/>
        </w:rPr>
        <w:t>292,451.40</w:t>
      </w:r>
      <w:r>
        <w:rPr/>
        <w:t>元，租金每两年按上年度月租金递增</w:t>
      </w:r>
      <w:r>
        <w:rPr>
          <w:rFonts w:ascii="宋体" w:hAnsi="宋体" w:cs="宋体" w:eastAsia="宋体" w:hint="default"/>
        </w:rPr>
        <w:t>5%</w:t>
      </w:r>
      <w:r>
        <w:rPr/>
        <w:t>。</w:t>
      </w:r>
      <w:r>
        <w:rPr>
          <w:rFonts w:ascii="宋体" w:hAnsi="宋体" w:cs="宋体" w:eastAsia="宋体" w:hint="default"/>
        </w:rPr>
        <w:t>2017</w:t>
      </w:r>
      <w:r>
        <w:rPr/>
        <w:t>年</w:t>
      </w:r>
      <w:r>
        <w:rPr>
          <w:rFonts w:ascii="宋体" w:hAnsi="宋体" w:cs="宋体" w:eastAsia="宋体" w:hint="default"/>
        </w:rPr>
        <w:t>7</w:t>
      </w:r>
      <w:r>
        <w:rPr/>
        <w:t>月</w:t>
      </w:r>
      <w:r>
        <w:rPr>
          <w:rFonts w:ascii="宋体" w:hAnsi="宋体" w:cs="宋体" w:eastAsia="宋体" w:hint="default"/>
        </w:rPr>
        <w:t>26 </w:t>
      </w:r>
      <w:r>
        <w:rPr>
          <w:spacing w:val="-2"/>
        </w:rPr>
        <w:t>日经三方协商同意，原合同出租方由和燚投资变更为深圳市众燚装饰工程有限公司，原合同出租方权利及义务转移至深圳市</w:t>
      </w:r>
      <w:r>
        <w:rPr>
          <w:spacing w:val="-64"/>
        </w:rPr>
        <w:t> </w:t>
      </w:r>
      <w:r>
        <w:rPr>
          <w:spacing w:val="-64"/>
        </w:rPr>
      </w:r>
      <w:r>
        <w:rPr/>
        <w:t>众燚装饰工程有限公司享有及承担。</w:t>
      </w:r>
    </w:p>
    <w:p>
      <w:pPr>
        <w:pStyle w:val="BodyText"/>
        <w:spacing w:line="240" w:lineRule="auto" w:before="19"/>
        <w:ind w:left="576" w:right="0"/>
        <w:jc w:val="left"/>
      </w:pPr>
      <w:r>
        <w:rPr>
          <w:rFonts w:ascii="宋体" w:hAnsi="宋体" w:cs="宋体" w:eastAsia="宋体" w:hint="default"/>
        </w:rPr>
        <w:t>2</w:t>
      </w:r>
      <w:r>
        <w:rPr/>
        <w:t>、除存在上述承诺事项外，截至</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日止，本公司无其他应披露未披露的重大承诺事项。</w:t>
      </w:r>
    </w:p>
    <w:p>
      <w:pPr>
        <w:spacing w:after="0" w:line="240" w:lineRule="auto"/>
        <w:jc w:val="left"/>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2、或有事项" w:id="464"/>
      <w:bookmarkEnd w:id="464"/>
      <w:r>
        <w:rPr>
          <w:b w:val="0"/>
          <w:bCs w:val="0"/>
        </w:rPr>
      </w:r>
      <w:r>
        <w:rPr>
          <w:rFonts w:ascii="Times New Roman" w:hAnsi="Times New Roman" w:cs="Times New Roman" w:eastAsia="Times New Roman" w:hint="default"/>
        </w:rPr>
        <w:t>2</w:t>
      </w:r>
      <w:r>
        <w:rPr/>
        <w:t>、或有事项</w:t>
      </w:r>
      <w:r>
        <w:rPr>
          <w:b w:val="0"/>
          <w:bCs w:val="0"/>
        </w:rPr>
      </w:r>
    </w:p>
    <w:p>
      <w:pPr>
        <w:pStyle w:val="Heading3"/>
        <w:spacing w:line="590" w:lineRule="atLeast" w:before="23"/>
        <w:ind w:left="576" w:right="5797" w:hanging="423"/>
        <w:jc w:val="left"/>
        <w:rPr>
          <w:b w:val="0"/>
          <w:bCs w:val="0"/>
        </w:rPr>
      </w:pPr>
      <w:bookmarkStart w:name="（1）资产负债表日存在的重要或有事项" w:id="465"/>
      <w:bookmarkEnd w:id="465"/>
      <w:r>
        <w:rPr>
          <w:b w:val="0"/>
          <w:bCs w:val="0"/>
        </w:rPr>
      </w:r>
      <w:r>
        <w:rPr/>
        <w:t>（</w:t>
      </w:r>
      <w:r>
        <w:rPr>
          <w:rFonts w:ascii="Times New Roman" w:hAnsi="Times New Roman" w:cs="Times New Roman" w:eastAsia="Times New Roman" w:hint="default"/>
        </w:rPr>
        <w:t>1</w:t>
      </w:r>
      <w:r>
        <w:rPr/>
        <w:t>）资产负债表日存在的重要或有事项</w:t>
      </w:r>
      <w:r>
        <w:rPr>
          <w:w w:val="99"/>
        </w:rPr>
        <w:t> </w:t>
      </w:r>
      <w:r>
        <w:rPr>
          <w:rFonts w:ascii="宋体" w:hAnsi="宋体" w:cs="宋体" w:eastAsia="宋体" w:hint="default"/>
        </w:rPr>
        <w:t>1</w:t>
      </w:r>
      <w:r>
        <w:rPr/>
        <w:t>、未决诉讼或仲裁形成的或有负债及其财务影响</w:t>
      </w:r>
      <w:r>
        <w:rPr>
          <w:b w:val="0"/>
          <w:bCs w:val="0"/>
        </w:rPr>
      </w:r>
    </w:p>
    <w:p>
      <w:pPr>
        <w:pStyle w:val="Heading4"/>
        <w:spacing w:line="240" w:lineRule="auto"/>
        <w:ind w:left="574" w:right="0"/>
        <w:jc w:val="left"/>
      </w:pPr>
      <w:r>
        <w:rPr/>
        <w:t>（</w:t>
      </w:r>
      <w:r>
        <w:rPr>
          <w:rFonts w:ascii="宋体" w:hAnsi="宋体" w:cs="宋体" w:eastAsia="宋体" w:hint="default"/>
        </w:rPr>
        <w:t>1</w:t>
      </w:r>
      <w:r>
        <w:rPr/>
        <w:t>）本公司被诉案：</w:t>
      </w:r>
    </w:p>
    <w:p>
      <w:pPr>
        <w:spacing w:line="240" w:lineRule="auto" w:before="13"/>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1624"/>
        <w:gridCol w:w="3036"/>
        <w:gridCol w:w="2286"/>
        <w:gridCol w:w="1608"/>
      </w:tblGrid>
      <w:tr>
        <w:trPr>
          <w:trHeight w:val="34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被告</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原告</w:t>
            </w:r>
          </w:p>
        </w:tc>
        <w:tc>
          <w:tcPr>
            <w:tcW w:w="2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事由</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79" w:right="0"/>
              <w:jc w:val="left"/>
              <w:rPr>
                <w:rFonts w:ascii="宋体" w:hAnsi="宋体" w:cs="宋体" w:eastAsia="宋体" w:hint="default"/>
                <w:sz w:val="18"/>
                <w:szCs w:val="18"/>
              </w:rPr>
            </w:pPr>
            <w:r>
              <w:rPr>
                <w:rFonts w:ascii="宋体" w:hAnsi="宋体" w:cs="宋体" w:eastAsia="宋体" w:hint="default"/>
                <w:sz w:val="18"/>
                <w:szCs w:val="18"/>
              </w:rPr>
              <w:t>涉诉金额（汇总）</w:t>
            </w:r>
          </w:p>
        </w:tc>
      </w:tr>
      <w:tr>
        <w:trPr>
          <w:trHeight w:val="34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6" w:right="0"/>
              <w:jc w:val="left"/>
              <w:rPr>
                <w:rFonts w:ascii="宋体" w:hAnsi="宋体" w:cs="宋体" w:eastAsia="宋体" w:hint="default"/>
                <w:sz w:val="15"/>
                <w:szCs w:val="15"/>
              </w:rPr>
            </w:pPr>
            <w:r>
              <w:rPr>
                <w:rFonts w:ascii="宋体" w:hAnsi="宋体" w:cs="宋体" w:eastAsia="宋体" w:hint="default"/>
                <w:sz w:val="18"/>
                <w:szCs w:val="18"/>
              </w:rPr>
              <w:t>深圳丰盛真空技术有限公司</w:t>
            </w:r>
            <w:r>
              <w:rPr>
                <w:rFonts w:ascii="宋体" w:hAnsi="宋体" w:cs="宋体" w:eastAsia="宋体" w:hint="default"/>
                <w:sz w:val="15"/>
                <w:szCs w:val="15"/>
              </w:rPr>
              <w:t>(</w:t>
            </w:r>
            <w:r>
              <w:rPr>
                <w:rFonts w:ascii="宋体" w:hAnsi="宋体" w:cs="宋体" w:eastAsia="宋体" w:hint="default"/>
                <w:sz w:val="15"/>
                <w:szCs w:val="15"/>
              </w:rPr>
              <w:t>注</w:t>
            </w:r>
            <w:r>
              <w:rPr>
                <w:rFonts w:ascii="宋体" w:hAnsi="宋体" w:cs="宋体" w:eastAsia="宋体" w:hint="default"/>
                <w:sz w:val="15"/>
                <w:szCs w:val="15"/>
              </w:rPr>
              <w:t>1)</w:t>
            </w:r>
          </w:p>
        </w:tc>
        <w:tc>
          <w:tcPr>
            <w:tcW w:w="2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合同纠纷</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right"/>
              <w:rPr>
                <w:rFonts w:ascii="宋体" w:hAnsi="宋体" w:cs="宋体" w:eastAsia="宋体" w:hint="default"/>
                <w:sz w:val="18"/>
                <w:szCs w:val="18"/>
              </w:rPr>
            </w:pPr>
            <w:r>
              <w:rPr>
                <w:rFonts w:ascii="宋体"/>
                <w:sz w:val="18"/>
              </w:rPr>
              <w:t>967</w:t>
            </w:r>
            <w:r>
              <w:rPr>
                <w:rFonts w:ascii="Times New Roman"/>
                <w:sz w:val="18"/>
              </w:rPr>
              <w:t>,</w:t>
            </w:r>
            <w:r>
              <w:rPr>
                <w:rFonts w:ascii="宋体"/>
                <w:sz w:val="18"/>
              </w:rPr>
              <w:t>755.22</w:t>
            </w:r>
          </w:p>
        </w:tc>
      </w:tr>
      <w:tr>
        <w:trPr>
          <w:trHeight w:val="34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6" w:right="0"/>
              <w:jc w:val="left"/>
              <w:rPr>
                <w:rFonts w:ascii="宋体" w:hAnsi="宋体" w:cs="宋体" w:eastAsia="宋体" w:hint="default"/>
                <w:sz w:val="15"/>
                <w:szCs w:val="15"/>
              </w:rPr>
            </w:pPr>
            <w:r>
              <w:rPr>
                <w:rFonts w:ascii="宋体" w:hAnsi="宋体" w:cs="宋体" w:eastAsia="宋体" w:hint="default"/>
                <w:sz w:val="18"/>
                <w:szCs w:val="18"/>
              </w:rPr>
              <w:t>深圳丰盛真空技术有限公司</w:t>
            </w:r>
            <w:r>
              <w:rPr>
                <w:rFonts w:ascii="宋体" w:hAnsi="宋体" w:cs="宋体" w:eastAsia="宋体" w:hint="default"/>
                <w:sz w:val="15"/>
                <w:szCs w:val="15"/>
              </w:rPr>
              <w:t>(</w:t>
            </w:r>
            <w:r>
              <w:rPr>
                <w:rFonts w:ascii="宋体" w:hAnsi="宋体" w:cs="宋体" w:eastAsia="宋体" w:hint="default"/>
                <w:sz w:val="15"/>
                <w:szCs w:val="15"/>
              </w:rPr>
              <w:t>注</w:t>
            </w:r>
            <w:r>
              <w:rPr>
                <w:rFonts w:ascii="宋体" w:hAnsi="宋体" w:cs="宋体" w:eastAsia="宋体" w:hint="default"/>
                <w:sz w:val="15"/>
                <w:szCs w:val="15"/>
              </w:rPr>
              <w:t>2)</w:t>
            </w:r>
          </w:p>
        </w:tc>
        <w:tc>
          <w:tcPr>
            <w:tcW w:w="2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买卖合同纠纷</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right"/>
              <w:rPr>
                <w:rFonts w:ascii="宋体" w:hAnsi="宋体" w:cs="宋体" w:eastAsia="宋体" w:hint="default"/>
                <w:sz w:val="18"/>
                <w:szCs w:val="18"/>
              </w:rPr>
            </w:pPr>
            <w:r>
              <w:rPr>
                <w:rFonts w:ascii="宋体"/>
                <w:sz w:val="18"/>
              </w:rPr>
              <w:t>6,000,000.00</w:t>
            </w:r>
          </w:p>
        </w:tc>
      </w:tr>
      <w:tr>
        <w:trPr>
          <w:trHeight w:val="34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6" w:right="0"/>
              <w:jc w:val="left"/>
              <w:rPr>
                <w:rFonts w:ascii="宋体" w:hAnsi="宋体" w:cs="宋体" w:eastAsia="宋体" w:hint="default"/>
                <w:sz w:val="15"/>
                <w:szCs w:val="15"/>
              </w:rPr>
            </w:pPr>
            <w:r>
              <w:rPr>
                <w:rFonts w:ascii="宋体" w:hAnsi="宋体" w:cs="宋体" w:eastAsia="宋体" w:hint="default"/>
                <w:sz w:val="18"/>
                <w:szCs w:val="18"/>
              </w:rPr>
              <w:t>杨北盈</w:t>
            </w:r>
            <w:r>
              <w:rPr>
                <w:rFonts w:ascii="宋体" w:hAnsi="宋体" w:cs="宋体" w:eastAsia="宋体" w:hint="default"/>
                <w:sz w:val="15"/>
                <w:szCs w:val="15"/>
              </w:rPr>
              <w:t>(</w:t>
            </w:r>
            <w:r>
              <w:rPr>
                <w:rFonts w:ascii="宋体" w:hAnsi="宋体" w:cs="宋体" w:eastAsia="宋体" w:hint="default"/>
                <w:sz w:val="15"/>
                <w:szCs w:val="15"/>
              </w:rPr>
              <w:t>注</w:t>
            </w:r>
            <w:r>
              <w:rPr>
                <w:rFonts w:ascii="宋体" w:hAnsi="宋体" w:cs="宋体" w:eastAsia="宋体" w:hint="default"/>
                <w:sz w:val="15"/>
                <w:szCs w:val="15"/>
              </w:rPr>
              <w:t>3)</w:t>
            </w:r>
          </w:p>
        </w:tc>
        <w:tc>
          <w:tcPr>
            <w:tcW w:w="2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房屋租赁合同纠纷</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right"/>
              <w:rPr>
                <w:rFonts w:ascii="宋体" w:hAnsi="宋体" w:cs="宋体" w:eastAsia="宋体" w:hint="default"/>
                <w:sz w:val="18"/>
                <w:szCs w:val="18"/>
              </w:rPr>
            </w:pPr>
            <w:r>
              <w:rPr>
                <w:rFonts w:ascii="宋体"/>
                <w:sz w:val="18"/>
              </w:rPr>
              <w:t>540,871.20</w:t>
            </w:r>
          </w:p>
        </w:tc>
      </w:tr>
    </w:tbl>
    <w:p>
      <w:pPr>
        <w:spacing w:line="240" w:lineRule="auto" w:before="8"/>
        <w:rPr>
          <w:rFonts w:ascii="宋体" w:hAnsi="宋体" w:cs="宋体" w:eastAsia="宋体" w:hint="default"/>
          <w:sz w:val="6"/>
          <w:szCs w:val="6"/>
        </w:rPr>
      </w:pPr>
    </w:p>
    <w:p>
      <w:pPr>
        <w:pStyle w:val="BodyText"/>
        <w:spacing w:line="316" w:lineRule="auto" w:before="44"/>
        <w:ind w:right="1132" w:firstLine="424"/>
        <w:jc w:val="both"/>
      </w:pPr>
      <w:r>
        <w:rPr>
          <w:spacing w:val="-2"/>
        </w:rPr>
        <w:t>注</w:t>
      </w:r>
      <w:r>
        <w:rPr>
          <w:rFonts w:ascii="宋体" w:hAnsi="宋体" w:cs="宋体" w:eastAsia="宋体" w:hint="default"/>
          <w:spacing w:val="-2"/>
        </w:rPr>
        <w:t>1</w:t>
      </w:r>
      <w:r>
        <w:rPr>
          <w:spacing w:val="-2"/>
        </w:rPr>
        <w:t>：</w:t>
      </w:r>
      <w:r>
        <w:rPr>
          <w:rFonts w:ascii="宋体" w:hAnsi="宋体" w:cs="宋体" w:eastAsia="宋体" w:hint="default"/>
          <w:spacing w:val="-2"/>
        </w:rPr>
        <w:t>2018</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18</w:t>
      </w:r>
      <w:r>
        <w:rPr>
          <w:spacing w:val="-2"/>
        </w:rPr>
        <w:t>日，深圳丰盛真空技术有限公司向深圳市宝安区人民法院起诉本公司下属孙公司深圳市翼丰盛科技</w:t>
      </w:r>
      <w:r>
        <w:rPr/>
        <w:t> </w:t>
      </w:r>
      <w:r>
        <w:rPr>
          <w:spacing w:val="-5"/>
        </w:rPr>
        <w:t>有限公司（以下简称“翼丰盛公司”），控告翼丰盛公司欠付深圳丰盛真空技术有限公司代垫的厂房租金、水电费、员工社保</w:t>
      </w:r>
      <w:r>
        <w:rPr>
          <w:spacing w:val="-79"/>
        </w:rPr>
        <w:t> </w:t>
      </w:r>
      <w:r>
        <w:rPr>
          <w:spacing w:val="-79"/>
        </w:rPr>
      </w:r>
      <w:r>
        <w:rPr/>
        <w:t>费及固话费共计</w:t>
      </w:r>
      <w:r>
        <w:rPr>
          <w:rFonts w:ascii="宋体" w:hAnsi="宋体" w:cs="宋体" w:eastAsia="宋体" w:hint="default"/>
        </w:rPr>
        <w:t>967</w:t>
      </w:r>
      <w:r>
        <w:rPr>
          <w:rFonts w:ascii="Times New Roman" w:hAnsi="Times New Roman" w:cs="Times New Roman" w:eastAsia="Times New Roman" w:hint="default"/>
        </w:rPr>
        <w:t>,</w:t>
      </w:r>
      <w:r>
        <w:rPr>
          <w:rFonts w:ascii="宋体" w:hAnsi="宋体" w:cs="宋体" w:eastAsia="宋体" w:hint="default"/>
        </w:rPr>
        <w:t>755.22</w:t>
      </w:r>
      <w:r>
        <w:rPr/>
        <w:t>元，要求翼丰盛公司立即给付前述代付款</w:t>
      </w:r>
      <w:r>
        <w:rPr>
          <w:rFonts w:ascii="宋体" w:hAnsi="宋体" w:cs="宋体" w:eastAsia="宋体" w:hint="default"/>
        </w:rPr>
        <w:t>967</w:t>
      </w:r>
      <w:r>
        <w:rPr>
          <w:rFonts w:ascii="Times New Roman" w:hAnsi="Times New Roman" w:cs="Times New Roman" w:eastAsia="Times New Roman" w:hint="default"/>
        </w:rPr>
        <w:t>,</w:t>
      </w:r>
      <w:r>
        <w:rPr>
          <w:rFonts w:ascii="宋体" w:hAnsi="宋体" w:cs="宋体" w:eastAsia="宋体" w:hint="default"/>
        </w:rPr>
        <w:t>755.22</w:t>
      </w:r>
      <w:r>
        <w:rPr/>
        <w:t>元、逾期违约金及相关费用。</w:t>
      </w:r>
    </w:p>
    <w:p>
      <w:pPr>
        <w:pStyle w:val="BodyText"/>
        <w:spacing w:line="316" w:lineRule="auto"/>
        <w:ind w:right="1165" w:firstLine="424"/>
        <w:jc w:val="both"/>
      </w:pPr>
      <w:r>
        <w:rPr/>
        <w:t>深圳丰盛真空技术有限公司主张为翼丰盛公司代付的款项完全没有事实依据，其所提交的《还款协议书》完全是深圳 丰盛真空技术有限公司单方制作的，甚至伪造翼丰盛公司名称中管理部专用章，请求法院依法驳回其诉讼请求。</w:t>
      </w:r>
    </w:p>
    <w:p>
      <w:pPr>
        <w:pStyle w:val="BodyText"/>
        <w:spacing w:line="316" w:lineRule="auto" w:before="139"/>
        <w:ind w:left="578" w:right="1148"/>
        <w:jc w:val="left"/>
      </w:pPr>
      <w:r>
        <w:rPr/>
        <w:t>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日该案尚在审理中。 注</w:t>
      </w:r>
      <w:r>
        <w:rPr>
          <w:rFonts w:ascii="宋体" w:hAnsi="宋体" w:cs="宋体" w:eastAsia="宋体" w:hint="default"/>
        </w:rPr>
        <w:t>2</w:t>
      </w:r>
      <w:r>
        <w:rPr/>
        <w:t>：</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12</w:t>
      </w:r>
      <w:r>
        <w:rPr/>
        <w:t>日，深圳市丰盛真空技术有限公司向深圳市宝安区人民法院起诉本公司下属孙公司深圳市翼丰盛科</w:t>
      </w:r>
    </w:p>
    <w:p>
      <w:pPr>
        <w:pStyle w:val="BodyText"/>
        <w:spacing w:line="316" w:lineRule="auto" w:before="19"/>
        <w:ind w:right="0"/>
        <w:jc w:val="left"/>
      </w:pPr>
      <w:r>
        <w:rPr>
          <w:spacing w:val="-4"/>
        </w:rPr>
        <w:t>技有限公司（以下简称“翼丰盛公司”），本公司及下属子公司深圳市卓大精密模具有限公司等相关关系人作为共同被告人，</w:t>
      </w:r>
      <w:r>
        <w:rPr>
          <w:spacing w:val="-50"/>
        </w:rPr>
        <w:t> </w:t>
      </w:r>
      <w:r>
        <w:rPr>
          <w:spacing w:val="-50"/>
        </w:rPr>
      </w:r>
      <w:r>
        <w:rPr>
          <w:spacing w:val="-4"/>
        </w:rPr>
        <w:t>深圳市丰盛真空技术有限公司控告翼丰盛公司未按照双方签订的《设备分期付款购买合同》约定向其支付约定款项。要求</w:t>
      </w:r>
      <w:r>
        <w:rPr>
          <w:rFonts w:ascii="宋体" w:hAnsi="宋体" w:cs="宋体" w:eastAsia="宋体" w:hint="default"/>
          <w:spacing w:val="-4"/>
        </w:rPr>
        <w:t>:1</w:t>
      </w:r>
      <w:r>
        <w:rPr>
          <w:spacing w:val="-4"/>
        </w:rPr>
        <w:t>、</w:t>
      </w:r>
      <w:r>
        <w:rPr>
          <w:spacing w:val="-39"/>
        </w:rPr>
        <w:t> </w:t>
      </w:r>
      <w:r>
        <w:rPr>
          <w:spacing w:val="-2"/>
        </w:rPr>
        <w:t>翼丰盛公司支付相关设备款</w:t>
      </w:r>
      <w:r>
        <w:rPr>
          <w:rFonts w:ascii="宋体" w:hAnsi="宋体" w:cs="宋体" w:eastAsia="宋体" w:hint="default"/>
          <w:spacing w:val="-2"/>
        </w:rPr>
        <w:t>6,000,000.00</w:t>
      </w:r>
      <w:r>
        <w:rPr>
          <w:spacing w:val="-2"/>
        </w:rPr>
        <w:t>元、利息</w:t>
      </w:r>
      <w:r>
        <w:rPr>
          <w:rFonts w:ascii="宋体" w:hAnsi="宋体" w:cs="宋体" w:eastAsia="宋体" w:hint="default"/>
          <w:spacing w:val="-2"/>
        </w:rPr>
        <w:t>86,880.84</w:t>
      </w:r>
      <w:r>
        <w:rPr>
          <w:spacing w:val="-2"/>
        </w:rPr>
        <w:t>元及相关诉讼费用等；</w:t>
      </w:r>
      <w:r>
        <w:rPr>
          <w:rFonts w:ascii="宋体" w:hAnsi="宋体" w:cs="宋体" w:eastAsia="宋体" w:hint="default"/>
          <w:spacing w:val="-2"/>
        </w:rPr>
        <w:t>2</w:t>
      </w:r>
      <w:r>
        <w:rPr>
          <w:spacing w:val="-2"/>
        </w:rPr>
        <w:t>、深圳市卓大精密模具有限公司在未出</w:t>
      </w:r>
      <w:r>
        <w:rPr>
          <w:spacing w:val="-44"/>
        </w:rPr>
        <w:t> </w:t>
      </w:r>
      <w:r>
        <w:rPr>
          <w:spacing w:val="-44"/>
        </w:rPr>
      </w:r>
      <w:r>
        <w:rPr/>
        <w:t>资范围内就翼丰盛公司对深圳市丰盛真空技术有限公司的债务不能清偿的部份承担补充赔偿责任；</w:t>
      </w:r>
      <w:r>
        <w:rPr>
          <w:rFonts w:ascii="宋体" w:hAnsi="宋体" w:cs="宋体" w:eastAsia="宋体" w:hint="default"/>
        </w:rPr>
        <w:t>3</w:t>
      </w:r>
      <w:r>
        <w:rPr/>
        <w:t>、本公司对深圳市卓大 精密模具有限公司应承担的上述债务承担连带责任；</w:t>
      </w:r>
      <w:r>
        <w:rPr>
          <w:rFonts w:ascii="宋体" w:hAnsi="宋体" w:cs="宋体" w:eastAsia="宋体" w:hint="default"/>
        </w:rPr>
        <w:t>4</w:t>
      </w:r>
      <w:r>
        <w:rPr/>
        <w:t>、翼丰盛另一股东深圳市百汇富管理企业（普通合伙）在未出资的范 </w:t>
      </w:r>
      <w:r>
        <w:rPr>
          <w:spacing w:val="-2"/>
        </w:rPr>
        <w:t>围内对翼丰盛公司不能清偿的部份承担补充赔偿责任；深圳市百汇富管理企业（普通合伙）普通合伙人张容、杨义华对深圳</w:t>
      </w:r>
      <w:r>
        <w:rPr>
          <w:spacing w:val="-66"/>
        </w:rPr>
        <w:t> </w:t>
      </w:r>
      <w:r>
        <w:rPr>
          <w:spacing w:val="-66"/>
        </w:rPr>
      </w:r>
      <w:r>
        <w:rPr/>
        <w:t>市百汇富管理企业（普通合伙）应承担的上述债务承担无限连带责任。</w:t>
      </w:r>
    </w:p>
    <w:p>
      <w:pPr>
        <w:pStyle w:val="BodyText"/>
        <w:spacing w:line="316" w:lineRule="auto" w:before="19"/>
        <w:ind w:right="1132" w:firstLine="424"/>
        <w:jc w:val="both"/>
      </w:pPr>
      <w:r>
        <w:rPr/>
        <w:t>由于涉案设备是喷涂设备，会产生废水，而所在场地为茅洲河流域，属于禁止废水项目审批的区域，深圳市丰盛真空 </w:t>
      </w:r>
      <w:r>
        <w:rPr>
          <w:spacing w:val="-2"/>
        </w:rPr>
        <w:t>技术有限公司无法按照合同约定配合翼丰盛通过环保检查和并保证环评资质，根本违背了买卖合同的主旨，导致翼丰盛公司</w:t>
      </w:r>
      <w:r>
        <w:rPr>
          <w:spacing w:val="-64"/>
        </w:rPr>
        <w:t> </w:t>
      </w:r>
      <w:r>
        <w:rPr>
          <w:spacing w:val="-64"/>
        </w:rPr>
      </w:r>
      <w:r>
        <w:rPr/>
        <w:t>接收设备后不能继续生产。</w:t>
      </w:r>
    </w:p>
    <w:p>
      <w:pPr>
        <w:pStyle w:val="BodyText"/>
        <w:spacing w:line="316" w:lineRule="auto" w:before="19"/>
        <w:ind w:right="1132" w:firstLine="424"/>
        <w:jc w:val="both"/>
      </w:pPr>
      <w:r>
        <w:rPr>
          <w:rFonts w:ascii="宋体" w:hAnsi="宋体" w:cs="宋体" w:eastAsia="宋体" w:hint="default"/>
        </w:rPr>
        <w:t>2018</w:t>
      </w:r>
      <w:r>
        <w:rPr/>
        <w:t>年</w:t>
      </w:r>
      <w:r>
        <w:rPr>
          <w:rFonts w:ascii="宋体" w:hAnsi="宋体" w:cs="宋体" w:eastAsia="宋体" w:hint="default"/>
        </w:rPr>
        <w:t>9</w:t>
      </w:r>
      <w:r>
        <w:rPr/>
        <w:t>月</w:t>
      </w:r>
      <w:r>
        <w:rPr>
          <w:rFonts w:ascii="宋体" w:hAnsi="宋体" w:cs="宋体" w:eastAsia="宋体" w:hint="default"/>
        </w:rPr>
        <w:t>20</w:t>
      </w:r>
      <w:r>
        <w:rPr/>
        <w:t>日，翼丰盛公司向深圳市宝安区人民法院提起民事反诉，请求：</w:t>
      </w:r>
      <w:r>
        <w:rPr>
          <w:rFonts w:ascii="宋体" w:hAnsi="宋体" w:cs="宋体" w:eastAsia="宋体" w:hint="default"/>
        </w:rPr>
        <w:t>1</w:t>
      </w:r>
      <w:r>
        <w:rPr/>
        <w:t>、法院判令解除《设备分期付款购买合 </w:t>
      </w:r>
      <w:r>
        <w:rPr>
          <w:spacing w:val="-4"/>
        </w:rPr>
        <w:t>同》，涉案机器设备直接由反诉被告（深圳市丰盛真空技术有限公司）自行处理；</w:t>
      </w:r>
      <w:r>
        <w:rPr>
          <w:rFonts w:ascii="宋体" w:hAnsi="宋体" w:cs="宋体" w:eastAsia="宋体" w:hint="default"/>
          <w:spacing w:val="-4"/>
        </w:rPr>
        <w:t>2</w:t>
      </w:r>
      <w:r>
        <w:rPr>
          <w:spacing w:val="-4"/>
        </w:rPr>
        <w:t>、判令反诉被告向反诉原告返还已经支付</w:t>
      </w:r>
      <w:r>
        <w:rPr>
          <w:spacing w:val="-44"/>
        </w:rPr>
        <w:t> </w:t>
      </w:r>
      <w:r>
        <w:rPr>
          <w:spacing w:val="-44"/>
        </w:rPr>
      </w:r>
      <w:r>
        <w:rPr>
          <w:spacing w:val="-2"/>
        </w:rPr>
        <w:t>的款项人民币</w:t>
      </w:r>
      <w:r>
        <w:rPr>
          <w:rFonts w:ascii="宋体" w:hAnsi="宋体" w:cs="宋体" w:eastAsia="宋体" w:hint="default"/>
          <w:spacing w:val="-2"/>
        </w:rPr>
        <w:t>150</w:t>
      </w:r>
      <w:r>
        <w:rPr>
          <w:spacing w:val="-2"/>
        </w:rPr>
        <w:t>万元及利息（以人民币</w:t>
      </w:r>
      <w:r>
        <w:rPr>
          <w:rFonts w:ascii="宋体" w:hAnsi="宋体" w:cs="宋体" w:eastAsia="宋体" w:hint="default"/>
          <w:spacing w:val="-2"/>
        </w:rPr>
        <w:t>150</w:t>
      </w:r>
      <w:r>
        <w:rPr>
          <w:spacing w:val="-2"/>
        </w:rPr>
        <w:t>万为基数，按照中国人民银行规定的同期贷款利率计算利息，从反诉之日起直至</w:t>
      </w:r>
      <w:r>
        <w:rPr>
          <w:spacing w:val="-61"/>
        </w:rPr>
        <w:t> </w:t>
      </w:r>
      <w:r>
        <w:rPr>
          <w:spacing w:val="-61"/>
        </w:rPr>
      </w:r>
      <w:r>
        <w:rPr>
          <w:spacing w:val="-2"/>
        </w:rPr>
        <w:t>判决给付之日止）；</w:t>
      </w:r>
      <w:r>
        <w:rPr>
          <w:rFonts w:ascii="宋体" w:hAnsi="宋体" w:cs="宋体" w:eastAsia="宋体" w:hint="default"/>
          <w:spacing w:val="-2"/>
        </w:rPr>
        <w:t>3</w:t>
      </w:r>
      <w:r>
        <w:rPr>
          <w:spacing w:val="-2"/>
        </w:rPr>
        <w:t>、判令反诉被告向反诉原告承担损失人民币</w:t>
      </w:r>
      <w:r>
        <w:rPr>
          <w:rFonts w:ascii="宋体" w:hAnsi="宋体" w:cs="宋体" w:eastAsia="宋体" w:hint="default"/>
          <w:spacing w:val="-2"/>
        </w:rPr>
        <w:t>100</w:t>
      </w:r>
      <w:r>
        <w:rPr>
          <w:spacing w:val="-2"/>
        </w:rPr>
        <w:t>万元；</w:t>
      </w:r>
      <w:r>
        <w:rPr>
          <w:rFonts w:ascii="宋体" w:hAnsi="宋体" w:cs="宋体" w:eastAsia="宋体" w:hint="default"/>
          <w:spacing w:val="-2"/>
        </w:rPr>
        <w:t>4</w:t>
      </w:r>
      <w:r>
        <w:rPr>
          <w:spacing w:val="-2"/>
        </w:rPr>
        <w:t>、本案反讼费用由反诉被告承担。</w:t>
      </w:r>
    </w:p>
    <w:p>
      <w:pPr>
        <w:pStyle w:val="BodyText"/>
        <w:spacing w:line="316" w:lineRule="auto" w:before="19"/>
        <w:ind w:left="578" w:right="1148"/>
        <w:jc w:val="left"/>
      </w:pPr>
      <w:r>
        <w:rPr/>
        <w:t>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日该案尚在审理中。 注</w:t>
      </w:r>
      <w:r>
        <w:rPr>
          <w:rFonts w:ascii="宋体" w:hAnsi="宋体" w:cs="宋体" w:eastAsia="宋体" w:hint="default"/>
        </w:rPr>
        <w:t>3</w:t>
      </w:r>
      <w:r>
        <w:rPr/>
        <w:t>：</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12</w:t>
      </w:r>
      <w:r>
        <w:rPr/>
        <w:t>日，杨北盈向深圳市宝安区人民法院起诉本公司下属孙公司深圳市翼丰盛科技有限公司（以下简称</w:t>
      </w:r>
    </w:p>
    <w:p>
      <w:pPr>
        <w:pStyle w:val="BodyText"/>
        <w:spacing w:line="316" w:lineRule="auto" w:before="19"/>
        <w:ind w:right="1032"/>
        <w:jc w:val="left"/>
      </w:pPr>
      <w:r>
        <w:rPr>
          <w:spacing w:val="-4"/>
        </w:rPr>
        <w:t>“翼丰盛公司”），本公司及下属子公司深圳市卓大精密模具有限公司作为共同被告人，杨北盈控告翼丰盛公司未按照</w:t>
      </w:r>
      <w:r>
        <w:rPr>
          <w:rFonts w:ascii="宋体" w:hAnsi="宋体" w:cs="宋体" w:eastAsia="宋体" w:hint="default"/>
          <w:spacing w:val="-4"/>
        </w:rPr>
        <w:t>2017</w:t>
      </w:r>
      <w:r>
        <w:rPr>
          <w:rFonts w:ascii="宋体" w:hAnsi="宋体" w:cs="宋体" w:eastAsia="宋体" w:hint="default"/>
          <w:spacing w:val="-46"/>
        </w:rPr>
        <w:t> </w:t>
      </w:r>
      <w:r>
        <w:rPr/>
        <w:t>年</w:t>
      </w:r>
      <w:r>
        <w:rPr>
          <w:rFonts w:ascii="宋体" w:hAnsi="宋体" w:cs="宋体" w:eastAsia="宋体" w:hint="default"/>
        </w:rPr>
        <w:t>12</w:t>
      </w:r>
      <w:r>
        <w:rPr/>
        <w:t>月签订的《厂房租赁合同》约定支付厂房租金及相关维修费。要求</w:t>
      </w:r>
      <w:r>
        <w:rPr>
          <w:rFonts w:ascii="宋体" w:hAnsi="宋体" w:cs="宋体" w:eastAsia="宋体" w:hint="default"/>
        </w:rPr>
        <w:t>:1</w:t>
      </w:r>
      <w:r>
        <w:rPr/>
        <w:t>、法院判令双方所签订的《厂房租赁合同》解除； </w:t>
      </w:r>
      <w:r>
        <w:rPr>
          <w:rFonts w:ascii="宋体" w:hAnsi="宋体" w:cs="宋体" w:eastAsia="宋体" w:hint="default"/>
        </w:rPr>
        <w:t>2</w:t>
      </w:r>
      <w:r>
        <w:rPr/>
        <w:t>、翼丰盛公司支付所欠租金及相关费用；</w:t>
      </w:r>
      <w:r>
        <w:rPr>
          <w:rFonts w:ascii="宋体" w:hAnsi="宋体" w:cs="宋体" w:eastAsia="宋体" w:hint="default"/>
        </w:rPr>
        <w:t>3</w:t>
      </w:r>
      <w:r>
        <w:rPr/>
        <w:t>、翼丰盛公司搬离所承租物业；</w:t>
      </w:r>
      <w:r>
        <w:rPr>
          <w:rFonts w:ascii="宋体" w:hAnsi="宋体" w:cs="宋体" w:eastAsia="宋体" w:hint="default"/>
        </w:rPr>
        <w:t>4</w:t>
      </w:r>
      <w:r>
        <w:rPr/>
        <w:t>、深圳市卓大精密模具有限公司在未出资本息 范围内就翼丰盛公司对原先的债务承担连带清偿责任；</w:t>
      </w:r>
      <w:r>
        <w:rPr>
          <w:rFonts w:ascii="宋体" w:hAnsi="宋体" w:cs="宋体" w:eastAsia="宋体" w:hint="default"/>
        </w:rPr>
        <w:t>5</w:t>
      </w:r>
      <w:r>
        <w:rPr/>
        <w:t>、本公司对深圳市卓大精密模具有限公司应承担的上述债务承担连 带责任。</w:t>
      </w:r>
    </w:p>
    <w:p>
      <w:pPr>
        <w:pStyle w:val="BodyText"/>
        <w:spacing w:line="319" w:lineRule="auto" w:before="19"/>
        <w:ind w:left="574" w:right="7268" w:firstLine="4"/>
        <w:jc w:val="left"/>
      </w:pPr>
      <w:r>
        <w:rPr/>
        <w:t>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日该案尚在审理中。 以上未决诉讼不涉及预计负债。</w:t>
      </w:r>
    </w:p>
    <w:p>
      <w:pPr>
        <w:spacing w:line="240" w:lineRule="auto" w:before="2"/>
        <w:rPr>
          <w:rFonts w:ascii="宋体" w:hAnsi="宋体" w:cs="宋体" w:eastAsia="宋体" w:hint="default"/>
          <w:sz w:val="25"/>
          <w:szCs w:val="25"/>
        </w:rPr>
      </w:pPr>
    </w:p>
    <w:p>
      <w:pPr>
        <w:pStyle w:val="BodyText"/>
        <w:spacing w:line="240" w:lineRule="auto"/>
        <w:ind w:left="576" w:right="0"/>
        <w:jc w:val="left"/>
      </w:pPr>
      <w:r>
        <w:rPr>
          <w:rFonts w:ascii="宋体" w:hAnsi="宋体" w:cs="宋体" w:eastAsia="宋体" w:hint="default"/>
        </w:rPr>
        <w:t>2</w:t>
      </w:r>
      <w:r>
        <w:rPr/>
        <w:t>、除存在上述或有事项外，截至</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日止，本公司无其他应披露未披露的重大或有事项。</w:t>
      </w:r>
    </w:p>
    <w:p>
      <w:pPr>
        <w:spacing w:after="0" w:line="240" w:lineRule="auto"/>
        <w:jc w:val="left"/>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2）公司没有需要披露的重要或有事项，也应予以说明" w:id="466"/>
      <w:bookmarkEnd w:id="466"/>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公司不存在需要披露的重要或有事项。</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3、其他" w:id="467"/>
      <w:bookmarkEnd w:id="467"/>
      <w:r>
        <w:rPr>
          <w:b w:val="0"/>
          <w:bCs w:val="0"/>
        </w:rPr>
      </w:r>
      <w:r>
        <w:rPr>
          <w:rFonts w:ascii="Times New Roman" w:hAnsi="Times New Roman" w:cs="Times New Roman" w:eastAsia="Times New Roman" w:hint="default"/>
        </w:rPr>
        <w:t>3</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十五、资产负债表日后事项" w:id="468"/>
      <w:bookmarkEnd w:id="468"/>
      <w:r>
        <w:rPr>
          <w:b w:val="0"/>
          <w:bCs w:val="0"/>
        </w:rPr>
      </w:r>
      <w:r>
        <w:rPr/>
        <w:t>十五、资产负债表日后事项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重要的非调整事项" w:id="469"/>
      <w:bookmarkEnd w:id="469"/>
      <w:r>
        <w:rPr>
          <w:b w:val="0"/>
          <w:bCs w:val="0"/>
        </w:rPr>
      </w:r>
      <w:r>
        <w:rPr>
          <w:rFonts w:ascii="Times New Roman" w:hAnsi="Times New Roman" w:cs="Times New Roman" w:eastAsia="Times New Roman" w:hint="default"/>
        </w:rPr>
        <w:t>1</w:t>
      </w:r>
      <w:r>
        <w:rPr/>
        <w:t>、重要的非调整事项</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内容</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0" w:right="108" w:hanging="900"/>
              <w:jc w:val="left"/>
              <w:rPr>
                <w:rFonts w:ascii="宋体" w:hAnsi="宋体" w:cs="宋体" w:eastAsia="宋体" w:hint="default"/>
                <w:sz w:val="18"/>
                <w:szCs w:val="18"/>
              </w:rPr>
            </w:pPr>
            <w:r>
              <w:rPr>
                <w:rFonts w:ascii="宋体" w:hAnsi="宋体" w:cs="宋体" w:eastAsia="宋体" w:hint="default"/>
                <w:sz w:val="18"/>
                <w:szCs w:val="18"/>
              </w:rPr>
              <w:t>对财务状况和经营成果的影 响数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90" w:right="0"/>
              <w:jc w:val="left"/>
              <w:rPr>
                <w:rFonts w:ascii="宋体" w:hAnsi="宋体" w:cs="宋体" w:eastAsia="宋体" w:hint="default"/>
                <w:sz w:val="18"/>
                <w:szCs w:val="18"/>
              </w:rPr>
            </w:pPr>
            <w:r>
              <w:rPr>
                <w:rFonts w:ascii="宋体" w:hAnsi="宋体" w:cs="宋体" w:eastAsia="宋体" w:hint="default"/>
                <w:sz w:val="18"/>
                <w:szCs w:val="18"/>
              </w:rPr>
              <w:t>无法估计影响数的原因</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利润分配情况" w:id="470"/>
      <w:bookmarkEnd w:id="470"/>
      <w:r>
        <w:rPr>
          <w:b w:val="0"/>
          <w:bCs w:val="0"/>
        </w:rPr>
      </w:r>
      <w:r>
        <w:rPr>
          <w:rFonts w:ascii="Times New Roman" w:hAnsi="Times New Roman" w:cs="Times New Roman" w:eastAsia="Times New Roman" w:hint="default"/>
        </w:rPr>
        <w:t>2</w:t>
      </w:r>
      <w:r>
        <w:rPr/>
        <w:t>、利润分配情况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24"/>
          <w:szCs w:val="24"/>
        </w:rPr>
      </w:pPr>
    </w:p>
    <w:p>
      <w:pPr>
        <w:pStyle w:val="Heading3"/>
        <w:spacing w:line="240" w:lineRule="auto" w:before="35"/>
        <w:ind w:right="0"/>
        <w:jc w:val="left"/>
        <w:rPr>
          <w:b w:val="0"/>
          <w:bCs w:val="0"/>
        </w:rPr>
      </w:pPr>
      <w:bookmarkStart w:name="3、销售退回" w:id="471"/>
      <w:bookmarkEnd w:id="471"/>
      <w:r>
        <w:rPr>
          <w:b w:val="0"/>
          <w:bCs w:val="0"/>
        </w:rPr>
      </w:r>
      <w:r>
        <w:rPr>
          <w:rFonts w:ascii="Times New Roman" w:hAnsi="Times New Roman" w:cs="Times New Roman" w:eastAsia="Times New Roman" w:hint="default"/>
        </w:rPr>
        <w:t>3</w:t>
      </w:r>
      <w:r>
        <w:rPr/>
        <w:t>、销售退回</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其他资产负债表日后事项说明" w:id="472"/>
      <w:bookmarkEnd w:id="472"/>
      <w:r>
        <w:rPr>
          <w:b w:val="0"/>
          <w:bCs w:val="0"/>
        </w:rPr>
      </w:r>
      <w:r>
        <w:rPr>
          <w:rFonts w:ascii="Times New Roman" w:hAnsi="Times New Roman" w:cs="Times New Roman" w:eastAsia="Times New Roman" w:hint="default"/>
        </w:rPr>
        <w:t>4</w:t>
      </w:r>
      <w:r>
        <w:rPr/>
        <w:t>、其他资产负债表日后事项说明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截至</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日，本公司无其他应披露未披露的重大资产负债表日后事项。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2"/>
          <w:szCs w:val="12"/>
        </w:rPr>
      </w:pPr>
    </w:p>
    <w:p>
      <w:pPr>
        <w:pStyle w:val="Heading2"/>
        <w:spacing w:line="240" w:lineRule="auto"/>
        <w:ind w:right="0"/>
        <w:jc w:val="left"/>
        <w:rPr>
          <w:b w:val="0"/>
          <w:bCs w:val="0"/>
        </w:rPr>
      </w:pPr>
      <w:bookmarkStart w:name="十六、其他重要事项" w:id="473"/>
      <w:bookmarkEnd w:id="473"/>
      <w:r>
        <w:rPr>
          <w:b w:val="0"/>
          <w:bCs w:val="0"/>
        </w:rPr>
      </w:r>
      <w:r>
        <w:rPr/>
        <w:t>十六、其他重要事项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前期会计差错更正" w:id="474"/>
      <w:bookmarkEnd w:id="474"/>
      <w:r>
        <w:rPr>
          <w:b w:val="0"/>
          <w:bCs w:val="0"/>
        </w:rPr>
      </w:r>
      <w:r>
        <w:rPr>
          <w:rFonts w:ascii="Times New Roman" w:hAnsi="Times New Roman" w:cs="Times New Roman" w:eastAsia="Times New Roman" w:hint="default"/>
        </w:rPr>
        <w:t>1</w:t>
      </w:r>
      <w:r>
        <w:rPr/>
        <w:t>、前期会计差错更正</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追溯重述法" w:id="475"/>
      <w:bookmarkEnd w:id="475"/>
      <w:r>
        <w:rPr>
          <w:b w:val="0"/>
          <w:bCs w:val="0"/>
        </w:rPr>
      </w:r>
      <w:r>
        <w:rPr/>
        <w:t>（</w:t>
      </w:r>
      <w:r>
        <w:rPr>
          <w:rFonts w:ascii="Times New Roman" w:hAnsi="Times New Roman" w:cs="Times New Roman" w:eastAsia="Times New Roman" w:hint="default"/>
        </w:rPr>
        <w:t>1</w:t>
      </w:r>
      <w:r>
        <w:rPr/>
        <w:t>）追溯重述法</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处理程序</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30" w:right="108" w:hanging="720"/>
              <w:jc w:val="left"/>
              <w:rPr>
                <w:rFonts w:ascii="宋体" w:hAnsi="宋体" w:cs="宋体" w:eastAsia="宋体" w:hint="default"/>
                <w:sz w:val="18"/>
                <w:szCs w:val="18"/>
              </w:rPr>
            </w:pPr>
            <w:r>
              <w:rPr>
                <w:rFonts w:ascii="宋体" w:hAnsi="宋体" w:cs="宋体" w:eastAsia="宋体" w:hint="default"/>
                <w:sz w:val="18"/>
                <w:szCs w:val="18"/>
              </w:rPr>
              <w:t>受影响的各个比较期间报表 项目名称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累积影响数</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未来适用法" w:id="476"/>
      <w:bookmarkEnd w:id="476"/>
      <w:r>
        <w:rPr>
          <w:b w:val="0"/>
          <w:bCs w:val="0"/>
        </w:rPr>
      </w:r>
      <w:r>
        <w:rPr/>
        <w:t>（</w:t>
      </w:r>
      <w:r>
        <w:rPr>
          <w:rFonts w:ascii="Times New Roman" w:hAnsi="Times New Roman" w:cs="Times New Roman" w:eastAsia="Times New Roman" w:hint="default"/>
        </w:rPr>
        <w:t>2</w:t>
      </w:r>
      <w:r>
        <w:rPr/>
        <w:t>）未来适用法</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47"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批准程序</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87" w:right="0"/>
              <w:jc w:val="left"/>
              <w:rPr>
                <w:rFonts w:ascii="宋体" w:hAnsi="宋体" w:cs="宋体" w:eastAsia="宋体" w:hint="default"/>
                <w:sz w:val="18"/>
                <w:szCs w:val="18"/>
              </w:rPr>
            </w:pPr>
            <w:r>
              <w:rPr>
                <w:rFonts w:ascii="宋体" w:hAnsi="宋体" w:cs="宋体" w:eastAsia="宋体" w:hint="default"/>
                <w:sz w:val="18"/>
                <w:szCs w:val="18"/>
              </w:rPr>
              <w:t>采用未来适用法的原因</w:t>
            </w:r>
          </w:p>
        </w:tc>
      </w:tr>
    </w:tbl>
    <w:p>
      <w:pPr>
        <w:spacing w:after="0" w:line="240"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b/>
          <w:bCs/>
          <w:sz w:val="23"/>
          <w:szCs w:val="23"/>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债务重组" w:id="477"/>
      <w:bookmarkEnd w:id="477"/>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3、资产置换" w:id="478"/>
      <w:bookmarkEnd w:id="478"/>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非货币性资产交换" w:id="479"/>
      <w:bookmarkEnd w:id="479"/>
      <w:r>
        <w:rPr>
          <w:b w:val="0"/>
          <w:bCs w:val="0"/>
        </w:rPr>
      </w:r>
      <w:r>
        <w:rPr/>
        <w:t>（</w:t>
      </w:r>
      <w:r>
        <w:rPr>
          <w:rFonts w:ascii="Times New Roman" w:hAnsi="Times New Roman" w:cs="Times New Roman" w:eastAsia="Times New Roman" w:hint="default"/>
        </w:rPr>
        <w:t>1</w:t>
      </w:r>
      <w:r>
        <w:rPr/>
        <w:t>）非货币性资产交换</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2）其他资产置换" w:id="480"/>
      <w:bookmarkEnd w:id="480"/>
      <w:r>
        <w:rPr>
          <w:b w:val="0"/>
          <w:bCs w:val="0"/>
        </w:rPr>
      </w:r>
      <w:r>
        <w:rPr/>
        <w:t>（</w:t>
      </w:r>
      <w:r>
        <w:rPr>
          <w:rFonts w:ascii="Times New Roman" w:hAnsi="Times New Roman" w:cs="Times New Roman" w:eastAsia="Times New Roman" w:hint="default"/>
        </w:rPr>
        <w:t>2</w:t>
      </w:r>
      <w:r>
        <w:rPr/>
        <w:t>）其他资产置换</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年金计划" w:id="481"/>
      <w:bookmarkEnd w:id="481"/>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5、终止经营" w:id="482"/>
      <w:bookmarkEnd w:id="482"/>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7"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07"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37" w:right="137"/>
              <w:jc w:val="center"/>
              <w:rPr>
                <w:rFonts w:ascii="宋体" w:hAnsi="宋体" w:cs="宋体" w:eastAsia="宋体" w:hint="default"/>
                <w:sz w:val="18"/>
                <w:szCs w:val="18"/>
              </w:rPr>
            </w:pPr>
            <w:r>
              <w:rPr>
                <w:rFonts w:ascii="宋体" w:hAnsi="宋体" w:cs="宋体" w:eastAsia="宋体" w:hint="default"/>
                <w:sz w:val="18"/>
                <w:szCs w:val="18"/>
              </w:rPr>
              <w:t>归属于母公司 所有者的终止 经营利润</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51"/>
        <w:ind w:right="1003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6、分部信息" w:id="483"/>
      <w:bookmarkEnd w:id="483"/>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报告分部的确定依据与会计政策" w:id="484"/>
      <w:bookmarkEnd w:id="484"/>
      <w:r>
        <w:rPr>
          <w:b w:val="0"/>
          <w:bCs w:val="0"/>
        </w:rPr>
      </w: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2）报告分部的财务信息" w:id="485"/>
      <w:bookmarkEnd w:id="485"/>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3）公司无报告分部的，或者不能披露各报告分部的资产总额和负债总额的，应说明原因" w:id="486"/>
      <w:bookmarkEnd w:id="486"/>
      <w:r>
        <w:rPr>
          <w:b w:val="0"/>
          <w:bCs w:val="0"/>
        </w:rPr>
      </w: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其他说明" w:id="487"/>
      <w:bookmarkEnd w:id="487"/>
      <w:r>
        <w:rPr>
          <w:b w:val="0"/>
          <w:bCs w:val="0"/>
        </w:rPr>
      </w:r>
      <w:r>
        <w:rPr/>
        <w:t>（</w:t>
      </w:r>
      <w:r>
        <w:rPr>
          <w:rFonts w:ascii="Times New Roman" w:hAnsi="Times New Roman" w:cs="Times New Roman" w:eastAsia="Times New Roman" w:hint="default"/>
        </w:rPr>
        <w:t>4</w:t>
      </w:r>
      <w:r>
        <w:rPr/>
        <w:t>）其他说明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7、其他对投资者决策有影响的重要交易和事项" w:id="488"/>
      <w:bookmarkEnd w:id="488"/>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8、其他" w:id="489"/>
      <w:bookmarkEnd w:id="489"/>
      <w:r>
        <w:rPr>
          <w:b w:val="0"/>
          <w:bCs w:val="0"/>
        </w:rPr>
      </w:r>
      <w:r>
        <w:rPr>
          <w:rFonts w:ascii="Times New Roman" w:hAnsi="Times New Roman" w:cs="Times New Roman" w:eastAsia="Times New Roman" w:hint="default"/>
        </w:rPr>
        <w:t>8</w:t>
      </w:r>
      <w:r>
        <w:rPr/>
        <w:t>、其他</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r>
        <w:rPr>
          <w:spacing w:val="1"/>
          <w:w w:val="99"/>
        </w:rPr>
        <w:t>（一</w:t>
      </w:r>
      <w:r>
        <w:rPr>
          <w:spacing w:val="-105"/>
          <w:w w:val="99"/>
        </w:rPr>
        <w:t>）</w:t>
      </w:r>
      <w:r>
        <w:rPr>
          <w:spacing w:val="1"/>
          <w:w w:val="99"/>
        </w:rPr>
        <w:t>、</w:t>
      </w:r>
      <w:r>
        <w:rPr>
          <w:w w:val="99"/>
        </w:rPr>
        <w:t>银行</w:t>
      </w:r>
      <w:r>
        <w:rPr>
          <w:spacing w:val="1"/>
          <w:w w:val="99"/>
        </w:rPr>
        <w:t>授信事</w:t>
      </w:r>
      <w:r>
        <w:rPr>
          <w:w w:val="99"/>
        </w:rPr>
        <w:t>项</w:t>
      </w:r>
      <w:r>
        <w:rPr>
          <w:b w:val="0"/>
          <w:bCs w:val="0"/>
        </w:rPr>
      </w:r>
    </w:p>
    <w:p>
      <w:pPr>
        <w:spacing w:line="240" w:lineRule="auto" w:before="13"/>
        <w:rPr>
          <w:rFonts w:ascii="宋体" w:hAnsi="宋体" w:cs="宋体" w:eastAsia="宋体" w:hint="default"/>
          <w:b/>
          <w:bCs/>
          <w:sz w:val="13"/>
          <w:szCs w:val="13"/>
        </w:rPr>
      </w:pPr>
    </w:p>
    <w:p>
      <w:pPr>
        <w:pStyle w:val="BodyText"/>
        <w:spacing w:line="316" w:lineRule="auto"/>
        <w:ind w:left="168" w:right="1138" w:firstLine="420"/>
        <w:jc w:val="left"/>
      </w:pPr>
      <w:r>
        <w:rPr>
          <w:rFonts w:ascii="宋体" w:hAnsi="宋体" w:cs="宋体" w:eastAsia="宋体" w:hint="default"/>
        </w:rPr>
        <w:t>1</w:t>
      </w:r>
      <w:r>
        <w:rPr/>
        <w:t>、本公司于</w:t>
      </w:r>
      <w:r>
        <w:rPr>
          <w:rFonts w:ascii="宋体" w:hAnsi="宋体" w:cs="宋体" w:eastAsia="宋体" w:hint="default"/>
        </w:rPr>
        <w:t>2018</w:t>
      </w:r>
      <w:r>
        <w:rPr/>
        <w:t>年</w:t>
      </w:r>
      <w:r>
        <w:rPr>
          <w:rFonts w:ascii="宋体" w:hAnsi="宋体" w:cs="宋体" w:eastAsia="宋体" w:hint="default"/>
        </w:rPr>
        <w:t>2</w:t>
      </w:r>
      <w:r>
        <w:rPr/>
        <w:t>月</w:t>
      </w:r>
      <w:r>
        <w:rPr>
          <w:rFonts w:ascii="宋体" w:hAnsi="宋体" w:cs="宋体" w:eastAsia="宋体" w:hint="default"/>
        </w:rPr>
        <w:t>26</w:t>
      </w:r>
      <w:r>
        <w:rPr/>
        <w:t>日与平安银行股份有限公司深圳分行签订合同编号为平银（深圳）综字第</w:t>
      </w:r>
      <w:r>
        <w:rPr>
          <w:rFonts w:ascii="宋体" w:hAnsi="宋体" w:cs="宋体" w:eastAsia="宋体" w:hint="default"/>
        </w:rPr>
        <w:t>A268201802240001 </w:t>
      </w:r>
      <w:r>
        <w:rPr/>
        <w:t>号的综合授信额度合同，授信额度为人民币捌仟万元整。授信期间为</w:t>
      </w:r>
      <w:r>
        <w:rPr>
          <w:rFonts w:ascii="宋体" w:hAnsi="宋体" w:cs="宋体" w:eastAsia="宋体" w:hint="default"/>
        </w:rPr>
        <w:t>2018</w:t>
      </w:r>
      <w:r>
        <w:rPr/>
        <w:t>年</w:t>
      </w:r>
      <w:r>
        <w:rPr>
          <w:rFonts w:ascii="宋体" w:hAnsi="宋体" w:cs="宋体" w:eastAsia="宋体" w:hint="default"/>
        </w:rPr>
        <w:t>2</w:t>
      </w:r>
      <w:r>
        <w:rPr/>
        <w:t>月</w:t>
      </w:r>
      <w:r>
        <w:rPr>
          <w:rFonts w:ascii="宋体" w:hAnsi="宋体" w:cs="宋体" w:eastAsia="宋体" w:hint="default"/>
        </w:rPr>
        <w:t>26</w:t>
      </w:r>
      <w:r>
        <w:rPr/>
        <w:t>日至</w:t>
      </w:r>
      <w:r>
        <w:rPr>
          <w:rFonts w:ascii="宋体" w:hAnsi="宋体" w:cs="宋体" w:eastAsia="宋体" w:hint="default"/>
        </w:rPr>
        <w:t>2019</w:t>
      </w:r>
      <w:r>
        <w:rPr/>
        <w:t>年</w:t>
      </w:r>
      <w:r>
        <w:rPr>
          <w:rFonts w:ascii="宋体" w:hAnsi="宋体" w:cs="宋体" w:eastAsia="宋体" w:hint="default"/>
        </w:rPr>
        <w:t>2</w:t>
      </w:r>
      <w:r>
        <w:rPr/>
        <w:t>月</w:t>
      </w:r>
      <w:r>
        <w:rPr>
          <w:rFonts w:ascii="宋体" w:hAnsi="宋体" w:cs="宋体" w:eastAsia="宋体" w:hint="default"/>
        </w:rPr>
        <w:t>25</w:t>
      </w:r>
      <w:r>
        <w:rPr/>
        <w:t>日。授信方式包括但不 限于贷款、拆借、票据承兑和贴现、透支、保理、担保、贷款承诺、开立信用证、黄金租赁、衍生产品等。</w:t>
      </w:r>
    </w:p>
    <w:p>
      <w:pPr>
        <w:pStyle w:val="BodyText"/>
        <w:spacing w:line="316" w:lineRule="auto" w:before="139"/>
        <w:ind w:left="168" w:right="0" w:firstLine="420"/>
        <w:jc w:val="left"/>
      </w:pPr>
      <w:r>
        <w:rPr>
          <w:rFonts w:ascii="宋体" w:hAnsi="宋体" w:cs="宋体" w:eastAsia="宋体" w:hint="default"/>
          <w:spacing w:val="-2"/>
        </w:rPr>
        <w:t>2</w:t>
      </w:r>
      <w:r>
        <w:rPr>
          <w:spacing w:val="-2"/>
        </w:rPr>
        <w:t>、本公司于</w:t>
      </w:r>
      <w:r>
        <w:rPr>
          <w:rFonts w:ascii="宋体" w:hAnsi="宋体" w:cs="宋体" w:eastAsia="宋体" w:hint="default"/>
          <w:spacing w:val="-2"/>
        </w:rPr>
        <w:t>2018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12</w:t>
      </w:r>
      <w:r>
        <w:rPr>
          <w:spacing w:val="-2"/>
        </w:rPr>
        <w:t>日与中国光大银行股份有限公司深圳分行签订编号为</w:t>
      </w:r>
      <w:r>
        <w:rPr>
          <w:rFonts w:ascii="宋体" w:hAnsi="宋体" w:cs="宋体" w:eastAsia="宋体" w:hint="default"/>
          <w:spacing w:val="-2"/>
        </w:rPr>
        <w:t>ZH51911804001</w:t>
      </w:r>
      <w:r>
        <w:rPr>
          <w:spacing w:val="-2"/>
        </w:rPr>
        <w:t>的综合授信协议，授信额</w:t>
      </w:r>
      <w:r>
        <w:rPr/>
        <w:t> 度为人民币壹亿元整。授信期间为</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12</w:t>
      </w:r>
      <w:r>
        <w:rPr/>
        <w:t>日至</w:t>
      </w:r>
      <w:r>
        <w:rPr>
          <w:rFonts w:ascii="宋体" w:hAnsi="宋体" w:cs="宋体" w:eastAsia="宋体" w:hint="default"/>
        </w:rPr>
        <w:t>2019</w:t>
      </w:r>
      <w:r>
        <w:rPr/>
        <w:t>年</w:t>
      </w:r>
      <w:r>
        <w:rPr>
          <w:rFonts w:ascii="宋体" w:hAnsi="宋体" w:cs="宋体" w:eastAsia="宋体" w:hint="default"/>
        </w:rPr>
        <w:t>4</w:t>
      </w:r>
      <w:r>
        <w:rPr/>
        <w:t>月</w:t>
      </w:r>
      <w:r>
        <w:rPr>
          <w:rFonts w:ascii="宋体" w:hAnsi="宋体" w:cs="宋体" w:eastAsia="宋体" w:hint="default"/>
        </w:rPr>
        <w:t>11</w:t>
      </w:r>
      <w:r>
        <w:rPr/>
        <w:t>日。授信方式包括但不限于贷款、银行承兑汇票、贸易融 资、银行承兑汇票贴现、票据贴现等。</w:t>
      </w:r>
    </w:p>
    <w:p>
      <w:pPr>
        <w:pStyle w:val="BodyText"/>
        <w:spacing w:line="316" w:lineRule="auto" w:before="139"/>
        <w:ind w:left="168" w:right="1131" w:firstLine="420"/>
        <w:jc w:val="both"/>
      </w:pPr>
      <w:r>
        <w:rPr>
          <w:rFonts w:ascii="宋体" w:hAnsi="宋体" w:cs="宋体" w:eastAsia="宋体" w:hint="default"/>
        </w:rPr>
        <w:t>3</w:t>
      </w:r>
      <w:r>
        <w:rPr/>
        <w:t>、本公司下属子公司深圳市卓翼智造有限公司于</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17</w:t>
      </w:r>
      <w:r>
        <w:rPr/>
        <w:t>日与中国民生银行股份有限公司深圳分行签订编号为公 </w:t>
      </w:r>
      <w:r>
        <w:rPr>
          <w:spacing w:val="-1"/>
        </w:rPr>
        <w:t>授信字第机构四</w:t>
      </w:r>
      <w:r>
        <w:rPr>
          <w:rFonts w:ascii="宋体" w:hAnsi="宋体" w:cs="宋体" w:eastAsia="宋体" w:hint="default"/>
          <w:spacing w:val="-1"/>
        </w:rPr>
        <w:t>18007</w:t>
      </w:r>
      <w:r>
        <w:rPr>
          <w:spacing w:val="-1"/>
        </w:rPr>
        <w:t>号的综合授信合同，授信额度为人民币壹亿元整。授信期间为</w:t>
      </w:r>
      <w:r>
        <w:rPr>
          <w:rFonts w:ascii="宋体" w:hAnsi="宋体" w:cs="宋体" w:eastAsia="宋体" w:hint="default"/>
          <w:spacing w:val="-1"/>
        </w:rPr>
        <w:t>2018</w:t>
      </w:r>
      <w:r>
        <w:rPr>
          <w:spacing w:val="-1"/>
        </w:rPr>
        <w:t>年</w:t>
      </w:r>
      <w:r>
        <w:rPr>
          <w:rFonts w:ascii="宋体" w:hAnsi="宋体" w:cs="宋体" w:eastAsia="宋体" w:hint="default"/>
          <w:spacing w:val="-1"/>
        </w:rPr>
        <w:t>4</w:t>
      </w:r>
      <w:r>
        <w:rPr>
          <w:spacing w:val="-1"/>
        </w:rPr>
        <w:t>月</w:t>
      </w:r>
      <w:r>
        <w:rPr>
          <w:rFonts w:ascii="宋体" w:hAnsi="宋体" w:cs="宋体" w:eastAsia="宋体" w:hint="default"/>
          <w:spacing w:val="-1"/>
        </w:rPr>
        <w:t>17</w:t>
      </w:r>
      <w:r>
        <w:rPr>
          <w:spacing w:val="-1"/>
        </w:rPr>
        <w:t>日至</w:t>
      </w:r>
      <w:r>
        <w:rPr>
          <w:rFonts w:ascii="宋体" w:hAnsi="宋体" w:cs="宋体" w:eastAsia="宋体" w:hint="default"/>
          <w:spacing w:val="-1"/>
        </w:rPr>
        <w:t>2019</w:t>
      </w:r>
      <w:r>
        <w:rPr>
          <w:spacing w:val="-1"/>
        </w:rPr>
        <w:t>年</w:t>
      </w:r>
      <w:r>
        <w:rPr>
          <w:rFonts w:ascii="宋体" w:hAnsi="宋体" w:cs="宋体" w:eastAsia="宋体" w:hint="default"/>
          <w:spacing w:val="-1"/>
        </w:rPr>
        <w:t>4</w:t>
      </w:r>
      <w:r>
        <w:rPr>
          <w:spacing w:val="-1"/>
        </w:rPr>
        <w:t>月</w:t>
      </w:r>
      <w:r>
        <w:rPr>
          <w:rFonts w:ascii="宋体" w:hAnsi="宋体" w:cs="宋体" w:eastAsia="宋体" w:hint="default"/>
          <w:spacing w:val="-1"/>
        </w:rPr>
        <w:t>17</w:t>
      </w:r>
      <w:r>
        <w:rPr>
          <w:spacing w:val="-1"/>
        </w:rPr>
        <w:t>日。授信</w:t>
      </w:r>
      <w:r>
        <w:rPr>
          <w:spacing w:val="-36"/>
        </w:rPr>
        <w:t> </w:t>
      </w:r>
      <w:r>
        <w:rPr>
          <w:spacing w:val="-36"/>
        </w:rPr>
      </w:r>
      <w:r>
        <w:rPr/>
        <w:t>额度的可用于贷款、汇票承兑、法人账户透支、开立信用证、进口押汇、进口代付。</w:t>
      </w:r>
    </w:p>
    <w:p>
      <w:pPr>
        <w:pStyle w:val="BodyText"/>
        <w:spacing w:line="316" w:lineRule="auto" w:before="139"/>
        <w:ind w:left="168" w:right="1138" w:firstLine="420"/>
        <w:jc w:val="left"/>
      </w:pPr>
      <w:r>
        <w:rPr>
          <w:rFonts w:ascii="宋体" w:hAnsi="宋体" w:cs="宋体" w:eastAsia="宋体" w:hint="default"/>
        </w:rPr>
        <w:t>4</w:t>
      </w:r>
      <w:r>
        <w:rPr/>
        <w:t>、本公司于</w:t>
      </w: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23</w:t>
      </w:r>
      <w:r>
        <w:rPr/>
        <w:t>日与中国建设银行股份有限公司深圳市分行签订编号为借</w:t>
      </w:r>
      <w:r>
        <w:rPr>
          <w:rFonts w:ascii="宋体" w:hAnsi="宋体" w:cs="宋体" w:eastAsia="宋体" w:hint="default"/>
        </w:rPr>
        <w:t>2018</w:t>
      </w:r>
      <w:r>
        <w:rPr/>
        <w:t>综</w:t>
      </w:r>
      <w:r>
        <w:rPr>
          <w:rFonts w:ascii="宋体" w:hAnsi="宋体" w:cs="宋体" w:eastAsia="宋体" w:hint="default"/>
        </w:rPr>
        <w:t>6808</w:t>
      </w:r>
      <w:r>
        <w:rPr/>
        <w:t>中心区的综合融资额度 合同，授信额度为人民币贰亿元整。授信期间为</w:t>
      </w:r>
      <w:r>
        <w:rPr>
          <w:rFonts w:ascii="宋体" w:hAnsi="宋体" w:cs="宋体" w:eastAsia="宋体" w:hint="default"/>
        </w:rPr>
        <w:t>2018</w:t>
      </w:r>
      <w:r>
        <w:rPr/>
        <w:t>年</w:t>
      </w:r>
      <w:r>
        <w:rPr>
          <w:rFonts w:ascii="宋体" w:hAnsi="宋体" w:cs="宋体" w:eastAsia="宋体" w:hint="default"/>
        </w:rPr>
        <w:t>5</w:t>
      </w:r>
      <w:r>
        <w:rPr/>
        <w:t>月至</w:t>
      </w:r>
      <w:r>
        <w:rPr>
          <w:rFonts w:ascii="宋体" w:hAnsi="宋体" w:cs="宋体" w:eastAsia="宋体" w:hint="default"/>
        </w:rPr>
        <w:t>2019</w:t>
      </w:r>
      <w:r>
        <w:rPr/>
        <w:t>年</w:t>
      </w:r>
      <w:r>
        <w:rPr>
          <w:rFonts w:ascii="宋体" w:hAnsi="宋体" w:cs="宋体" w:eastAsia="宋体" w:hint="default"/>
        </w:rPr>
        <w:t>5</w:t>
      </w:r>
      <w:r>
        <w:rPr/>
        <w:t>月。授信额度的种类为流动资金借款、商业汇票银行 承兑、进出口贸易融资、透支等。</w:t>
      </w:r>
    </w:p>
    <w:p>
      <w:pPr>
        <w:pStyle w:val="BodyText"/>
        <w:spacing w:line="240" w:lineRule="auto" w:before="139"/>
        <w:ind w:left="588" w:right="0"/>
        <w:jc w:val="left"/>
      </w:pPr>
      <w:r>
        <w:rPr>
          <w:rFonts w:ascii="宋体" w:hAnsi="宋体" w:cs="宋体" w:eastAsia="宋体" w:hint="default"/>
        </w:rPr>
        <w:t>5</w:t>
      </w:r>
      <w:r>
        <w:rPr/>
        <w:t>、本公司下属子公司深圳市卓翼智有限公司于</w:t>
      </w: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23</w:t>
      </w:r>
      <w:r>
        <w:rPr/>
        <w:t>日与中国建设银行股份有限公司深圳市分行签订编号为借</w:t>
      </w:r>
    </w:p>
    <w:p>
      <w:pPr>
        <w:pStyle w:val="BodyText"/>
        <w:spacing w:line="316" w:lineRule="auto" w:before="76"/>
        <w:ind w:left="168" w:right="1198"/>
        <w:jc w:val="left"/>
      </w:pPr>
      <w:r>
        <w:rPr>
          <w:rFonts w:ascii="宋体" w:hAnsi="宋体" w:cs="宋体" w:eastAsia="宋体" w:hint="default"/>
        </w:rPr>
        <w:t>2018</w:t>
      </w:r>
      <w:r>
        <w:rPr/>
        <w:t>综</w:t>
      </w:r>
      <w:r>
        <w:rPr>
          <w:rFonts w:ascii="宋体" w:hAnsi="宋体" w:cs="宋体" w:eastAsia="宋体" w:hint="default"/>
        </w:rPr>
        <w:t>5209</w:t>
      </w:r>
      <w:r>
        <w:rPr/>
        <w:t>中心区的综合融资额度合同，授信额度为人民币壹亿伍仟万元整。授信期间为</w:t>
      </w:r>
      <w:r>
        <w:rPr>
          <w:rFonts w:ascii="宋体" w:hAnsi="宋体" w:cs="宋体" w:eastAsia="宋体" w:hint="default"/>
        </w:rPr>
        <w:t>2018</w:t>
      </w:r>
      <w:r>
        <w:rPr/>
        <w:t>年</w:t>
      </w:r>
      <w:r>
        <w:rPr>
          <w:rFonts w:ascii="宋体" w:hAnsi="宋体" w:cs="宋体" w:eastAsia="宋体" w:hint="default"/>
        </w:rPr>
        <w:t>5</w:t>
      </w:r>
      <w:r>
        <w:rPr/>
        <w:t>月至</w:t>
      </w:r>
      <w:r>
        <w:rPr>
          <w:rFonts w:ascii="宋体" w:hAnsi="宋体" w:cs="宋体" w:eastAsia="宋体" w:hint="default"/>
        </w:rPr>
        <w:t>2019</w:t>
      </w:r>
      <w:r>
        <w:rPr/>
        <w:t>年</w:t>
      </w:r>
      <w:r>
        <w:rPr>
          <w:rFonts w:ascii="宋体" w:hAnsi="宋体" w:cs="宋体" w:eastAsia="宋体" w:hint="default"/>
        </w:rPr>
        <w:t>5</w:t>
      </w:r>
      <w:r>
        <w:rPr/>
        <w:t>月。授信额 度的种类为流动资金借款、商业汇票银行承兑、进出口贸易融资等。</w:t>
      </w:r>
    </w:p>
    <w:p>
      <w:pPr>
        <w:pStyle w:val="BodyText"/>
        <w:spacing w:line="316" w:lineRule="auto" w:before="139"/>
        <w:ind w:left="168" w:right="0" w:firstLine="420"/>
        <w:jc w:val="left"/>
      </w:pPr>
      <w:r>
        <w:rPr>
          <w:rFonts w:ascii="宋体" w:hAnsi="宋体" w:cs="宋体" w:eastAsia="宋体" w:hint="default"/>
          <w:spacing w:val="-2"/>
        </w:rPr>
        <w:t>6</w:t>
      </w:r>
      <w:r>
        <w:rPr>
          <w:spacing w:val="-2"/>
        </w:rPr>
        <w:t>、本公司于</w:t>
      </w:r>
      <w:r>
        <w:rPr>
          <w:rFonts w:ascii="宋体" w:hAnsi="宋体" w:cs="宋体" w:eastAsia="宋体" w:hint="default"/>
          <w:spacing w:val="-2"/>
        </w:rPr>
        <w:t>2018</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2</w:t>
      </w:r>
      <w:r>
        <w:rPr>
          <w:spacing w:val="-2"/>
        </w:rPr>
        <w:t>日与华夏银行股份有限公司蔡屋围支行签订编号为</w:t>
      </w:r>
      <w:r>
        <w:rPr>
          <w:rFonts w:ascii="宋体" w:hAnsi="宋体" w:cs="宋体" w:eastAsia="宋体" w:hint="default"/>
          <w:spacing w:val="-2"/>
        </w:rPr>
        <w:t>SZ32</w:t>
      </w:r>
      <w:r>
        <w:rPr>
          <w:spacing w:val="-2"/>
        </w:rPr>
        <w:t>（融资）</w:t>
      </w:r>
      <w:r>
        <w:rPr>
          <w:rFonts w:ascii="宋体" w:hAnsi="宋体" w:cs="宋体" w:eastAsia="宋体" w:hint="default"/>
          <w:spacing w:val="-2"/>
        </w:rPr>
        <w:t>20180005</w:t>
      </w:r>
      <w:r>
        <w:rPr>
          <w:spacing w:val="-2"/>
        </w:rPr>
        <w:t>的最高额融资合同，</w:t>
      </w:r>
      <w:r>
        <w:rPr/>
        <w:t> 授信额度为人民币壹亿伍仟万元整。授信期间为</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30</w:t>
      </w:r>
      <w:r>
        <w:rPr/>
        <w:t>日至</w:t>
      </w: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30</w:t>
      </w:r>
      <w:r>
        <w:rPr/>
        <w:t>日。融资形式包括但不限于贷款、票据承 兑、票据贴现、贸易融资、保函或银行认可的其他授信业务种类。</w:t>
      </w:r>
    </w:p>
    <w:p>
      <w:pPr>
        <w:pStyle w:val="BodyText"/>
        <w:spacing w:line="240" w:lineRule="auto" w:before="139"/>
        <w:ind w:left="588" w:right="0"/>
        <w:jc w:val="left"/>
        <w:rPr>
          <w:rFonts w:ascii="宋体" w:hAnsi="宋体" w:cs="宋体" w:eastAsia="宋体" w:hint="default"/>
        </w:rPr>
      </w:pPr>
      <w:r>
        <w:rPr>
          <w:rFonts w:ascii="宋体" w:hAnsi="宋体" w:cs="宋体" w:eastAsia="宋体" w:hint="default"/>
        </w:rPr>
        <w:t>7</w:t>
      </w:r>
      <w:r>
        <w:rPr/>
        <w:t>、本公司下属子公司深圳市卓翼智造有限公司于</w:t>
      </w:r>
      <w:r>
        <w:rPr>
          <w:rFonts w:ascii="宋体" w:hAnsi="宋体" w:cs="宋体" w:eastAsia="宋体" w:hint="default"/>
        </w:rPr>
        <w:t>2018</w:t>
      </w:r>
      <w:r>
        <w:rPr/>
        <w:t>年</w:t>
      </w:r>
      <w:r>
        <w:rPr>
          <w:rFonts w:ascii="宋体" w:hAnsi="宋体" w:cs="宋体" w:eastAsia="宋体" w:hint="default"/>
        </w:rPr>
        <w:t>11</w:t>
      </w:r>
      <w:r>
        <w:rPr/>
        <w:t>月</w:t>
      </w:r>
      <w:r>
        <w:rPr>
          <w:rFonts w:ascii="宋体" w:hAnsi="宋体" w:cs="宋体" w:eastAsia="宋体" w:hint="default"/>
        </w:rPr>
        <w:t>2</w:t>
      </w:r>
      <w:r>
        <w:rPr/>
        <w:t>日与华夏银行股份有限公司蔡屋围支行签订编号为</w:t>
      </w:r>
      <w:r>
        <w:rPr>
          <w:rFonts w:ascii="宋体" w:hAnsi="宋体" w:cs="宋体" w:eastAsia="宋体" w:hint="default"/>
        </w:rPr>
        <w:t>SZ32</w:t>
      </w:r>
    </w:p>
    <w:p>
      <w:pPr>
        <w:pStyle w:val="BodyText"/>
        <w:spacing w:line="316" w:lineRule="auto" w:before="76"/>
        <w:ind w:left="168" w:right="1198"/>
        <w:jc w:val="left"/>
      </w:pPr>
      <w:r>
        <w:rPr/>
        <w:t>（融资）</w:t>
      </w:r>
      <w:r>
        <w:rPr>
          <w:rFonts w:ascii="宋体" w:hAnsi="宋体" w:cs="宋体" w:eastAsia="宋体" w:hint="default"/>
        </w:rPr>
        <w:t>20180006</w:t>
      </w:r>
      <w:r>
        <w:rPr/>
        <w:t>的最高额融资合同，授信额度为人民币壹亿元整。授信期间为</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30</w:t>
      </w:r>
      <w:r>
        <w:rPr/>
        <w:t>日至</w:t>
      </w:r>
      <w:r>
        <w:rPr>
          <w:rFonts w:ascii="宋体" w:hAnsi="宋体" w:cs="宋体" w:eastAsia="宋体" w:hint="default"/>
        </w:rPr>
        <w:t>2019</w:t>
      </w:r>
      <w:r>
        <w:rPr/>
        <w:t>年</w:t>
      </w:r>
      <w:r>
        <w:rPr>
          <w:rFonts w:ascii="宋体" w:hAnsi="宋体" w:cs="宋体" w:eastAsia="宋体" w:hint="default"/>
        </w:rPr>
        <w:t>10</w:t>
      </w:r>
      <w:r>
        <w:rPr/>
        <w:t>月</w:t>
      </w:r>
      <w:r>
        <w:rPr>
          <w:rFonts w:ascii="宋体" w:hAnsi="宋体" w:cs="宋体" w:eastAsia="宋体" w:hint="default"/>
        </w:rPr>
        <w:t>30</w:t>
      </w:r>
      <w:r>
        <w:rPr/>
        <w:t>日。融资 形式包括但不限于贷款、票据承兑、票据贴现、贸易融资、保函或银行认可的其他授信业务种类。</w:t>
      </w:r>
    </w:p>
    <w:p>
      <w:pPr>
        <w:pStyle w:val="BodyText"/>
        <w:spacing w:line="319" w:lineRule="auto" w:before="139"/>
        <w:ind w:left="168" w:right="1138" w:firstLine="420"/>
        <w:jc w:val="left"/>
      </w:pPr>
      <w:r>
        <w:rPr>
          <w:rFonts w:ascii="宋体" w:hAnsi="宋体" w:cs="宋体" w:eastAsia="宋体" w:hint="default"/>
        </w:rPr>
        <w:t>8</w:t>
      </w:r>
      <w:r>
        <w:rPr/>
        <w:t>、本公司下属子公司深圳市卓翼智造有限公司于</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w:t>
      </w:r>
      <w:r>
        <w:rPr/>
        <w:t>日与上海浦东发展银行股份有限公司深圳分行签订编号 为</w:t>
      </w:r>
      <w:r>
        <w:rPr>
          <w:rFonts w:ascii="宋体" w:hAnsi="宋体" w:cs="宋体" w:eastAsia="宋体" w:hint="default"/>
        </w:rPr>
        <w:t>BC2018120300000195</w:t>
      </w:r>
      <w:r>
        <w:rPr/>
        <w:t>的融资额度协议，授信额度为人民币捌仟万元整。授信期间为</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w:t>
      </w:r>
      <w:r>
        <w:rPr/>
        <w:t>日至</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w:t>
      </w:r>
      <w:r>
        <w:rPr/>
        <w:t>日。融 资形式包括但不限于贷款、贸易融资。</w:t>
      </w:r>
    </w:p>
    <w:p>
      <w:pPr>
        <w:pStyle w:val="BodyText"/>
        <w:spacing w:line="316" w:lineRule="auto" w:before="137"/>
        <w:ind w:left="168" w:right="1138" w:firstLine="420"/>
        <w:jc w:val="left"/>
        <w:rPr>
          <w:rFonts w:ascii="宋体" w:hAnsi="宋体" w:cs="宋体" w:eastAsia="宋体" w:hint="default"/>
        </w:rPr>
      </w:pPr>
      <w:r>
        <w:rPr>
          <w:rFonts w:ascii="宋体" w:hAnsi="宋体" w:cs="宋体" w:eastAsia="宋体" w:hint="default"/>
        </w:rPr>
        <w:t>9</w:t>
      </w:r>
      <w:r>
        <w:rPr/>
        <w:t>、本公司下属子公司深圳市卓翼智造有限公司于</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w:t>
      </w:r>
      <w:r>
        <w:rPr/>
        <w:t>日与上海浦东发展银行股份有限公司深圳分行签订合同 编号为</w:t>
      </w:r>
      <w:r>
        <w:rPr>
          <w:rFonts w:ascii="宋体" w:hAnsi="宋体" w:cs="宋体" w:eastAsia="宋体" w:hint="default"/>
        </w:rPr>
        <w:t>BC2018120300000196</w:t>
      </w:r>
      <w:r>
        <w:rPr/>
        <w:t>号的融资额度协议，授信额度为人民币捌仟万元整。授信期间为</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w:t>
      </w:r>
      <w:r>
        <w:rPr/>
        <w:t>日至</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3</w:t>
      </w:r>
    </w:p>
    <w:p>
      <w:pPr>
        <w:spacing w:after="0" w:line="316" w:lineRule="auto"/>
        <w:jc w:val="left"/>
        <w:rPr>
          <w:rFonts w:ascii="宋体" w:hAnsi="宋体" w:cs="宋体" w:eastAsia="宋体" w:hint="default"/>
        </w:rPr>
        <w:sectPr>
          <w:pgSz w:w="11910" w:h="16840"/>
          <w:pgMar w:header="917" w:footer="1019" w:top="1120" w:bottom="1200" w:left="980" w:right="0"/>
        </w:sectPr>
      </w:pPr>
    </w:p>
    <w:p>
      <w:pPr>
        <w:spacing w:line="240" w:lineRule="auto" w:before="9"/>
        <w:rPr>
          <w:rFonts w:ascii="宋体" w:hAnsi="宋体" w:cs="宋体" w:eastAsia="宋体" w:hint="default"/>
          <w:sz w:val="20"/>
          <w:szCs w:val="20"/>
        </w:rPr>
      </w:pPr>
    </w:p>
    <w:p>
      <w:pPr>
        <w:pStyle w:val="BodyText"/>
        <w:spacing w:line="240" w:lineRule="auto" w:before="44"/>
        <w:ind w:left="168" w:right="0"/>
        <w:jc w:val="left"/>
      </w:pPr>
      <w:r>
        <w:rPr/>
        <w:t>日。其额度包括但不限于贷款、开立银行承兑汇票、开立信用证、进口押汇、出口信用证押汇等。</w:t>
      </w:r>
    </w:p>
    <w:p>
      <w:pPr>
        <w:spacing w:line="240" w:lineRule="auto" w:before="0"/>
        <w:rPr>
          <w:rFonts w:ascii="宋体" w:hAnsi="宋体" w:cs="宋体" w:eastAsia="宋体" w:hint="default"/>
          <w:sz w:val="15"/>
          <w:szCs w:val="15"/>
        </w:rPr>
      </w:pPr>
    </w:p>
    <w:p>
      <w:pPr>
        <w:pStyle w:val="BodyText"/>
        <w:spacing w:line="309" w:lineRule="auto"/>
        <w:ind w:left="168" w:right="0" w:firstLine="420"/>
        <w:jc w:val="left"/>
      </w:pPr>
      <w:r>
        <w:rPr>
          <w:rFonts w:ascii="宋体" w:hAnsi="宋体" w:cs="宋体" w:eastAsia="宋体" w:hint="default"/>
          <w:spacing w:val="-3"/>
        </w:rPr>
        <w:t>1</w:t>
      </w:r>
      <w:r>
        <w:rPr>
          <w:rFonts w:ascii="Times New Roman" w:hAnsi="Times New Roman" w:cs="Times New Roman" w:eastAsia="Times New Roman" w:hint="default"/>
          <w:spacing w:val="-3"/>
        </w:rPr>
        <w:t>0</w:t>
      </w:r>
      <w:r>
        <w:rPr>
          <w:spacing w:val="-3"/>
        </w:rPr>
        <w:t>、本公司于</w:t>
      </w:r>
      <w:r>
        <w:rPr>
          <w:rFonts w:ascii="宋体" w:hAnsi="宋体" w:cs="宋体" w:eastAsia="宋体" w:hint="default"/>
          <w:spacing w:val="-3"/>
        </w:rPr>
        <w:t>2018</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20</w:t>
      </w:r>
      <w:r>
        <w:rPr>
          <w:spacing w:val="-3"/>
        </w:rPr>
        <w:t>日与兴业银行股份有限公司深圳南新支行签订合同编号为兴银深南新授信字（</w:t>
      </w:r>
      <w:r>
        <w:rPr>
          <w:rFonts w:ascii="宋体" w:hAnsi="宋体" w:cs="宋体" w:eastAsia="宋体" w:hint="default"/>
          <w:spacing w:val="-3"/>
        </w:rPr>
        <w:t>2018</w:t>
      </w:r>
      <w:r>
        <w:rPr>
          <w:spacing w:val="-3"/>
        </w:rPr>
        <w:t>）第</w:t>
      </w:r>
      <w:r>
        <w:rPr>
          <w:rFonts w:ascii="宋体" w:hAnsi="宋体" w:cs="宋体" w:eastAsia="宋体" w:hint="default"/>
          <w:spacing w:val="-3"/>
        </w:rPr>
        <w:t>0115</w:t>
      </w:r>
      <w:r>
        <w:rPr>
          <w:rFonts w:ascii="宋体" w:hAnsi="宋体" w:cs="宋体" w:eastAsia="宋体" w:hint="default"/>
        </w:rPr>
        <w:t> </w:t>
      </w:r>
      <w:r>
        <w:rPr/>
        <w:t>号的基本额度授信合同，授信额度为人民币壹亿元整。授信期间为</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20</w:t>
      </w:r>
      <w:r>
        <w:rPr/>
        <w:t>日至</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20</w:t>
      </w:r>
      <w:r>
        <w:rPr/>
        <w:t>日。其额度业务种类包 括但不限于流动资金贷款、信用证、银行承兑汇票。</w:t>
      </w:r>
    </w:p>
    <w:p>
      <w:pPr>
        <w:pStyle w:val="BodyText"/>
        <w:spacing w:line="316" w:lineRule="auto" w:before="144"/>
        <w:ind w:left="168" w:right="0" w:firstLine="420"/>
        <w:jc w:val="left"/>
      </w:pPr>
      <w:r>
        <w:rPr>
          <w:rFonts w:ascii="宋体" w:hAnsi="宋体" w:cs="宋体" w:eastAsia="宋体" w:hint="default"/>
          <w:spacing w:val="-2"/>
        </w:rPr>
        <w:t>11</w:t>
      </w:r>
      <w:r>
        <w:rPr>
          <w:spacing w:val="-2"/>
        </w:rPr>
        <w:t>、本公司于</w:t>
      </w: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28</w:t>
      </w:r>
      <w:r>
        <w:rPr>
          <w:spacing w:val="-2"/>
        </w:rPr>
        <w:t>日与中国农业银行股份有限公司深圳光明支行签订合同编号为</w:t>
      </w:r>
      <w:r>
        <w:rPr>
          <w:rFonts w:ascii="宋体" w:hAnsi="宋体" w:cs="宋体" w:eastAsia="宋体" w:hint="default"/>
          <w:spacing w:val="-2"/>
        </w:rPr>
        <w:t>81200201800023165</w:t>
      </w:r>
      <w:r>
        <w:rPr>
          <w:spacing w:val="-2"/>
        </w:rPr>
        <w:t>号的授信</w:t>
      </w:r>
      <w:r>
        <w:rPr/>
        <w:t> 协议，授信额度为人民币伍仟万元整。授信期间为</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28</w:t>
      </w:r>
      <w:r>
        <w:rPr/>
        <w:t>日至</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28</w:t>
      </w:r>
      <w:r>
        <w:rPr/>
        <w:t>日。其额度包括但不限于短期贷款、商 业汇票承兑、商业汇票贴现等。</w:t>
      </w:r>
    </w:p>
    <w:p>
      <w:pPr>
        <w:pStyle w:val="BodyText"/>
        <w:spacing w:line="316" w:lineRule="auto" w:before="139"/>
        <w:ind w:left="168" w:right="1138" w:firstLine="420"/>
        <w:jc w:val="left"/>
      </w:pPr>
      <w:r>
        <w:rPr>
          <w:rFonts w:ascii="宋体" w:hAnsi="宋体" w:cs="宋体" w:eastAsia="宋体" w:hint="default"/>
        </w:rPr>
        <w:t>12</w:t>
      </w:r>
      <w:r>
        <w:rPr/>
        <w:t>、本公司于</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28</w:t>
      </w:r>
      <w:r>
        <w:rPr/>
        <w:t>日与中国银行股份有限公司深圳高新区支行签订合同编号为</w:t>
      </w:r>
      <w:r>
        <w:rPr>
          <w:rFonts w:ascii="宋体" w:hAnsi="宋体" w:cs="宋体" w:eastAsia="宋体" w:hint="default"/>
        </w:rPr>
        <w:t>2018</w:t>
      </w:r>
      <w:r>
        <w:rPr/>
        <w:t>圳中银高额协字第</w:t>
      </w:r>
      <w:r>
        <w:rPr>
          <w:rFonts w:ascii="宋体" w:hAnsi="宋体" w:cs="宋体" w:eastAsia="宋体" w:hint="default"/>
        </w:rPr>
        <w:t>160082 </w:t>
      </w:r>
      <w:r>
        <w:rPr/>
        <w:t>号的授信额度协议，授信额度为人民币壹亿伍仟万元整。授信期间为</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28</w:t>
      </w:r>
      <w:r>
        <w:rPr/>
        <w:t>日至</w:t>
      </w:r>
      <w:r>
        <w:rPr>
          <w:rFonts w:ascii="宋体" w:hAnsi="宋体" w:cs="宋体" w:eastAsia="宋体" w:hint="default"/>
        </w:rPr>
        <w:t>2019</w:t>
      </w:r>
      <w:r>
        <w:rPr/>
        <w:t>年</w:t>
      </w:r>
      <w:r>
        <w:rPr>
          <w:rFonts w:ascii="宋体" w:hAnsi="宋体" w:cs="宋体" w:eastAsia="宋体" w:hint="default"/>
        </w:rPr>
        <w:t>12</w:t>
      </w:r>
      <w:r>
        <w:rPr/>
        <w:t>月</w:t>
      </w:r>
      <w:r>
        <w:rPr>
          <w:rFonts w:ascii="宋体" w:hAnsi="宋体" w:cs="宋体" w:eastAsia="宋体" w:hint="default"/>
        </w:rPr>
        <w:t>28</w:t>
      </w:r>
      <w:r>
        <w:rPr/>
        <w:t>日。其额度包括但不 限于短期贷款、银行承兑汇票、贸易融资、保函、资金业务等。</w:t>
      </w:r>
    </w:p>
    <w:p>
      <w:pPr>
        <w:pStyle w:val="BodyText"/>
        <w:spacing w:line="316" w:lineRule="auto" w:before="139"/>
        <w:ind w:left="168" w:right="1138" w:firstLine="420"/>
        <w:jc w:val="left"/>
      </w:pPr>
      <w:r>
        <w:rPr>
          <w:rFonts w:ascii="宋体" w:hAnsi="宋体" w:cs="宋体" w:eastAsia="宋体" w:hint="default"/>
        </w:rPr>
        <w:t>13</w:t>
      </w:r>
      <w:r>
        <w:rPr/>
        <w:t>、本公司下属子公司深圳市卓翼智造有限公司于</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28</w:t>
      </w:r>
      <w:r>
        <w:rPr/>
        <w:t>日与中国银行股份有限公司深圳高新区支行签订合同 编号为</w:t>
      </w:r>
      <w:r>
        <w:rPr>
          <w:rFonts w:ascii="宋体" w:hAnsi="宋体" w:cs="宋体" w:eastAsia="宋体" w:hint="default"/>
        </w:rPr>
        <w:t>2018</w:t>
      </w:r>
      <w:r>
        <w:rPr/>
        <w:t>圳中银高额协字第</w:t>
      </w:r>
      <w:r>
        <w:rPr>
          <w:rFonts w:ascii="宋体" w:hAnsi="宋体" w:cs="宋体" w:eastAsia="宋体" w:hint="default"/>
        </w:rPr>
        <w:t>160083</w:t>
      </w:r>
      <w:r>
        <w:rPr/>
        <w:t>号的授信协议，授信额度为人民币伍仟万元整。授信期间为</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28</w:t>
      </w:r>
      <w:r>
        <w:rPr/>
        <w:t>日至</w:t>
      </w:r>
      <w:r>
        <w:rPr>
          <w:rFonts w:ascii="宋体" w:hAnsi="宋体" w:cs="宋体" w:eastAsia="宋体" w:hint="default"/>
        </w:rPr>
        <w:t>2019</w:t>
      </w:r>
      <w:r>
        <w:rPr/>
        <w:t>年 </w:t>
      </w:r>
      <w:r>
        <w:rPr>
          <w:rFonts w:ascii="宋体" w:hAnsi="宋体" w:cs="宋体" w:eastAsia="宋体" w:hint="default"/>
        </w:rPr>
        <w:t>12</w:t>
      </w:r>
      <w:r>
        <w:rPr/>
        <w:t>月</w:t>
      </w:r>
      <w:r>
        <w:rPr>
          <w:rFonts w:ascii="宋体" w:hAnsi="宋体" w:cs="宋体" w:eastAsia="宋体" w:hint="default"/>
        </w:rPr>
        <w:t>28</w:t>
      </w:r>
      <w:r>
        <w:rPr/>
        <w:t>日。其额度包括但不限于短期贷款、银行承兑汇票、贸易融资、保函、资金业务等。</w:t>
      </w:r>
    </w:p>
    <w:p>
      <w:pPr>
        <w:spacing w:line="439" w:lineRule="auto" w:before="139"/>
        <w:ind w:left="574" w:right="3672" w:hanging="420"/>
        <w:jc w:val="left"/>
        <w:rPr>
          <w:rFonts w:ascii="宋体" w:hAnsi="宋体" w:cs="宋体" w:eastAsia="宋体" w:hint="default"/>
          <w:sz w:val="18"/>
          <w:szCs w:val="18"/>
        </w:rPr>
      </w:pPr>
      <w:r>
        <w:rPr>
          <w:rFonts w:ascii="宋体" w:hAnsi="宋体" w:cs="宋体" w:eastAsia="宋体" w:hint="default"/>
          <w:b/>
          <w:bCs/>
          <w:spacing w:val="-7"/>
          <w:w w:val="99"/>
          <w:sz w:val="18"/>
          <w:szCs w:val="18"/>
        </w:rPr>
        <w:t>（二）、股东股权质押事项</w:t>
      </w:r>
      <w:r>
        <w:rPr>
          <w:rFonts w:ascii="宋体" w:hAnsi="宋体" w:cs="宋体" w:eastAsia="宋体" w:hint="default"/>
          <w:b/>
          <w:bCs/>
          <w:w w:val="99"/>
          <w:sz w:val="18"/>
          <w:szCs w:val="18"/>
        </w:rPr>
        <w:t> </w:t>
      </w:r>
      <w:r>
        <w:rPr>
          <w:rFonts w:ascii="宋体" w:hAnsi="宋体" w:cs="宋体" w:eastAsia="宋体" w:hint="default"/>
          <w:sz w:val="18"/>
          <w:szCs w:val="18"/>
        </w:rPr>
        <w:t>截止</w:t>
      </w: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12</w:t>
      </w:r>
      <w:r>
        <w:rPr>
          <w:rFonts w:ascii="宋体" w:hAnsi="宋体" w:cs="宋体" w:eastAsia="宋体" w:hint="default"/>
          <w:sz w:val="18"/>
          <w:szCs w:val="18"/>
        </w:rPr>
        <w:t>月</w:t>
      </w:r>
      <w:r>
        <w:rPr>
          <w:rFonts w:ascii="宋体" w:hAnsi="宋体" w:cs="宋体" w:eastAsia="宋体" w:hint="default"/>
          <w:sz w:val="18"/>
          <w:szCs w:val="18"/>
        </w:rPr>
        <w:t>31</w:t>
      </w:r>
      <w:r>
        <w:rPr>
          <w:rFonts w:ascii="宋体" w:hAnsi="宋体" w:cs="宋体" w:eastAsia="宋体" w:hint="default"/>
          <w:sz w:val="18"/>
          <w:szCs w:val="18"/>
        </w:rPr>
        <w:t>日，夏传武累计质押股份</w:t>
      </w:r>
      <w:r>
        <w:rPr>
          <w:rFonts w:ascii="宋体" w:hAnsi="宋体" w:cs="宋体" w:eastAsia="宋体" w:hint="default"/>
          <w:sz w:val="18"/>
          <w:szCs w:val="18"/>
        </w:rPr>
        <w:t>90,143,930</w:t>
      </w:r>
      <w:r>
        <w:rPr>
          <w:rFonts w:ascii="宋体" w:hAnsi="宋体" w:cs="宋体" w:eastAsia="宋体" w:hint="default"/>
          <w:sz w:val="18"/>
          <w:szCs w:val="18"/>
        </w:rPr>
        <w:t>股，占公司总股本的</w:t>
      </w:r>
      <w:r>
        <w:rPr>
          <w:rFonts w:ascii="宋体" w:hAnsi="宋体" w:cs="宋体" w:eastAsia="宋体" w:hint="default"/>
          <w:sz w:val="18"/>
          <w:szCs w:val="18"/>
        </w:rPr>
        <w:t>15.54%</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9"/>
          <w:szCs w:val="19"/>
        </w:rPr>
      </w:pPr>
    </w:p>
    <w:p>
      <w:pPr>
        <w:pStyle w:val="Heading2"/>
        <w:spacing w:line="240" w:lineRule="auto"/>
        <w:ind w:right="0"/>
        <w:jc w:val="left"/>
        <w:rPr>
          <w:b w:val="0"/>
          <w:bCs w:val="0"/>
        </w:rPr>
      </w:pPr>
      <w:bookmarkStart w:name="十七、母公司财务报表主要项目注释" w:id="490"/>
      <w:bookmarkEnd w:id="490"/>
      <w:r>
        <w:rPr>
          <w:b w:val="0"/>
          <w:bCs w:val="0"/>
        </w:rPr>
      </w:r>
      <w:r>
        <w:rPr/>
        <w:t>十七、母公司财务报表主要项目注释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应收票据及应收账款" w:id="491"/>
      <w:bookmarkEnd w:id="491"/>
      <w:r>
        <w:rPr>
          <w:b w:val="0"/>
          <w:bCs w:val="0"/>
        </w:rPr>
      </w:r>
      <w:r>
        <w:rPr>
          <w:rFonts w:ascii="Times New Roman" w:hAnsi="Times New Roman" w:cs="Times New Roman" w:eastAsia="Times New Roman" w:hint="default"/>
        </w:rPr>
        <w:t>1</w:t>
      </w:r>
      <w:r>
        <w:rPr/>
        <w:t>、应收票据及应收账款</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528,641,149.86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241,544,941.50</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528,641,149.86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241,544,941.50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应收票据" w:id="492"/>
      <w:bookmarkEnd w:id="492"/>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应收票据分类列示</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rFonts w:ascii="Times New Roman" w:hAnsi="Times New Roman" w:cs="Times New Roman" w:eastAsia="Times New Roman" w:hint="default"/>
        </w:rPr>
        <w:t>2)</w:t>
      </w:r>
      <w:r>
        <w:rPr/>
        <w:t>期末公司已质押的应收票据</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bl>
    <w:p>
      <w:pPr>
        <w:pStyle w:val="BodyText"/>
        <w:spacing w:line="240" w:lineRule="auto" w:before="51"/>
        <w:ind w:right="0"/>
        <w:jc w:val="left"/>
      </w:pPr>
      <w:r>
        <w:rPr>
          <w:rFonts w:ascii="Times New Roman" w:hAnsi="Times New Roman" w:cs="Times New Roman" w:eastAsia="Times New Roman" w:hint="default"/>
        </w:rPr>
        <w:t>3)</w:t>
      </w:r>
      <w:r>
        <w:rPr/>
        <w:t>期末公司已背书或贴现且在资产负债表日尚未到期的应收票据</w:t>
      </w:r>
    </w:p>
    <w:p>
      <w:pPr>
        <w:pStyle w:val="BodyText"/>
        <w:spacing w:line="240" w:lineRule="auto" w:before="10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69"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bl>
    <w:p>
      <w:pPr>
        <w:spacing w:after="0" w:line="240" w:lineRule="auto"/>
        <w:jc w:val="left"/>
        <w:rPr>
          <w:rFonts w:ascii="宋体" w:hAnsi="宋体" w:cs="宋体" w:eastAsia="宋体" w:hint="default"/>
          <w:sz w:val="18"/>
          <w:szCs w:val="18"/>
        </w:rPr>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4)期末公司因出票人未履约而将其转应收账款的票据" w:id="493"/>
      <w:bookmarkEnd w:id="493"/>
      <w:r>
        <w:rPr>
          <w:b w:val="0"/>
          <w:bCs w:val="0"/>
        </w:rPr>
      </w:r>
      <w:r>
        <w:rPr>
          <w:rFonts w:ascii="Times New Roman" w:hAnsi="Times New Roman" w:cs="Times New Roman" w:eastAsia="Times New Roman" w:hint="default"/>
        </w:rPr>
        <w:t>4)</w:t>
      </w:r>
      <w:r>
        <w:rPr/>
        <w:t>期末公司因出票人未履约而将其转应收账款的票据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6" w:right="0"/>
              <w:jc w:val="left"/>
              <w:rPr>
                <w:rFonts w:ascii="宋体" w:hAnsi="宋体" w:cs="宋体" w:eastAsia="宋体" w:hint="default"/>
                <w:sz w:val="18"/>
                <w:szCs w:val="18"/>
              </w:rPr>
            </w:pPr>
            <w:r>
              <w:rPr>
                <w:rFonts w:ascii="宋体" w:hAnsi="宋体" w:cs="宋体" w:eastAsia="宋体" w:hint="default"/>
                <w:sz w:val="18"/>
                <w:szCs w:val="18"/>
              </w:rPr>
              <w:t>期末转应收账款金额</w:t>
            </w:r>
          </w:p>
        </w:tc>
      </w:tr>
    </w:tbl>
    <w:p>
      <w:pPr>
        <w:pStyle w:val="BodyText"/>
        <w:spacing w:line="357" w:lineRule="auto" w:before="52"/>
        <w:ind w:right="1003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应收账款" w:id="494"/>
      <w:bookmarkEnd w:id="494"/>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应收账款分类披露</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6" w:lineRule="auto"/>
              <w:ind w:left="298" w:right="119"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6" w:lineRule="auto"/>
              <w:ind w:left="370" w:right="191"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70" w:right="191"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单项金额重大并 单独计提坏账准 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11,044,</w:t>
            </w:r>
          </w:p>
          <w:p>
            <w:pPr>
              <w:pStyle w:val="TableParagraph"/>
              <w:spacing w:line="240" w:lineRule="auto" w:before="106"/>
              <w:ind w:left="155" w:right="0"/>
              <w:jc w:val="left"/>
              <w:rPr>
                <w:rFonts w:ascii="Times New Roman" w:hAnsi="Times New Roman" w:cs="Times New Roman" w:eastAsia="Times New Roman" w:hint="default"/>
                <w:sz w:val="18"/>
                <w:szCs w:val="18"/>
              </w:rPr>
            </w:pPr>
            <w:r>
              <w:rPr>
                <w:rFonts w:ascii="Times New Roman"/>
                <w:sz w:val="18"/>
              </w:rPr>
              <w:t>863.97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3" w:right="0"/>
              <w:jc w:val="left"/>
              <w:rPr>
                <w:rFonts w:ascii="Times New Roman" w:hAnsi="Times New Roman" w:cs="Times New Roman" w:eastAsia="Times New Roman" w:hint="default"/>
                <w:sz w:val="18"/>
                <w:szCs w:val="18"/>
              </w:rPr>
            </w:pPr>
            <w:r>
              <w:rPr>
                <w:rFonts w:ascii="Times New Roman"/>
                <w:sz w:val="18"/>
              </w:rPr>
              <w:t>2.04%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11,044,</w:t>
            </w:r>
          </w:p>
          <w:p>
            <w:pPr>
              <w:pStyle w:val="TableParagraph"/>
              <w:spacing w:line="240" w:lineRule="auto" w:before="106"/>
              <w:ind w:left="153" w:right="0"/>
              <w:jc w:val="left"/>
              <w:rPr>
                <w:rFonts w:ascii="Times New Roman" w:hAnsi="Times New Roman" w:cs="Times New Roman" w:eastAsia="Times New Roman" w:hint="default"/>
                <w:sz w:val="18"/>
                <w:szCs w:val="18"/>
              </w:rPr>
            </w:pPr>
            <w:r>
              <w:rPr>
                <w:rFonts w:ascii="Times New Roman"/>
                <w:sz w:val="18"/>
              </w:rPr>
              <w:t>863.97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按信用风险特征 组合计提坏账准 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529,87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7,148.8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3" w:right="0"/>
              <w:jc w:val="left"/>
              <w:rPr>
                <w:rFonts w:ascii="Times New Roman" w:hAnsi="Times New Roman" w:cs="Times New Roman" w:eastAsia="Times New Roman" w:hint="default"/>
                <w:sz w:val="18"/>
                <w:szCs w:val="18"/>
              </w:rPr>
            </w:pPr>
            <w:r>
              <w:rPr>
                <w:rFonts w:ascii="Times New Roman"/>
                <w:sz w:val="18"/>
              </w:rPr>
              <w:t>97.96</w:t>
            </w:r>
          </w:p>
          <w:p>
            <w:pPr>
              <w:pStyle w:val="TableParagraph"/>
              <w:spacing w:line="240" w:lineRule="auto" w:before="106"/>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1,235,9</w:t>
            </w:r>
          </w:p>
          <w:p>
            <w:pPr>
              <w:pStyle w:val="TableParagraph"/>
              <w:spacing w:line="240" w:lineRule="auto" w:before="106"/>
              <w:ind w:left="139" w:right="0"/>
              <w:jc w:val="center"/>
              <w:rPr>
                <w:rFonts w:ascii="Times New Roman" w:hAnsi="Times New Roman" w:cs="Times New Roman" w:eastAsia="Times New Roman" w:hint="default"/>
                <w:sz w:val="18"/>
                <w:szCs w:val="18"/>
              </w:rPr>
            </w:pPr>
            <w:r>
              <w:rPr>
                <w:rFonts w:ascii="Times New Roman"/>
                <w:sz w:val="18"/>
              </w:rPr>
              <w:t>98.99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0.23%</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528,64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1,149.8</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6</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246,4</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39,21</w:t>
            </w:r>
          </w:p>
          <w:p>
            <w:pPr>
              <w:pStyle w:val="TableParagraph"/>
              <w:spacing w:line="240" w:lineRule="auto" w:before="106"/>
              <w:ind w:left="226" w:right="0"/>
              <w:jc w:val="left"/>
              <w:rPr>
                <w:rFonts w:ascii="Times New Roman" w:hAnsi="Times New Roman" w:cs="Times New Roman" w:eastAsia="Times New Roman" w:hint="default"/>
                <w:sz w:val="18"/>
                <w:szCs w:val="18"/>
              </w:rPr>
            </w:pPr>
            <w:r>
              <w:rPr>
                <w:rFonts w:ascii="Times New Roman"/>
                <w:sz w:val="18"/>
              </w:rPr>
              <w:t>7.40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4,894,2</w:t>
            </w:r>
          </w:p>
          <w:p>
            <w:pPr>
              <w:pStyle w:val="TableParagraph"/>
              <w:spacing w:line="240" w:lineRule="auto" w:before="106"/>
              <w:ind w:left="195" w:right="0"/>
              <w:jc w:val="center"/>
              <w:rPr>
                <w:rFonts w:ascii="Times New Roman" w:hAnsi="Times New Roman" w:cs="Times New Roman" w:eastAsia="Times New Roman" w:hint="default"/>
                <w:sz w:val="18"/>
                <w:szCs w:val="18"/>
              </w:rPr>
            </w:pPr>
            <w:r>
              <w:rPr>
                <w:rFonts w:ascii="Times New Roman"/>
                <w:sz w:val="18"/>
              </w:rPr>
              <w:t>75.90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center"/>
              <w:rPr>
                <w:rFonts w:ascii="Times New Roman" w:hAnsi="Times New Roman" w:cs="Times New Roman" w:eastAsia="Times New Roman" w:hint="default"/>
                <w:sz w:val="18"/>
                <w:szCs w:val="18"/>
              </w:rPr>
            </w:pPr>
            <w:r>
              <w:rPr>
                <w:rFonts w:ascii="Times New Roman"/>
                <w:sz w:val="18"/>
              </w:rPr>
              <w:t>241,544,</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941.50</w:t>
            </w: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540,92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2,012.8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12,280,</w:t>
            </w:r>
          </w:p>
          <w:p>
            <w:pPr>
              <w:pStyle w:val="TableParagraph"/>
              <w:spacing w:line="240" w:lineRule="auto" w:before="106"/>
              <w:ind w:left="153" w:right="0"/>
              <w:jc w:val="left"/>
              <w:rPr>
                <w:rFonts w:ascii="Times New Roman" w:hAnsi="Times New Roman" w:cs="Times New Roman" w:eastAsia="Times New Roman" w:hint="default"/>
                <w:sz w:val="18"/>
                <w:szCs w:val="18"/>
              </w:rPr>
            </w:pPr>
            <w:r>
              <w:rPr>
                <w:rFonts w:ascii="Times New Roman"/>
                <w:sz w:val="18"/>
              </w:rPr>
              <w:t>862.96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2.27%</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528,64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1,149.8</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6</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246,4</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39,21</w:t>
            </w:r>
          </w:p>
          <w:p>
            <w:pPr>
              <w:pStyle w:val="TableParagraph"/>
              <w:spacing w:line="240" w:lineRule="auto" w:before="106"/>
              <w:ind w:left="226" w:right="0"/>
              <w:jc w:val="left"/>
              <w:rPr>
                <w:rFonts w:ascii="Times New Roman" w:hAnsi="Times New Roman" w:cs="Times New Roman" w:eastAsia="Times New Roman" w:hint="default"/>
                <w:sz w:val="18"/>
                <w:szCs w:val="18"/>
              </w:rPr>
            </w:pPr>
            <w:r>
              <w:rPr>
                <w:rFonts w:ascii="Times New Roman"/>
                <w:sz w:val="18"/>
              </w:rPr>
              <w:t>7.40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4,894,2</w:t>
            </w:r>
          </w:p>
          <w:p>
            <w:pPr>
              <w:pStyle w:val="TableParagraph"/>
              <w:spacing w:line="240" w:lineRule="auto" w:before="106"/>
              <w:ind w:left="195" w:right="0"/>
              <w:jc w:val="center"/>
              <w:rPr>
                <w:rFonts w:ascii="Times New Roman" w:hAnsi="Times New Roman" w:cs="Times New Roman" w:eastAsia="Times New Roman" w:hint="default"/>
                <w:sz w:val="18"/>
                <w:szCs w:val="18"/>
              </w:rPr>
            </w:pPr>
            <w:r>
              <w:rPr>
                <w:rFonts w:ascii="Times New Roman"/>
                <w:sz w:val="18"/>
              </w:rPr>
              <w:t>75.90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center"/>
              <w:rPr>
                <w:rFonts w:ascii="Times New Roman" w:hAnsi="Times New Roman" w:cs="Times New Roman" w:eastAsia="Times New Roman" w:hint="default"/>
                <w:sz w:val="18"/>
                <w:szCs w:val="18"/>
              </w:rPr>
            </w:pPr>
            <w:r>
              <w:rPr>
                <w:rFonts w:ascii="Times New Roman"/>
                <w:sz w:val="18"/>
              </w:rPr>
              <w:t>241,544,</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941.50</w:t>
            </w:r>
          </w:p>
        </w:tc>
      </w:tr>
    </w:tbl>
    <w:p>
      <w:pPr>
        <w:spacing w:after="0" w:line="240" w:lineRule="auto"/>
        <w:jc w:val="center"/>
        <w:rPr>
          <w:rFonts w:ascii="Times New Roman" w:hAnsi="Times New Roman" w:cs="Times New Roman" w:eastAsia="Times New Roman" w:hint="default"/>
          <w:sz w:val="18"/>
          <w:szCs w:val="18"/>
        </w:rPr>
        <w:sectPr>
          <w:pgSz w:w="11910" w:h="16840"/>
          <w:pgMar w:header="917" w:footer="1019" w:top="1120" w:bottom="1200" w:left="980" w:right="0"/>
        </w:sectPr>
      </w:pPr>
    </w:p>
    <w:p>
      <w:pPr>
        <w:pStyle w:val="BodyText"/>
        <w:spacing w:line="240" w:lineRule="auto" w:before="51"/>
        <w:ind w:right="-20"/>
        <w:jc w:val="left"/>
      </w:pPr>
      <w:r>
        <w:rPr/>
        <w:t>期末单项金额重大并单项计提坏账准备的应收账款：</w:t>
      </w:r>
    </w:p>
    <w:p>
      <w:pPr>
        <w:pStyle w:val="BodyText"/>
        <w:spacing w:line="240" w:lineRule="auto" w:before="117"/>
        <w:ind w:right="-20"/>
        <w:jc w:val="left"/>
      </w:pPr>
      <w:r>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4295" w:space="4535"/>
            <w:col w:w="210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95"/>
        <w:gridCol w:w="1838"/>
        <w:gridCol w:w="1913"/>
        <w:gridCol w:w="1913"/>
        <w:gridCol w:w="1913"/>
      </w:tblGrid>
      <w:tr>
        <w:trPr>
          <w:trHeight w:val="402"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757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5,044,863.97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5,044,863.97</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6,000,000.00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6,000,000.00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11,044,863.97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11,044,863.97</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100" w:bottom="1200" w:left="980" w:right="0"/>
        </w:sectPr>
      </w:pPr>
    </w:p>
    <w:p>
      <w:pPr>
        <w:pStyle w:val="BodyText"/>
        <w:spacing w:line="240" w:lineRule="auto" w:before="51"/>
        <w:ind w:right="-20"/>
        <w:jc w:val="left"/>
      </w:pPr>
      <w:r>
        <w:rPr/>
        <w:t>组合中，按账龄分析法计提坏账准备的应收账款：</w:t>
      </w:r>
    </w:p>
    <w:p>
      <w:pPr>
        <w:pStyle w:val="BodyText"/>
        <w:spacing w:line="240" w:lineRule="auto" w:before="117"/>
        <w:ind w:right="-20"/>
        <w:jc w:val="left"/>
      </w:pPr>
      <w:r>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4115" w:space="4715"/>
            <w:col w:w="210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402" w:hRule="exact"/>
        </w:trPr>
        <w:tc>
          <w:tcPr>
            <w:tcW w:w="24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7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94" w:type="dxa"/>
            <w:vMerge/>
            <w:tcBorders>
              <w:left w:val="single" w:sz="4" w:space="0" w:color="000000"/>
              <w:bottom w:val="single" w:sz="4" w:space="0" w:color="000000"/>
              <w:right w:val="single" w:sz="4" w:space="0" w:color="000000"/>
            </w:tcBorders>
            <w:shd w:val="clear" w:color="auto" w:fill="D2D2D2"/>
          </w:tcPr>
          <w:p>
            <w:pP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bl>
    <w:p>
      <w:pPr>
        <w:spacing w:after="0" w:line="240" w:lineRule="auto"/>
        <w:jc w:val="left"/>
        <w:rPr>
          <w:rFonts w:ascii="宋体" w:hAnsi="宋体" w:cs="宋体" w:eastAsia="宋体" w:hint="default"/>
          <w:sz w:val="18"/>
          <w:szCs w:val="18"/>
        </w:rPr>
        <w:sectPr>
          <w:type w:val="continuous"/>
          <w:pgSz w:w="11910" w:h="16840"/>
          <w:pgMar w:top="110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2493"/>
        <w:gridCol w:w="2295"/>
        <w:gridCol w:w="2391"/>
        <w:gridCol w:w="2389"/>
      </w:tblGrid>
      <w:tr>
        <w:trPr>
          <w:trHeight w:val="402" w:hRule="exact"/>
        </w:trPr>
        <w:tc>
          <w:tcPr>
            <w:tcW w:w="2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195,568,347.34</w:t>
            </w: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195,568,347.34</w:t>
            </w: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189,102.89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47,275.72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2,377,446.54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1,188,723.27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198,134,896.77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1,235,998.99</w:t>
            </w: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pStyle w:val="BodyText"/>
        <w:spacing w:line="357" w:lineRule="auto" w:before="51"/>
        <w:ind w:right="4299"/>
        <w:jc w:val="left"/>
      </w:pPr>
      <w:r>
        <w:rPr/>
        <w:t>确定该组合依据的说明： 无</w:t>
      </w:r>
    </w:p>
    <w:p>
      <w:pPr>
        <w:pStyle w:val="BodyText"/>
        <w:spacing w:line="240" w:lineRule="auto" w:before="29"/>
        <w:ind w:right="-14"/>
        <w:jc w:val="left"/>
      </w:pPr>
      <w:r>
        <w:rPr/>
        <w:t>组合中，采用余额百分比法计提坏账准备的应收账款：</w:t>
      </w:r>
    </w:p>
    <w:p>
      <w:pPr>
        <w:pStyle w:val="BodyText"/>
        <w:spacing w:line="357" w:lineRule="auto" w:before="117"/>
        <w:ind w:right="2319"/>
        <w:jc w:val="left"/>
      </w:pPr>
      <w:r>
        <w:rPr/>
        <w:t>□ 适用 √ 不适用 组合中，采用其他方法计提坏账准备的应收账款： 无</w:t>
      </w:r>
    </w:p>
    <w:p>
      <w:pPr>
        <w:pStyle w:val="BodyText"/>
        <w:spacing w:line="240" w:lineRule="auto" w:before="29"/>
        <w:ind w:right="1959"/>
        <w:jc w:val="left"/>
      </w:pPr>
      <w:r>
        <w:rPr>
          <w:rFonts w:ascii="Times New Roman" w:hAnsi="Times New Roman" w:cs="Times New Roman" w:eastAsia="Times New Roman" w:hint="default"/>
        </w:rPr>
        <w:t>2)</w:t>
      </w:r>
      <w:r>
        <w:rPr/>
        <w:t>本期计提、收回或转回的坏账准备情况</w:t>
      </w:r>
    </w:p>
    <w:p>
      <w:pPr>
        <w:pStyle w:val="BodyText"/>
        <w:spacing w:line="338" w:lineRule="auto" w:before="103"/>
        <w:ind w:right="-13"/>
        <w:jc w:val="left"/>
      </w:pPr>
      <w:r>
        <w:rPr/>
        <w:t>本期计提坏账准备金额</w:t>
      </w:r>
      <w:r>
        <w:rPr>
          <w:spacing w:val="-47"/>
        </w:rPr>
        <w:t> </w:t>
      </w:r>
      <w:r>
        <w:rPr>
          <w:rFonts w:ascii="Times New Roman" w:hAnsi="Times New Roman" w:cs="Times New Roman" w:eastAsia="Times New Roman" w:hint="default"/>
        </w:rPr>
        <w:t>7,487,193.08</w:t>
      </w:r>
      <w:r>
        <w:rPr>
          <w:rFonts w:ascii="Times New Roman" w:hAnsi="Times New Roman" w:cs="Times New Roman" w:eastAsia="Times New Roman" w:hint="default"/>
          <w:spacing w:val="-2"/>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9"/>
        <w:ind w:left="153" w:right="0"/>
        <w:jc w:val="left"/>
      </w:pPr>
      <w:r>
        <w:rPr/>
        <w:t>单位： 元</w:t>
      </w:r>
    </w:p>
    <w:p>
      <w:pPr>
        <w:spacing w:after="0" w:line="240" w:lineRule="auto"/>
        <w:jc w:val="left"/>
        <w:sectPr>
          <w:type w:val="continuous"/>
          <w:pgSz w:w="11910" w:h="16840"/>
          <w:pgMar w:top="1100" w:bottom="1200" w:left="980" w:right="0"/>
          <w:cols w:num="2" w:equalWidth="0">
            <w:col w:w="6454" w:space="2375"/>
            <w:col w:w="2101"/>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4"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3100" w:type="dxa"/>
            <w:tcBorders>
              <w:top w:val="single" w:sz="4" w:space="0" w:color="000000"/>
              <w:left w:val="single" w:sz="4" w:space="0" w:color="000000"/>
              <w:bottom w:val="single" w:sz="4" w:space="0" w:color="000000"/>
              <w:right w:val="single" w:sz="4" w:space="0" w:color="000000"/>
            </w:tcBorders>
          </w:tcPr>
          <w:p>
            <w:pPr/>
          </w:p>
        </w:tc>
        <w:tc>
          <w:tcPr>
            <w:tcW w:w="310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rFonts w:ascii="Times New Roman" w:hAnsi="Times New Roman" w:cs="Times New Roman" w:eastAsia="Times New Roman" w:hint="default"/>
        </w:rPr>
        <w:t>3)</w:t>
      </w:r>
      <w:r>
        <w:rPr/>
        <w:t>本期实际核销的应收账款情况</w:t>
      </w:r>
    </w:p>
    <w:p>
      <w:pPr>
        <w:pStyle w:val="BodyText"/>
        <w:spacing w:line="240" w:lineRule="auto" w:before="103"/>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4"/>
      </w:tblGrid>
      <w:tr>
        <w:trPr>
          <w:trHeight w:val="401"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38,675.91</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12,990.57</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C</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11,608.10</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D</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5,000.00</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E</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w w:val="95"/>
                <w:sz w:val="18"/>
              </w:rPr>
              <w:t>4,311.72</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F</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1,548.98</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G</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24,100.74</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H</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2,370.00</w:t>
            </w:r>
          </w:p>
        </w:tc>
      </w:tr>
      <w:tr>
        <w:trPr>
          <w:trHeight w:val="404"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100,606.02</w:t>
            </w:r>
          </w:p>
        </w:tc>
      </w:tr>
    </w:tbl>
    <w:p>
      <w:pPr>
        <w:pStyle w:val="BodyText"/>
        <w:spacing w:line="240" w:lineRule="auto" w:before="51"/>
        <w:ind w:right="0"/>
        <w:jc w:val="left"/>
      </w:pPr>
      <w:r>
        <w:rPr/>
        <w:t>其中重要的应收账款核销情况：</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0"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72" w:right="0"/>
              <w:jc w:val="left"/>
              <w:rPr>
                <w:rFonts w:ascii="宋体" w:hAnsi="宋体" w:cs="宋体" w:eastAsia="宋体" w:hint="default"/>
                <w:sz w:val="18"/>
                <w:szCs w:val="18"/>
              </w:rPr>
            </w:pPr>
            <w:r>
              <w:rPr>
                <w:rFonts w:ascii="宋体" w:hAnsi="宋体" w:cs="宋体" w:eastAsia="宋体" w:hint="default"/>
                <w:sz w:val="18"/>
                <w:szCs w:val="18"/>
              </w:rPr>
              <w:t>款项是否由关联</w:t>
            </w:r>
          </w:p>
        </w:tc>
      </w:tr>
    </w:tbl>
    <w:p>
      <w:pPr>
        <w:spacing w:after="0" w:line="240" w:lineRule="auto"/>
        <w:jc w:val="left"/>
        <w:rPr>
          <w:rFonts w:ascii="宋体" w:hAnsi="宋体" w:cs="宋体" w:eastAsia="宋体" w:hint="default"/>
          <w:sz w:val="18"/>
          <w:szCs w:val="18"/>
        </w:rPr>
        <w:sectPr>
          <w:type w:val="continuous"/>
          <w:pgSz w:w="11910" w:h="16840"/>
          <w:pgMar w:top="110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36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42" w:right="0"/>
              <w:jc w:val="left"/>
              <w:rPr>
                <w:rFonts w:ascii="宋体" w:hAnsi="宋体" w:cs="宋体" w:eastAsia="宋体" w:hint="default"/>
                <w:sz w:val="18"/>
                <w:szCs w:val="18"/>
              </w:rPr>
            </w:pPr>
            <w:r>
              <w:rPr>
                <w:rFonts w:ascii="宋体" w:hAnsi="宋体" w:cs="宋体" w:eastAsia="宋体" w:hint="default"/>
                <w:sz w:val="18"/>
                <w:szCs w:val="18"/>
              </w:rPr>
              <w:t>交易产生</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38,675.91</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19"/>
              <w:jc w:val="right"/>
              <w:rPr>
                <w:rFonts w:ascii="宋体" w:hAnsi="宋体" w:cs="宋体" w:eastAsia="宋体" w:hint="default"/>
                <w:sz w:val="18"/>
                <w:szCs w:val="18"/>
              </w:rPr>
            </w:pPr>
            <w:r>
              <w:rPr>
                <w:rFonts w:ascii="宋体" w:hAnsi="宋体" w:cs="宋体" w:eastAsia="宋体" w:hint="default"/>
                <w:sz w:val="18"/>
                <w:szCs w:val="18"/>
              </w:rPr>
              <w:t>确认坏账</w:t>
            </w:r>
          </w:p>
        </w:tc>
        <w:tc>
          <w:tcPr>
            <w:tcW w:w="1614"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12,990.57</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19"/>
              <w:jc w:val="right"/>
              <w:rPr>
                <w:rFonts w:ascii="宋体" w:hAnsi="宋体" w:cs="宋体" w:eastAsia="宋体" w:hint="default"/>
                <w:sz w:val="18"/>
                <w:szCs w:val="18"/>
              </w:rPr>
            </w:pPr>
            <w:r>
              <w:rPr>
                <w:rFonts w:ascii="宋体" w:hAnsi="宋体" w:cs="宋体" w:eastAsia="宋体" w:hint="default"/>
                <w:sz w:val="18"/>
                <w:szCs w:val="18"/>
              </w:rPr>
              <w:t>确认坏账</w:t>
            </w:r>
          </w:p>
        </w:tc>
        <w:tc>
          <w:tcPr>
            <w:tcW w:w="1614"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C</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11,608.10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19"/>
              <w:jc w:val="right"/>
              <w:rPr>
                <w:rFonts w:ascii="宋体" w:hAnsi="宋体" w:cs="宋体" w:eastAsia="宋体" w:hint="default"/>
                <w:sz w:val="18"/>
                <w:szCs w:val="18"/>
              </w:rPr>
            </w:pPr>
            <w:r>
              <w:rPr>
                <w:rFonts w:ascii="宋体" w:hAnsi="宋体" w:cs="宋体" w:eastAsia="宋体" w:hint="default"/>
                <w:sz w:val="18"/>
                <w:szCs w:val="18"/>
              </w:rPr>
              <w:t>确认坏账</w:t>
            </w:r>
          </w:p>
        </w:tc>
        <w:tc>
          <w:tcPr>
            <w:tcW w:w="1614"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D</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19"/>
              <w:jc w:val="right"/>
              <w:rPr>
                <w:rFonts w:ascii="宋体" w:hAnsi="宋体" w:cs="宋体" w:eastAsia="宋体" w:hint="default"/>
                <w:sz w:val="18"/>
                <w:szCs w:val="18"/>
              </w:rPr>
            </w:pPr>
            <w:r>
              <w:rPr>
                <w:rFonts w:ascii="宋体" w:hAnsi="宋体" w:cs="宋体" w:eastAsia="宋体" w:hint="default"/>
                <w:sz w:val="18"/>
                <w:szCs w:val="18"/>
              </w:rPr>
              <w:t>确认坏账</w:t>
            </w:r>
          </w:p>
        </w:tc>
        <w:tc>
          <w:tcPr>
            <w:tcW w:w="1614"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E</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w w:val="95"/>
                <w:sz w:val="18"/>
              </w:rPr>
              <w:t>4,311.72</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19"/>
              <w:jc w:val="right"/>
              <w:rPr>
                <w:rFonts w:ascii="宋体" w:hAnsi="宋体" w:cs="宋体" w:eastAsia="宋体" w:hint="default"/>
                <w:sz w:val="18"/>
                <w:szCs w:val="18"/>
              </w:rPr>
            </w:pPr>
            <w:r>
              <w:rPr>
                <w:rFonts w:ascii="宋体" w:hAnsi="宋体" w:cs="宋体" w:eastAsia="宋体" w:hint="default"/>
                <w:sz w:val="18"/>
                <w:szCs w:val="18"/>
              </w:rPr>
              <w:t>确认坏账</w:t>
            </w:r>
          </w:p>
        </w:tc>
        <w:tc>
          <w:tcPr>
            <w:tcW w:w="1614"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F</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1,548.98</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19"/>
              <w:jc w:val="right"/>
              <w:rPr>
                <w:rFonts w:ascii="宋体" w:hAnsi="宋体" w:cs="宋体" w:eastAsia="宋体" w:hint="default"/>
                <w:sz w:val="18"/>
                <w:szCs w:val="18"/>
              </w:rPr>
            </w:pPr>
            <w:r>
              <w:rPr>
                <w:rFonts w:ascii="宋体" w:hAnsi="宋体" w:cs="宋体" w:eastAsia="宋体" w:hint="default"/>
                <w:sz w:val="18"/>
                <w:szCs w:val="18"/>
              </w:rPr>
              <w:t>确认坏账</w:t>
            </w:r>
          </w:p>
        </w:tc>
        <w:tc>
          <w:tcPr>
            <w:tcW w:w="1614"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G</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24,100.74</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19"/>
              <w:jc w:val="right"/>
              <w:rPr>
                <w:rFonts w:ascii="宋体" w:hAnsi="宋体" w:cs="宋体" w:eastAsia="宋体" w:hint="default"/>
                <w:sz w:val="18"/>
                <w:szCs w:val="18"/>
              </w:rPr>
            </w:pPr>
            <w:r>
              <w:rPr>
                <w:rFonts w:ascii="宋体" w:hAnsi="宋体" w:cs="宋体" w:eastAsia="宋体" w:hint="default"/>
                <w:sz w:val="18"/>
                <w:szCs w:val="18"/>
              </w:rPr>
              <w:t>确认坏账</w:t>
            </w:r>
          </w:p>
        </w:tc>
        <w:tc>
          <w:tcPr>
            <w:tcW w:w="1614"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H</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2,370.00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19"/>
              <w:jc w:val="right"/>
              <w:rPr>
                <w:rFonts w:ascii="宋体" w:hAnsi="宋体" w:cs="宋体" w:eastAsia="宋体" w:hint="default"/>
                <w:sz w:val="18"/>
                <w:szCs w:val="18"/>
              </w:rPr>
            </w:pPr>
            <w:r>
              <w:rPr>
                <w:rFonts w:ascii="宋体" w:hAnsi="宋体" w:cs="宋体" w:eastAsia="宋体" w:hint="default"/>
                <w:sz w:val="18"/>
                <w:szCs w:val="18"/>
              </w:rPr>
              <w:t>确认坏账</w:t>
            </w:r>
          </w:p>
        </w:tc>
        <w:tc>
          <w:tcPr>
            <w:tcW w:w="1614"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100,606.02</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710"/>
              <w:jc w:val="right"/>
              <w:rPr>
                <w:rFonts w:ascii="Times New Roman" w:hAnsi="Times New Roman" w:cs="Times New Roman" w:eastAsia="Times New Roman" w:hint="default"/>
                <w:sz w:val="18"/>
                <w:szCs w:val="18"/>
              </w:rPr>
            </w:pPr>
            <w:r>
              <w:rPr>
                <w:rFonts w:ascii="Times New Roman"/>
                <w:sz w:val="18"/>
              </w:rPr>
              <w:t>--</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57" w:lineRule="auto" w:before="51"/>
        <w:ind w:right="9132"/>
        <w:jc w:val="left"/>
      </w:pPr>
      <w:r>
        <w:rPr/>
        <w:t>应收账款核销说明： 无</w:t>
      </w:r>
    </w:p>
    <w:p>
      <w:pPr>
        <w:pStyle w:val="BodyText"/>
        <w:spacing w:line="240" w:lineRule="auto" w:before="29"/>
        <w:ind w:right="0"/>
        <w:jc w:val="left"/>
      </w:pPr>
      <w:r>
        <w:rPr>
          <w:rFonts w:ascii="Times New Roman" w:hAnsi="Times New Roman" w:cs="Times New Roman" w:eastAsia="Times New Roman" w:hint="default"/>
        </w:rPr>
        <w:t>4)</w:t>
      </w:r>
      <w:r>
        <w:rPr/>
        <w:t>按欠款方归集的期末余额前五名的应收账款情况</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883"/>
        <w:gridCol w:w="1946"/>
        <w:gridCol w:w="1530"/>
        <w:gridCol w:w="2388"/>
      </w:tblGrid>
      <w:tr>
        <w:trPr>
          <w:trHeight w:val="654" w:hRule="exact"/>
        </w:trPr>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60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265" w:right="38" w:hanging="226"/>
              <w:jc w:val="left"/>
              <w:rPr>
                <w:rFonts w:ascii="宋体" w:hAnsi="宋体" w:cs="宋体" w:eastAsia="宋体" w:hint="default"/>
                <w:sz w:val="18"/>
                <w:szCs w:val="18"/>
              </w:rPr>
            </w:pPr>
            <w:r>
              <w:rPr>
                <w:rFonts w:ascii="宋体" w:hAnsi="宋体" w:cs="宋体" w:eastAsia="宋体" w:hint="default"/>
                <w:sz w:val="18"/>
                <w:szCs w:val="18"/>
              </w:rPr>
              <w:t>占应收账款期末余 额的比例</w:t>
            </w:r>
            <w:r>
              <w:rPr>
                <w:rFonts w:ascii="宋体" w:hAnsi="宋体" w:cs="宋体" w:eastAsia="宋体" w:hint="default"/>
                <w:sz w:val="18"/>
                <w:szCs w:val="18"/>
              </w:rPr>
              <w:t>(%)</w:t>
            </w:r>
          </w:p>
        </w:tc>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58" w:right="0"/>
              <w:jc w:val="left"/>
              <w:rPr>
                <w:rFonts w:ascii="宋体" w:hAnsi="宋体" w:cs="宋体" w:eastAsia="宋体" w:hint="default"/>
                <w:sz w:val="18"/>
                <w:szCs w:val="18"/>
              </w:rPr>
            </w:pPr>
            <w:r>
              <w:rPr>
                <w:rFonts w:ascii="宋体" w:hAnsi="宋体" w:cs="宋体" w:eastAsia="宋体" w:hint="default"/>
                <w:sz w:val="18"/>
                <w:szCs w:val="18"/>
              </w:rPr>
              <w:t>已计提坏账准备</w:t>
            </w:r>
          </w:p>
        </w:tc>
      </w:tr>
      <w:tr>
        <w:trPr>
          <w:trHeight w:val="342" w:hRule="exact"/>
        </w:trPr>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128,032,060.72</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23.67</w:t>
            </w:r>
          </w:p>
        </w:tc>
        <w:tc>
          <w:tcPr>
            <w:tcW w:w="2388"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124,133,417.28</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22.95</w:t>
            </w:r>
          </w:p>
        </w:tc>
        <w:tc>
          <w:tcPr>
            <w:tcW w:w="2388"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120,216,299.79</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22.22</w:t>
            </w:r>
          </w:p>
        </w:tc>
        <w:tc>
          <w:tcPr>
            <w:tcW w:w="2388"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81,117,918.18</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15.00</w:t>
            </w:r>
          </w:p>
        </w:tc>
        <w:tc>
          <w:tcPr>
            <w:tcW w:w="2388"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26,198,333.70</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4.84</w:t>
            </w:r>
          </w:p>
        </w:tc>
        <w:tc>
          <w:tcPr>
            <w:tcW w:w="2388" w:type="dxa"/>
            <w:tcBorders>
              <w:top w:val="single" w:sz="4" w:space="0" w:color="000000"/>
              <w:left w:val="single" w:sz="4" w:space="0" w:color="000000"/>
              <w:bottom w:val="single" w:sz="4" w:space="0" w:color="000000"/>
              <w:right w:val="single" w:sz="4" w:space="0" w:color="000000"/>
            </w:tcBorders>
          </w:tcPr>
          <w:p>
            <w:pPr/>
          </w:p>
        </w:tc>
      </w:tr>
      <w:tr>
        <w:trPr>
          <w:trHeight w:val="343" w:hRule="exact"/>
        </w:trPr>
        <w:tc>
          <w:tcPr>
            <w:tcW w:w="2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3"/>
              <w:jc w:val="right"/>
              <w:rPr>
                <w:rFonts w:ascii="宋体" w:hAnsi="宋体" w:cs="宋体" w:eastAsia="宋体" w:hint="default"/>
                <w:sz w:val="18"/>
                <w:szCs w:val="18"/>
              </w:rPr>
            </w:pPr>
            <w:r>
              <w:rPr>
                <w:rFonts w:ascii="宋体"/>
                <w:sz w:val="18"/>
              </w:rPr>
              <w:t>479,698,029.67</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5"/>
              <w:jc w:val="right"/>
              <w:rPr>
                <w:rFonts w:ascii="宋体" w:hAnsi="宋体" w:cs="宋体" w:eastAsia="宋体" w:hint="default"/>
                <w:sz w:val="18"/>
                <w:szCs w:val="18"/>
              </w:rPr>
            </w:pPr>
            <w:r>
              <w:rPr>
                <w:rFonts w:ascii="宋体"/>
                <w:sz w:val="18"/>
              </w:rPr>
              <w:t>88.68</w:t>
            </w:r>
          </w:p>
        </w:tc>
        <w:tc>
          <w:tcPr>
            <w:tcW w:w="238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24"/>
          <w:szCs w:val="24"/>
        </w:rPr>
      </w:pPr>
    </w:p>
    <w:p>
      <w:pPr>
        <w:pStyle w:val="BodyText"/>
        <w:spacing w:line="338" w:lineRule="auto" w:before="44"/>
        <w:ind w:right="7542"/>
        <w:jc w:val="left"/>
      </w:pPr>
      <w:r>
        <w:rPr>
          <w:rFonts w:ascii="Times New Roman" w:hAnsi="Times New Roman" w:cs="Times New Roman" w:eastAsia="Times New Roman" w:hint="default"/>
        </w:rPr>
        <w:t>5)</w:t>
      </w:r>
      <w:r>
        <w:rPr/>
        <w:t>因金融资产转移而终止确认的应收账款</w:t>
      </w:r>
      <w:r>
        <w:rPr>
          <w:w w:val="99"/>
        </w:rPr>
        <w:t> </w:t>
      </w:r>
      <w:r>
        <w:rPr/>
        <w:t>无</w:t>
      </w:r>
    </w:p>
    <w:p>
      <w:pPr>
        <w:pStyle w:val="BodyText"/>
        <w:spacing w:line="338" w:lineRule="auto" w:before="43"/>
        <w:ind w:right="6822"/>
        <w:jc w:val="left"/>
      </w:pPr>
      <w:r>
        <w:rPr>
          <w:rFonts w:ascii="Times New Roman" w:hAnsi="Times New Roman" w:cs="Times New Roman" w:eastAsia="Times New Roman" w:hint="default"/>
        </w:rPr>
        <w:t>6)</w:t>
      </w:r>
      <w:r>
        <w:rPr/>
        <w:t>转移应收账款且继续涉入形成的资产、负债金额</w:t>
      </w:r>
      <w:r>
        <w:rPr>
          <w:w w:val="99"/>
        </w:rPr>
        <w:t> </w:t>
      </w:r>
      <w:r>
        <w:rPr/>
        <w:t>无</w:t>
      </w:r>
    </w:p>
    <w:p>
      <w:pPr>
        <w:pStyle w:val="BodyText"/>
        <w:spacing w:line="357" w:lineRule="auto" w:before="43"/>
        <w:ind w:right="985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其他应收款" w:id="495"/>
      <w:bookmarkEnd w:id="495"/>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324,236.89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325,694.44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934,956,633.52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941,065,812.98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935,280,870.41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941,391,507.42</w:t>
            </w:r>
          </w:p>
        </w:tc>
      </w:tr>
    </w:tbl>
    <w:p>
      <w:pPr>
        <w:spacing w:after="0" w:line="240" w:lineRule="auto"/>
        <w:jc w:val="righ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7"/>
        <w:rPr>
          <w:rFonts w:ascii="宋体" w:hAnsi="宋体" w:cs="宋体" w:eastAsia="宋体" w:hint="default"/>
          <w:sz w:val="19"/>
          <w:szCs w:val="19"/>
        </w:rPr>
      </w:pPr>
    </w:p>
    <w:p>
      <w:pPr>
        <w:pStyle w:val="Heading3"/>
        <w:spacing w:line="240" w:lineRule="auto" w:before="35"/>
        <w:ind w:right="0"/>
        <w:jc w:val="left"/>
        <w:rPr>
          <w:b w:val="0"/>
          <w:bCs w:val="0"/>
        </w:rPr>
      </w:pPr>
      <w:bookmarkStart w:name="（1）应收利息" w:id="496"/>
      <w:bookmarkEnd w:id="496"/>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应收利息分类</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闲置资金利息</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324,236.89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325,694.44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324,236.89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325,694.44</w:t>
            </w:r>
          </w:p>
        </w:tc>
      </w:tr>
    </w:tbl>
    <w:p>
      <w:pPr>
        <w:pStyle w:val="BodyText"/>
        <w:spacing w:line="240" w:lineRule="auto" w:before="51"/>
        <w:ind w:right="0"/>
        <w:jc w:val="left"/>
      </w:pPr>
      <w:r>
        <w:rPr>
          <w:rFonts w:ascii="Times New Roman" w:hAnsi="Times New Roman" w:cs="Times New Roman" w:eastAsia="Times New Roman" w:hint="default"/>
        </w:rPr>
        <w:t>2)</w:t>
      </w:r>
      <w:r>
        <w:rPr/>
        <w:t>重要逾期利息</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应收股利" w:id="497"/>
      <w:bookmarkEnd w:id="497"/>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应收股利</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rFonts w:ascii="Times New Roman" w:hAnsi="Times New Roman" w:cs="Times New Roman" w:eastAsia="Times New Roman" w:hint="default"/>
        </w:rPr>
        <w:t>2)</w:t>
      </w:r>
      <w:r>
        <w:rPr/>
        <w:t>重要的账龄超过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年的应收股利</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3）其他应收款" w:id="498"/>
      <w:bookmarkEnd w:id="498"/>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其他应收款分类披露</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397"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1"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4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4" w:type="dxa"/>
            <w:vMerge/>
            <w:tcBorders>
              <w:left w:val="single" w:sz="4" w:space="0" w:color="000000"/>
              <w:right w:val="single" w:sz="4" w:space="0" w:color="000000"/>
            </w:tcBorders>
            <w:shd w:val="clear" w:color="auto" w:fill="D2D2D2"/>
          </w:tcPr>
          <w:p>
            <w:pPr/>
          </w:p>
        </w:tc>
        <w:tc>
          <w:tcPr>
            <w:tcW w:w="15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9"/>
                <w:szCs w:val="19"/>
              </w:rPr>
            </w:pPr>
          </w:p>
          <w:p>
            <w:pPr>
              <w:pStyle w:val="TableParagraph"/>
              <w:spacing w:line="316" w:lineRule="auto"/>
              <w:ind w:left="298" w:right="119"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9"/>
                <w:szCs w:val="19"/>
              </w:rPr>
            </w:pPr>
          </w:p>
          <w:p>
            <w:pPr>
              <w:pStyle w:val="TableParagraph"/>
              <w:spacing w:line="316" w:lineRule="auto"/>
              <w:ind w:left="370" w:right="191"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70" w:right="190"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674"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259"/>
              <w:jc w:val="left"/>
              <w:rPr>
                <w:rFonts w:ascii="宋体" w:hAnsi="宋体" w:cs="宋体" w:eastAsia="宋体" w:hint="default"/>
                <w:sz w:val="18"/>
                <w:szCs w:val="18"/>
              </w:rPr>
            </w:pPr>
            <w:r>
              <w:rPr>
                <w:rFonts w:ascii="宋体" w:hAnsi="宋体" w:cs="宋体" w:eastAsia="宋体" w:hint="default"/>
                <w:sz w:val="18"/>
                <w:szCs w:val="18"/>
              </w:rPr>
              <w:t>按信用风险特征 组合计提坏账准</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6" w:right="0"/>
              <w:jc w:val="left"/>
              <w:rPr>
                <w:rFonts w:ascii="Times New Roman" w:hAnsi="Times New Roman" w:cs="Times New Roman" w:eastAsia="Times New Roman" w:hint="default"/>
                <w:sz w:val="18"/>
                <w:szCs w:val="18"/>
              </w:rPr>
            </w:pPr>
            <w:r>
              <w:rPr>
                <w:rFonts w:ascii="Times New Roman"/>
                <w:sz w:val="18"/>
              </w:rPr>
              <w:t>936,34</w:t>
            </w:r>
          </w:p>
          <w:p>
            <w:pPr>
              <w:pStyle w:val="TableParagraph"/>
              <w:spacing w:line="240" w:lineRule="auto" w:before="104"/>
              <w:ind w:left="110" w:right="0"/>
              <w:jc w:val="left"/>
              <w:rPr>
                <w:rFonts w:ascii="Times New Roman" w:hAnsi="Times New Roman" w:cs="Times New Roman" w:eastAsia="Times New Roman" w:hint="default"/>
                <w:sz w:val="18"/>
                <w:szCs w:val="18"/>
              </w:rPr>
            </w:pPr>
            <w:r>
              <w:rPr>
                <w:rFonts w:ascii="Times New Roman"/>
                <w:sz w:val="18"/>
              </w:rPr>
              <w:t>1,018.8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1,384,3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0.15%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1" w:right="0"/>
              <w:jc w:val="left"/>
              <w:rPr>
                <w:rFonts w:ascii="Times New Roman" w:hAnsi="Times New Roman" w:cs="Times New Roman" w:eastAsia="Times New Roman" w:hint="default"/>
                <w:sz w:val="18"/>
                <w:szCs w:val="18"/>
              </w:rPr>
            </w:pPr>
            <w:r>
              <w:rPr>
                <w:rFonts w:ascii="Times New Roman"/>
                <w:sz w:val="18"/>
              </w:rPr>
              <w:t>934,95</w:t>
            </w:r>
          </w:p>
          <w:p>
            <w:pPr>
              <w:pStyle w:val="TableParagraph"/>
              <w:spacing w:line="240" w:lineRule="auto" w:before="104"/>
              <w:ind w:left="135" w:right="0"/>
              <w:jc w:val="left"/>
              <w:rPr>
                <w:rFonts w:ascii="Times New Roman" w:hAnsi="Times New Roman" w:cs="Times New Roman" w:eastAsia="Times New Roman" w:hint="default"/>
                <w:sz w:val="18"/>
                <w:szCs w:val="18"/>
              </w:rPr>
            </w:pPr>
            <w:r>
              <w:rPr>
                <w:rFonts w:ascii="Times New Roman"/>
                <w:sz w:val="18"/>
              </w:rPr>
              <w:t>6,633.5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942,8</w:t>
            </w:r>
          </w:p>
          <w:p>
            <w:pPr>
              <w:pStyle w:val="TableParagraph"/>
              <w:spacing w:line="240" w:lineRule="auto" w:before="104"/>
              <w:ind w:left="142" w:right="0"/>
              <w:jc w:val="left"/>
              <w:rPr>
                <w:rFonts w:ascii="Times New Roman" w:hAnsi="Times New Roman" w:cs="Times New Roman" w:eastAsia="Times New Roman" w:hint="default"/>
                <w:sz w:val="18"/>
                <w:szCs w:val="18"/>
              </w:rPr>
            </w:pPr>
            <w:r>
              <w:rPr>
                <w:rFonts w:ascii="Times New Roman"/>
                <w:sz w:val="18"/>
              </w:rPr>
              <w:t>11,92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1,746,1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55" w:right="0"/>
              <w:jc w:val="left"/>
              <w:rPr>
                <w:rFonts w:ascii="Times New Roman" w:hAnsi="Times New Roman" w:cs="Times New Roman" w:eastAsia="Times New Roman" w:hint="default"/>
                <w:sz w:val="18"/>
                <w:szCs w:val="18"/>
              </w:rPr>
            </w:pPr>
            <w:r>
              <w:rPr>
                <w:rFonts w:ascii="Times New Roman"/>
                <w:sz w:val="18"/>
              </w:rPr>
              <w:t>0.19%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941,065,</w:t>
            </w:r>
          </w:p>
        </w:tc>
      </w:tr>
    </w:tbl>
    <w:p>
      <w:pPr>
        <w:spacing w:after="0" w:line="240" w:lineRule="auto"/>
        <w:jc w:val="left"/>
        <w:rPr>
          <w:rFonts w:ascii="Times New Roman" w:hAnsi="Times New Roman" w:cs="Times New Roman" w:eastAsia="Times New Roman" w:hint="default"/>
          <w:sz w:val="18"/>
          <w:szCs w:val="18"/>
        </w:rPr>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362"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备的其他应收款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3" w:right="0"/>
              <w:jc w:val="left"/>
              <w:rPr>
                <w:rFonts w:ascii="Times New Roman" w:hAnsi="Times New Roman" w:cs="Times New Roman" w:eastAsia="Times New Roman" w:hint="default"/>
                <w:sz w:val="18"/>
                <w:szCs w:val="18"/>
              </w:rPr>
            </w:pPr>
            <w:r>
              <w:rPr>
                <w:rFonts w:ascii="Times New Roman"/>
                <w:sz w:val="18"/>
              </w:rPr>
              <w:t>85.29</w:t>
            </w: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2</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6" w:right="0"/>
              <w:jc w:val="left"/>
              <w:rPr>
                <w:rFonts w:ascii="Times New Roman" w:hAnsi="Times New Roman" w:cs="Times New Roman" w:eastAsia="Times New Roman" w:hint="default"/>
                <w:sz w:val="18"/>
                <w:szCs w:val="18"/>
              </w:rPr>
            </w:pPr>
            <w:r>
              <w:rPr>
                <w:rFonts w:ascii="Times New Roman"/>
                <w:sz w:val="18"/>
              </w:rPr>
              <w:t>5.10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96" w:right="0"/>
              <w:jc w:val="left"/>
              <w:rPr>
                <w:rFonts w:ascii="Times New Roman" w:hAnsi="Times New Roman" w:cs="Times New Roman" w:eastAsia="Times New Roman" w:hint="default"/>
                <w:sz w:val="18"/>
                <w:szCs w:val="18"/>
              </w:rPr>
            </w:pPr>
            <w:r>
              <w:rPr>
                <w:rFonts w:ascii="Times New Roman"/>
                <w:sz w:val="18"/>
              </w:rPr>
              <w:t>12.12</w:t>
            </w: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25" w:right="0"/>
              <w:jc w:val="left"/>
              <w:rPr>
                <w:rFonts w:ascii="Times New Roman" w:hAnsi="Times New Roman" w:cs="Times New Roman" w:eastAsia="Times New Roman" w:hint="default"/>
                <w:sz w:val="18"/>
                <w:szCs w:val="18"/>
              </w:rPr>
            </w:pPr>
            <w:r>
              <w:rPr>
                <w:rFonts w:ascii="Times New Roman"/>
                <w:sz w:val="18"/>
              </w:rPr>
              <w:t>812.98</w:t>
            </w: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936,34</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1,018.8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1,384,3</w:t>
            </w:r>
          </w:p>
          <w:p>
            <w:pPr>
              <w:pStyle w:val="TableParagraph"/>
              <w:spacing w:line="240" w:lineRule="auto" w:before="105"/>
              <w:ind w:left="139" w:right="0"/>
              <w:jc w:val="center"/>
              <w:rPr>
                <w:rFonts w:ascii="Times New Roman" w:hAnsi="Times New Roman" w:cs="Times New Roman" w:eastAsia="Times New Roman" w:hint="default"/>
                <w:sz w:val="18"/>
                <w:szCs w:val="18"/>
              </w:rPr>
            </w:pPr>
            <w:r>
              <w:rPr>
                <w:rFonts w:ascii="Times New Roman"/>
                <w:sz w:val="18"/>
              </w:rPr>
              <w:t>85.29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4" w:right="0"/>
              <w:jc w:val="left"/>
              <w:rPr>
                <w:rFonts w:ascii="Times New Roman" w:hAnsi="Times New Roman" w:cs="Times New Roman" w:eastAsia="Times New Roman" w:hint="default"/>
                <w:sz w:val="18"/>
                <w:szCs w:val="18"/>
              </w:rPr>
            </w:pPr>
            <w:r>
              <w:rPr>
                <w:rFonts w:ascii="Times New Roman"/>
                <w:sz w:val="18"/>
              </w:rPr>
              <w:t>0.15%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934,95</w:t>
            </w:r>
          </w:p>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6,633.5</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2</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942,8</w:t>
            </w:r>
          </w:p>
          <w:p>
            <w:pPr>
              <w:pStyle w:val="TableParagraph"/>
              <w:spacing w:line="240" w:lineRule="auto" w:before="104"/>
              <w:ind w:left="142" w:right="0"/>
              <w:jc w:val="left"/>
              <w:rPr>
                <w:rFonts w:ascii="Times New Roman" w:hAnsi="Times New Roman" w:cs="Times New Roman" w:eastAsia="Times New Roman" w:hint="default"/>
                <w:sz w:val="18"/>
                <w:szCs w:val="18"/>
              </w:rPr>
            </w:pPr>
            <w:r>
              <w:rPr>
                <w:rFonts w:ascii="Times New Roman"/>
                <w:sz w:val="18"/>
              </w:rPr>
              <w:t>11,92</w:t>
            </w:r>
          </w:p>
          <w:p>
            <w:pPr>
              <w:pStyle w:val="TableParagraph"/>
              <w:spacing w:line="240" w:lineRule="auto" w:before="106"/>
              <w:ind w:left="226" w:right="0"/>
              <w:jc w:val="left"/>
              <w:rPr>
                <w:rFonts w:ascii="Times New Roman" w:hAnsi="Times New Roman" w:cs="Times New Roman" w:eastAsia="Times New Roman" w:hint="default"/>
                <w:sz w:val="18"/>
                <w:szCs w:val="18"/>
              </w:rPr>
            </w:pPr>
            <w:r>
              <w:rPr>
                <w:rFonts w:ascii="Times New Roman"/>
                <w:sz w:val="18"/>
              </w:rPr>
              <w:t>5.10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1,746,1</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12.12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55" w:right="0"/>
              <w:jc w:val="left"/>
              <w:rPr>
                <w:rFonts w:ascii="Times New Roman" w:hAnsi="Times New Roman" w:cs="Times New Roman" w:eastAsia="Times New Roman" w:hint="default"/>
                <w:sz w:val="18"/>
                <w:szCs w:val="18"/>
              </w:rPr>
            </w:pPr>
            <w:r>
              <w:rPr>
                <w:rFonts w:ascii="Times New Roman"/>
                <w:sz w:val="18"/>
              </w:rPr>
              <w:t>0.19%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center"/>
              <w:rPr>
                <w:rFonts w:ascii="Times New Roman" w:hAnsi="Times New Roman" w:cs="Times New Roman" w:eastAsia="Times New Roman" w:hint="default"/>
                <w:sz w:val="18"/>
                <w:szCs w:val="18"/>
              </w:rPr>
            </w:pPr>
            <w:r>
              <w:rPr>
                <w:rFonts w:ascii="Times New Roman"/>
                <w:sz w:val="18"/>
              </w:rPr>
              <w:t>941,065,</w:t>
            </w:r>
          </w:p>
          <w:p>
            <w:pPr>
              <w:pStyle w:val="TableParagraph"/>
              <w:spacing w:line="240" w:lineRule="auto" w:before="105"/>
              <w:ind w:left="222" w:right="0"/>
              <w:jc w:val="center"/>
              <w:rPr>
                <w:rFonts w:ascii="Times New Roman" w:hAnsi="Times New Roman" w:cs="Times New Roman" w:eastAsia="Times New Roman" w:hint="default"/>
                <w:sz w:val="18"/>
                <w:szCs w:val="18"/>
              </w:rPr>
            </w:pPr>
            <w:r>
              <w:rPr>
                <w:rFonts w:ascii="Times New Roman"/>
                <w:sz w:val="18"/>
              </w:rPr>
              <w:t>812.98</w:t>
            </w:r>
          </w:p>
        </w:tc>
      </w:tr>
    </w:tbl>
    <w:p>
      <w:pPr>
        <w:spacing w:after="0" w:line="240" w:lineRule="auto"/>
        <w:jc w:val="center"/>
        <w:rPr>
          <w:rFonts w:ascii="Times New Roman" w:hAnsi="Times New Roman" w:cs="Times New Roman" w:eastAsia="Times New Roman" w:hint="default"/>
          <w:sz w:val="18"/>
          <w:szCs w:val="18"/>
        </w:rPr>
        <w:sectPr>
          <w:pgSz w:w="11910" w:h="16840"/>
          <w:pgMar w:header="917" w:footer="1019" w:top="1120" w:bottom="1200" w:left="980" w:right="0"/>
        </w:sectPr>
      </w:pPr>
    </w:p>
    <w:p>
      <w:pPr>
        <w:pStyle w:val="BodyText"/>
        <w:spacing w:line="240" w:lineRule="auto" w:before="51"/>
        <w:ind w:right="-20"/>
        <w:jc w:val="left"/>
      </w:pPr>
      <w:r>
        <w:rPr/>
        <w:t>期末单项金额重大并单项计提坏账准备的其他应收款：</w:t>
      </w:r>
    </w:p>
    <w:p>
      <w:pPr>
        <w:pStyle w:val="BodyText"/>
        <w:spacing w:line="357" w:lineRule="auto" w:before="117"/>
        <w:ind w:right="160"/>
        <w:jc w:val="left"/>
      </w:pPr>
      <w:r>
        <w:rPr/>
        <w:t>□ 适用 √ 不适用 组合中，按账龄分析法计提坏账准备的其他应收款：</w:t>
      </w:r>
    </w:p>
    <w:p>
      <w:pPr>
        <w:pStyle w:val="BodyText"/>
        <w:spacing w:line="240" w:lineRule="auto" w:before="28"/>
        <w:ind w:right="-20"/>
        <w:jc w:val="left"/>
      </w:pPr>
      <w:r>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4475" w:space="4355"/>
            <w:col w:w="210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494"/>
        <w:gridCol w:w="2295"/>
        <w:gridCol w:w="2391"/>
        <w:gridCol w:w="2389"/>
      </w:tblGrid>
      <w:tr>
        <w:trPr>
          <w:trHeight w:val="402" w:hRule="exact"/>
        </w:trPr>
        <w:tc>
          <w:tcPr>
            <w:tcW w:w="24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7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94" w:type="dxa"/>
            <w:vMerge/>
            <w:tcBorders>
              <w:left w:val="single" w:sz="4" w:space="0" w:color="000000"/>
              <w:bottom w:val="single" w:sz="4" w:space="0" w:color="000000"/>
              <w:right w:val="single" w:sz="4" w:space="0" w:color="000000"/>
            </w:tcBorders>
            <w:shd w:val="clear" w:color="auto" w:fill="D2D2D2"/>
          </w:tcPr>
          <w:p>
            <w:pP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2,368,542.57</w:t>
            </w: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321,665.76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32,166.58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2,690,208.33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32,166.58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654,380.44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163,595.11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25.00%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2,377,247.20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1,188,623.60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5,721,835.97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1,384,385.29</w:t>
            </w: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980" w:right="0"/>
        </w:sectPr>
      </w:pPr>
    </w:p>
    <w:p>
      <w:pPr>
        <w:pStyle w:val="BodyText"/>
        <w:spacing w:line="357" w:lineRule="auto" w:before="51"/>
        <w:ind w:right="4164"/>
        <w:jc w:val="left"/>
      </w:pPr>
      <w:r>
        <w:rPr/>
        <w:t>确定该组合依据的说明： 无</w:t>
      </w:r>
    </w:p>
    <w:p>
      <w:pPr>
        <w:pStyle w:val="BodyText"/>
        <w:spacing w:line="240" w:lineRule="auto" w:before="29"/>
        <w:ind w:right="-13"/>
        <w:jc w:val="left"/>
      </w:pPr>
      <w:r>
        <w:rPr/>
        <w:t>组合中，采用余额百分比法计提坏账准备的其他应收款：</w:t>
      </w:r>
    </w:p>
    <w:p>
      <w:pPr>
        <w:pStyle w:val="BodyText"/>
        <w:spacing w:line="357" w:lineRule="auto" w:before="117"/>
        <w:ind w:right="2004"/>
        <w:jc w:val="left"/>
      </w:pPr>
      <w:r>
        <w:rPr/>
        <w:t>□ 适用 √ 不适用 组合中，采用其他方法计提坏账准备的其他应收款：</w:t>
      </w:r>
    </w:p>
    <w:p>
      <w:pPr>
        <w:pStyle w:val="BodyText"/>
        <w:spacing w:line="240" w:lineRule="auto" w:before="28"/>
        <w:ind w:right="4164"/>
        <w:jc w:val="left"/>
      </w:pPr>
      <w:r>
        <w:rPr/>
        <w:t>□ 适用 √ 不适用</w:t>
      </w:r>
    </w:p>
    <w:p>
      <w:pPr>
        <w:pStyle w:val="BodyText"/>
        <w:spacing w:line="240" w:lineRule="auto" w:before="117"/>
        <w:ind w:right="-13"/>
        <w:jc w:val="left"/>
      </w:pPr>
      <w:r>
        <w:rPr>
          <w:rFonts w:ascii="Times New Roman" w:hAnsi="Times New Roman" w:cs="Times New Roman" w:eastAsia="Times New Roman" w:hint="default"/>
        </w:rPr>
        <w:t>2)</w:t>
      </w:r>
      <w:r>
        <w:rPr/>
        <w:t>本期计提、收回或转回的坏账准备情况</w:t>
      </w:r>
    </w:p>
    <w:p>
      <w:pPr>
        <w:pStyle w:val="BodyText"/>
        <w:spacing w:line="338" w:lineRule="auto" w:before="102"/>
        <w:ind w:right="-13"/>
        <w:jc w:val="left"/>
      </w:pPr>
      <w:r>
        <w:rPr/>
        <w:t>本期计提坏账准备金额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元；本期收回或转回坏账准备金额</w:t>
      </w:r>
      <w:r>
        <w:rPr>
          <w:spacing w:val="-47"/>
        </w:rPr>
        <w:t> </w:t>
      </w:r>
      <w:r>
        <w:rPr>
          <w:rFonts w:ascii="Times New Roman" w:hAnsi="Times New Roman" w:cs="Times New Roman" w:eastAsia="Times New Roman" w:hint="default"/>
        </w:rPr>
        <w:t>361,726.83</w:t>
      </w:r>
      <w:r>
        <w:rPr>
          <w:rFonts w:ascii="Times New Roman" w:hAnsi="Times New Roman" w:cs="Times New Roman" w:eastAsia="Times New Roman" w:hint="default"/>
          <w:spacing w:val="-2"/>
        </w:rPr>
        <w:t> </w:t>
      </w:r>
      <w:r>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left="153" w:right="0"/>
        <w:jc w:val="left"/>
      </w:pPr>
      <w:r>
        <w:rPr/>
        <w:t>单位： 元</w:t>
      </w:r>
    </w:p>
    <w:p>
      <w:pPr>
        <w:spacing w:after="0" w:line="240" w:lineRule="auto"/>
        <w:jc w:val="left"/>
        <w:sectPr>
          <w:type w:val="continuous"/>
          <w:pgSz w:w="11910" w:h="16840"/>
          <w:pgMar w:top="1100" w:bottom="1200" w:left="980" w:right="0"/>
          <w:cols w:num="2" w:equalWidth="0">
            <w:col w:w="6319" w:space="2511"/>
            <w:col w:w="210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4"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3100" w:type="dxa"/>
            <w:tcBorders>
              <w:top w:val="single" w:sz="4" w:space="0" w:color="000000"/>
              <w:left w:val="single" w:sz="4" w:space="0" w:color="000000"/>
              <w:bottom w:val="single" w:sz="4" w:space="0" w:color="000000"/>
              <w:right w:val="single" w:sz="4" w:space="0" w:color="000000"/>
            </w:tcBorders>
          </w:tcPr>
          <w:p>
            <w:pPr/>
          </w:p>
        </w:tc>
        <w:tc>
          <w:tcPr>
            <w:tcW w:w="310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980" w:right="0"/>
        </w:sectPr>
      </w:pPr>
    </w:p>
    <w:p>
      <w:pPr>
        <w:pStyle w:val="BodyText"/>
        <w:spacing w:line="240" w:lineRule="auto" w:before="11"/>
        <w:ind w:right="-20"/>
        <w:jc w:val="left"/>
      </w:pPr>
      <w:r>
        <w:rPr/>
        <w:t>无</w:t>
      </w:r>
    </w:p>
    <w:p>
      <w:pPr>
        <w:pStyle w:val="BodyText"/>
        <w:spacing w:line="240" w:lineRule="auto" w:before="76"/>
        <w:ind w:right="-20"/>
        <w:jc w:val="left"/>
      </w:pPr>
      <w:r>
        <w:rPr>
          <w:rFonts w:ascii="Times New Roman" w:hAnsi="Times New Roman" w:cs="Times New Roman" w:eastAsia="Times New Roman" w:hint="default"/>
        </w:rPr>
        <w:t>3)</w:t>
      </w:r>
      <w:r>
        <w:rPr/>
        <w:t>本期实际核销的其他应收款情况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5"/>
          <w:szCs w:val="15"/>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2825" w:space="6005"/>
            <w:col w:w="210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after="0" w:line="240" w:lineRule="auto"/>
        <w:jc w:val="center"/>
        <w:rPr>
          <w:rFonts w:ascii="宋体" w:hAnsi="宋体" w:cs="宋体" w:eastAsia="宋体" w:hint="default"/>
          <w:sz w:val="18"/>
          <w:szCs w:val="18"/>
        </w:rPr>
        <w:sectPr>
          <w:type w:val="continuous"/>
          <w:pgSz w:w="11910" w:h="16840"/>
          <w:pgMar w:top="1100" w:bottom="1200" w:left="980" w:right="0"/>
        </w:sectPr>
      </w:pPr>
    </w:p>
    <w:p>
      <w:pPr>
        <w:spacing w:line="240" w:lineRule="auto" w:before="10"/>
        <w:rPr>
          <w:rFonts w:ascii="宋体" w:hAnsi="宋体" w:cs="宋体" w:eastAsia="宋体" w:hint="default"/>
          <w:sz w:val="20"/>
          <w:szCs w:val="20"/>
        </w:rPr>
      </w:pPr>
    </w:p>
    <w:p>
      <w:pPr>
        <w:pStyle w:val="BodyText"/>
        <w:spacing w:line="240" w:lineRule="auto" w:before="44"/>
        <w:ind w:right="0"/>
        <w:jc w:val="left"/>
      </w:pPr>
      <w:r>
        <w:rPr/>
        <w:t>其中重要的其他应收款核销情况：</w:t>
      </w:r>
    </w:p>
    <w:p>
      <w:pPr>
        <w:pStyle w:val="BodyText"/>
        <w:spacing w:line="240" w:lineRule="auto" w:before="116"/>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0"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42" w:right="170"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552" w:type="dxa"/>
            <w:tcBorders>
              <w:top w:val="single" w:sz="4" w:space="0" w:color="000000"/>
              <w:left w:val="single" w:sz="4" w:space="0" w:color="000000"/>
              <w:bottom w:val="single" w:sz="4" w:space="0" w:color="000000"/>
              <w:right w:val="single" w:sz="4" w:space="0" w:color="000000"/>
            </w:tcBorders>
          </w:tcPr>
          <w:p>
            <w:pPr/>
          </w:p>
        </w:tc>
        <w:tc>
          <w:tcPr>
            <w:tcW w:w="1552" w:type="dxa"/>
            <w:tcBorders>
              <w:top w:val="single" w:sz="4" w:space="0" w:color="000000"/>
              <w:left w:val="single" w:sz="4" w:space="0" w:color="000000"/>
              <w:bottom w:val="single" w:sz="4" w:space="0" w:color="000000"/>
              <w:right w:val="single" w:sz="4" w:space="0" w:color="000000"/>
            </w:tcBorders>
          </w:tcPr>
          <w:p>
            <w:pPr/>
          </w:p>
        </w:tc>
        <w:tc>
          <w:tcPr>
            <w:tcW w:w="1553" w:type="dxa"/>
            <w:tcBorders>
              <w:top w:val="single" w:sz="4" w:space="0" w:color="000000"/>
              <w:left w:val="single" w:sz="4" w:space="0" w:color="000000"/>
              <w:bottom w:val="single" w:sz="4" w:space="0" w:color="000000"/>
              <w:right w:val="single" w:sz="4" w:space="0" w:color="000000"/>
            </w:tcBorders>
          </w:tcPr>
          <w:p>
            <w:pPr/>
          </w:p>
        </w:tc>
        <w:tc>
          <w:tcPr>
            <w:tcW w:w="1614"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pStyle w:val="BodyText"/>
        <w:spacing w:line="357" w:lineRule="auto" w:before="51"/>
        <w:ind w:right="850"/>
        <w:jc w:val="left"/>
      </w:pPr>
      <w:r>
        <w:rPr/>
        <w:t>其他应收款核销说明： 无</w:t>
      </w:r>
    </w:p>
    <w:p>
      <w:pPr>
        <w:pStyle w:val="BodyText"/>
        <w:spacing w:line="240" w:lineRule="auto" w:before="29"/>
        <w:ind w:right="-20"/>
        <w:jc w:val="left"/>
      </w:pPr>
      <w:r>
        <w:rPr>
          <w:rFonts w:ascii="Times New Roman" w:hAnsi="Times New Roman" w:cs="Times New Roman" w:eastAsia="Times New Roman" w:hint="default"/>
        </w:rPr>
        <w:t>4)</w:t>
      </w:r>
      <w:r>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2"/>
          <w:szCs w:val="12"/>
        </w:rPr>
      </w:pPr>
    </w:p>
    <w:p>
      <w:pPr>
        <w:pStyle w:val="BodyText"/>
        <w:spacing w:line="240" w:lineRule="auto"/>
        <w:ind w:left="153" w:right="0"/>
        <w:jc w:val="left"/>
      </w:pPr>
      <w:r>
        <w:rPr/>
        <w:t>单位： 元</w:t>
      </w:r>
    </w:p>
    <w:p>
      <w:pPr>
        <w:spacing w:after="0" w:line="240" w:lineRule="auto"/>
        <w:jc w:val="left"/>
        <w:sectPr>
          <w:type w:val="continuous"/>
          <w:pgSz w:w="11910" w:h="16840"/>
          <w:pgMar w:top="1100" w:bottom="1200" w:left="980" w:right="0"/>
          <w:cols w:num="2" w:equalWidth="0">
            <w:col w:w="2825" w:space="6005"/>
            <w:col w:w="210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5,201,991.08</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5,300,111.08</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出口退税</w:t>
            </w:r>
          </w:p>
        </w:tc>
        <w:tc>
          <w:tcPr>
            <w:tcW w:w="3100" w:type="dxa"/>
            <w:tcBorders>
              <w:top w:val="single" w:sz="4" w:space="0" w:color="000000"/>
              <w:left w:val="single" w:sz="4" w:space="0" w:color="000000"/>
              <w:bottom w:val="single" w:sz="4" w:space="0" w:color="000000"/>
              <w:right w:val="single" w:sz="4" w:space="0" w:color="000000"/>
            </w:tcBorders>
          </w:tcPr>
          <w:p>
            <w:pP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8,387,920.52</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代垫（付款）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1,060,724.58</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2,823,203.15</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合并范围内关联方往来款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925,412,191.76</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923,924,147.22</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4,666,111.39</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2,376,543.13</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936,341,018.81</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942,811,925.10</w:t>
            </w:r>
          </w:p>
        </w:tc>
      </w:tr>
    </w:tbl>
    <w:p>
      <w:pPr>
        <w:pStyle w:val="BodyText"/>
        <w:spacing w:line="240" w:lineRule="auto" w:before="51"/>
        <w:ind w:right="0"/>
        <w:jc w:val="left"/>
      </w:pPr>
      <w:r>
        <w:rPr>
          <w:rFonts w:ascii="Times New Roman" w:hAnsi="Times New Roman" w:cs="Times New Roman" w:eastAsia="Times New Roman" w:hint="default"/>
        </w:rPr>
        <w:t>5)</w:t>
      </w:r>
      <w:r>
        <w:rPr/>
        <w:t>按欠款方归集的期末余额前五名的其他应收款情况</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1026"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20"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71" w:right="170" w:hanging="1"/>
              <w:jc w:val="center"/>
              <w:rPr>
                <w:rFonts w:ascii="宋体" w:hAnsi="宋体" w:cs="宋体" w:eastAsia="宋体" w:hint="default"/>
                <w:sz w:val="18"/>
                <w:szCs w:val="18"/>
              </w:rPr>
            </w:pPr>
            <w:r>
              <w:rPr>
                <w:rFonts w:ascii="宋体" w:hAnsi="宋体" w:cs="宋体" w:eastAsia="宋体" w:hint="default"/>
                <w:sz w:val="18"/>
                <w:szCs w:val="18"/>
              </w:rPr>
              <w:t>占其他应收款期 末余额合计数的 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12" w:right="170" w:hanging="540"/>
              <w:jc w:val="left"/>
              <w:rPr>
                <w:rFonts w:ascii="宋体" w:hAnsi="宋体" w:cs="宋体" w:eastAsia="宋体" w:hint="default"/>
                <w:sz w:val="18"/>
                <w:szCs w:val="18"/>
              </w:rPr>
            </w:pPr>
            <w:r>
              <w:rPr>
                <w:rFonts w:ascii="宋体" w:hAnsi="宋体" w:cs="宋体" w:eastAsia="宋体" w:hint="default"/>
                <w:sz w:val="18"/>
                <w:szCs w:val="18"/>
              </w:rPr>
              <w:t>坏账准备期末余 额</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天津卓达科技发展 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211,700,000.00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22.61%</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天津卓达科技发展 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196,367,500.00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20.97%</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天津卓达科技发展 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2,435,409.04</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0.26%</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深圳市卓翼智造有 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268,406,150.08</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28.66%</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深圳市卓大精密模 具有限公司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2,689,918.79</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0.29%</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深圳市卓大精密模 具有限公司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10,522,021.09</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1.12%</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深圳市卓大精密模 具有限公司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94,074,259.73</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10.05%</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深圳市中广物联科 技有限公司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39,746.67</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1615"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深圳市中广物联科 技有限公司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56,036,049.52</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5.98%</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卓翼科技香港有限 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3,045,010.99</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0.33%</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卓翼科技香港有限 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31,700,289.88</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3.39%</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877,016,355.79</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93.66%</w:t>
            </w:r>
          </w:p>
        </w:tc>
        <w:tc>
          <w:tcPr>
            <w:tcW w:w="1615"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rFonts w:ascii="Times New Roman" w:hAnsi="Times New Roman" w:cs="Times New Roman" w:eastAsia="Times New Roman" w:hint="default"/>
        </w:rPr>
        <w:t>6)</w:t>
      </w:r>
      <w:r>
        <w:rPr/>
        <w:t>涉及政府补助的应收款项</w:t>
      </w:r>
    </w:p>
    <w:p>
      <w:pPr>
        <w:pStyle w:val="BodyText"/>
        <w:spacing w:line="240" w:lineRule="auto" w:before="103"/>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026"/>
        <w:gridCol w:w="1866"/>
        <w:gridCol w:w="1866"/>
        <w:gridCol w:w="1868"/>
        <w:gridCol w:w="1944"/>
      </w:tblGrid>
      <w:tr>
        <w:trPr>
          <w:trHeight w:val="713" w:hRule="exact"/>
        </w:trPr>
        <w:tc>
          <w:tcPr>
            <w:tcW w:w="2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4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6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68"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97" w:right="101" w:hanging="594"/>
              <w:jc w:val="left"/>
              <w:rPr>
                <w:rFonts w:ascii="宋体" w:hAnsi="宋体" w:cs="宋体" w:eastAsia="宋体" w:hint="default"/>
                <w:sz w:val="18"/>
                <w:szCs w:val="18"/>
              </w:rPr>
            </w:pPr>
            <w:r>
              <w:rPr>
                <w:rFonts w:ascii="宋体" w:hAnsi="宋体" w:cs="宋体" w:eastAsia="宋体" w:hint="default"/>
                <w:spacing w:val="-8"/>
                <w:sz w:val="18"/>
                <w:szCs w:val="18"/>
              </w:rPr>
              <w:t>预计收取的时间、金额</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及依据</w:t>
            </w:r>
          </w:p>
        </w:tc>
      </w:tr>
      <w:tr>
        <w:trPr>
          <w:trHeight w:val="403" w:hRule="exact"/>
        </w:trPr>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866" w:type="dxa"/>
            <w:tcBorders>
              <w:top w:val="single" w:sz="4" w:space="0" w:color="000000"/>
              <w:left w:val="single" w:sz="4" w:space="0" w:color="000000"/>
              <w:bottom w:val="single" w:sz="4" w:space="0" w:color="000000"/>
              <w:right w:val="single" w:sz="4" w:space="0" w:color="000000"/>
            </w:tcBorders>
          </w:tcPr>
          <w:p>
            <w:pPr/>
          </w:p>
        </w:tc>
        <w:tc>
          <w:tcPr>
            <w:tcW w:w="1866" w:type="dxa"/>
            <w:tcBorders>
              <w:top w:val="single" w:sz="4" w:space="0" w:color="000000"/>
              <w:left w:val="single" w:sz="4" w:space="0" w:color="000000"/>
              <w:bottom w:val="single" w:sz="4" w:space="0" w:color="000000"/>
              <w:right w:val="single" w:sz="4" w:space="0" w:color="000000"/>
            </w:tcBorders>
          </w:tcPr>
          <w:p>
            <w:pPr/>
          </w:p>
        </w:tc>
        <w:tc>
          <w:tcPr>
            <w:tcW w:w="1868"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38" w:lineRule="auto" w:before="51"/>
        <w:ind w:right="7362"/>
        <w:jc w:val="left"/>
      </w:pPr>
      <w:r>
        <w:rPr>
          <w:rFonts w:ascii="Times New Roman" w:hAnsi="Times New Roman" w:cs="Times New Roman" w:eastAsia="Times New Roman" w:hint="default"/>
        </w:rPr>
        <w:t>7)</w:t>
      </w:r>
      <w:r>
        <w:rPr/>
        <w:t>因金融资产转移而终止确认的其他应收款</w:t>
      </w:r>
      <w:r>
        <w:rPr>
          <w:w w:val="99"/>
        </w:rPr>
        <w:t> </w:t>
      </w:r>
      <w:r>
        <w:rPr/>
        <w:t>无</w:t>
      </w:r>
    </w:p>
    <w:p>
      <w:pPr>
        <w:pStyle w:val="BodyText"/>
        <w:spacing w:line="338" w:lineRule="auto" w:before="43"/>
        <w:ind w:right="6642"/>
        <w:jc w:val="left"/>
      </w:pPr>
      <w:r>
        <w:rPr>
          <w:rFonts w:ascii="Times New Roman" w:hAnsi="Times New Roman" w:cs="Times New Roman" w:eastAsia="Times New Roman" w:hint="default"/>
        </w:rPr>
        <w:t>8)</w:t>
      </w:r>
      <w:r>
        <w:rPr/>
        <w:t>转移其他应收款且继续涉入形成的资产、负债金额</w:t>
      </w:r>
      <w:r>
        <w:rPr>
          <w:w w:val="99"/>
        </w:rPr>
        <w:t> </w:t>
      </w:r>
      <w:r>
        <w:rPr/>
        <w:t>无</w:t>
      </w:r>
    </w:p>
    <w:p>
      <w:pPr>
        <w:pStyle w:val="BodyText"/>
        <w:spacing w:line="357" w:lineRule="auto" w:before="43"/>
        <w:ind w:right="9852"/>
        <w:jc w:val="left"/>
      </w:pPr>
      <w:r>
        <w:rPr/>
        <w:t>其他说明： 无</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3、长期股权投资" w:id="499"/>
      <w:bookmarkEnd w:id="499"/>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929,665,948.29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929,665,948.29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834,316,934.17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834,316,934.17</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73"/>
              <w:jc w:val="left"/>
              <w:rPr>
                <w:rFonts w:ascii="宋体" w:hAnsi="宋体" w:cs="宋体" w:eastAsia="宋体" w:hint="default"/>
                <w:sz w:val="18"/>
                <w:szCs w:val="18"/>
              </w:rPr>
            </w:pPr>
            <w:r>
              <w:rPr>
                <w:rFonts w:ascii="宋体" w:hAnsi="宋体" w:cs="宋体" w:eastAsia="宋体" w:hint="default"/>
                <w:sz w:val="18"/>
                <w:szCs w:val="18"/>
              </w:rPr>
              <w:t>对联营、合营 企业投资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238,875.00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238,875.00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center"/>
              <w:rPr>
                <w:rFonts w:ascii="Times New Roman" w:hAnsi="Times New Roman" w:cs="Times New Roman" w:eastAsia="Times New Roman" w:hint="default"/>
                <w:sz w:val="18"/>
                <w:szCs w:val="18"/>
              </w:rPr>
            </w:pPr>
            <w:r>
              <w:rPr>
                <w:rFonts w:ascii="Times New Roman"/>
                <w:sz w:val="18"/>
              </w:rPr>
              <w:t>111,515,623.25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111,515,623.25</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929,904,823.29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929,904,823.29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945,832,557.42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945,832,557.42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对子公司投资" w:id="500"/>
      <w:bookmarkEnd w:id="500"/>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48"/>
        <w:gridCol w:w="1336"/>
        <w:gridCol w:w="1336"/>
        <w:gridCol w:w="1334"/>
        <w:gridCol w:w="1336"/>
        <w:gridCol w:w="1389"/>
        <w:gridCol w:w="1390"/>
      </w:tblGrid>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09" w:right="148" w:hanging="361"/>
              <w:jc w:val="left"/>
              <w:rPr>
                <w:rFonts w:ascii="宋体" w:hAnsi="宋体" w:cs="宋体" w:eastAsia="宋体" w:hint="default"/>
                <w:sz w:val="18"/>
                <w:szCs w:val="18"/>
              </w:rPr>
            </w:pPr>
            <w:r>
              <w:rPr>
                <w:rFonts w:ascii="宋体" w:hAnsi="宋体" w:cs="宋体" w:eastAsia="宋体" w:hint="default"/>
                <w:sz w:val="18"/>
                <w:szCs w:val="18"/>
              </w:rPr>
              <w:t>本期计提减值 准备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08" w:right="149" w:hanging="360"/>
              <w:jc w:val="left"/>
              <w:rPr>
                <w:rFonts w:ascii="宋体" w:hAnsi="宋体" w:cs="宋体" w:eastAsia="宋体" w:hint="default"/>
                <w:sz w:val="18"/>
                <w:szCs w:val="18"/>
              </w:rPr>
            </w:pPr>
            <w:r>
              <w:rPr>
                <w:rFonts w:ascii="宋体" w:hAnsi="宋体" w:cs="宋体" w:eastAsia="宋体" w:hint="default"/>
                <w:sz w:val="18"/>
                <w:szCs w:val="18"/>
              </w:rPr>
              <w:t>减值准备期末 余额</w:t>
            </w:r>
          </w:p>
        </w:tc>
      </w:tr>
      <w:tr>
        <w:trPr>
          <w:trHeight w:val="102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52"/>
              <w:jc w:val="both"/>
              <w:rPr>
                <w:rFonts w:ascii="宋体" w:hAnsi="宋体" w:cs="宋体" w:eastAsia="宋体" w:hint="default"/>
                <w:sz w:val="18"/>
                <w:szCs w:val="18"/>
              </w:rPr>
            </w:pPr>
            <w:r>
              <w:rPr>
                <w:rFonts w:ascii="宋体" w:hAnsi="宋体" w:cs="宋体" w:eastAsia="宋体" w:hint="default"/>
                <w:sz w:val="18"/>
                <w:szCs w:val="18"/>
              </w:rPr>
              <w:t>深圳市卓大精 密模具有限公 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64,868,119.57</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9" w:right="0"/>
              <w:jc w:val="center"/>
              <w:rPr>
                <w:rFonts w:ascii="Times New Roman" w:hAnsi="Times New Roman" w:cs="Times New Roman" w:eastAsia="Times New Roman" w:hint="default"/>
                <w:sz w:val="18"/>
                <w:szCs w:val="18"/>
              </w:rPr>
            </w:pPr>
            <w:r>
              <w:rPr>
                <w:rFonts w:ascii="Times New Roman"/>
                <w:sz w:val="18"/>
              </w:rPr>
              <w:t>64,868,119.57</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67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2"/>
              <w:jc w:val="left"/>
              <w:rPr>
                <w:rFonts w:ascii="宋体" w:hAnsi="宋体" w:cs="宋体" w:eastAsia="宋体" w:hint="default"/>
                <w:sz w:val="18"/>
                <w:szCs w:val="18"/>
              </w:rPr>
            </w:pPr>
            <w:r>
              <w:rPr>
                <w:rFonts w:ascii="宋体" w:hAnsi="宋体" w:cs="宋体" w:eastAsia="宋体" w:hint="default"/>
                <w:sz w:val="18"/>
                <w:szCs w:val="18"/>
              </w:rPr>
              <w:t>深圳市中广物 联科技有限公</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10,038,727.26</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501" w:right="0"/>
              <w:jc w:val="left"/>
              <w:rPr>
                <w:rFonts w:ascii="Times New Roman" w:hAnsi="Times New Roman" w:cs="Times New Roman" w:eastAsia="Times New Roman" w:hint="default"/>
                <w:sz w:val="18"/>
                <w:szCs w:val="18"/>
              </w:rPr>
            </w:pPr>
            <w:r>
              <w:rPr>
                <w:rFonts w:ascii="Times New Roman"/>
                <w:sz w:val="18"/>
              </w:rPr>
              <w:t>10,640.29</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83" w:right="0"/>
              <w:jc w:val="center"/>
              <w:rPr>
                <w:rFonts w:ascii="Times New Roman" w:hAnsi="Times New Roman" w:cs="Times New Roman" w:eastAsia="Times New Roman" w:hint="default"/>
                <w:sz w:val="18"/>
                <w:szCs w:val="18"/>
              </w:rPr>
            </w:pPr>
            <w:r>
              <w:rPr>
                <w:rFonts w:ascii="Times New Roman"/>
                <w:sz w:val="18"/>
              </w:rPr>
              <w:t>10,049,367.55</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1448"/>
        <w:gridCol w:w="1336"/>
        <w:gridCol w:w="1336"/>
        <w:gridCol w:w="1334"/>
        <w:gridCol w:w="1336"/>
        <w:gridCol w:w="1389"/>
        <w:gridCol w:w="1390"/>
      </w:tblGrid>
      <w:tr>
        <w:trPr>
          <w:trHeight w:val="36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2"/>
              <w:jc w:val="left"/>
              <w:rPr>
                <w:rFonts w:ascii="宋体" w:hAnsi="宋体" w:cs="宋体" w:eastAsia="宋体" w:hint="default"/>
                <w:sz w:val="18"/>
                <w:szCs w:val="18"/>
              </w:rPr>
            </w:pPr>
            <w:r>
              <w:rPr>
                <w:rFonts w:ascii="宋体" w:hAnsi="宋体" w:cs="宋体" w:eastAsia="宋体" w:hint="default"/>
                <w:sz w:val="18"/>
                <w:szCs w:val="18"/>
              </w:rPr>
              <w:t>天津卓达科技 发展有限公司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449,499,035.3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83,775.87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449,415,259.5</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2</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132"/>
              <w:jc w:val="left"/>
              <w:rPr>
                <w:rFonts w:ascii="宋体" w:hAnsi="宋体" w:cs="宋体" w:eastAsia="宋体" w:hint="default"/>
                <w:sz w:val="18"/>
                <w:szCs w:val="18"/>
              </w:rPr>
            </w:pPr>
            <w:r>
              <w:rPr>
                <w:rFonts w:ascii="宋体" w:hAnsi="宋体" w:cs="宋体" w:eastAsia="宋体" w:hint="default"/>
                <w:sz w:val="18"/>
                <w:szCs w:val="18"/>
              </w:rPr>
              <w:t>卓翼科技</w:t>
            </w:r>
            <w:r>
              <w:rPr>
                <w:rFonts w:ascii="Times New Roman" w:hAnsi="Times New Roman" w:cs="Times New Roman" w:eastAsia="Times New Roman" w:hint="default"/>
                <w:sz w:val="18"/>
                <w:szCs w:val="18"/>
              </w:rPr>
              <w:t>(</w:t>
            </w:r>
            <w:r>
              <w:rPr>
                <w:rFonts w:ascii="宋体" w:hAnsi="宋体" w:cs="宋体" w:eastAsia="宋体" w:hint="default"/>
                <w:sz w:val="18"/>
                <w:szCs w:val="18"/>
              </w:rPr>
              <w:t>香港</w:t>
            </w:r>
            <w:r>
              <w:rPr>
                <w:rFonts w:ascii="Times New Roman" w:hAnsi="Times New Roman" w:cs="Times New Roman" w:eastAsia="Times New Roman" w:hint="default"/>
                <w:sz w:val="18"/>
                <w:szCs w:val="18"/>
              </w:rPr>
              <w:t>) </w:t>
            </w:r>
            <w:r>
              <w:rPr>
                <w:rFonts w:ascii="宋体" w:hAnsi="宋体" w:cs="宋体" w:eastAsia="宋体" w:hint="default"/>
                <w:sz w:val="18"/>
                <w:szCs w:val="18"/>
              </w:rPr>
              <w:t>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745,520.00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745,520.00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z w:val="18"/>
                <w:szCs w:val="18"/>
              </w:rPr>
              <w:t>中广互联（厦 </w:t>
            </w:r>
            <w:r>
              <w:rPr>
                <w:rFonts w:ascii="宋体" w:hAnsi="宋体" w:cs="宋体" w:eastAsia="宋体" w:hint="default"/>
                <w:spacing w:val="-5"/>
                <w:sz w:val="18"/>
                <w:szCs w:val="18"/>
              </w:rPr>
              <w:t>门）信息科技有</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185,494.58</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112,078.32</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297,572.90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2"/>
              <w:jc w:val="left"/>
              <w:rPr>
                <w:rFonts w:ascii="宋体" w:hAnsi="宋体" w:cs="宋体" w:eastAsia="宋体" w:hint="default"/>
                <w:sz w:val="18"/>
                <w:szCs w:val="18"/>
              </w:rPr>
            </w:pPr>
            <w:r>
              <w:rPr>
                <w:rFonts w:ascii="宋体" w:hAnsi="宋体" w:cs="宋体" w:eastAsia="宋体" w:hint="default"/>
                <w:sz w:val="18"/>
                <w:szCs w:val="18"/>
              </w:rPr>
              <w:t>深圳市卓翼智 造有限公司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250,770,037.3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310,071.38</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251,080,108.7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2"/>
              <w:jc w:val="left"/>
              <w:rPr>
                <w:rFonts w:ascii="宋体" w:hAnsi="宋体" w:cs="宋体" w:eastAsia="宋体" w:hint="default"/>
                <w:sz w:val="18"/>
                <w:szCs w:val="18"/>
              </w:rPr>
            </w:pPr>
            <w:r>
              <w:rPr>
                <w:rFonts w:ascii="宋体" w:hAnsi="宋体" w:cs="宋体" w:eastAsia="宋体" w:hint="default"/>
                <w:sz w:val="18"/>
                <w:szCs w:val="18"/>
              </w:rPr>
              <w:t>深圳市翼飞投 资有限公司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58,210,000.00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15,000,000.00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73,210,000.00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2"/>
              <w:jc w:val="left"/>
              <w:rPr>
                <w:rFonts w:ascii="宋体" w:hAnsi="宋体" w:cs="宋体" w:eastAsia="宋体" w:hint="default"/>
                <w:sz w:val="18"/>
                <w:szCs w:val="18"/>
              </w:rPr>
            </w:pPr>
            <w:r>
              <w:rPr>
                <w:rFonts w:ascii="宋体" w:hAnsi="宋体" w:cs="宋体" w:eastAsia="宋体" w:hint="default"/>
                <w:sz w:val="18"/>
                <w:szCs w:val="18"/>
              </w:rPr>
              <w:t>深圳市卓博机 器人有限公司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834,316,934.1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95,432,789.99</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83,775.87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929,665,948.2</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9</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对联营、合营企业投资" w:id="501"/>
      <w:bookmarkEnd w:id="501"/>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319"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投资单 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319"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319"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123" w:right="122"/>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1338"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02" w:right="122"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03" w:right="122" w:hanging="180"/>
              <w:jc w:val="left"/>
              <w:rPr>
                <w:rFonts w:ascii="宋体" w:hAnsi="宋体" w:cs="宋体" w:eastAsia="宋体" w:hint="default"/>
                <w:sz w:val="18"/>
                <w:szCs w:val="18"/>
              </w:rPr>
            </w:pPr>
            <w:r>
              <w:rPr>
                <w:rFonts w:ascii="宋体" w:hAnsi="宋体" w:cs="宋体" w:eastAsia="宋体" w:hint="default"/>
                <w:sz w:val="18"/>
                <w:szCs w:val="18"/>
              </w:rPr>
              <w:t>减少投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3" w:right="123"/>
              <w:jc w:val="both"/>
              <w:rPr>
                <w:rFonts w:ascii="宋体" w:hAnsi="宋体" w:cs="宋体" w:eastAsia="宋体" w:hint="default"/>
                <w:sz w:val="18"/>
                <w:szCs w:val="18"/>
              </w:rPr>
            </w:pPr>
            <w:r>
              <w:rPr>
                <w:rFonts w:ascii="宋体" w:hAnsi="宋体" w:cs="宋体" w:eastAsia="宋体" w:hint="default"/>
                <w:sz w:val="18"/>
                <w:szCs w:val="18"/>
              </w:rPr>
              <w:t>权益法 下确认 的投资 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23" w:right="122"/>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23" w:right="122"/>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3" w:right="122"/>
              <w:jc w:val="both"/>
              <w:rPr>
                <w:rFonts w:ascii="宋体" w:hAnsi="宋体" w:cs="宋体" w:eastAsia="宋体" w:hint="default"/>
                <w:sz w:val="18"/>
                <w:szCs w:val="18"/>
              </w:rPr>
            </w:pPr>
            <w:r>
              <w:rPr>
                <w:rFonts w:ascii="宋体" w:hAnsi="宋体" w:cs="宋体" w:eastAsia="宋体" w:hint="default"/>
                <w:sz w:val="18"/>
                <w:szCs w:val="18"/>
              </w:rPr>
              <w:t>宣告发 放现金 股利或 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23" w:right="123"/>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650"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41"/>
              <w:jc w:val="both"/>
              <w:rPr>
                <w:rFonts w:ascii="宋体" w:hAnsi="宋体" w:cs="宋体" w:eastAsia="宋体" w:hint="default"/>
                <w:sz w:val="18"/>
                <w:szCs w:val="18"/>
              </w:rPr>
            </w:pPr>
            <w:r>
              <w:rPr>
                <w:rFonts w:ascii="宋体" w:hAnsi="宋体" w:cs="宋体" w:eastAsia="宋体" w:hint="default"/>
                <w:sz w:val="18"/>
                <w:szCs w:val="18"/>
              </w:rPr>
              <w:t>北京朝 歌数码 科技股 份有限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pacing w:val="-3"/>
                <w:sz w:val="18"/>
              </w:rPr>
              <w:t>111,395</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,848.25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84,994,</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946.03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8,996,3</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82.23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74,364.</w:t>
            </w:r>
          </w:p>
          <w:p>
            <w:pPr>
              <w:pStyle w:val="TableParagraph"/>
              <w:spacing w:line="240" w:lineRule="auto" w:before="105"/>
              <w:ind w:left="505" w:right="0"/>
              <w:jc w:val="left"/>
              <w:rPr>
                <w:rFonts w:ascii="Times New Roman" w:hAnsi="Times New Roman" w:cs="Times New Roman" w:eastAsia="Times New Roman" w:hint="default"/>
                <w:sz w:val="18"/>
                <w:szCs w:val="18"/>
              </w:rPr>
            </w:pPr>
            <w:r>
              <w:rPr>
                <w:rFonts w:ascii="Times New Roman"/>
                <w:sz w:val="18"/>
              </w:rPr>
              <w:t>23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7,140,0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-28,331</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,648.68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103" w:right="141"/>
              <w:jc w:val="both"/>
              <w:rPr>
                <w:rFonts w:ascii="宋体" w:hAnsi="宋体" w:cs="宋体" w:eastAsia="宋体" w:hint="default"/>
                <w:sz w:val="18"/>
                <w:szCs w:val="18"/>
              </w:rPr>
            </w:pPr>
            <w:r>
              <w:rPr>
                <w:rFonts w:ascii="宋体" w:hAnsi="宋体" w:cs="宋体" w:eastAsia="宋体" w:hint="default"/>
                <w:sz w:val="18"/>
                <w:szCs w:val="18"/>
              </w:rPr>
              <w:t>深圳市 深创谷 技术服 务有限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119,775</w:t>
            </w:r>
          </w:p>
          <w:p>
            <w:pPr>
              <w:pStyle w:val="TableParagraph"/>
              <w:spacing w:line="240" w:lineRule="auto" w:before="105"/>
              <w:ind w:left="459" w:right="0"/>
              <w:jc w:val="lef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06" w:right="0"/>
              <w:jc w:val="left"/>
              <w:rPr>
                <w:rFonts w:ascii="Times New Roman" w:hAnsi="Times New Roman" w:cs="Times New Roman" w:eastAsia="Times New Roman" w:hint="default"/>
                <w:sz w:val="18"/>
                <w:szCs w:val="18"/>
              </w:rPr>
            </w:pPr>
            <w:r>
              <w:rPr>
                <w:rFonts w:ascii="Times New Roman"/>
                <w:sz w:val="18"/>
              </w:rPr>
              <w:t>119,100</w:t>
            </w:r>
          </w:p>
          <w:p>
            <w:pPr>
              <w:pStyle w:val="TableParagraph"/>
              <w:spacing w:line="240" w:lineRule="auto" w:before="105"/>
              <w:ind w:left="460" w:right="0"/>
              <w:jc w:val="lef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88" w:right="0"/>
              <w:jc w:val="center"/>
              <w:rPr>
                <w:rFonts w:ascii="Times New Roman" w:hAnsi="Times New Roman" w:cs="Times New Roman" w:eastAsia="Times New Roman" w:hint="default"/>
                <w:sz w:val="18"/>
                <w:szCs w:val="18"/>
              </w:rPr>
            </w:pPr>
            <w:r>
              <w:rPr>
                <w:rFonts w:ascii="Times New Roman"/>
                <w:sz w:val="18"/>
              </w:rPr>
              <w:t>238,87</w:t>
            </w:r>
          </w:p>
          <w:p>
            <w:pPr>
              <w:pStyle w:val="TableParagraph"/>
              <w:spacing w:line="240" w:lineRule="auto" w:before="105"/>
              <w:ind w:left="268" w:right="0"/>
              <w:jc w:val="center"/>
              <w:rPr>
                <w:rFonts w:ascii="Times New Roman" w:hAnsi="Times New Roman" w:cs="Times New Roman" w:eastAsia="Times New Roman" w:hint="default"/>
                <w:sz w:val="18"/>
                <w:szCs w:val="18"/>
              </w:rPr>
            </w:pPr>
            <w:r>
              <w:rPr>
                <w:rFonts w:ascii="Times New Roman"/>
                <w:sz w:val="18"/>
              </w:rPr>
              <w:t>5.00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2" w:right="0"/>
              <w:jc w:val="left"/>
              <w:rPr>
                <w:rFonts w:ascii="Times New Roman" w:hAnsi="Times New Roman" w:cs="Times New Roman" w:eastAsia="Times New Roman" w:hint="default"/>
                <w:sz w:val="18"/>
                <w:szCs w:val="18"/>
              </w:rPr>
            </w:pPr>
            <w:r>
              <w:rPr>
                <w:rFonts w:ascii="Times New Roman"/>
                <w:spacing w:val="-3"/>
                <w:sz w:val="18"/>
              </w:rPr>
              <w:t>111,515</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,623.25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5" w:right="0"/>
              <w:jc w:val="left"/>
              <w:rPr>
                <w:rFonts w:ascii="Times New Roman" w:hAnsi="Times New Roman" w:cs="Times New Roman" w:eastAsia="Times New Roman" w:hint="default"/>
                <w:sz w:val="18"/>
                <w:szCs w:val="18"/>
              </w:rPr>
            </w:pPr>
            <w:r>
              <w:rPr>
                <w:rFonts w:ascii="Times New Roman"/>
                <w:sz w:val="18"/>
              </w:rPr>
              <w:t>84,994,</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946.03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2" w:right="0"/>
              <w:jc w:val="center"/>
              <w:rPr>
                <w:rFonts w:ascii="Times New Roman" w:hAnsi="Times New Roman" w:cs="Times New Roman" w:eastAsia="Times New Roman" w:hint="default"/>
                <w:sz w:val="18"/>
                <w:szCs w:val="18"/>
              </w:rPr>
            </w:pPr>
            <w:r>
              <w:rPr>
                <w:rFonts w:ascii="Times New Roman"/>
                <w:sz w:val="18"/>
              </w:rPr>
              <w:t>8,996,3</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82.23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5" w:right="0"/>
              <w:jc w:val="left"/>
              <w:rPr>
                <w:rFonts w:ascii="Times New Roman" w:hAnsi="Times New Roman" w:cs="Times New Roman" w:eastAsia="Times New Roman" w:hint="default"/>
                <w:sz w:val="18"/>
                <w:szCs w:val="18"/>
              </w:rPr>
            </w:pPr>
            <w:r>
              <w:rPr>
                <w:rFonts w:ascii="Times New Roman"/>
                <w:sz w:val="18"/>
              </w:rPr>
              <w:t>74,364.</w:t>
            </w:r>
          </w:p>
          <w:p>
            <w:pPr>
              <w:pStyle w:val="TableParagraph"/>
              <w:spacing w:line="240" w:lineRule="auto" w:before="105"/>
              <w:ind w:left="505" w:right="0"/>
              <w:jc w:val="left"/>
              <w:rPr>
                <w:rFonts w:ascii="Times New Roman" w:hAnsi="Times New Roman" w:cs="Times New Roman" w:eastAsia="Times New Roman" w:hint="default"/>
                <w:sz w:val="18"/>
                <w:szCs w:val="18"/>
              </w:rPr>
            </w:pPr>
            <w:r>
              <w:rPr>
                <w:rFonts w:ascii="Times New Roman"/>
                <w:sz w:val="18"/>
              </w:rPr>
              <w:t>23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2" w:right="0"/>
              <w:jc w:val="center"/>
              <w:rPr>
                <w:rFonts w:ascii="Times New Roman" w:hAnsi="Times New Roman" w:cs="Times New Roman" w:eastAsia="Times New Roman" w:hint="default"/>
                <w:sz w:val="18"/>
                <w:szCs w:val="18"/>
              </w:rPr>
            </w:pPr>
            <w:r>
              <w:rPr>
                <w:rFonts w:ascii="Times New Roman"/>
                <w:sz w:val="18"/>
              </w:rPr>
              <w:t>7,140,0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0" w:right="0"/>
              <w:jc w:val="left"/>
              <w:rPr>
                <w:rFonts w:ascii="Times New Roman" w:hAnsi="Times New Roman" w:cs="Times New Roman" w:eastAsia="Times New Roman" w:hint="default"/>
                <w:sz w:val="18"/>
                <w:szCs w:val="18"/>
              </w:rPr>
            </w:pPr>
            <w:r>
              <w:rPr>
                <w:rFonts w:ascii="Times New Roman"/>
                <w:sz w:val="18"/>
              </w:rPr>
              <w:t>-28,212</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,548.68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8" w:right="0"/>
              <w:jc w:val="center"/>
              <w:rPr>
                <w:rFonts w:ascii="Times New Roman" w:hAnsi="Times New Roman" w:cs="Times New Roman" w:eastAsia="Times New Roman" w:hint="default"/>
                <w:sz w:val="18"/>
                <w:szCs w:val="18"/>
              </w:rPr>
            </w:pPr>
            <w:r>
              <w:rPr>
                <w:rFonts w:ascii="Times New Roman"/>
                <w:sz w:val="18"/>
              </w:rPr>
              <w:t>238,87</w:t>
            </w:r>
          </w:p>
          <w:p>
            <w:pPr>
              <w:pStyle w:val="TableParagraph"/>
              <w:spacing w:line="240" w:lineRule="auto" w:before="105"/>
              <w:ind w:left="268" w:right="0"/>
              <w:jc w:val="center"/>
              <w:rPr>
                <w:rFonts w:ascii="Times New Roman" w:hAnsi="Times New Roman" w:cs="Times New Roman" w:eastAsia="Times New Roman" w:hint="default"/>
                <w:sz w:val="18"/>
                <w:szCs w:val="18"/>
              </w:rPr>
            </w:pPr>
            <w:r>
              <w:rPr>
                <w:rFonts w:ascii="Times New Roman"/>
                <w:sz w:val="18"/>
              </w:rPr>
              <w:t>5.00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12" w:right="0"/>
              <w:jc w:val="left"/>
              <w:rPr>
                <w:rFonts w:ascii="Times New Roman" w:hAnsi="Times New Roman" w:cs="Times New Roman" w:eastAsia="Times New Roman" w:hint="default"/>
                <w:sz w:val="18"/>
                <w:szCs w:val="18"/>
              </w:rPr>
            </w:pPr>
            <w:r>
              <w:rPr>
                <w:rFonts w:ascii="Times New Roman"/>
                <w:spacing w:val="-3"/>
                <w:sz w:val="18"/>
              </w:rPr>
              <w:t>111,515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45" w:right="0"/>
              <w:jc w:val="left"/>
              <w:rPr>
                <w:rFonts w:ascii="Times New Roman" w:hAnsi="Times New Roman" w:cs="Times New Roman" w:eastAsia="Times New Roman" w:hint="default"/>
                <w:sz w:val="18"/>
                <w:szCs w:val="18"/>
              </w:rPr>
            </w:pPr>
            <w:r>
              <w:rPr>
                <w:rFonts w:ascii="Times New Roman"/>
                <w:sz w:val="18"/>
              </w:rPr>
              <w:t>84,994,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45" w:right="0"/>
              <w:jc w:val="left"/>
              <w:rPr>
                <w:rFonts w:ascii="Times New Roman" w:hAnsi="Times New Roman" w:cs="Times New Roman" w:eastAsia="Times New Roman" w:hint="default"/>
                <w:sz w:val="18"/>
                <w:szCs w:val="18"/>
              </w:rPr>
            </w:pPr>
            <w:r>
              <w:rPr>
                <w:rFonts w:ascii="Times New Roman"/>
                <w:sz w:val="18"/>
              </w:rPr>
              <w:t>8,996,3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45" w:right="0"/>
              <w:jc w:val="left"/>
              <w:rPr>
                <w:rFonts w:ascii="Times New Roman" w:hAnsi="Times New Roman" w:cs="Times New Roman" w:eastAsia="Times New Roman" w:hint="default"/>
                <w:sz w:val="18"/>
                <w:szCs w:val="18"/>
              </w:rPr>
            </w:pPr>
            <w:r>
              <w:rPr>
                <w:rFonts w:ascii="Times New Roman"/>
                <w:sz w:val="18"/>
              </w:rPr>
              <w:t>74,364.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45" w:right="0"/>
              <w:jc w:val="left"/>
              <w:rPr>
                <w:rFonts w:ascii="Times New Roman" w:hAnsi="Times New Roman" w:cs="Times New Roman" w:eastAsia="Times New Roman" w:hint="default"/>
                <w:sz w:val="18"/>
                <w:szCs w:val="18"/>
              </w:rPr>
            </w:pPr>
            <w:r>
              <w:rPr>
                <w:rFonts w:ascii="Times New Roman"/>
                <w:sz w:val="18"/>
              </w:rPr>
              <w:t>7,140,0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8" w:right="0"/>
              <w:jc w:val="center"/>
              <w:rPr>
                <w:rFonts w:ascii="Times New Roman" w:hAnsi="Times New Roman" w:cs="Times New Roman" w:eastAsia="Times New Roman" w:hint="default"/>
                <w:sz w:val="18"/>
                <w:szCs w:val="18"/>
              </w:rPr>
            </w:pPr>
            <w:r>
              <w:rPr>
                <w:rFonts w:ascii="Times New Roman"/>
                <w:sz w:val="18"/>
              </w:rPr>
              <w:t>-28,212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90" w:right="0"/>
              <w:jc w:val="left"/>
              <w:rPr>
                <w:rFonts w:ascii="Times New Roman" w:hAnsi="Times New Roman" w:cs="Times New Roman" w:eastAsia="Times New Roman" w:hint="default"/>
                <w:sz w:val="18"/>
                <w:szCs w:val="18"/>
              </w:rPr>
            </w:pPr>
            <w:r>
              <w:rPr>
                <w:rFonts w:ascii="Times New Roman"/>
                <w:sz w:val="18"/>
              </w:rPr>
              <w:t>238,87</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362"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43" w:right="0"/>
              <w:jc w:val="left"/>
              <w:rPr>
                <w:rFonts w:ascii="Times New Roman" w:hAnsi="Times New Roman" w:cs="Times New Roman" w:eastAsia="Times New Roman" w:hint="default"/>
                <w:sz w:val="18"/>
                <w:szCs w:val="18"/>
              </w:rPr>
            </w:pPr>
            <w:r>
              <w:rPr>
                <w:rFonts w:ascii="Times New Roman"/>
                <w:sz w:val="18"/>
              </w:rPr>
              <w:t>,623.25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90" w:right="0"/>
              <w:jc w:val="left"/>
              <w:rPr>
                <w:rFonts w:ascii="Times New Roman" w:hAnsi="Times New Roman" w:cs="Times New Roman" w:eastAsia="Times New Roman" w:hint="default"/>
                <w:sz w:val="18"/>
                <w:szCs w:val="18"/>
              </w:rPr>
            </w:pPr>
            <w:r>
              <w:rPr>
                <w:rFonts w:ascii="Times New Roman"/>
                <w:sz w:val="18"/>
              </w:rPr>
              <w:t>946.03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0" w:right="0"/>
              <w:jc w:val="left"/>
              <w:rPr>
                <w:rFonts w:ascii="Times New Roman" w:hAnsi="Times New Roman" w:cs="Times New Roman" w:eastAsia="Times New Roman" w:hint="default"/>
                <w:sz w:val="18"/>
                <w:szCs w:val="18"/>
              </w:rPr>
            </w:pPr>
            <w:r>
              <w:rPr>
                <w:rFonts w:ascii="Times New Roman"/>
                <w:sz w:val="18"/>
              </w:rPr>
              <w:t>82.23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05" w:right="0"/>
              <w:jc w:val="left"/>
              <w:rPr>
                <w:rFonts w:ascii="Times New Roman" w:hAnsi="Times New Roman" w:cs="Times New Roman" w:eastAsia="Times New Roman" w:hint="default"/>
                <w:sz w:val="18"/>
                <w:szCs w:val="18"/>
              </w:rPr>
            </w:pPr>
            <w:r>
              <w:rPr>
                <w:rFonts w:ascii="Times New Roman"/>
                <w:sz w:val="18"/>
              </w:rPr>
              <w:t>23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0" w:right="0"/>
              <w:jc w:val="left"/>
              <w:rPr>
                <w:rFonts w:ascii="Times New Roman" w:hAnsi="Times New Roman" w:cs="Times New Roman" w:eastAsia="Times New Roman" w:hint="default"/>
                <w:sz w:val="18"/>
                <w:szCs w:val="18"/>
              </w:rPr>
            </w:pPr>
            <w:r>
              <w:rPr>
                <w:rFonts w:ascii="Times New Roman"/>
                <w:sz w:val="18"/>
              </w:rPr>
              <w:t>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45" w:right="0"/>
              <w:jc w:val="left"/>
              <w:rPr>
                <w:rFonts w:ascii="Times New Roman" w:hAnsi="Times New Roman" w:cs="Times New Roman" w:eastAsia="Times New Roman" w:hint="default"/>
                <w:sz w:val="18"/>
                <w:szCs w:val="18"/>
              </w:rPr>
            </w:pPr>
            <w:r>
              <w:rPr>
                <w:rFonts w:ascii="Times New Roman"/>
                <w:sz w:val="18"/>
              </w:rPr>
              <w:t>,548.68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70" w:right="0"/>
              <w:jc w:val="left"/>
              <w:rPr>
                <w:rFonts w:ascii="Times New Roman" w:hAnsi="Times New Roman" w:cs="Times New Roman" w:eastAsia="Times New Roman" w:hint="default"/>
                <w:sz w:val="18"/>
                <w:szCs w:val="18"/>
              </w:rPr>
            </w:pPr>
            <w:r>
              <w:rPr>
                <w:rFonts w:ascii="Times New Roman"/>
                <w:sz w:val="18"/>
              </w:rPr>
              <w:t>5.00</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其他说明" w:id="502"/>
      <w:bookmarkEnd w:id="502"/>
      <w:r>
        <w:rPr>
          <w:b w:val="0"/>
          <w:bCs w:val="0"/>
        </w:rPr>
      </w:r>
      <w:r>
        <w:rPr/>
        <w:t>（</w:t>
      </w:r>
      <w:r>
        <w:rPr>
          <w:rFonts w:ascii="Times New Roman" w:hAnsi="Times New Roman" w:cs="Times New Roman" w:eastAsia="Times New Roman" w:hint="default"/>
        </w:rPr>
        <w:t>3</w:t>
      </w:r>
      <w:r>
        <w:rPr/>
        <w:t>）其他说明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营业收入和营业成本" w:id="503"/>
      <w:bookmarkEnd w:id="503"/>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95"/>
        <w:gridCol w:w="1838"/>
        <w:gridCol w:w="1913"/>
        <w:gridCol w:w="1913"/>
        <w:gridCol w:w="1913"/>
      </w:tblGrid>
      <w:tr>
        <w:trPr>
          <w:trHeight w:val="402"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943,770,472.04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807,793,024.26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898,779,265.07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793,345,775.37</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108,116,207.96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106,368,817.39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127,021,773.06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125,358,990.23</w:t>
            </w:r>
          </w:p>
        </w:tc>
      </w:tr>
      <w:tr>
        <w:trPr>
          <w:trHeight w:val="403"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1,051,886,680.00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914,161,841.65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1,025,801,038.13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918,704,765.60</w:t>
            </w:r>
          </w:p>
        </w:tc>
      </w:tr>
    </w:tbl>
    <w:p>
      <w:pPr>
        <w:pStyle w:val="BodyText"/>
        <w:spacing w:line="357" w:lineRule="auto" w:before="51"/>
        <w:ind w:right="9852"/>
        <w:jc w:val="left"/>
      </w:pPr>
      <w:r>
        <w:rPr/>
        <w:t>其他说明： 无</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5、投资收益" w:id="504"/>
      <w:bookmarkEnd w:id="504"/>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8,996,382.24</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14,409,177.15</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18,819,908.77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银行理财产品收益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1,008,247.72</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28,824,538.73</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14,409,177.15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其他" w:id="505"/>
      <w:bookmarkEnd w:id="505"/>
      <w:r>
        <w:rPr>
          <w:b w:val="0"/>
          <w:bCs w:val="0"/>
        </w:rPr>
      </w:r>
      <w:r>
        <w:rPr>
          <w:rFonts w:ascii="Times New Roman" w:hAnsi="Times New Roman" w:cs="Times New Roman" w:eastAsia="Times New Roman" w:hint="default"/>
        </w:rPr>
        <w:t>6</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十八、补充资料" w:id="506"/>
      <w:bookmarkEnd w:id="506"/>
      <w:r>
        <w:rPr>
          <w:b w:val="0"/>
          <w:bCs w:val="0"/>
        </w:rPr>
      </w:r>
      <w:r>
        <w:rPr/>
        <w:t>十八、补充资料</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当期非经常性损益明细表" w:id="507"/>
      <w:bookmarkEnd w:id="507"/>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 适用 □ 不适用</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18,606,240.49</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674"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49"/>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 密切相关，按照国家统一标准定额或定</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12,528,101.08</w:t>
            </w:r>
          </w:p>
        </w:tc>
        <w:tc>
          <w:tcPr>
            <w:tcW w:w="318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17" w:footer="1019" w:top="1120" w:bottom="1200" w:left="980" w:right="0"/>
        </w:sectPr>
      </w:pPr>
    </w:p>
    <w:p>
      <w:pPr>
        <w:spacing w:line="240" w:lineRule="auto" w:before="4"/>
        <w:rPr>
          <w:rFonts w:ascii="宋体" w:hAnsi="宋体" w:cs="宋体" w:eastAsia="宋体" w:hint="default"/>
          <w:sz w:val="23"/>
          <w:szCs w:val="23"/>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36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量享受的政府补助除外）</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49"/>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 金占用费</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305,883.86</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49"/>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 出</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2,499,046.17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5,790,330.48</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-7.99</w:t>
            </w:r>
            <w:r>
              <w:rPr>
                <w:rFonts w:ascii="Times New Roman"/>
                <w:sz w:val="18"/>
              </w:rPr>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28,148,949.11</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left="514" w:right="0"/>
        <w:jc w:val="left"/>
      </w:pPr>
      <w:r>
        <w:rPr/>
        <w:t>对公司根据《公开发行证券的公司信息披露解释性公告第</w:t>
      </w:r>
      <w:r>
        <w:rPr>
          <w:spacing w:val="-48"/>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spacing w:val="-3"/>
        </w:rPr>
        <w:t>号——非经常性损益》定义界定的非经常性损益项目，以及</w:t>
      </w:r>
    </w:p>
    <w:p>
      <w:pPr>
        <w:pStyle w:val="BodyText"/>
        <w:spacing w:line="302" w:lineRule="auto" w:before="61"/>
        <w:ind w:right="1116"/>
        <w:jc w:val="left"/>
      </w:pPr>
      <w:r>
        <w:rPr>
          <w:spacing w:val="-2"/>
        </w:rPr>
        <w:t>把《公开发行证券的公司信息披露解释性公告第</w:t>
      </w:r>
      <w:r>
        <w:rPr/>
        <w:t> </w:t>
      </w:r>
      <w:r>
        <w:rPr>
          <w:rFonts w:ascii="Times New Roman" w:hAnsi="Times New Roman" w:cs="Times New Roman" w:eastAsia="Times New Roman" w:hint="default"/>
        </w:rPr>
        <w:t>1</w:t>
      </w:r>
      <w:r>
        <w:rPr>
          <w:rFonts w:ascii="Times New Roman" w:hAnsi="Times New Roman" w:cs="Times New Roman" w:eastAsia="Times New Roman" w:hint="default"/>
          <w:spacing w:val="-23"/>
        </w:rPr>
        <w:t> </w:t>
      </w:r>
      <w:r>
        <w:rPr>
          <w:spacing w:val="-2"/>
        </w:rPr>
        <w:t>号——非经常性损益》中列举的非经常性损益项目界定为经常性损益的项</w:t>
      </w:r>
      <w:r>
        <w:rPr/>
        <w:t> 目，应说明原因。</w:t>
      </w:r>
    </w:p>
    <w:p>
      <w:pPr>
        <w:pStyle w:val="BodyText"/>
        <w:spacing w:line="240" w:lineRule="auto" w:before="70"/>
        <w:ind w:right="0"/>
        <w:jc w:val="left"/>
      </w:pPr>
      <w:r>
        <w:rPr/>
        <w:t>□ 适用 √ 不适用</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净资产收益率及每股收益" w:id="508"/>
      <w:bookmarkEnd w:id="508"/>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662"/>
        <w:gridCol w:w="3081"/>
        <w:gridCol w:w="1913"/>
        <w:gridCol w:w="1913"/>
      </w:tblGrid>
      <w:tr>
        <w:trPr>
          <w:trHeight w:val="402" w:hRule="exact"/>
        </w:trPr>
        <w:tc>
          <w:tcPr>
            <w:tcW w:w="2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876"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634"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402" w:hRule="exact"/>
        </w:trPr>
        <w:tc>
          <w:tcPr>
            <w:tcW w:w="2662" w:type="dxa"/>
            <w:vMerge/>
            <w:tcBorders>
              <w:left w:val="single" w:sz="4" w:space="0" w:color="000000"/>
              <w:bottom w:val="single" w:sz="4" w:space="0" w:color="000000"/>
              <w:right w:val="single" w:sz="4" w:space="0" w:color="000000"/>
            </w:tcBorders>
            <w:shd w:val="clear" w:color="auto" w:fill="D2D2D2"/>
          </w:tcPr>
          <w:p>
            <w:pPr/>
          </w:p>
        </w:tc>
        <w:tc>
          <w:tcPr>
            <w:tcW w:w="3081" w:type="dxa"/>
            <w:vMerge/>
            <w:tcBorders>
              <w:left w:val="single" w:sz="4" w:space="0" w:color="000000"/>
              <w:bottom w:val="single" w:sz="4" w:space="0" w:color="000000"/>
              <w:right w:val="single" w:sz="4" w:space="0" w:color="000000"/>
            </w:tcBorders>
            <w:shd w:val="clear" w:color="auto" w:fill="D2D2D2"/>
          </w:tcPr>
          <w:p>
            <w:pP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
              <w:jc w:val="right"/>
              <w:rPr>
                <w:rFonts w:ascii="宋体" w:hAnsi="宋体" w:cs="宋体" w:eastAsia="宋体" w:hint="default"/>
                <w:sz w:val="18"/>
                <w:szCs w:val="18"/>
              </w:rPr>
            </w:pPr>
            <w:r>
              <w:rPr>
                <w:rFonts w:ascii="宋体" w:hAnsi="宋体" w:cs="宋体" w:eastAsia="宋体" w:hint="default"/>
                <w:spacing w:val="-6"/>
                <w:sz w:val="18"/>
                <w:szCs w:val="18"/>
              </w:rPr>
              <w:t>基本每股收益（元</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股）</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pacing w:val="-6"/>
                <w:sz w:val="18"/>
                <w:szCs w:val="18"/>
              </w:rPr>
              <w:t>稀释每股收益（元</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股）</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207"/>
              <w:jc w:val="left"/>
              <w:rPr>
                <w:rFonts w:ascii="宋体" w:hAnsi="宋体" w:cs="宋体" w:eastAsia="宋体" w:hint="default"/>
                <w:sz w:val="18"/>
                <w:szCs w:val="18"/>
              </w:rPr>
            </w:pPr>
            <w:r>
              <w:rPr>
                <w:rFonts w:ascii="宋体" w:hAnsi="宋体" w:cs="宋体" w:eastAsia="宋体" w:hint="default"/>
                <w:sz w:val="18"/>
                <w:szCs w:val="18"/>
              </w:rPr>
              <w:t>归属于公司普通股股东的净利 润</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-0.18</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-0.18</w:t>
            </w:r>
            <w:r>
              <w:rPr>
                <w:rFonts w:ascii="Times New Roman"/>
                <w:sz w:val="18"/>
              </w:rPr>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207"/>
              <w:jc w:val="left"/>
              <w:rPr>
                <w:rFonts w:ascii="宋体" w:hAnsi="宋体" w:cs="宋体" w:eastAsia="宋体" w:hint="default"/>
                <w:sz w:val="18"/>
                <w:szCs w:val="18"/>
              </w:rPr>
            </w:pPr>
            <w:r>
              <w:rPr>
                <w:rFonts w:ascii="宋体" w:hAnsi="宋体" w:cs="宋体" w:eastAsia="宋体" w:hint="default"/>
                <w:sz w:val="18"/>
                <w:szCs w:val="18"/>
              </w:rPr>
              <w:t>扣除非经常性损益后归属于公 司普通股股东的净利润</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-6.38%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-0.23</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-0.23</w:t>
            </w:r>
            <w:r>
              <w:rPr>
                <w:rFonts w:ascii="Times New Roman"/>
                <w:sz w:val="18"/>
              </w:rPr>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3、境内外会计准则下会计数据差异" w:id="509"/>
      <w:bookmarkEnd w:id="509"/>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同时按照国际会计准则与按中国会计准则披露的财务报告中净利润和净资产差异情况" w:id="510"/>
      <w:bookmarkEnd w:id="510"/>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同时按照境外会计准则与按中国会计准则披露的财务报告中净利润和净资产差异情况" w:id="511"/>
      <w:bookmarkEnd w:id="511"/>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 不适用</w:t>
      </w:r>
    </w:p>
    <w:p>
      <w:pPr>
        <w:spacing w:line="240" w:lineRule="auto" w:before="11"/>
        <w:rPr>
          <w:rFonts w:ascii="宋体" w:hAnsi="宋体" w:cs="宋体" w:eastAsia="宋体" w:hint="default"/>
          <w:sz w:val="26"/>
          <w:szCs w:val="26"/>
        </w:rPr>
      </w:pPr>
    </w:p>
    <w:p>
      <w:pPr>
        <w:pStyle w:val="Heading3"/>
        <w:spacing w:line="259" w:lineRule="auto"/>
        <w:ind w:right="0"/>
        <w:jc w:val="left"/>
        <w:rPr>
          <w:b w:val="0"/>
          <w:bCs w:val="0"/>
        </w:rPr>
      </w:pPr>
      <w:bookmarkStart w:name="（3）境内外会计准则下会计数据差异原因说明，对已经境外审计机构审计的数据进行差异" w:id="512"/>
      <w:bookmarkEnd w:id="512"/>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74"/>
        </w:rPr>
        <w:t> </w:t>
      </w:r>
      <w:r>
        <w:rPr>
          <w:spacing w:val="-74"/>
        </w:rPr>
      </w:r>
      <w:r>
        <w:rPr/>
        <w:t>明该境外机构的名称</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其他" w:id="513"/>
      <w:bookmarkEnd w:id="513"/>
      <w:r>
        <w:rPr>
          <w:b w:val="0"/>
          <w:bCs w:val="0"/>
        </w:rPr>
      </w:r>
      <w:r>
        <w:rPr>
          <w:rFonts w:ascii="Times New Roman" w:hAnsi="Times New Roman" w:cs="Times New Roman" w:eastAsia="Times New Roman" w:hint="default"/>
        </w:rPr>
        <w:t>4</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917" w:footer="1019" w:top="1120" w:bottom="120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pStyle w:val="Heading1"/>
        <w:spacing w:line="240" w:lineRule="auto"/>
        <w:ind w:left="3286" w:right="0"/>
        <w:jc w:val="left"/>
        <w:rPr>
          <w:b w:val="0"/>
          <w:bCs w:val="0"/>
        </w:rPr>
      </w:pPr>
      <w:bookmarkStart w:name="第十二节 备查文件目录" w:id="514"/>
      <w:bookmarkEnd w:id="514"/>
      <w:r>
        <w:rPr>
          <w:b w:val="0"/>
          <w:bCs w:val="0"/>
        </w:rPr>
      </w:r>
      <w:bookmarkStart w:name="_bookmark11" w:id="515"/>
      <w:bookmarkEnd w:id="515"/>
      <w:r>
        <w:rPr>
          <w:b w:val="0"/>
          <w:bCs w:val="0"/>
        </w:rPr>
      </w:r>
      <w:r>
        <w:rPr/>
        <w:t>第十二节</w:t>
      </w:r>
      <w:r>
        <w:rPr>
          <w:spacing w:val="-8"/>
        </w:rPr>
        <w:t> </w:t>
      </w:r>
      <w:r>
        <w:rPr/>
        <w:t>备查文件目录</w:t>
      </w:r>
      <w:r>
        <w:rPr>
          <w:b w:val="0"/>
          <w:bCs w:val="0"/>
        </w:rPr>
      </w:r>
    </w:p>
    <w:p>
      <w:pPr>
        <w:spacing w:line="240" w:lineRule="auto" w:before="0"/>
        <w:rPr>
          <w:rFonts w:ascii="宋体" w:hAnsi="宋体" w:cs="宋体" w:eastAsia="宋体" w:hint="default"/>
          <w:b/>
          <w:bCs/>
          <w:sz w:val="32"/>
          <w:szCs w:val="32"/>
        </w:rPr>
      </w:pPr>
    </w:p>
    <w:p>
      <w:pPr>
        <w:pStyle w:val="BodyText"/>
        <w:spacing w:line="480" w:lineRule="auto" w:before="215"/>
        <w:ind w:right="3732"/>
        <w:jc w:val="left"/>
      </w:pPr>
      <w:r>
        <w:rPr/>
        <w:t>一、载有法定代表人、主管会计工作负责人、会计机构负责人签名并盖章的会计报表。 二、载有会计师事务所盖章、注册会计师签名并盖章的审计报告原件。 三、报告期内在中国证监会指定网站上公开披露过的所有公司文件的正本及公告的原稿。 四、载有法定代表人签名的</w:t>
      </w:r>
      <w:r>
        <w:rPr>
          <w:rFonts w:ascii="Times New Roman" w:hAnsi="Times New Roman" w:cs="Times New Roman" w:eastAsia="Times New Roman" w:hint="default"/>
        </w:rPr>
        <w:t>2018</w:t>
      </w:r>
      <w:r>
        <w:rPr/>
        <w:t>年年度报告全文。 五、备查文件备置地点：公司证券部办公室。</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357" w:lineRule="auto" w:before="126"/>
        <w:ind w:left="7084" w:right="1842" w:hanging="360"/>
        <w:jc w:val="left"/>
      </w:pPr>
      <w:r>
        <w:rPr/>
        <w:t>深圳市卓翼科技股份有限公司 董事长：昌智</w:t>
      </w:r>
    </w:p>
    <w:p>
      <w:pPr>
        <w:pStyle w:val="BodyText"/>
        <w:spacing w:line="240" w:lineRule="auto" w:before="29"/>
        <w:ind w:left="6904" w:right="0"/>
        <w:jc w:val="left"/>
      </w:pPr>
      <w:r>
        <w:rPr/>
        <w:t>二○一九年四月二十三日</w:t>
      </w:r>
    </w:p>
    <w:sectPr>
      <w:pgSz w:w="11910" w:h="16840"/>
      <w:pgMar w:header="917" w:footer="1019" w:top="1120" w:bottom="120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9912" type="#_x0000_t75" stroked="false">
          <v:imagedata r:id="rId1" o:title=""/>
        </v:shape>
      </w:pict>
    </w:r>
    <w:r>
      <w:rPr/>
      <w:pict>
        <v:shape style="position:absolute;margin-left:55.700001pt;margin-top:793.5979pt;width:6.5pt;height:11pt;mso-position-horizontal-relative:page;mso-position-vertical-relative:page;z-index:-103988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1pt;margin-top:533.37793pt;width:11pt;height:11pt;mso-position-horizontal-relative:page;mso-position-vertical-relative:page;z-index:-1039456"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54</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779.977905pt;width:11pt;height:11pt;mso-position-horizontal-relative:page;mso-position-vertical-relative:page;z-index:-1039432"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55</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9408" type="#_x0000_t75" stroked="false">
          <v:imagedata r:id="rId1" o:title=""/>
        </v:shape>
      </w:pict>
    </w:r>
    <w:r>
      <w:rPr/>
      <w:pict>
        <v:shape style="position:absolute;margin-left:54.700001pt;margin-top:779.977905pt;width:13pt;height:11pt;mso-position-horizontal-relative:page;mso-position-vertical-relative:page;z-index:-103938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56</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9360" type="#_x0000_t75" stroked="false">
          <v:imagedata r:id="rId1" o:title=""/>
        </v:shape>
      </w:pict>
    </w:r>
    <w:r>
      <w:rPr/>
      <w:pict>
        <v:shape style="position:absolute;margin-left:55.700001pt;margin-top:779.977905pt;width:15.5pt;height:11pt;mso-position-horizontal-relative:page;mso-position-vertical-relative:page;z-index:-1039336"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9312" type="#_x0000_t75" stroked="false">
          <v:imagedata r:id="rId1" o:title=""/>
        </v:shape>
      </w:pict>
    </w:r>
    <w:r>
      <w:rPr/>
      <w:pict>
        <v:shape style="position:absolute;margin-left:54.700001pt;margin-top:779.977905pt;width:17.5pt;height:11pt;mso-position-horizontal-relative:page;mso-position-vertical-relative:page;z-index:-103928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101</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1pt;margin-top:533.37793pt;width:15.15pt;height:11pt;mso-position-horizontal-relative:page;mso-position-vertical-relative:page;z-index:-1039216"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spacing w:val="-3"/>
                  </w:rPr>
                  <w:t>117</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34558pt;margin-top:570.43042pt;width:42.067787pt;height:18.946561pt;mso-position-horizontal-relative:page;mso-position-vertical-relative:page;z-index:-1039192" type="#_x0000_t75" stroked="false">
          <v:imagedata r:id="rId1" o:title=""/>
        </v:shape>
      </w:pict>
    </w:r>
    <w:r>
      <w:rPr/>
      <w:pict>
        <v:shape style="position:absolute;margin-left:70pt;margin-top:533.37793pt;width:17.5pt;height:11pt;mso-position-horizontal-relative:page;mso-position-vertical-relative:page;z-index:-103916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120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779.977905pt;width:15.5pt;height:11pt;mso-position-horizontal-relative:page;mso-position-vertical-relative:page;z-index:-1039096"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127</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9072" type="#_x0000_t75" stroked="false">
          <v:imagedata r:id="rId1" o:title=""/>
        </v:shape>
      </w:pict>
    </w:r>
    <w:r>
      <w:rPr/>
      <w:pict>
        <v:shape style="position:absolute;margin-left:54.700001pt;margin-top:779.977905pt;width:17.5pt;height:11pt;mso-position-horizontal-relative:page;mso-position-vertical-relative:page;z-index:-103904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128</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9024" type="#_x0000_t75" stroked="false">
          <v:imagedata r:id="rId1" o:title=""/>
        </v:shape>
      </w:pict>
    </w:r>
    <w:r>
      <w:rPr/>
      <w:pict>
        <v:shape style="position:absolute;margin-left:54.700001pt;margin-top:779.977905pt;width:17.5pt;height:11pt;mso-position-horizontal-relative:page;mso-position-vertical-relative:page;z-index:-103900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157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9864" type="#_x0000_t75" stroked="false">
          <v:imagedata r:id="rId1" o:title=""/>
        </v:shape>
      </w:pict>
    </w:r>
    <w:r>
      <w:rPr/>
      <w:pict>
        <v:shape style="position:absolute;margin-left:54.700001pt;margin-top:779.977905pt;width:13pt;height:11pt;mso-position-horizontal-relative:page;mso-position-vertical-relative:page;z-index:-103984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8976" type="#_x0000_t75" stroked="false">
          <v:imagedata r:id="rId1" o:title=""/>
        </v:shape>
      </w:pict>
    </w:r>
    <w:r>
      <w:rPr/>
      <w:pict>
        <v:shape style="position:absolute;margin-left:55.700001pt;margin-top:747.205627pt;width:47pt;height:11pt;mso-position-horizontal-relative:page;mso-position-vertical-relative:page;z-index:-1038952" type="#_x0000_t202" filled="false" stroked="false">
          <v:textbox inset="0,0,0,0">
            <w:txbxContent>
              <w:p>
                <w:pPr>
                  <w:pStyle w:val="BodyText"/>
                  <w:spacing w:line="200" w:lineRule="exact"/>
                  <w:ind w:left="20" w:right="0"/>
                  <w:jc w:val="left"/>
                </w:pPr>
                <w:r>
                  <w:rPr/>
                  <w:t>其他说明：</w:t>
                </w:r>
              </w:p>
            </w:txbxContent>
          </v:textbox>
          <w10:wrap type="none"/>
        </v:shape>
      </w:pict>
    </w:r>
    <w:r>
      <w:rPr/>
      <w:pict>
        <v:shape style="position:absolute;margin-left:54.700001pt;margin-top:779.977905pt;width:17.5pt;height:11pt;mso-position-horizontal-relative:page;mso-position-vertical-relative:page;z-index:-103892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185</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8904" type="#_x0000_t75" stroked="false">
          <v:imagedata r:id="rId1" o:title=""/>
        </v:shape>
      </w:pict>
    </w:r>
    <w:r>
      <w:rPr/>
      <w:pict>
        <v:shape style="position:absolute;margin-left:54.700001pt;margin-top:779.977905pt;width:17.5pt;height:11pt;mso-position-horizontal-relative:page;mso-position-vertical-relative:page;z-index:-103888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187</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8856" type="#_x0000_t75" stroked="false">
          <v:imagedata r:id="rId1" o:title=""/>
        </v:shape>
      </w:pict>
    </w:r>
    <w:r>
      <w:rPr/>
      <w:pict>
        <v:shape style="position:absolute;margin-left:55.700001pt;margin-top:779.977905pt;width:15.5pt;height:11pt;mso-position-horizontal-relative:page;mso-position-vertical-relative:page;z-index:-1038832"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200</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8808" type="#_x0000_t75" stroked="false">
          <v:imagedata r:id="rId1" o:title=""/>
        </v:shape>
      </w:pict>
    </w:r>
    <w:r>
      <w:rPr/>
      <w:pict>
        <v:shape style="position:absolute;margin-left:54.700001pt;margin-top:779.977905pt;width:17.5pt;height:11pt;mso-position-horizontal-relative:page;mso-position-vertical-relative:page;z-index:-103878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201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1pt;margin-top:533.37793pt;width:11pt;height:11pt;mso-position-horizontal-relative:page;mso-position-vertical-relative:page;z-index:-103976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33</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779.977905pt;width:11pt;height:11pt;mso-position-horizontal-relative:page;mso-position-vertical-relative:page;z-index:-1039744"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34</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9720" type="#_x0000_t75" stroked="false">
          <v:imagedata r:id="rId1" o:title=""/>
        </v:shape>
      </w:pict>
    </w:r>
    <w:r>
      <w:rPr/>
      <w:pict>
        <v:shape style="position:absolute;margin-left:54.700001pt;margin-top:779.977905pt;width:13pt;height:11pt;mso-position-horizontal-relative:page;mso-position-vertical-relative:page;z-index:-103969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35</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1pt;margin-top:533.37793pt;width:11pt;height:11pt;mso-position-horizontal-relative:page;mso-position-vertical-relative:page;z-index:-103964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43</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34558pt;margin-top:570.43042pt;width:42.067787pt;height:18.946561pt;mso-position-horizontal-relative:page;mso-position-vertical-relative:page;z-index:-1039624" type="#_x0000_t75" stroked="false">
          <v:imagedata r:id="rId1" o:title=""/>
        </v:shape>
      </w:pict>
    </w:r>
    <w:r>
      <w:rPr/>
      <w:pict>
        <v:shape style="position:absolute;margin-left:71pt;margin-top:533.37793pt;width:11pt;height:11pt;mso-position-horizontal-relative:page;mso-position-vertical-relative:page;z-index:-1039600"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44</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779.977905pt;width:11pt;height:11pt;mso-position-horizontal-relative:page;mso-position-vertical-relative:page;z-index:-103952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45</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39504" type="#_x0000_t75" stroked="false">
          <v:imagedata r:id="rId1" o:title=""/>
        </v:shape>
      </w:pict>
    </w:r>
    <w:r>
      <w:rPr/>
      <w:pict>
        <v:shape style="position:absolute;margin-left:54.700001pt;margin-top:779.977905pt;width:13pt;height:11pt;mso-position-horizontal-relative:page;mso-position-vertical-relative:page;z-index:-103948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46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35.160004pt;margin-top:38.305607pt;width:204.55pt;height:11.5pt;mso-position-horizontal-relative:page;mso-position-vertical-relative:page;z-index:-1039936" type="#_x0000_t202" filled="false" stroked="false">
          <v:textbox inset="0,0,0,0">
            <w:txbxContent>
              <w:p>
                <w:pPr>
                  <w:pStyle w:val="BodyText"/>
                  <w:spacing w:line="214" w:lineRule="exact"/>
                  <w:ind w:left="20" w:right="0"/>
                  <w:jc w:val="left"/>
                </w:pPr>
                <w:r>
                  <w:rPr/>
                  <w:t>深圳市卓翼科技股份有限公司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6.519981pt;width:485pt;height:.1pt;mso-position-horizontal-relative:page;mso-position-vertical-relative:page;z-index:-1039816" coordorigin="1104,1130" coordsize="9700,2">
          <v:shape style="position:absolute;left:1104;top:1130;width:9700;height:2" coordorigin="1104,1130" coordsize="9700,0" path="m1104,1130l10804,1130e" filled="false" stroked="true" strokeweight=".48pt" strokecolor="#000000">
            <v:path arrowok="t"/>
          </v:shape>
          <w10:wrap type="none"/>
        </v:group>
      </w:pict>
    </w:r>
    <w:r>
      <w:rPr/>
      <w:pict>
        <v:shape style="position:absolute;margin-left:335.160004pt;margin-top:44.845608pt;width:204.55pt;height:11.5pt;mso-position-horizontal-relative:page;mso-position-vertical-relative:page;z-index:-1039792" type="#_x0000_t202" filled="false" stroked="false">
          <v:textbox inset="0,0,0,0">
            <w:txbxContent>
              <w:p>
                <w:pPr>
                  <w:pStyle w:val="BodyText"/>
                  <w:spacing w:line="214" w:lineRule="exact"/>
                  <w:ind w:left="20" w:right="0"/>
                  <w:jc w:val="left"/>
                </w:pPr>
                <w:r>
                  <w:rPr/>
                  <w:t>深圳市卓翼科技股份有限公司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6.460022pt;margin-top:44.845631pt;width:204.55pt;height:11.5pt;mso-position-horizontal-relative:page;mso-position-vertical-relative:page;z-index:-1039672" type="#_x0000_t202" filled="false" stroked="false">
          <v:textbox inset="0,0,0,0">
            <w:txbxContent>
              <w:p>
                <w:pPr>
                  <w:pStyle w:val="BodyText"/>
                  <w:spacing w:line="214" w:lineRule="exact"/>
                  <w:ind w:left="20" w:right="0"/>
                  <w:jc w:val="left"/>
                </w:pPr>
                <w:r>
                  <w:rPr/>
                  <w:t>深圳市卓翼科技股份有限公司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6.519981pt;width:485pt;height:.1pt;mso-position-horizontal-relative:page;mso-position-vertical-relative:page;z-index:-1039576" coordorigin="1104,1130" coordsize="9700,2">
          <v:shape style="position:absolute;left:1104;top:1130;width:9700;height:2" coordorigin="1104,1130" coordsize="9700,0" path="m1104,1130l10804,1130e" filled="false" stroked="true" strokeweight=".48pt" strokecolor="#000000">
            <v:path arrowok="t"/>
          </v:shape>
          <w10:wrap type="none"/>
        </v:group>
      </w:pict>
    </w:r>
    <w:r>
      <w:rPr/>
      <w:pict>
        <v:shape style="position:absolute;margin-left:335.160004pt;margin-top:44.845608pt;width:204.55pt;height:11.5pt;mso-position-horizontal-relative:page;mso-position-vertical-relative:page;z-index:-1039552" type="#_x0000_t202" filled="false" stroked="false">
          <v:textbox inset="0,0,0,0">
            <w:txbxContent>
              <w:p>
                <w:pPr>
                  <w:pStyle w:val="BodyText"/>
                  <w:spacing w:line="214" w:lineRule="exact"/>
                  <w:ind w:left="20" w:right="0"/>
                  <w:jc w:val="left"/>
                </w:pPr>
                <w:r>
                  <w:rPr/>
                  <w:t>深圳市卓翼科技股份有限公司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pt;margin-top:56.520008pt;width:701pt;height:.1pt;mso-position-horizontal-relative:page;mso-position-vertical-relative:page;z-index:-1039264" coordorigin="1410,1130" coordsize="14020,2">
          <v:shape style="position:absolute;left:1410;top:1130;width:14020;height:2" coordorigin="1410,1130" coordsize="14020,0" path="m1410,1130l15430,1130e" filled="false" stroked="true" strokeweight=".48pt" strokecolor="#000000">
            <v:path arrowok="t"/>
          </v:shape>
          <w10:wrap type="none"/>
        </v:group>
      </w:pict>
    </w:r>
    <w:r>
      <w:rPr/>
      <w:pict>
        <v:shape style="position:absolute;margin-left:566.460022pt;margin-top:44.845631pt;width:204.55pt;height:11.5pt;mso-position-horizontal-relative:page;mso-position-vertical-relative:page;z-index:-1039240" type="#_x0000_t202" filled="false" stroked="false">
          <v:textbox inset="0,0,0,0">
            <w:txbxContent>
              <w:p>
                <w:pPr>
                  <w:pStyle w:val="BodyText"/>
                  <w:spacing w:line="214" w:lineRule="exact"/>
                  <w:ind w:left="20" w:right="0"/>
                  <w:jc w:val="left"/>
                </w:pPr>
                <w:r>
                  <w:rPr/>
                  <w:t>深圳市卓翼科技股份有限公司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6.519981pt;width:485pt;height:.1pt;mso-position-horizontal-relative:page;mso-position-vertical-relative:page;z-index:-1039144" coordorigin="1104,1130" coordsize="9700,2">
          <v:shape style="position:absolute;left:1104;top:1130;width:9700;height:2" coordorigin="1104,1130" coordsize="9700,0" path="m1104,1130l10804,1130e" filled="false" stroked="true" strokeweight=".48pt" strokecolor="#000000">
            <v:path arrowok="t"/>
          </v:shape>
          <w10:wrap type="none"/>
        </v:group>
      </w:pict>
    </w:r>
    <w:r>
      <w:rPr/>
      <w:pict>
        <v:shape style="position:absolute;margin-left:335.160004pt;margin-top:44.845608pt;width:204.55pt;height:11.5pt;mso-position-horizontal-relative:page;mso-position-vertical-relative:page;z-index:-1039120" type="#_x0000_t202" filled="false" stroked="false">
          <v:textbox inset="0,0,0,0">
            <w:txbxContent>
              <w:p>
                <w:pPr>
                  <w:pStyle w:val="BodyText"/>
                  <w:spacing w:line="214" w:lineRule="exact"/>
                  <w:ind w:left="20" w:right="0"/>
                  <w:jc w:val="left"/>
                </w:pPr>
                <w:r>
                  <w:rPr/>
                  <w:t>深圳市卓翼科技股份有限公司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93"/>
      <w:ind w:left="154"/>
    </w:pPr>
    <w:rPr>
      <w:rFonts w:ascii="宋体" w:hAnsi="宋体" w:eastAsia="宋体"/>
      <w:sz w:val="24"/>
      <w:szCs w:val="24"/>
    </w:rPr>
  </w:style>
  <w:style w:styleId="BodyText" w:type="paragraph">
    <w:name w:val="Body Text"/>
    <w:basedOn w:val="Normal"/>
    <w:uiPriority w:val="1"/>
    <w:qFormat/>
    <w:pPr>
      <w:ind w:left="154"/>
    </w:pPr>
    <w:rPr>
      <w:rFonts w:ascii="宋体" w:hAnsi="宋体" w:eastAsia="宋体"/>
      <w:sz w:val="18"/>
      <w:szCs w:val="18"/>
    </w:rPr>
  </w:style>
  <w:style w:styleId="Heading1" w:type="paragraph">
    <w:name w:val="Heading 1"/>
    <w:basedOn w:val="Normal"/>
    <w:uiPriority w:val="1"/>
    <w:qFormat/>
    <w:pPr>
      <w:spacing w:before="1"/>
      <w:outlineLvl w:val="1"/>
    </w:pPr>
    <w:rPr>
      <w:rFonts w:ascii="宋体" w:hAnsi="宋体" w:eastAsia="宋体"/>
      <w:b/>
      <w:bCs/>
      <w:sz w:val="32"/>
      <w:szCs w:val="32"/>
    </w:rPr>
  </w:style>
  <w:style w:styleId="Heading2" w:type="paragraph">
    <w:name w:val="Heading 2"/>
    <w:basedOn w:val="Normal"/>
    <w:uiPriority w:val="1"/>
    <w:qFormat/>
    <w:pPr>
      <w:ind w:left="154"/>
      <w:outlineLvl w:val="2"/>
    </w:pPr>
    <w:rPr>
      <w:rFonts w:ascii="宋体" w:hAnsi="宋体" w:eastAsia="宋体"/>
      <w:b/>
      <w:bCs/>
      <w:sz w:val="24"/>
      <w:szCs w:val="24"/>
    </w:rPr>
  </w:style>
  <w:style w:styleId="Heading3" w:type="paragraph">
    <w:name w:val="Heading 3"/>
    <w:basedOn w:val="Normal"/>
    <w:uiPriority w:val="1"/>
    <w:qFormat/>
    <w:pPr>
      <w:ind w:left="154"/>
      <w:outlineLvl w:val="3"/>
    </w:pPr>
    <w:rPr>
      <w:rFonts w:ascii="宋体" w:hAnsi="宋体" w:eastAsia="宋体"/>
      <w:b/>
      <w:bCs/>
      <w:sz w:val="21"/>
      <w:szCs w:val="21"/>
    </w:rPr>
  </w:style>
  <w:style w:styleId="Heading4" w:type="paragraph">
    <w:name w:val="Heading 4"/>
    <w:basedOn w:val="Normal"/>
    <w:uiPriority w:val="1"/>
    <w:qFormat/>
    <w:pPr>
      <w:spacing w:before="37"/>
      <w:ind w:left="154"/>
      <w:outlineLvl w:val="4"/>
    </w:pPr>
    <w:rPr>
      <w:rFonts w:ascii="宋体" w:hAnsi="宋体" w:eastAsia="宋体"/>
      <w:sz w:val="21"/>
      <w:szCs w:val="21"/>
    </w:rPr>
  </w:style>
  <w:style w:styleId="Heading5" w:type="paragraph">
    <w:name w:val="Heading 5"/>
    <w:basedOn w:val="Normal"/>
    <w:uiPriority w:val="1"/>
    <w:qFormat/>
    <w:pPr>
      <w:ind w:left="515"/>
      <w:outlineLvl w:val="5"/>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hyperlink" Target="http://www.zowee.com.cn/" TargetMode="External"/><Relationship Id="rId11" Type="http://schemas.openxmlformats.org/officeDocument/2006/relationships/hyperlink" Target="mailto:message@zowee.com.cn" TargetMode="External"/><Relationship Id="rId12" Type="http://schemas.openxmlformats.org/officeDocument/2006/relationships/hyperlink" Target="http://www.cninfo.com.cn/" TargetMode="External"/><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image" Target="media/image1.jpeg"/><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hyperlink" Target="http://irm.cninfo.com.cn/ssessgs/S002" TargetMode="External"/><Relationship Id="rId32" Type="http://schemas.openxmlformats.org/officeDocument/2006/relationships/header" Target="header4.xml"/><Relationship Id="rId33" Type="http://schemas.openxmlformats.org/officeDocument/2006/relationships/footer" Target="footer6.xml"/><Relationship Id="rId34" Type="http://schemas.openxmlformats.org/officeDocument/2006/relationships/footer" Target="footer7.xml"/><Relationship Id="rId35" Type="http://schemas.openxmlformats.org/officeDocument/2006/relationships/header" Target="header5.xml"/><Relationship Id="rId36" Type="http://schemas.openxmlformats.org/officeDocument/2006/relationships/footer" Target="footer8.xml"/><Relationship Id="rId37" Type="http://schemas.openxmlformats.org/officeDocument/2006/relationships/footer" Target="footer9.xml"/><Relationship Id="rId38" Type="http://schemas.openxmlformats.org/officeDocument/2006/relationships/header" Target="header6.xml"/><Relationship Id="rId39" Type="http://schemas.openxmlformats.org/officeDocument/2006/relationships/footer" Target="footer10.xml"/><Relationship Id="rId40" Type="http://schemas.openxmlformats.org/officeDocument/2006/relationships/footer" Target="footer11.xml"/><Relationship Id="rId41" Type="http://schemas.openxmlformats.org/officeDocument/2006/relationships/footer" Target="footer12.xml"/><Relationship Id="rId42" Type="http://schemas.openxmlformats.org/officeDocument/2006/relationships/image" Target="media/image16.jpeg"/><Relationship Id="rId43" Type="http://schemas.openxmlformats.org/officeDocument/2006/relationships/footer" Target="footer13.xml"/><Relationship Id="rId44" Type="http://schemas.openxmlformats.org/officeDocument/2006/relationships/footer" Target="footer14.xml"/><Relationship Id="rId45" Type="http://schemas.openxmlformats.org/officeDocument/2006/relationships/header" Target="header7.xml"/><Relationship Id="rId46" Type="http://schemas.openxmlformats.org/officeDocument/2006/relationships/footer" Target="footer15.xml"/><Relationship Id="rId47" Type="http://schemas.openxmlformats.org/officeDocument/2006/relationships/footer" Target="footer16.xml"/><Relationship Id="rId48" Type="http://schemas.openxmlformats.org/officeDocument/2006/relationships/header" Target="header8.xml"/><Relationship Id="rId49" Type="http://schemas.openxmlformats.org/officeDocument/2006/relationships/footer" Target="footer17.xml"/><Relationship Id="rId50" Type="http://schemas.openxmlformats.org/officeDocument/2006/relationships/footer" Target="footer18.xml"/><Relationship Id="rId51" Type="http://schemas.openxmlformats.org/officeDocument/2006/relationships/footer" Target="footer19.xml"/><Relationship Id="rId52" Type="http://schemas.openxmlformats.org/officeDocument/2006/relationships/footer" Target="footer20.xml"/><Relationship Id="rId53" Type="http://schemas.openxmlformats.org/officeDocument/2006/relationships/footer" Target="footer21.xml"/><Relationship Id="rId54" Type="http://schemas.openxmlformats.org/officeDocument/2006/relationships/footer" Target="footer22.xml"/><Relationship Id="rId55" Type="http://schemas.openxmlformats.org/officeDocument/2006/relationships/footer" Target="footer23.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2.xml.rels><?xml version="1.0" encoding="UTF-8" standalone="yes"?>
<Relationships xmlns="http://schemas.openxmlformats.org/package/2006/relationships"><Relationship Id="rId1" Type="http://schemas.openxmlformats.org/officeDocument/2006/relationships/image" Target="media/image1.jpeg"/></Relationships>

</file>

<file path=word/_rels/footer13.xml.rels><?xml version="1.0" encoding="UTF-8" standalone="yes"?>
<Relationships xmlns="http://schemas.openxmlformats.org/package/2006/relationships"><Relationship Id="rId1" Type="http://schemas.openxmlformats.org/officeDocument/2006/relationships/image" Target="media/image1.jpeg"/></Relationships>

</file>

<file path=word/_rels/footer14.xml.rels><?xml version="1.0" encoding="UTF-8" standalone="yes"?>
<Relationships xmlns="http://schemas.openxmlformats.org/package/2006/relationships"><Relationship Id="rId1" Type="http://schemas.openxmlformats.org/officeDocument/2006/relationships/image" Target="media/image1.jpeg"/></Relationships>

</file>

<file path=word/_rels/footer16.xml.rels><?xml version="1.0" encoding="UTF-8" standalone="yes"?>
<Relationships xmlns="http://schemas.openxmlformats.org/package/2006/relationships"><Relationship Id="rId1" Type="http://schemas.openxmlformats.org/officeDocument/2006/relationships/image" Target="media/image1.jpeg"/></Relationships>

</file>

<file path=word/_rels/footer18.xml.rels><?xml version="1.0" encoding="UTF-8" standalone="yes"?>
<Relationships xmlns="http://schemas.openxmlformats.org/package/2006/relationships"><Relationship Id="rId1" Type="http://schemas.openxmlformats.org/officeDocument/2006/relationships/image" Target="media/image1.jpeg"/></Relationships>

</file>

<file path=word/_rels/footer19.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20.xml.rels><?xml version="1.0" encoding="UTF-8" standalone="yes"?>
<Relationships xmlns="http://schemas.openxmlformats.org/package/2006/relationships"><Relationship Id="rId1" Type="http://schemas.openxmlformats.org/officeDocument/2006/relationships/image" Target="media/image1.jpeg"/></Relationships>

</file>

<file path=word/_rels/footer21.xml.rels><?xml version="1.0" encoding="UTF-8" standalone="yes"?>
<Relationships xmlns="http://schemas.openxmlformats.org/package/2006/relationships"><Relationship Id="rId1" Type="http://schemas.openxmlformats.org/officeDocument/2006/relationships/image" Target="media/image1.jpeg"/></Relationships>

</file>

<file path=word/_rels/footer22.xml.rels><?xml version="1.0" encoding="UTF-8" standalone="yes"?>
<Relationships xmlns="http://schemas.openxmlformats.org/package/2006/relationships"><Relationship Id="rId1" Type="http://schemas.openxmlformats.org/officeDocument/2006/relationships/image" Target="media/image1.jpeg"/></Relationships>

</file>

<file path=word/_rels/footer23.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zhangfh</dc:creator>
  <dcterms:created xsi:type="dcterms:W3CDTF">2020-05-05T01:16:57Z</dcterms:created>
  <dcterms:modified xsi:type="dcterms:W3CDTF">2020-05-05T01:16:57Z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2019-04-22T00:00:00Z</vt:filetime>
  </property>
  <property fmtid="{D5CDD505-2E9C-101B-9397-08002B2CF9AE}" pid="3" name="Creator">
    <vt:lpwstr>Microsoft® Office Word 2007</vt:lpwstr>
  </property>
  <property fmtid="{D5CDD505-2E9C-101B-9397-08002B2CF9AE}" pid="4" name="LastSaved">
    <vt:filetime>2020-05-04T00:00:00Z</vt:filetime>
  </property>
</Properties>
</file>