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76"/>
        <w:ind w:left="1797" w:right="2782" w:firstLine="0"/>
        <w:jc w:val="center"/>
        <w:rPr>
          <w:rFonts w:ascii="宋体" w:hAnsi="宋体" w:cs="宋体" w:eastAsia="宋体" w:hint="default"/>
          <w:sz w:val="48"/>
          <w:szCs w:val="48"/>
        </w:rPr>
      </w:pPr>
      <w:r>
        <w:rPr/>
        <w:pict>
          <v:group style="position:absolute;margin-left:55.575001pt;margin-top:-84.143776pt;width:485.85pt;height:.1pt;mso-position-horizontal-relative:page;mso-position-vertical-relative:paragraph;z-index:0" coordorigin="1112,-1683" coordsize="9717,2">
            <v:shape style="position:absolute;left:1112;top:-1683;width:9717;height:2" coordorigin="1112,-1683" coordsize="9717,0" path="m1112,-1683l10829,-1683e" filled="false" stroked="true" strokeweight=".75pt" strokecolor="#000000">
              <v:path arrowok="t"/>
            </v:shape>
            <w10:wrap type="none"/>
          </v:group>
        </w:pict>
      </w:r>
      <w:r>
        <w:rPr>
          <w:rFonts w:ascii="宋体" w:hAnsi="宋体" w:cs="宋体" w:eastAsia="宋体" w:hint="default"/>
          <w:b/>
          <w:bCs/>
          <w:spacing w:val="2"/>
          <w:sz w:val="48"/>
          <w:szCs w:val="48"/>
        </w:rPr>
        <w:t>深圳市卓翼科技股份有限公司</w:t>
      </w:r>
      <w:r>
        <w:rPr>
          <w:rFonts w:ascii="宋体" w:hAnsi="宋体" w:cs="宋体" w:eastAsia="宋体" w:hint="default"/>
          <w:spacing w:val="2"/>
          <w:sz w:val="48"/>
          <w:szCs w:val="48"/>
        </w:rPr>
      </w:r>
    </w:p>
    <w:p>
      <w:pPr>
        <w:spacing w:before="347"/>
        <w:ind w:left="1797" w:right="2764" w:firstLine="0"/>
        <w:jc w:val="center"/>
        <w:rPr>
          <w:rFonts w:ascii="宋体" w:hAnsi="宋体" w:cs="宋体" w:eastAsia="宋体" w:hint="default"/>
          <w:sz w:val="30"/>
          <w:szCs w:val="30"/>
        </w:rPr>
      </w:pPr>
      <w:r>
        <w:rPr>
          <w:rFonts w:ascii="宋体" w:hAnsi="宋体" w:cs="宋体" w:eastAsia="宋体" w:hint="default"/>
          <w:b/>
          <w:bCs/>
          <w:sz w:val="30"/>
          <w:szCs w:val="30"/>
        </w:rPr>
        <w:t>（</w:t>
      </w:r>
      <w:r>
        <w:rPr>
          <w:rFonts w:ascii="宋体" w:hAnsi="宋体" w:cs="宋体" w:eastAsia="宋体" w:hint="default"/>
          <w:b/>
          <w:bCs/>
          <w:sz w:val="30"/>
          <w:szCs w:val="30"/>
        </w:rPr>
        <w:t>SHENZHEN ZOWEE TECHNOLOGY </w:t>
      </w:r>
      <w:r>
        <w:rPr>
          <w:rFonts w:ascii="宋体" w:hAnsi="宋体" w:cs="宋体" w:eastAsia="宋体" w:hint="default"/>
          <w:b/>
          <w:bCs/>
          <w:spacing w:val="3"/>
          <w:sz w:val="30"/>
          <w:szCs w:val="30"/>
        </w:rPr>
        <w:t>CO.,</w:t>
      </w:r>
      <w:r>
        <w:rPr>
          <w:rFonts w:ascii="宋体" w:hAnsi="宋体" w:cs="宋体" w:eastAsia="宋体" w:hint="default"/>
          <w:b/>
          <w:bCs/>
          <w:spacing w:val="-7"/>
          <w:sz w:val="30"/>
          <w:szCs w:val="30"/>
        </w:rPr>
        <w:t> </w:t>
      </w:r>
      <w:r>
        <w:rPr>
          <w:rFonts w:ascii="宋体" w:hAnsi="宋体" w:cs="宋体" w:eastAsia="宋体" w:hint="default"/>
          <w:b/>
          <w:bCs/>
          <w:sz w:val="30"/>
          <w:szCs w:val="30"/>
        </w:rPr>
        <w:t>LTD.</w:t>
      </w:r>
      <w:r>
        <w:rPr>
          <w:rFonts w:ascii="宋体" w:hAnsi="宋体" w:cs="宋体" w:eastAsia="宋体" w:hint="default"/>
          <w:b/>
          <w:bCs/>
          <w:sz w:val="30"/>
          <w:szCs w:val="30"/>
        </w:rPr>
        <w:t>）</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3"/>
          <w:szCs w:val="13"/>
        </w:rPr>
      </w:pPr>
    </w:p>
    <w:p>
      <w:pPr>
        <w:spacing w:line="2790" w:lineRule="exact"/>
        <w:ind w:left="2375" w:right="0" w:firstLine="0"/>
        <w:rPr>
          <w:rFonts w:ascii="宋体" w:hAnsi="宋体" w:cs="宋体" w:eastAsia="宋体" w:hint="default"/>
          <w:sz w:val="20"/>
          <w:szCs w:val="20"/>
        </w:rPr>
      </w:pPr>
      <w:r>
        <w:rPr>
          <w:rFonts w:ascii="宋体" w:hAnsi="宋体" w:cs="宋体" w:eastAsia="宋体" w:hint="default"/>
          <w:position w:val="-55"/>
          <w:sz w:val="20"/>
          <w:szCs w:val="20"/>
        </w:rPr>
        <w:drawing>
          <wp:inline distT="0" distB="0" distL="0" distR="0">
            <wp:extent cx="3286125" cy="17716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286125" cy="1771650"/>
                    </a:xfrm>
                    <a:prstGeom prst="rect">
                      <a:avLst/>
                    </a:prstGeom>
                  </pic:spPr>
                </pic:pic>
              </a:graphicData>
            </a:graphic>
          </wp:inline>
        </w:drawing>
      </w:r>
      <w:r>
        <w:rPr>
          <w:rFonts w:ascii="宋体" w:hAnsi="宋体" w:cs="宋体" w:eastAsia="宋体" w:hint="default"/>
          <w:position w:val="-55"/>
          <w:sz w:val="20"/>
          <w:szCs w:val="20"/>
        </w:rPr>
      </w:r>
    </w:p>
    <w:p>
      <w:pPr>
        <w:spacing w:line="240" w:lineRule="auto" w:before="8"/>
        <w:rPr>
          <w:rFonts w:ascii="宋体" w:hAnsi="宋体" w:cs="宋体" w:eastAsia="宋体" w:hint="default"/>
          <w:b/>
          <w:bCs/>
          <w:sz w:val="29"/>
          <w:szCs w:val="29"/>
        </w:rPr>
      </w:pPr>
    </w:p>
    <w:p>
      <w:pPr>
        <w:spacing w:line="535" w:lineRule="exact" w:before="0"/>
        <w:ind w:left="1797" w:right="2781" w:firstLine="0"/>
        <w:jc w:val="center"/>
        <w:rPr>
          <w:rFonts w:ascii="宋体" w:hAnsi="宋体" w:cs="宋体" w:eastAsia="宋体" w:hint="default"/>
          <w:sz w:val="43"/>
          <w:szCs w:val="43"/>
        </w:rPr>
      </w:pPr>
      <w:r>
        <w:rPr>
          <w:rFonts w:ascii="宋体" w:hAnsi="宋体" w:cs="宋体" w:eastAsia="宋体" w:hint="default"/>
          <w:b/>
          <w:bCs/>
          <w:spacing w:val="4"/>
          <w:sz w:val="43"/>
          <w:szCs w:val="43"/>
        </w:rPr>
        <w:t>2019</w:t>
      </w:r>
      <w:r>
        <w:rPr>
          <w:rFonts w:ascii="宋体" w:hAnsi="宋体" w:cs="宋体" w:eastAsia="宋体" w:hint="default"/>
          <w:b/>
          <w:bCs/>
          <w:spacing w:val="-74"/>
          <w:sz w:val="43"/>
          <w:szCs w:val="43"/>
        </w:rPr>
        <w:t> </w:t>
      </w:r>
      <w:r>
        <w:rPr>
          <w:rFonts w:ascii="宋体" w:hAnsi="宋体" w:cs="宋体" w:eastAsia="宋体" w:hint="default"/>
          <w:b/>
          <w:bCs/>
          <w:spacing w:val="5"/>
          <w:sz w:val="43"/>
          <w:szCs w:val="43"/>
        </w:rPr>
        <w:t>年年度报告</w:t>
      </w:r>
      <w:r>
        <w:rPr>
          <w:rFonts w:ascii="宋体" w:hAnsi="宋体" w:cs="宋体" w:eastAsia="宋体" w:hint="default"/>
          <w:spacing w:val="5"/>
          <w:sz w:val="43"/>
          <w:szCs w:val="43"/>
        </w:rPr>
      </w: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0"/>
        <w:rPr>
          <w:rFonts w:ascii="宋体" w:hAnsi="宋体" w:cs="宋体" w:eastAsia="宋体" w:hint="default"/>
          <w:b/>
          <w:bCs/>
          <w:sz w:val="44"/>
          <w:szCs w:val="44"/>
        </w:rPr>
      </w:pPr>
    </w:p>
    <w:p>
      <w:pPr>
        <w:spacing w:line="240" w:lineRule="auto" w:before="9"/>
        <w:rPr>
          <w:rFonts w:ascii="宋体" w:hAnsi="宋体" w:cs="宋体" w:eastAsia="宋体" w:hint="default"/>
          <w:b/>
          <w:bCs/>
          <w:sz w:val="35"/>
          <w:szCs w:val="35"/>
        </w:rPr>
      </w:pPr>
    </w:p>
    <w:p>
      <w:pPr>
        <w:spacing w:before="0"/>
        <w:ind w:left="1797" w:right="2779"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2020 </w:t>
      </w:r>
      <w:r>
        <w:rPr>
          <w:rFonts w:ascii="宋体" w:hAnsi="宋体" w:cs="宋体" w:eastAsia="宋体" w:hint="default"/>
          <w:b/>
          <w:bCs/>
          <w:sz w:val="31"/>
          <w:szCs w:val="31"/>
        </w:rPr>
        <w:t>年 </w:t>
      </w:r>
      <w:r>
        <w:rPr>
          <w:rFonts w:ascii="Times New Roman" w:hAnsi="Times New Roman" w:cs="Times New Roman" w:eastAsia="Times New Roman" w:hint="default"/>
          <w:b/>
          <w:bCs/>
          <w:sz w:val="31"/>
          <w:szCs w:val="31"/>
        </w:rPr>
        <w:t>4</w:t>
      </w:r>
      <w:r>
        <w:rPr>
          <w:rFonts w:ascii="Times New Roman" w:hAnsi="Times New Roman" w:cs="Times New Roman" w:eastAsia="Times New Roman" w:hint="default"/>
          <w:b/>
          <w:bCs/>
          <w:spacing w:val="-50"/>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after="0"/>
        <w:jc w:val="center"/>
        <w:rPr>
          <w:rFonts w:ascii="宋体" w:hAnsi="宋体" w:cs="宋体" w:eastAsia="宋体" w:hint="default"/>
          <w:sz w:val="31"/>
          <w:szCs w:val="31"/>
        </w:rPr>
        <w:sectPr>
          <w:headerReference w:type="default" r:id="rId5"/>
          <w:footerReference w:type="default" r:id="rId6"/>
          <w:type w:val="continuous"/>
          <w:pgSz w:w="11910" w:h="16850"/>
          <w:pgMar w:header="731" w:footer="981" w:top="1040" w:bottom="1180" w:left="1000" w:right="0"/>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1"/>
        <w:spacing w:line="240" w:lineRule="auto"/>
        <w:ind w:left="2875" w:right="0"/>
        <w:jc w:val="left"/>
        <w:rPr>
          <w:b w:val="0"/>
          <w:bCs w:val="0"/>
        </w:rPr>
      </w:pPr>
      <w:bookmarkStart w:name="第一节重要提示、目录和释义" w:id="1"/>
      <w:bookmarkEnd w:id="1"/>
      <w:r>
        <w:rPr>
          <w:b w:val="0"/>
          <w:bCs w:val="0"/>
        </w:rPr>
      </w:r>
      <w:bookmarkStart w:name="_bookmark0" w:id="2"/>
      <w:bookmarkEnd w:id="2"/>
      <w:r>
        <w:rPr>
          <w:b w:val="0"/>
          <w:bCs w:val="0"/>
        </w:rPr>
      </w:r>
      <w:r>
        <w:rPr>
          <w:spacing w:val="6"/>
        </w:rPr>
        <w:t>第一节重要提示、目录和释义</w:t>
      </w:r>
      <w:r>
        <w:rPr>
          <w:b w:val="0"/>
          <w:bCs w:val="0"/>
          <w:spacing w:val="6"/>
        </w:rPr>
      </w:r>
    </w:p>
    <w:p>
      <w:pPr>
        <w:spacing w:line="240" w:lineRule="auto" w:before="0"/>
        <w:rPr>
          <w:rFonts w:ascii="宋体" w:hAnsi="宋体" w:cs="宋体" w:eastAsia="宋体" w:hint="default"/>
          <w:b/>
          <w:bCs/>
          <w:sz w:val="32"/>
          <w:szCs w:val="32"/>
        </w:rPr>
      </w:pPr>
    </w:p>
    <w:p>
      <w:pPr>
        <w:spacing w:line="408" w:lineRule="auto" w:before="216"/>
        <w:ind w:left="141" w:right="1089" w:firstLine="555"/>
        <w:jc w:val="both"/>
        <w:rPr>
          <w:rFonts w:ascii="宋体" w:hAnsi="宋体" w:cs="宋体" w:eastAsia="宋体" w:hint="default"/>
          <w:sz w:val="28"/>
          <w:szCs w:val="28"/>
        </w:rPr>
      </w:pPr>
      <w:r>
        <w:rPr>
          <w:rFonts w:ascii="宋体" w:hAnsi="宋体" w:cs="宋体" w:eastAsia="宋体" w:hint="default"/>
          <w:b/>
          <w:bCs/>
          <w:spacing w:val="-1"/>
          <w:sz w:val="28"/>
          <w:szCs w:val="28"/>
        </w:rPr>
        <w:t>公司董事会、监事会及董事、监事、高级管理人员保证年度报告内容的真</w:t>
      </w:r>
      <w:r>
        <w:rPr>
          <w:rFonts w:ascii="宋体" w:hAnsi="宋体" w:cs="宋体" w:eastAsia="宋体" w:hint="default"/>
          <w:b/>
          <w:bCs/>
          <w:w w:val="101"/>
          <w:sz w:val="28"/>
          <w:szCs w:val="28"/>
        </w:rPr>
        <w:t> </w:t>
      </w:r>
      <w:r>
        <w:rPr>
          <w:rFonts w:ascii="宋体" w:hAnsi="宋体" w:cs="宋体" w:eastAsia="宋体" w:hint="default"/>
          <w:b/>
          <w:bCs/>
          <w:spacing w:val="-1"/>
          <w:sz w:val="28"/>
          <w:szCs w:val="28"/>
        </w:rPr>
        <w:t>实、准确、完整，不存在虚假记载、误导性陈述或重大遗漏，并承担个别和连</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3"/>
          <w:sz w:val="28"/>
          <w:szCs w:val="28"/>
        </w:rPr>
        <w:t>带的法律责任。</w:t>
      </w:r>
      <w:r>
        <w:rPr>
          <w:rFonts w:ascii="宋体" w:hAnsi="宋体" w:cs="宋体" w:eastAsia="宋体" w:hint="default"/>
          <w:spacing w:val="-3"/>
          <w:sz w:val="28"/>
          <w:szCs w:val="28"/>
        </w:rPr>
      </w:r>
    </w:p>
    <w:p>
      <w:pPr>
        <w:spacing w:line="391" w:lineRule="auto" w:before="158"/>
        <w:ind w:left="141" w:right="1108" w:firstLine="555"/>
        <w:jc w:val="both"/>
        <w:rPr>
          <w:rFonts w:ascii="宋体" w:hAnsi="宋体" w:cs="宋体" w:eastAsia="宋体" w:hint="default"/>
          <w:sz w:val="28"/>
          <w:szCs w:val="28"/>
        </w:rPr>
      </w:pPr>
      <w:r>
        <w:rPr>
          <w:rFonts w:ascii="宋体" w:hAnsi="宋体" w:cs="宋体" w:eastAsia="宋体" w:hint="default"/>
          <w:b/>
          <w:bCs/>
          <w:spacing w:val="-5"/>
          <w:sz w:val="28"/>
          <w:szCs w:val="28"/>
        </w:rPr>
        <w:t>公司负责人陈新民、主管会计工作负责人谢从雄及会计机构负责人</w:t>
      </w:r>
      <w:r>
        <w:rPr>
          <w:rFonts w:ascii="Times New Roman" w:hAnsi="Times New Roman" w:cs="Times New Roman" w:eastAsia="Times New Roman" w:hint="default"/>
          <w:b/>
          <w:bCs/>
          <w:spacing w:val="-5"/>
          <w:sz w:val="28"/>
          <w:szCs w:val="28"/>
        </w:rPr>
        <w:t>(</w:t>
      </w:r>
      <w:r>
        <w:rPr>
          <w:rFonts w:ascii="宋体" w:hAnsi="宋体" w:cs="宋体" w:eastAsia="宋体" w:hint="default"/>
          <w:b/>
          <w:bCs/>
          <w:spacing w:val="-5"/>
          <w:sz w:val="28"/>
          <w:szCs w:val="28"/>
        </w:rPr>
        <w:t>会计主</w:t>
      </w:r>
      <w:r>
        <w:rPr>
          <w:rFonts w:ascii="宋体" w:hAnsi="宋体" w:cs="宋体" w:eastAsia="宋体" w:hint="default"/>
          <w:b/>
          <w:bCs/>
          <w:w w:val="101"/>
          <w:sz w:val="28"/>
          <w:szCs w:val="28"/>
        </w:rPr>
        <w:t> </w:t>
      </w:r>
      <w:r>
        <w:rPr>
          <w:rFonts w:ascii="宋体" w:hAnsi="宋体" w:cs="宋体" w:eastAsia="宋体" w:hint="default"/>
          <w:b/>
          <w:bCs/>
          <w:spacing w:val="-4"/>
          <w:sz w:val="28"/>
          <w:szCs w:val="28"/>
        </w:rPr>
        <w:t>管人员</w:t>
      </w:r>
      <w:r>
        <w:rPr>
          <w:rFonts w:ascii="Times New Roman" w:hAnsi="Times New Roman" w:cs="Times New Roman" w:eastAsia="Times New Roman" w:hint="default"/>
          <w:b/>
          <w:bCs/>
          <w:spacing w:val="-4"/>
          <w:sz w:val="28"/>
          <w:szCs w:val="28"/>
        </w:rPr>
        <w:t>)</w:t>
      </w:r>
      <w:r>
        <w:rPr>
          <w:rFonts w:ascii="宋体" w:hAnsi="宋体" w:cs="宋体" w:eastAsia="宋体" w:hint="default"/>
          <w:b/>
          <w:bCs/>
          <w:spacing w:val="-4"/>
          <w:sz w:val="28"/>
          <w:szCs w:val="28"/>
        </w:rPr>
        <w:t>韦彪声明：保证年度报告中财务报告的真实、准确、完整。</w:t>
      </w:r>
      <w:r>
        <w:rPr>
          <w:rFonts w:ascii="宋体" w:hAnsi="宋体" w:cs="宋体" w:eastAsia="宋体" w:hint="default"/>
          <w:spacing w:val="-4"/>
          <w:sz w:val="28"/>
          <w:szCs w:val="28"/>
        </w:rPr>
      </w:r>
    </w:p>
    <w:p>
      <w:pPr>
        <w:spacing w:line="472" w:lineRule="auto" w:before="138"/>
        <w:ind w:left="696"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所有董事均已出席了审议本报告的董事会会议。</w:t>
      </w:r>
      <w:r>
        <w:rPr>
          <w:rFonts w:ascii="宋体" w:hAnsi="宋体" w:cs="宋体" w:eastAsia="宋体" w:hint="default"/>
          <w:b/>
          <w:bCs/>
          <w:spacing w:val="-29"/>
          <w:sz w:val="28"/>
          <w:szCs w:val="28"/>
        </w:rPr>
        <w:t> </w:t>
      </w:r>
      <w:r>
        <w:rPr>
          <w:rFonts w:ascii="宋体" w:hAnsi="宋体" w:cs="宋体" w:eastAsia="宋体" w:hint="default"/>
          <w:b/>
          <w:bCs/>
          <w:spacing w:val="-29"/>
          <w:sz w:val="28"/>
          <w:szCs w:val="28"/>
        </w:rPr>
      </w:r>
      <w:r>
        <w:rPr>
          <w:rFonts w:ascii="宋体" w:hAnsi="宋体" w:cs="宋体" w:eastAsia="宋体" w:hint="default"/>
          <w:b/>
          <w:bCs/>
          <w:spacing w:val="-1"/>
          <w:sz w:val="28"/>
          <w:szCs w:val="28"/>
        </w:rPr>
        <w:t>本年度报告涉及未来相关经营计划、目标、发展战略等前瞻性陈述，属于</w:t>
      </w:r>
      <w:r>
        <w:rPr>
          <w:rFonts w:ascii="宋体" w:hAnsi="宋体" w:cs="宋体" w:eastAsia="宋体" w:hint="default"/>
          <w:spacing w:val="-1"/>
          <w:sz w:val="28"/>
          <w:szCs w:val="28"/>
        </w:rPr>
      </w:r>
    </w:p>
    <w:p>
      <w:pPr>
        <w:spacing w:line="412" w:lineRule="auto" w:before="0"/>
        <w:ind w:left="141" w:right="0" w:firstLine="0"/>
        <w:jc w:val="left"/>
        <w:rPr>
          <w:rFonts w:ascii="宋体" w:hAnsi="宋体" w:cs="宋体" w:eastAsia="宋体" w:hint="default"/>
          <w:sz w:val="28"/>
          <w:szCs w:val="28"/>
        </w:rPr>
      </w:pPr>
      <w:r>
        <w:rPr>
          <w:rFonts w:ascii="宋体" w:hAnsi="宋体" w:cs="宋体" w:eastAsia="宋体" w:hint="default"/>
          <w:b/>
          <w:bCs/>
          <w:spacing w:val="-1"/>
          <w:sz w:val="28"/>
          <w:szCs w:val="28"/>
        </w:rPr>
        <w:t>计划性事项，并不构成公司对投资者的实质承诺，投资者及相关人士均应当对</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4"/>
          <w:sz w:val="28"/>
          <w:szCs w:val="28"/>
        </w:rPr>
        <w:t>此保持足够的风险认识，并且应当理解计划、预测与承诺之间的差异。</w:t>
      </w:r>
      <w:r>
        <w:rPr>
          <w:rFonts w:ascii="宋体" w:hAnsi="宋体" w:cs="宋体" w:eastAsia="宋体" w:hint="default"/>
          <w:spacing w:val="-4"/>
          <w:sz w:val="28"/>
          <w:szCs w:val="28"/>
        </w:rPr>
      </w:r>
    </w:p>
    <w:p>
      <w:pPr>
        <w:spacing w:line="381" w:lineRule="auto" w:before="152"/>
        <w:ind w:left="141" w:right="1110" w:firstLine="555"/>
        <w:jc w:val="both"/>
        <w:rPr>
          <w:rFonts w:ascii="宋体" w:hAnsi="宋体" w:cs="宋体" w:eastAsia="宋体" w:hint="default"/>
          <w:sz w:val="28"/>
          <w:szCs w:val="28"/>
        </w:rPr>
      </w:pPr>
      <w:r>
        <w:rPr>
          <w:rFonts w:ascii="宋体" w:hAnsi="宋体" w:cs="宋体" w:eastAsia="宋体" w:hint="default"/>
          <w:b/>
          <w:bCs/>
          <w:spacing w:val="-2"/>
          <w:sz w:val="28"/>
          <w:szCs w:val="28"/>
        </w:rPr>
        <w:t>公司在本报告第四节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部分</w:t>
      </w:r>
      <w:r>
        <w:rPr>
          <w:rFonts w:ascii="宋体" w:hAnsi="宋体" w:cs="宋体" w:eastAsia="宋体" w:hint="default"/>
          <w:b/>
          <w:bCs/>
          <w:w w:val="101"/>
          <w:sz w:val="28"/>
          <w:szCs w:val="28"/>
        </w:rPr>
        <w:t> </w:t>
      </w:r>
      <w:r>
        <w:rPr>
          <w:rFonts w:ascii="宋体" w:hAnsi="宋体" w:cs="宋体" w:eastAsia="宋体" w:hint="default"/>
          <w:b/>
          <w:bCs/>
          <w:spacing w:val="-4"/>
          <w:sz w:val="28"/>
          <w:szCs w:val="28"/>
        </w:rPr>
        <w:t>描述了公司未来经营中可能面临的风险，敬请广大投资者注意查阅。</w:t>
      </w:r>
      <w:r>
        <w:rPr>
          <w:rFonts w:ascii="宋体" w:hAnsi="宋体" w:cs="宋体" w:eastAsia="宋体" w:hint="default"/>
          <w:spacing w:val="-4"/>
          <w:sz w:val="28"/>
          <w:szCs w:val="28"/>
        </w:rPr>
      </w:r>
    </w:p>
    <w:p>
      <w:pPr>
        <w:spacing w:before="204"/>
        <w:ind w:left="696"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公司计划不派发现金红利，不送红股，不以公积金转增股本。</w:t>
      </w:r>
      <w:r>
        <w:rPr>
          <w:rFonts w:ascii="宋体" w:hAnsi="宋体" w:cs="宋体" w:eastAsia="宋体" w:hint="default"/>
          <w:spacing w:val="-4"/>
          <w:sz w:val="28"/>
          <w:szCs w:val="28"/>
        </w:rPr>
      </w:r>
    </w:p>
    <w:p>
      <w:pPr>
        <w:spacing w:after="0"/>
        <w:jc w:val="left"/>
        <w:rPr>
          <w:rFonts w:ascii="宋体" w:hAnsi="宋体" w:cs="宋体" w:eastAsia="宋体" w:hint="default"/>
          <w:sz w:val="28"/>
          <w:szCs w:val="28"/>
        </w:rPr>
        <w:sectPr>
          <w:footerReference w:type="default" r:id="rId8"/>
          <w:pgSz w:w="11910" w:h="16850"/>
          <w:pgMar w:footer="981" w:header="731" w:top="1040" w:bottom="1180" w:left="1000" w:right="0"/>
          <w:pgNumType w:start="2"/>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Heading2"/>
        <w:spacing w:line="240" w:lineRule="auto" w:before="26"/>
        <w:ind w:left="1797" w:right="2780"/>
        <w:jc w:val="center"/>
        <w:rPr>
          <w:b w:val="0"/>
          <w:bCs w:val="0"/>
        </w:rPr>
      </w:pPr>
      <w:r>
        <w:rPr/>
        <w:t>目录</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21"/>
          <w:szCs w:val="2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6</w:t>
            </w:r>
          </w:hyperlink>
        </w:p>
        <w:p>
          <w:pPr>
            <w:pStyle w:val="TOC1"/>
            <w:tabs>
              <w:tab w:pos="9782" w:val="right" w:leader="dot"/>
            </w:tabs>
            <w:spacing w:line="240" w:lineRule="auto" w:before="177"/>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10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t>15</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42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72</w:t>
            </w:r>
          </w:hyperlink>
        </w:p>
        <w:p>
          <w:pPr>
            <w:pStyle w:val="TOC1"/>
            <w:tabs>
              <w:tab w:pos="9782" w:val="right" w:leader="dot"/>
            </w:tabs>
            <w:spacing w:line="240" w:lineRule="auto" w:before="163"/>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81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t>82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t>83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t>94</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t>101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1">
            <w:r>
              <w:rPr/>
              <w:t>第十二节 财务报告</w:t>
            </w:r>
            <w:r>
              <w:rPr>
                <w:rFonts w:ascii="Times New Roman" w:hAnsi="Times New Roman" w:cs="Times New Roman" w:eastAsia="Times New Roman" w:hint="default"/>
              </w:rPr>
              <w:tab/>
              <w:t>102</w:t>
            </w:r>
          </w:hyperlink>
        </w:p>
        <w:p>
          <w:pPr>
            <w:pStyle w:val="TOC1"/>
            <w:tabs>
              <w:tab w:pos="9782" w:val="right" w:leader="dot"/>
            </w:tabs>
            <w:spacing w:line="240" w:lineRule="auto" w:before="177"/>
            <w:ind w:right="0"/>
            <w:jc w:val="left"/>
            <w:rPr>
              <w:rFonts w:ascii="Times New Roman" w:hAnsi="Times New Roman" w:cs="Times New Roman" w:eastAsia="Times New Roman" w:hint="default"/>
            </w:rPr>
          </w:pPr>
          <w:hyperlink w:history="true" w:anchor="_bookmark12">
            <w:r>
              <w:rPr/>
              <w:t>第十三节 备查文件目录</w:t>
            </w:r>
            <w:r>
              <w:rPr>
                <w:rFonts w:ascii="Times New Roman" w:hAnsi="Times New Roman" w:cs="Times New Roman" w:eastAsia="Times New Roman" w:hint="default"/>
              </w:rPr>
              <w:tab/>
              <w:t>252</w:t>
            </w:r>
          </w:hyperlink>
        </w:p>
        <w:p>
          <w:pPr/>
          <w:r>
            <w:fldChar w:fldCharType="end"/>
          </w:r>
        </w:p>
      </w:sdtContent>
    </w:sdt>
    <w:p>
      <w:pPr>
        <w:spacing w:after="0"/>
        <w:sectPr>
          <w:pgSz w:w="11910" w:h="16850"/>
          <w:pgMar w:header="731" w:footer="981" w:top="1040" w:bottom="1180" w:left="1000" w:right="0"/>
        </w:sectPr>
      </w:pPr>
    </w:p>
    <w:p>
      <w:pPr>
        <w:spacing w:before="953"/>
        <w:ind w:left="1797" w:right="2751" w:firstLine="0"/>
        <w:jc w:val="center"/>
        <w:rPr>
          <w:rFonts w:ascii="宋体" w:hAnsi="宋体" w:cs="宋体" w:eastAsia="宋体" w:hint="default"/>
          <w:sz w:val="31"/>
          <w:szCs w:val="31"/>
        </w:rPr>
      </w:pPr>
      <w:r>
        <w:rPr>
          <w:rFonts w:ascii="宋体" w:hAnsi="宋体" w:cs="宋体" w:eastAsia="宋体" w:hint="default"/>
          <w:b/>
          <w:bCs/>
          <w:spacing w:val="14"/>
          <w:sz w:val="31"/>
          <w:szCs w:val="31"/>
        </w:rPr>
        <w:t>释义</w:t>
      </w:r>
      <w:r>
        <w:rPr>
          <w:rFonts w:ascii="宋体" w:hAnsi="宋体" w:cs="宋体" w:eastAsia="宋体" w:hint="default"/>
          <w:sz w:val="31"/>
          <w:szCs w:val="31"/>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32"/>
        <w:ind w:left="0" w:right="1127"/>
        <w:jc w:val="right"/>
      </w:pPr>
      <w:r>
        <w:rPr/>
        <w:pict>
          <v:shape style="position:absolute;margin-left:56.325001pt;margin-top:-439.288269pt;width:480.25pt;height:601.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5"/>
                    <w:gridCol w:w="593"/>
                    <w:gridCol w:w="5444"/>
                  </w:tblGrid>
                  <w:tr>
                    <w:trPr>
                      <w:trHeight w:val="405" w:hRule="exact"/>
                    </w:trPr>
                    <w:tc>
                      <w:tcPr>
                        <w:tcW w:w="35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本公司、公司、卓翼科技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证监局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深圳市卓翼科技股份有限公司章程</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股东大会、董事会、监事会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深圳市卓翼科技股份有限公司股东大会、董事会、监事会</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卓翼智造</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深圳市卓翼智造有限公司，系公司全资子公司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天津卓达科技发展有限公司，系公司全资子公司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卓大精密</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深圳市卓大精密模具有限公司，系公司全资子公司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中广物联</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深圳市中广物联科技有限公司，系公司全资子公司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翼飞投资</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深圳市翼飞投资有限公司，系公司全资子公司</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卓博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深圳市卓博机器人有限公司，系公司全资子公司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卓翼光显</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江西卓翼光显科技有限公司，系公司全资子公司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卓翼香港</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卓翼科技（香港）有限公司，系公司全资子公司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中广互联</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中广互联（厦门）信息科技有限公司，系中广物联之全资子公司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卓华联盛</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西安卓华联盛科技有限公司，系中广物联之全资子公司</w:t>
                        </w: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卓翼营销</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卓翼营销有限公司，系中广物联之香港全资子公司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深创谷</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深圳市深创谷技术服务有限公司，系翼飞投资之参股公司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深创谷（香港）</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深创谷技术（香港）有限公司，系深创谷之全资子公司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158" w:hRule="exact"/>
                    </w:trPr>
                    <w:tc>
                      <w:tcPr>
                        <w:tcW w:w="3545" w:type="dxa"/>
                        <w:vMerge w:val="restart"/>
                        <w:tcBorders>
                          <w:top w:val="single" w:sz="6" w:space="0" w:color="000000"/>
                          <w:left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3c</w:t>
                        </w:r>
                      </w:p>
                    </w:tc>
                    <w:tc>
                      <w:tcPr>
                        <w:tcW w:w="593"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302" w:lineRule="auto" w:before="45"/>
                          <w:ind w:left="30" w:right="104"/>
                          <w:jc w:val="left"/>
                          <w:rPr>
                            <w:rFonts w:ascii="宋体" w:hAnsi="宋体" w:cs="宋体" w:eastAsia="宋体" w:hint="default"/>
                            <w:sz w:val="18"/>
                            <w:szCs w:val="18"/>
                          </w:rPr>
                        </w:pPr>
                        <w:r>
                          <w:rPr>
                            <w:rFonts w:ascii="宋体" w:hAnsi="宋体" w:cs="宋体" w:eastAsia="宋体" w:hint="default"/>
                            <w:sz w:val="18"/>
                            <w:szCs w:val="18"/>
                          </w:rPr>
                          <w:t>对电脑（</w:t>
                        </w:r>
                        <w:r>
                          <w:rPr>
                            <w:rFonts w:ascii="Times New Roman" w:hAnsi="Times New Roman" w:cs="Times New Roman" w:eastAsia="Times New Roman" w:hint="default"/>
                            <w:sz w:val="18"/>
                            <w:szCs w:val="18"/>
                          </w:rPr>
                          <w:t>Computer</w:t>
                        </w:r>
                        <w:r>
                          <w:rPr>
                            <w:rFonts w:ascii="宋体" w:hAnsi="宋体" w:cs="宋体" w:eastAsia="宋体" w:hint="default"/>
                            <w:sz w:val="18"/>
                            <w:szCs w:val="18"/>
                          </w:rPr>
                          <w:t>）及其周边、通讯（</w:t>
                        </w:r>
                        <w:r>
                          <w:rPr>
                            <w:rFonts w:ascii="Times New Roman" w:hAnsi="Times New Roman" w:cs="Times New Roman" w:eastAsia="Times New Roman" w:hint="default"/>
                            <w:sz w:val="18"/>
                            <w:szCs w:val="18"/>
                          </w:rPr>
                          <w:t>Communication</w:t>
                        </w:r>
                        <w:r>
                          <w:rPr>
                            <w:rFonts w:ascii="宋体" w:hAnsi="宋体" w:cs="宋体" w:eastAsia="宋体" w:hint="default"/>
                            <w:sz w:val="18"/>
                            <w:szCs w:val="18"/>
                          </w:rPr>
                          <w:t>，多半是手机 和消费电子（</w:t>
                        </w:r>
                        <w:r>
                          <w:rPr>
                            <w:rFonts w:ascii="Times New Roman" w:hAnsi="Times New Roman" w:cs="Times New Roman" w:eastAsia="Times New Roman" w:hint="default"/>
                            <w:sz w:val="18"/>
                            <w:szCs w:val="18"/>
                          </w:rPr>
                          <w:t>Consumer</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Electronics</w:t>
                        </w:r>
                        <w:r>
                          <w:rPr>
                            <w:rFonts w:ascii="宋体" w:hAnsi="宋体" w:cs="宋体" w:eastAsia="宋体" w:hint="default"/>
                            <w:sz w:val="18"/>
                            <w:szCs w:val="18"/>
                          </w:rPr>
                          <w:t>）等三种产品的代称</w:t>
                        </w:r>
                      </w:p>
                    </w:tc>
                  </w:tr>
                  <w:tr>
                    <w:trPr>
                      <w:trHeight w:val="390" w:hRule="exact"/>
                    </w:trPr>
                    <w:tc>
                      <w:tcPr>
                        <w:tcW w:w="3545" w:type="dxa"/>
                        <w:vMerge/>
                        <w:tcBorders>
                          <w:left w:val="single" w:sz="6" w:space="0" w:color="000000"/>
                          <w:right w:val="single" w:sz="12" w:space="0" w:color="000000"/>
                        </w:tcBorders>
                      </w:tcPr>
                      <w:p>
                        <w:pPr/>
                      </w:p>
                    </w:tc>
                    <w:tc>
                      <w:tcPr>
                        <w:tcW w:w="59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158" w:hRule="exact"/>
                    </w:trPr>
                    <w:tc>
                      <w:tcPr>
                        <w:tcW w:w="3545" w:type="dxa"/>
                        <w:vMerge/>
                        <w:tcBorders>
                          <w:left w:val="single" w:sz="6" w:space="0" w:color="000000"/>
                          <w:bottom w:val="single" w:sz="6" w:space="0" w:color="000000"/>
                          <w:right w:val="single" w:sz="12" w:space="0" w:color="000000"/>
                        </w:tcBorders>
                      </w:tcPr>
                      <w:p>
                        <w:pPr/>
                      </w:p>
                    </w:tc>
                    <w:tc>
                      <w:tcPr>
                        <w:tcW w:w="593"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322" w:hRule="exact"/>
                    </w:trPr>
                    <w:tc>
                      <w:tcPr>
                        <w:tcW w:w="354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ODM</w:t>
                        </w:r>
                      </w:p>
                    </w:tc>
                    <w:tc>
                      <w:tcPr>
                        <w:tcW w:w="593"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297" w:lineRule="auto" w:before="59"/>
                          <w:ind w:left="30"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Original Design</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Manufacture</w:t>
                        </w:r>
                        <w:r>
                          <w:rPr>
                            <w:rFonts w:ascii="宋体" w:hAnsi="宋体" w:cs="宋体" w:eastAsia="宋体" w:hint="default"/>
                            <w:sz w:val="18"/>
                            <w:szCs w:val="18"/>
                          </w:rPr>
                          <w:t>（自主设计制造），结构、外观、工艺等 </w:t>
                        </w:r>
                        <w:r>
                          <w:rPr>
                            <w:rFonts w:ascii="宋体" w:hAnsi="宋体" w:cs="宋体" w:eastAsia="宋体" w:hint="default"/>
                            <w:spacing w:val="-1"/>
                            <w:sz w:val="18"/>
                            <w:szCs w:val="18"/>
                          </w:rPr>
                          <w:t>均由生产商自主开发，由客户下订单后进行生产，产品以客户的品牌</w:t>
                        </w:r>
                        <w:r>
                          <w:rPr>
                            <w:rFonts w:ascii="宋体" w:hAnsi="宋体" w:cs="宋体" w:eastAsia="宋体" w:hint="default"/>
                            <w:sz w:val="18"/>
                            <w:szCs w:val="18"/>
                          </w:rPr>
                          <w:t> 进行销售。</w:t>
                        </w:r>
                      </w:p>
                    </w:tc>
                  </w:tr>
                  <w:tr>
                    <w:trPr>
                      <w:trHeight w:val="390" w:hRule="exact"/>
                    </w:trPr>
                    <w:tc>
                      <w:tcPr>
                        <w:tcW w:w="3545" w:type="dxa"/>
                        <w:vMerge/>
                        <w:tcBorders>
                          <w:left w:val="single" w:sz="6" w:space="0" w:color="000000"/>
                          <w:right w:val="single" w:sz="6" w:space="0" w:color="000000"/>
                        </w:tcBorders>
                      </w:tcPr>
                      <w:p>
                        <w:pPr/>
                      </w:p>
                    </w:tc>
                    <w:tc>
                      <w:tcPr>
                        <w:tcW w:w="59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323" w:hRule="exact"/>
                    </w:trPr>
                    <w:tc>
                      <w:tcPr>
                        <w:tcW w:w="3545" w:type="dxa"/>
                        <w:vMerge/>
                        <w:tcBorders>
                          <w:left w:val="single" w:sz="6" w:space="0" w:color="000000"/>
                          <w:bottom w:val="single" w:sz="6" w:space="0" w:color="000000"/>
                          <w:right w:val="single" w:sz="6" w:space="0" w:color="000000"/>
                        </w:tcBorders>
                      </w:tcPr>
                      <w:p>
                        <w:pPr/>
                      </w:p>
                    </w:tc>
                    <w:tc>
                      <w:tcPr>
                        <w:tcW w:w="593"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308" w:hRule="exact"/>
                    </w:trPr>
                    <w:tc>
                      <w:tcPr>
                        <w:tcW w:w="354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pacing w:val="4"/>
                            <w:sz w:val="18"/>
                          </w:rPr>
                          <w:t>EMS</w:t>
                        </w:r>
                      </w:p>
                    </w:tc>
                    <w:tc>
                      <w:tcPr>
                        <w:tcW w:w="593" w:type="dxa"/>
                        <w:tcBorders>
                          <w:top w:val="single" w:sz="6" w:space="0" w:color="000000"/>
                          <w:left w:val="single" w:sz="6" w:space="0" w:color="000000"/>
                          <w:bottom w:val="nil" w:sz="6" w:space="0" w:color="auto"/>
                          <w:right w:val="single" w:sz="6" w:space="0" w:color="000000"/>
                        </w:tcBorders>
                        <w:shd w:val="clear" w:color="auto" w:fill="D2D2D2"/>
                      </w:tcPr>
                      <w:p>
                        <w:pPr/>
                      </w:p>
                    </w:tc>
                    <w:tc>
                      <w:tcPr>
                        <w:tcW w:w="5444" w:type="dxa"/>
                        <w:vMerge w:val="restart"/>
                        <w:tcBorders>
                          <w:top w:val="single" w:sz="6" w:space="0" w:color="000000"/>
                          <w:left w:val="single" w:sz="12" w:space="0" w:color="D2D2D2"/>
                          <w:right w:val="single" w:sz="6" w:space="0" w:color="000000"/>
                        </w:tcBorders>
                      </w:tcPr>
                      <w:p>
                        <w:pPr>
                          <w:pStyle w:val="TableParagraph"/>
                          <w:spacing w:line="297" w:lineRule="auto" w:before="45"/>
                          <w:ind w:left="30"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Electronic Manufacturing</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Services</w:t>
                        </w:r>
                        <w:r>
                          <w:rPr>
                            <w:rFonts w:ascii="宋体" w:hAnsi="宋体" w:cs="宋体" w:eastAsia="宋体" w:hint="default"/>
                            <w:sz w:val="18"/>
                            <w:szCs w:val="18"/>
                          </w:rPr>
                          <w:t>（电子制造服务），公司为品牌生产</w:t>
                        </w:r>
                        <w:r>
                          <w:rPr>
                            <w:rFonts w:ascii="宋体" w:hAnsi="宋体" w:cs="宋体" w:eastAsia="宋体" w:hint="default"/>
                            <w:spacing w:val="-87"/>
                            <w:sz w:val="18"/>
                            <w:szCs w:val="18"/>
                          </w:rPr>
                          <w:t> </w:t>
                        </w:r>
                        <w:r>
                          <w:rPr>
                            <w:rFonts w:ascii="宋体" w:hAnsi="宋体" w:cs="宋体" w:eastAsia="宋体" w:hint="default"/>
                            <w:spacing w:val="-1"/>
                            <w:sz w:val="18"/>
                            <w:szCs w:val="18"/>
                          </w:rPr>
                          <w:t>商提供原材料的采购、产品的制造和相关的物流配送、售后服务等环</w:t>
                        </w:r>
                        <w:r>
                          <w:rPr>
                            <w:rFonts w:ascii="宋体" w:hAnsi="宋体" w:cs="宋体" w:eastAsia="宋体" w:hint="default"/>
                            <w:sz w:val="18"/>
                            <w:szCs w:val="18"/>
                          </w:rPr>
                          <w:t> 节服务。</w:t>
                        </w:r>
                      </w:p>
                    </w:tc>
                  </w:tr>
                  <w:tr>
                    <w:trPr>
                      <w:trHeight w:val="391" w:hRule="exact"/>
                    </w:trPr>
                    <w:tc>
                      <w:tcPr>
                        <w:tcW w:w="3545" w:type="dxa"/>
                        <w:vMerge/>
                        <w:tcBorders>
                          <w:left w:val="single" w:sz="6" w:space="0" w:color="000000"/>
                          <w:right w:val="single" w:sz="6" w:space="0" w:color="000000"/>
                        </w:tcBorders>
                      </w:tcPr>
                      <w:p>
                        <w:pPr/>
                      </w:p>
                    </w:tc>
                    <w:tc>
                      <w:tcPr>
                        <w:tcW w:w="59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vMerge/>
                        <w:tcBorders>
                          <w:left w:val="single" w:sz="12" w:space="0" w:color="D2D2D2"/>
                          <w:right w:val="single" w:sz="6" w:space="0" w:color="000000"/>
                        </w:tcBorders>
                      </w:tcPr>
                      <w:p>
                        <w:pPr/>
                      </w:p>
                    </w:tc>
                  </w:tr>
                  <w:tr>
                    <w:trPr>
                      <w:trHeight w:val="323" w:hRule="exact"/>
                    </w:trPr>
                    <w:tc>
                      <w:tcPr>
                        <w:tcW w:w="3545" w:type="dxa"/>
                        <w:vMerge/>
                        <w:tcBorders>
                          <w:left w:val="single" w:sz="6" w:space="0" w:color="000000"/>
                          <w:bottom w:val="single" w:sz="6" w:space="0" w:color="000000"/>
                          <w:right w:val="single" w:sz="6" w:space="0" w:color="000000"/>
                        </w:tcBorders>
                      </w:tcPr>
                      <w:p>
                        <w:pPr/>
                      </w:p>
                    </w:tc>
                    <w:tc>
                      <w:tcPr>
                        <w:tcW w:w="593" w:type="dxa"/>
                        <w:tcBorders>
                          <w:top w:val="nil" w:sz="6" w:space="0" w:color="auto"/>
                          <w:left w:val="single" w:sz="6" w:space="0" w:color="000000"/>
                          <w:bottom w:val="single" w:sz="6" w:space="0" w:color="000000"/>
                          <w:right w:val="single" w:sz="6" w:space="0" w:color="000000"/>
                        </w:tcBorders>
                        <w:shd w:val="clear" w:color="auto" w:fill="D2D2D2"/>
                      </w:tcPr>
                      <w:p>
                        <w:pPr/>
                      </w:p>
                    </w:tc>
                    <w:tc>
                      <w:tcPr>
                        <w:tcW w:w="5444" w:type="dxa"/>
                        <w:vMerge/>
                        <w:tcBorders>
                          <w:left w:val="single" w:sz="12" w:space="0" w:color="D2D2D2"/>
                          <w:bottom w:val="single" w:sz="6" w:space="0" w:color="000000"/>
                          <w:right w:val="single" w:sz="6" w:space="0" w:color="000000"/>
                        </w:tcBorders>
                      </w:tcPr>
                      <w:p>
                        <w:pP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JDM</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7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Joint </w:t>
                        </w:r>
                        <w:r>
                          <w:rPr>
                            <w:rFonts w:ascii="Times New Roman" w:hAnsi="Times New Roman" w:cs="Times New Roman" w:eastAsia="Times New Roman" w:hint="default"/>
                            <w:spacing w:val="-3"/>
                            <w:sz w:val="18"/>
                            <w:szCs w:val="18"/>
                          </w:rPr>
                          <w:t>Design</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Manufacture</w:t>
                        </w:r>
                        <w:r>
                          <w:rPr>
                            <w:rFonts w:ascii="宋体" w:hAnsi="宋体" w:cs="宋体" w:eastAsia="宋体" w:hint="default"/>
                            <w:sz w:val="18"/>
                            <w:szCs w:val="18"/>
                          </w:rPr>
                          <w:t>（联合设计制造）</w:t>
                        </w:r>
                        <w:r>
                          <w:rPr>
                            <w:rFonts w:ascii="Times New Roman" w:hAnsi="Times New Roman" w:cs="Times New Roman" w:eastAsia="Times New Roman" w:hint="default"/>
                            <w:sz w:val="18"/>
                            <w:szCs w:val="18"/>
                          </w:rPr>
                          <w:t>,</w:t>
                        </w:r>
                        <w:r>
                          <w:rPr>
                            <w:rFonts w:ascii="宋体" w:hAnsi="宋体" w:cs="宋体" w:eastAsia="宋体" w:hint="default"/>
                            <w:sz w:val="18"/>
                            <w:szCs w:val="18"/>
                          </w:rPr>
                          <w:t>公司与主要客戶就核心产</w:t>
                        </w:r>
                      </w:p>
                    </w:tc>
                  </w:tr>
                </w:tbl>
                <w:p>
                  <w:pPr/>
                </w:p>
              </w:txbxContent>
            </v:textbox>
            <w10:wrap type="none"/>
          </v:shape>
        </w:pict>
      </w:r>
      <w:r>
        <w:rPr/>
        <w:t>）</w:t>
      </w:r>
    </w:p>
    <w:p>
      <w:pPr>
        <w:spacing w:after="0" w:line="240" w:lineRule="auto"/>
        <w:jc w:val="righ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0" w:right="1131"/>
        <w:jc w:val="right"/>
      </w:pPr>
      <w:r>
        <w:rPr/>
        <w:pict>
          <v:shape style="position:absolute;margin-left:56.325001pt;margin-top:-83.308304pt;width:480.25pt;height:177.1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0"/>
                    <w:gridCol w:w="616"/>
                    <w:gridCol w:w="5437"/>
                  </w:tblGrid>
                  <w:tr>
                    <w:trPr>
                      <w:trHeight w:val="990" w:hRule="exact"/>
                    </w:trPr>
                    <w:tc>
                      <w:tcPr>
                        <w:tcW w:w="3530"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ind w:left="30" w:right="19"/>
                          <w:jc w:val="both"/>
                          <w:rPr>
                            <w:rFonts w:ascii="宋体" w:hAnsi="宋体" w:cs="宋体" w:eastAsia="宋体" w:hint="default"/>
                            <w:sz w:val="18"/>
                            <w:szCs w:val="18"/>
                          </w:rPr>
                        </w:pPr>
                        <w:r>
                          <w:rPr>
                            <w:rFonts w:ascii="宋体" w:hAnsi="宋体" w:cs="宋体" w:eastAsia="宋体" w:hint="default"/>
                            <w:spacing w:val="-1"/>
                            <w:sz w:val="18"/>
                            <w:szCs w:val="18"/>
                          </w:rPr>
                          <w:t>品从事共同开发，并提供完整解決方案。也就是说公司将会参与客户</w:t>
                        </w:r>
                        <w:r>
                          <w:rPr>
                            <w:rFonts w:ascii="宋体" w:hAnsi="宋体" w:cs="宋体" w:eastAsia="宋体" w:hint="default"/>
                            <w:sz w:val="18"/>
                            <w:szCs w:val="18"/>
                          </w:rPr>
                          <w:t> </w:t>
                        </w:r>
                        <w:r>
                          <w:rPr>
                            <w:rFonts w:ascii="宋体" w:hAnsi="宋体" w:cs="宋体" w:eastAsia="宋体" w:hint="default"/>
                            <w:spacing w:val="-2"/>
                            <w:sz w:val="18"/>
                            <w:szCs w:val="18"/>
                          </w:rPr>
                          <w:t>研发、设计产品的过程，双方把产品设计出来后，公司进行小型量产</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与验证，客戶再根据测试结果修改产品功能和结构。</w:t>
                        </w:r>
                      </w:p>
                    </w:tc>
                  </w:tr>
                  <w:tr>
                    <w:trPr>
                      <w:trHeight w:val="1336"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C2M</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Customer-to-Manufacturer</w:t>
                        </w:r>
                        <w:r>
                          <w:rPr>
                            <w:rFonts w:ascii="宋体" w:hAnsi="宋体" w:cs="宋体" w:eastAsia="宋体" w:hint="default"/>
                            <w:sz w:val="18"/>
                            <w:szCs w:val="18"/>
                          </w:rPr>
                          <w:t>（用户直连制造），是指用户直连制造商，</w:t>
                        </w:r>
                        <w:r>
                          <w:rPr>
                            <w:rFonts w:ascii="宋体" w:hAnsi="宋体" w:cs="宋体" w:eastAsia="宋体" w:hint="default"/>
                            <w:spacing w:val="-84"/>
                            <w:sz w:val="18"/>
                            <w:szCs w:val="18"/>
                          </w:rPr>
                          <w:t> </w:t>
                        </w:r>
                        <w:r>
                          <w:rPr>
                            <w:rFonts w:ascii="宋体" w:hAnsi="宋体" w:cs="宋体" w:eastAsia="宋体" w:hint="default"/>
                            <w:spacing w:val="-1"/>
                            <w:sz w:val="18"/>
                            <w:szCs w:val="18"/>
                          </w:rPr>
                          <w:t>即消费者直达工厂，强调的是制造业与消费者的衔接。消费者直接通</w:t>
                        </w:r>
                        <w:r>
                          <w:rPr>
                            <w:rFonts w:ascii="宋体" w:hAnsi="宋体" w:cs="宋体" w:eastAsia="宋体" w:hint="default"/>
                            <w:sz w:val="18"/>
                            <w:szCs w:val="18"/>
                          </w:rPr>
                          <w:t> </w:t>
                        </w:r>
                        <w:r>
                          <w:rPr>
                            <w:rFonts w:ascii="宋体" w:hAnsi="宋体" w:cs="宋体" w:eastAsia="宋体" w:hint="default"/>
                            <w:spacing w:val="-4"/>
                            <w:sz w:val="18"/>
                            <w:szCs w:val="18"/>
                          </w:rPr>
                          <w:t>过平台下单，工厂接收消费者的个性化需求订单，然后根据需求设计</w:t>
                        </w:r>
                        <w:r>
                          <w:rPr>
                            <w:rFonts w:ascii="宋体" w:hAnsi="宋体" w:cs="宋体" w:eastAsia="宋体" w:hint="default"/>
                            <w:sz w:val="18"/>
                            <w:szCs w:val="18"/>
                          </w:rPr>
                          <w:t> 采购、生产、发货。</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6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
              </w:txbxContent>
            </v:textbox>
            <w10:wrap type="none"/>
          </v:shape>
        </w:pict>
      </w:r>
      <w:r>
        <w:rPr/>
        <w:t>、</w:t>
      </w:r>
    </w:p>
    <w:p>
      <w:pPr>
        <w:spacing w:after="0" w:line="240" w:lineRule="auto"/>
        <w:jc w:val="right"/>
        <w:sectPr>
          <w:pgSz w:w="11910" w:h="16850"/>
          <w:pgMar w:header="731" w:footer="981" w:top="1040" w:bottom="1180" w:left="1000" w:right="0"/>
        </w:sectPr>
      </w:pPr>
    </w:p>
    <w:p>
      <w:pPr>
        <w:spacing w:line="240" w:lineRule="auto" w:before="0"/>
        <w:rPr>
          <w:rFonts w:ascii="宋体" w:hAnsi="宋体" w:cs="宋体" w:eastAsia="宋体" w:hint="default"/>
          <w:sz w:val="20"/>
          <w:szCs w:val="20"/>
        </w:rPr>
      </w:pPr>
      <w:r>
        <w:rPr/>
        <w:pict>
          <v:group style="position:absolute;margin-left:171.229996pt;margin-top:273.25pt;width:363.45pt;height:19.5pt;mso-position-horizontal-relative:page;mso-position-vertical-relative:page;z-index:-1269448" coordorigin="3425,5465" coordsize="7269,390">
            <v:group style="position:absolute;left:3425;top:5465;width:30;height:390" coordorigin="3425,5465" coordsize="30,390">
              <v:shape style="position:absolute;left:3425;top:5465;width:30;height:390" coordorigin="3425,5465" coordsize="30,390" path="m3425,5855l3455,5855,3455,5465,3425,5465,3425,5855xe" filled="true" fillcolor="#ffffff" stroked="false">
                <v:path arrowok="t"/>
                <v:fill type="solid"/>
              </v:shape>
            </v:group>
            <v:group style="position:absolute;left:3455;top:5465;width:7239;height:390" coordorigin="3455,5465" coordsize="7239,390">
              <v:shape style="position:absolute;left:3455;top:5465;width:7239;height:390" coordorigin="3455,5465" coordsize="7239,390" path="m3455,5855l10694,5855,10694,5465,3455,5465,3455,5855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09" w:right="0"/>
        <w:jc w:val="left"/>
        <w:rPr>
          <w:b w:val="0"/>
          <w:bCs w:val="0"/>
        </w:rPr>
      </w:pPr>
      <w:bookmarkStart w:name="第二节公司简介和主要财务指标" w:id="3"/>
      <w:bookmarkEnd w:id="3"/>
      <w:r>
        <w:rPr>
          <w:b w:val="0"/>
          <w:bCs w:val="0"/>
        </w:rPr>
      </w:r>
      <w:bookmarkStart w:name="_bookmark1" w:id="4"/>
      <w:bookmarkEnd w:id="4"/>
      <w:r>
        <w:rPr>
          <w:b w:val="0"/>
          <w:bCs w:val="0"/>
        </w:rPr>
      </w:r>
      <w:r>
        <w:rPr>
          <w:spacing w:val="5"/>
        </w:rPr>
        <w:t>第二节公司简介和主要财务指标</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2275"/>
        <w:gridCol w:w="2966"/>
        <w:gridCol w:w="2162"/>
        <w:gridCol w:w="2178"/>
      </w:tblGrid>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2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002369</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卓翼科技</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SHENZHEN </w:t>
            </w:r>
            <w:r>
              <w:rPr>
                <w:rFonts w:ascii="Times New Roman"/>
                <w:spacing w:val="-3"/>
                <w:sz w:val="18"/>
              </w:rPr>
              <w:t>ZOWEE </w:t>
            </w:r>
            <w:r>
              <w:rPr>
                <w:rFonts w:ascii="Times New Roman"/>
                <w:sz w:val="18"/>
              </w:rPr>
              <w:t>TECHNOLOGY CO.,</w:t>
            </w:r>
            <w:r>
              <w:rPr>
                <w:rFonts w:ascii="Times New Roman"/>
                <w:spacing w:val="13"/>
                <w:sz w:val="18"/>
              </w:rPr>
              <w:t> </w:t>
            </w:r>
            <w:r>
              <w:rPr>
                <w:rFonts w:ascii="Times New Roman"/>
                <w:sz w:val="18"/>
              </w:rPr>
              <w:t>LTD.</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9"/>
              <w:ind w:left="-96" w:right="0"/>
              <w:jc w:val="left"/>
              <w:rPr>
                <w:rFonts w:ascii="Times New Roman" w:hAnsi="Times New Roman" w:cs="Times New Roman" w:eastAsia="Times New Roman" w:hint="default"/>
                <w:sz w:val="18"/>
                <w:szCs w:val="18"/>
              </w:rPr>
            </w:pPr>
            <w:r>
              <w:rPr>
                <w:rFonts w:ascii="宋体" w:hAnsi="宋体" w:cs="宋体" w:eastAsia="宋体" w:hint="default"/>
                <w:spacing w:val="-9"/>
                <w:position w:val="1"/>
                <w:sz w:val="18"/>
                <w:szCs w:val="18"/>
              </w:rPr>
              <w:t>）</w:t>
            </w:r>
            <w:r>
              <w:rPr>
                <w:rFonts w:ascii="Times New Roman" w:hAnsi="Times New Roman" w:cs="Times New Roman" w:eastAsia="Times New Roman" w:hint="default"/>
                <w:spacing w:val="-9"/>
                <w:sz w:val="18"/>
                <w:szCs w:val="18"/>
              </w:rPr>
              <w:t>ZOWEE</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陈新民</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深圳市南山区西丽平山民企科技工业园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栋</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518055</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深圳市南山区西丽平山民企科技工业园</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栋</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518055</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9">
              <w:r>
                <w:rPr>
                  <w:rFonts w:ascii="Times New Roman"/>
                  <w:sz w:val="18"/>
                </w:rPr>
                <w:t>www.zowee.com.cn</w:t>
              </w:r>
            </w:hyperlink>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10">
              <w:r>
                <w:rPr>
                  <w:rFonts w:ascii="Times New Roman"/>
                  <w:sz w:val="18"/>
                </w:rPr>
                <w:t>message@zowee.com.cn</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2"/>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2253"/>
        <w:gridCol w:w="3552"/>
        <w:gridCol w:w="3770"/>
      </w:tblGrid>
      <w:tr>
        <w:trPr>
          <w:trHeight w:val="405" w:hRule="exact"/>
        </w:trPr>
        <w:tc>
          <w:tcPr>
            <w:tcW w:w="225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5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7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5" w:hRule="exact"/>
        </w:trPr>
        <w:tc>
          <w:tcPr>
            <w:tcW w:w="22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张富涵</w:t>
            </w:r>
          </w:p>
        </w:tc>
      </w:tr>
      <w:tr>
        <w:trPr>
          <w:trHeight w:val="391" w:hRule="exact"/>
        </w:trPr>
        <w:tc>
          <w:tcPr>
            <w:tcW w:w="22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深圳市南山区西丽平山民企科技工业园</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栋</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深圳市南山区西丽平山民企科技工业园</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栋</w:t>
            </w:r>
          </w:p>
        </w:tc>
      </w:tr>
      <w:tr>
        <w:trPr>
          <w:trHeight w:val="405" w:hRule="exact"/>
        </w:trPr>
        <w:tc>
          <w:tcPr>
            <w:tcW w:w="22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0755-26986749</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 w:right="0"/>
              <w:jc w:val="left"/>
              <w:rPr>
                <w:rFonts w:ascii="Times New Roman" w:hAnsi="Times New Roman" w:cs="Times New Roman" w:eastAsia="Times New Roman" w:hint="default"/>
                <w:sz w:val="18"/>
                <w:szCs w:val="18"/>
              </w:rPr>
            </w:pPr>
            <w:r>
              <w:rPr>
                <w:rFonts w:ascii="Times New Roman"/>
                <w:sz w:val="18"/>
              </w:rPr>
              <w:t>0755-26986749</w:t>
            </w:r>
          </w:p>
        </w:tc>
      </w:tr>
      <w:tr>
        <w:trPr>
          <w:trHeight w:val="405" w:hRule="exact"/>
        </w:trPr>
        <w:tc>
          <w:tcPr>
            <w:tcW w:w="22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0755-26986712</w:t>
            </w:r>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0755-26986712</w:t>
            </w:r>
          </w:p>
        </w:tc>
      </w:tr>
      <w:tr>
        <w:trPr>
          <w:trHeight w:val="391" w:hRule="exact"/>
        </w:trPr>
        <w:tc>
          <w:tcPr>
            <w:tcW w:w="22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55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hyperlink r:id="rId10">
              <w:r>
                <w:rPr>
                  <w:rFonts w:ascii="Times New Roman"/>
                  <w:sz w:val="18"/>
                </w:rPr>
                <w:t>message@zowee.com.cn</w:t>
              </w:r>
            </w:hyperlink>
          </w:p>
        </w:tc>
        <w:tc>
          <w:tcPr>
            <w:tcW w:w="37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hyperlink r:id="rId10">
              <w:r>
                <w:rPr>
                  <w:rFonts w:ascii="Times New Roman"/>
                  <w:sz w:val="18"/>
                </w:rPr>
                <w:t>message@zowee.com.cn</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988"/>
        <w:gridCol w:w="5594"/>
      </w:tblGrid>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0"/>
              <w:jc w:val="left"/>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390"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4"/>
          <w:szCs w:val="24"/>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199"/>
        <w:gridCol w:w="6383"/>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914403007586256618</w:t>
            </w:r>
          </w:p>
        </w:tc>
      </w:tr>
      <w:tr>
        <w:trPr>
          <w:trHeight w:val="3514"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307" w:lineRule="auto"/>
              <w:ind w:left="15" w:right="107"/>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3"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45"/>
              <w:ind w:left="14" w:right="34"/>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日，经深圳市市场监督管理局核准，公司经营范围变更为：计算 机周边板卡、消费数码产品、通讯网络产品、音响产品、广播电影电视器材、调 制解调器（不含卫星电视广播地面接收设施）、</w:t>
            </w:r>
            <w:r>
              <w:rPr>
                <w:rFonts w:ascii="Times New Roman" w:hAnsi="Times New Roman" w:cs="Times New Roman" w:eastAsia="Times New Roman" w:hint="default"/>
                <w:sz w:val="18"/>
                <w:szCs w:val="18"/>
              </w:rPr>
              <w:t>U</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盘、</w:t>
            </w:r>
            <w:r>
              <w:rPr>
                <w:rFonts w:ascii="Times New Roman" w:hAnsi="Times New Roman" w:cs="Times New Roman" w:eastAsia="Times New Roman" w:hint="default"/>
                <w:sz w:val="18"/>
                <w:szCs w:val="18"/>
              </w:rPr>
              <w:t>MP3</w:t>
            </w:r>
            <w:r>
              <w:rPr>
                <w:rFonts w:ascii="宋体" w:hAnsi="宋体" w:cs="宋体" w:eastAsia="宋体" w:hint="default"/>
                <w:sz w:val="18"/>
                <w:szCs w:val="18"/>
              </w:rPr>
              <w:t>、</w:t>
            </w:r>
            <w:r>
              <w:rPr>
                <w:rFonts w:ascii="Times New Roman" w:hAnsi="Times New Roman" w:cs="Times New Roman" w:eastAsia="Times New Roman" w:hint="default"/>
                <w:sz w:val="18"/>
                <w:szCs w:val="18"/>
              </w:rPr>
              <w:t>MP4</w:t>
            </w:r>
            <w:r>
              <w:rPr>
                <w:rFonts w:ascii="宋体" w:hAnsi="宋体" w:cs="宋体" w:eastAsia="宋体" w:hint="default"/>
                <w:sz w:val="18"/>
                <w:szCs w:val="18"/>
              </w:rPr>
              <w:t>、数字电视系</w:t>
            </w:r>
          </w:p>
          <w:p>
            <w:pPr>
              <w:pStyle w:val="TableParagraph"/>
              <w:spacing w:line="312" w:lineRule="auto"/>
              <w:ind w:left="14" w:right="44"/>
              <w:jc w:val="both"/>
              <w:rPr>
                <w:rFonts w:ascii="宋体" w:hAnsi="宋体" w:cs="宋体" w:eastAsia="宋体" w:hint="default"/>
                <w:sz w:val="18"/>
                <w:szCs w:val="18"/>
              </w:rPr>
            </w:pPr>
            <w:r>
              <w:rPr>
                <w:rFonts w:ascii="宋体" w:hAnsi="宋体" w:cs="宋体" w:eastAsia="宋体" w:hint="default"/>
                <w:sz w:val="18"/>
                <w:szCs w:val="18"/>
              </w:rPr>
              <w:t>统用户终端接收机、网络交换机、无线网络适配器、无线路由器、</w:t>
            </w: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网关、 </w:t>
            </w:r>
            <w:r>
              <w:rPr>
                <w:rFonts w:ascii="Times New Roman" w:hAnsi="Times New Roman" w:cs="Times New Roman" w:eastAsia="Times New Roman" w:hint="default"/>
                <w:sz w:val="18"/>
                <w:szCs w:val="18"/>
              </w:rPr>
              <w:t>VOIP </w:t>
            </w:r>
            <w:r>
              <w:rPr>
                <w:rFonts w:ascii="宋体" w:hAnsi="宋体" w:cs="宋体" w:eastAsia="宋体" w:hint="default"/>
                <w:sz w:val="18"/>
                <w:szCs w:val="18"/>
              </w:rPr>
              <w:t>电话、</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机顶盒的组装生产（在许可有效期内生产）；手机和平板电脑等 移动手持终端的生产（由分支机构经营，执照另行申办）；技术开发、购销、电</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子产品的购销及其他国内商业、物资供销业（不含专营、专控、专卖商品）；经 营进出口业务（法律、行政法规、国务院决定禁止的项目除外，限制的项目须取 得许可后方可经营）；机械设备租赁（不配备操作人员的机械设备租赁，不包括 金融租赁活动）；汽车租赁（不包括带操作人员的汽车出租）；计算机与通讯设 备租赁。</w:t>
            </w:r>
          </w:p>
        </w:tc>
      </w:tr>
      <w:tr>
        <w:trPr>
          <w:trHeight w:val="133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9"/>
              <w:ind w:left="14" w:right="35"/>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年，公司原控股股东、实际控制人田昱先生因减持公司股份后，所持股份少 于夏传武先生，夏传武先生成为公司第一大股东。根据相关法律、法规的规定， 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日起，公司控股股东、实际控制人由田昱先生变更为夏传武先 生。</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391"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5022 </w:t>
            </w:r>
            <w:r>
              <w:rPr>
                <w:rFonts w:ascii="宋体" w:hAnsi="宋体" w:cs="宋体" w:eastAsia="宋体" w:hint="default"/>
                <w:sz w:val="18"/>
                <w:szCs w:val="18"/>
              </w:rPr>
              <w:t>号联合广场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 </w:t>
            </w:r>
            <w:r>
              <w:rPr>
                <w:rFonts w:ascii="宋体" w:hAnsi="宋体" w:cs="宋体" w:eastAsia="宋体" w:hint="default"/>
                <w:sz w:val="18"/>
                <w:szCs w:val="18"/>
              </w:rPr>
              <w:t>楼</w:t>
            </w: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周英、林丹妮</w:t>
            </w:r>
          </w:p>
        </w:tc>
      </w:tr>
    </w:tbl>
    <w:p>
      <w:pPr>
        <w:pStyle w:val="BodyText"/>
        <w:spacing w:line="240" w:lineRule="auto" w:before="45"/>
        <w:ind w:right="0"/>
        <w:jc w:val="left"/>
      </w:pPr>
      <w:r>
        <w:rPr/>
        <w:t>公司聘请的报告期内履行持续督导职责的保荐机构</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658"/>
        <w:gridCol w:w="2598"/>
        <w:gridCol w:w="1922"/>
        <w:gridCol w:w="2403"/>
      </w:tblGrid>
      <w:tr>
        <w:trPr>
          <w:trHeight w:val="405" w:hRule="exact"/>
        </w:trPr>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1"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5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06" w:hRule="exact"/>
        </w:trPr>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东兴证券股份有限公司</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60"/>
              <w:ind w:left="30" w:right="28"/>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号新盛 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层</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辛蕾、王华</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4"/>
        <w:ind w:right="0"/>
        <w:jc w:val="left"/>
      </w:pPr>
      <w:r>
        <w:rPr/>
        <w:t>公司聘请的报告期内履行持续督导职责的财务顾问</w:t>
      </w:r>
    </w:p>
    <w:p>
      <w:pPr>
        <w:pStyle w:val="BodyText"/>
        <w:spacing w:line="240" w:lineRule="auto" w:before="1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公司是否需追溯调整或重述以前年度会计数据</w:t>
      </w:r>
    </w:p>
    <w:p>
      <w:pPr>
        <w:pStyle w:val="BodyText"/>
        <w:spacing w:line="240" w:lineRule="auto" w:before="1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2606"/>
        <w:gridCol w:w="1757"/>
        <w:gridCol w:w="1727"/>
        <w:gridCol w:w="1742"/>
        <w:gridCol w:w="1742"/>
      </w:tblGrid>
      <w:tr>
        <w:trPr>
          <w:trHeight w:val="405" w:hRule="exact"/>
        </w:trPr>
        <w:tc>
          <w:tcPr>
            <w:tcW w:w="260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405" w:hRule="exact"/>
        </w:trPr>
        <w:tc>
          <w:tcPr>
            <w:tcW w:w="26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3,344,731,714.02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3,144,616,237.11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6.36%</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2,763,249,181.84</w:t>
            </w:r>
          </w:p>
        </w:tc>
      </w:tr>
      <w:tr>
        <w:trPr>
          <w:trHeight w:val="390" w:hRule="exact"/>
        </w:trPr>
        <w:tc>
          <w:tcPr>
            <w:tcW w:w="26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50,245,772.33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-102,804,664.07</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148.87%</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20,490,737.56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27"/>
        <w:gridCol w:w="1742"/>
        <w:gridCol w:w="1742"/>
      </w:tblGrid>
      <w:tr>
        <w:trPr>
          <w:trHeight w:val="36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5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35,117,815.28</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-130,953,613.18</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126.82%</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4,800,668.52</w:t>
            </w:r>
          </w:p>
        </w:tc>
      </w:tr>
      <w:tr>
        <w:trPr>
          <w:trHeight w:val="7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273,543,574.38</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84,496,455.56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223.73%</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43,479,991.14</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150.00%</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0.04</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0.09</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150.00%</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0.04</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2.50%</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7.51%</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1.03%</w:t>
            </w:r>
            <w:r>
              <w:rPr>
                <w:rFonts w:ascii="Times New Roman"/>
                <w:sz w:val="18"/>
              </w:rPr>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年末</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6"/>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w:t>
            </w:r>
          </w:p>
        </w:tc>
      </w:tr>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3,940,522,560.07</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3,469,550,546.16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13.57%</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4,071,419,892.53</w:t>
            </w:r>
          </w:p>
        </w:tc>
      </w:tr>
      <w:tr>
        <w:trPr>
          <w:trHeight w:val="72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1,987,656,770.20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1,985,095,802.85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0.13%</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2,122,428,198.66</w:t>
            </w:r>
          </w:p>
        </w:tc>
      </w:tr>
    </w:tbl>
    <w:p>
      <w:pPr>
        <w:spacing w:line="240" w:lineRule="auto" w:before="11"/>
        <w:rPr>
          <w:rFonts w:ascii="宋体" w:hAnsi="宋体" w:cs="宋体" w:eastAsia="宋体" w:hint="default"/>
          <w:sz w:val="17"/>
          <w:szCs w:val="17"/>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spacing w:val="5"/>
        </w:rPr>
        <w:t>1</w:t>
      </w:r>
      <w:r>
        <w:rPr>
          <w:spacing w:val="5"/>
        </w:rPr>
        <w:t>、同时按照国际会计准则与按照中国会计准则披露的财务报告中净利润和净资产差异情况</w:t>
      </w:r>
      <w:r>
        <w:rPr>
          <w:b w:val="0"/>
          <w:bCs w:val="0"/>
          <w:spacing w:val="5"/>
        </w:rPr>
      </w:r>
    </w:p>
    <w:p>
      <w:pPr>
        <w:spacing w:line="240" w:lineRule="auto" w:before="11"/>
        <w:rPr>
          <w:rFonts w:ascii="宋体" w:hAnsi="宋体" w:cs="宋体" w:eastAsia="宋体" w:hint="default"/>
          <w:b/>
          <w:bCs/>
          <w:sz w:val="27"/>
          <w:szCs w:val="27"/>
        </w:rPr>
      </w:pPr>
    </w:p>
    <w:p>
      <w:pPr>
        <w:pStyle w:val="BodyText"/>
        <w:spacing w:line="331" w:lineRule="auto"/>
        <w:ind w:right="26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4"/>
          <w:szCs w:val="24"/>
        </w:rPr>
      </w:pPr>
    </w:p>
    <w:p>
      <w:pPr>
        <w:pStyle w:val="Heading5"/>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spacing w:val="5"/>
        </w:rPr>
        <w:t>2</w:t>
      </w:r>
      <w:r>
        <w:rPr>
          <w:spacing w:val="5"/>
        </w:rPr>
        <w:t>、同时按照境外会计准则与按照中国会计准则披露的财务报告中净利润和净资产差异情况</w:t>
      </w:r>
      <w:r>
        <w:rPr>
          <w:b w:val="0"/>
          <w:bCs w:val="0"/>
          <w:spacing w:val="5"/>
        </w:rPr>
      </w:r>
    </w:p>
    <w:p>
      <w:pPr>
        <w:spacing w:line="240" w:lineRule="auto" w:before="11"/>
        <w:rPr>
          <w:rFonts w:ascii="宋体" w:hAnsi="宋体" w:cs="宋体" w:eastAsia="宋体" w:hint="default"/>
          <w:b/>
          <w:bCs/>
          <w:sz w:val="27"/>
          <w:szCs w:val="27"/>
        </w:rPr>
      </w:pPr>
    </w:p>
    <w:p>
      <w:pPr>
        <w:pStyle w:val="BodyText"/>
        <w:spacing w:line="319" w:lineRule="auto"/>
        <w:ind w:right="26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42"/>
        <w:gridCol w:w="1742"/>
        <w:gridCol w:w="1727"/>
      </w:tblGrid>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567,143,770.97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762,230,066.24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844,794,755.53</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1,170,563,121.28</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6,026,589.80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16,251,010.32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18,065,087.21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9,903,085.00</w:t>
            </w:r>
          </w:p>
        </w:tc>
      </w:tr>
      <w:tr>
        <w:trPr>
          <w:trHeight w:val="7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5,412,595.66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3,575,426.97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2,552,367.82</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23,577,424.83</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256,637,537.83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-48,195,766.15</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85,818,712.01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-20,716,909.31</w:t>
            </w:r>
            <w:r>
              <w:rPr>
                <w:rFonts w:ascii="Times New Roman"/>
                <w:sz w:val="18"/>
              </w:rPr>
            </w:r>
          </w:p>
        </w:tc>
      </w:tr>
    </w:tbl>
    <w:p>
      <w:pPr>
        <w:pStyle w:val="BodyText"/>
        <w:spacing w:line="240" w:lineRule="auto" w:before="45"/>
        <w:ind w:right="0"/>
        <w:jc w:val="left"/>
      </w:pPr>
      <w:r>
        <w:rPr/>
        <w:t>上述财务指标或其加总数是否与公司已披露季度报告、半年度报告相关财务指标存在重大差异</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289"/>
        <w:gridCol w:w="1532"/>
        <w:gridCol w:w="1517"/>
        <w:gridCol w:w="1532"/>
        <w:gridCol w:w="1712"/>
      </w:tblGrid>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年金额</w:t>
            </w:r>
          </w:p>
        </w:tc>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年金额</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年金额</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2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7"/>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4,508,982.99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18,606,240.49</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-868,257.10</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7"/>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6" w:space="0" w:color="000000"/>
              <w:left w:val="single" w:sz="18" w:space="0" w:color="D2D2D2"/>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197,829.23</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12,509,935.89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12,528,101.08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17,595,744.99</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6"/>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174,884.03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305,883.86</w:t>
            </w: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7"/>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-1,279,484.34</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2282"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15" w:right="1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16,796,133.72</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7"/>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53,169.09</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6"/>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1,498,312.90</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-9,230,765.63</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2,499,046.17</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1,533,587.63</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10,530,158.93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5,790,330.48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2,768,835.71</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w w:val="95"/>
                <w:sz w:val="18"/>
              </w:rPr>
              <w:t>-626,947.33</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w w:val="95"/>
                <w:sz w:val="18"/>
              </w:rPr>
              <w:t>-7.99</w:t>
            </w:r>
            <w:r>
              <w:rPr>
                <w:rFonts w:ascii="Times New Roman"/>
                <w:sz w:val="18"/>
              </w:rPr>
            </w: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15,127,957.05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28,148,949.11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15,690,069.04</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0"/>
        <w:ind w:right="0"/>
        <w:jc w:val="left"/>
      </w:pPr>
      <w:r>
        <w:rPr>
          <w:spacing w:val="-3"/>
        </w:rPr>
        <w:t>对公司根据《公开发行证券的公司信息披露解释性公告第 </w:t>
      </w:r>
      <w:r>
        <w:rPr>
          <w:rFonts w:ascii="Times New Roman" w:hAnsi="Times New Roman" w:cs="Times New Roman" w:eastAsia="Times New Roman" w:hint="default"/>
        </w:rPr>
        <w:t>1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0" w:lineRule="auto" w:before="51"/>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8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288" w:lineRule="auto" w:before="11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288"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520" w:right="0"/>
        <w:jc w:val="left"/>
        <w:rPr>
          <w:b w:val="0"/>
          <w:bCs w:val="0"/>
        </w:rPr>
      </w:pPr>
      <w:bookmarkStart w:name="第三节公司业务概要" w:id="16"/>
      <w:bookmarkEnd w:id="16"/>
      <w:r>
        <w:rPr>
          <w:b w:val="0"/>
          <w:bCs w:val="0"/>
        </w:rPr>
      </w:r>
      <w:bookmarkStart w:name="_bookmark2" w:id="17"/>
      <w:bookmarkEnd w:id="17"/>
      <w:r>
        <w:rPr>
          <w:b w:val="0"/>
          <w:bCs w:val="0"/>
        </w:rPr>
      </w:r>
      <w:r>
        <w:rPr>
          <w:spacing w:val="5"/>
        </w:rPr>
        <w:t>第三节公司业务概要</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0"/>
        <w:rPr>
          <w:rFonts w:ascii="宋体" w:hAnsi="宋体" w:cs="宋体" w:eastAsia="宋体" w:hint="default"/>
          <w:b/>
          <w:bCs/>
          <w:sz w:val="33"/>
          <w:szCs w:val="33"/>
        </w:rPr>
      </w:pPr>
    </w:p>
    <w:p>
      <w:pPr>
        <w:pStyle w:val="BodyText"/>
        <w:spacing w:line="453" w:lineRule="auto"/>
        <w:ind w:right="1099" w:firstLine="420"/>
        <w:jc w:val="both"/>
      </w:pPr>
      <w:r>
        <w:rPr/>
        <w:t>随着新一代信息技术应用的蓬勃发展，</w:t>
      </w:r>
      <w:r>
        <w:rPr>
          <w:rFonts w:ascii="Times New Roman" w:hAnsi="Times New Roman" w:cs="Times New Roman" w:eastAsia="Times New Roman" w:hint="default"/>
        </w:rPr>
        <w:t>5G</w:t>
      </w:r>
      <w:r>
        <w:rPr/>
        <w:t>巨轮稳步起航，</w:t>
      </w:r>
      <w:r>
        <w:rPr>
          <w:rFonts w:ascii="Times New Roman" w:hAnsi="Times New Roman" w:cs="Times New Roman" w:eastAsia="Times New Roman" w:hint="default"/>
        </w:rPr>
        <w:t>6G</w:t>
      </w:r>
      <w:r>
        <w:rPr/>
        <w:t>技术研发也开始</w:t>
      </w:r>
      <w:r>
        <w:rPr>
          <w:rFonts w:ascii="Times New Roman" w:hAnsi="Times New Roman" w:cs="Times New Roman" w:eastAsia="Times New Roman" w:hint="default"/>
        </w:rPr>
        <w:t>“</w:t>
      </w:r>
      <w:r>
        <w:rPr/>
        <w:t>探路</w:t>
      </w:r>
      <w:r>
        <w:rPr>
          <w:rFonts w:ascii="Times New Roman" w:hAnsi="Times New Roman" w:cs="Times New Roman" w:eastAsia="Times New Roman" w:hint="default"/>
        </w:rPr>
        <w:t>”</w:t>
      </w:r>
      <w:r>
        <w:rPr/>
        <w:t>，移动通讯、智能硬件等产业将迎 </w:t>
      </w:r>
      <w:r>
        <w:rPr>
          <w:spacing w:val="-1"/>
        </w:rPr>
        <w:t>来井喷式发展。公司作为业内知名的一站式</w:t>
      </w:r>
      <w:r>
        <w:rPr>
          <w:rFonts w:ascii="Times New Roman" w:hAnsi="Times New Roman" w:cs="Times New Roman" w:eastAsia="Times New Roman" w:hint="default"/>
          <w:spacing w:val="-1"/>
        </w:rPr>
        <w:t>3C</w:t>
      </w:r>
      <w:r>
        <w:rPr>
          <w:spacing w:val="-1"/>
        </w:rPr>
        <w:t>、</w:t>
      </w:r>
      <w:r>
        <w:rPr>
          <w:rFonts w:ascii="Times New Roman" w:hAnsi="Times New Roman" w:cs="Times New Roman" w:eastAsia="Times New Roman" w:hint="default"/>
          <w:spacing w:val="-1"/>
        </w:rPr>
        <w:t>IOT</w:t>
      </w:r>
      <w:r>
        <w:rPr>
          <w:spacing w:val="-1"/>
        </w:rPr>
        <w:t>产品方案提供商和智能制造软硬一体化整体解决方案提供商，积极顺应</w:t>
      </w:r>
      <w:r>
        <w:rPr>
          <w:spacing w:val="-63"/>
        </w:rPr>
        <w:t> </w:t>
      </w:r>
      <w:r>
        <w:rPr>
          <w:spacing w:val="-63"/>
        </w:rPr>
      </w:r>
      <w:r>
        <w:rPr>
          <w:rFonts w:ascii="Times New Roman" w:hAnsi="Times New Roman" w:cs="Times New Roman" w:eastAsia="Times New Roman" w:hint="default"/>
        </w:rPr>
        <w:t>“</w:t>
      </w:r>
      <w:r>
        <w:rPr/>
        <w:t>万物互联</w:t>
      </w:r>
      <w:r>
        <w:rPr>
          <w:rFonts w:ascii="Times New Roman" w:hAnsi="Times New Roman" w:cs="Times New Roman" w:eastAsia="Times New Roman" w:hint="default"/>
        </w:rPr>
        <w:t>”</w:t>
      </w:r>
      <w:r>
        <w:rPr/>
        <w:t>时代的发展新趋势和新要求，紧抓战略机遇，前瞻布局</w:t>
      </w:r>
      <w:r>
        <w:rPr>
          <w:rFonts w:ascii="Times New Roman" w:hAnsi="Times New Roman" w:cs="Times New Roman" w:eastAsia="Times New Roman" w:hint="default"/>
        </w:rPr>
        <w:t>5G</w:t>
      </w:r>
      <w:r>
        <w:rPr/>
        <w:t>、工业机器人等前沿高端领域，依托多年的技术积累</w:t>
      </w:r>
      <w:r>
        <w:rPr>
          <w:spacing w:val="-19"/>
        </w:rPr>
        <w:t> </w:t>
      </w:r>
      <w:r>
        <w:rPr>
          <w:spacing w:val="-19"/>
        </w:rPr>
      </w:r>
      <w:r>
        <w:rPr/>
        <w:t>和发展基奠，大力拓展智能产品市场，助力全球智能产品创新，充分把握</w:t>
      </w:r>
      <w:r>
        <w:rPr>
          <w:rFonts w:ascii="Times New Roman" w:hAnsi="Times New Roman" w:cs="Times New Roman" w:eastAsia="Times New Roman" w:hint="default"/>
        </w:rPr>
        <w:t>5G</w:t>
      </w:r>
      <w:r>
        <w:rPr/>
        <w:t>带来的发展机遇和红利。</w:t>
      </w:r>
    </w:p>
    <w:p>
      <w:pPr>
        <w:pStyle w:val="BodyText"/>
        <w:spacing w:line="475" w:lineRule="auto" w:before="39"/>
        <w:ind w:left="561" w:right="1088"/>
        <w:jc w:val="left"/>
      </w:pPr>
      <w:r>
        <w:rPr>
          <w:rFonts w:ascii="宋体" w:hAnsi="宋体" w:cs="宋体" w:eastAsia="宋体" w:hint="default"/>
          <w:b/>
          <w:bCs/>
        </w:rPr>
        <w:t>（一）主要业务和产品</w:t>
      </w:r>
      <w:r>
        <w:rPr>
          <w:rFonts w:ascii="宋体" w:hAnsi="宋体" w:cs="宋体" w:eastAsia="宋体" w:hint="default"/>
          <w:b/>
          <w:bCs/>
          <w:spacing w:val="-84"/>
        </w:rPr>
        <w:t> </w:t>
      </w:r>
      <w:r>
        <w:rPr>
          <w:rFonts w:ascii="宋体" w:hAnsi="宋体" w:cs="宋体" w:eastAsia="宋体" w:hint="default"/>
          <w:b/>
          <w:bCs/>
          <w:spacing w:val="-84"/>
        </w:rPr>
      </w:r>
      <w:r>
        <w:rPr/>
        <w:t>公司作为国内大型</w:t>
      </w:r>
      <w:r>
        <w:rPr>
          <w:rFonts w:ascii="Times New Roman" w:hAnsi="Times New Roman" w:cs="Times New Roman" w:eastAsia="Times New Roman" w:hint="default"/>
        </w:rPr>
        <w:t>3C</w:t>
      </w:r>
      <w:r>
        <w:rPr/>
        <w:t>产品和智能硬件产品的方案提供商，主营</w:t>
      </w:r>
      <w:r>
        <w:rPr>
          <w:rFonts w:ascii="Times New Roman" w:hAnsi="Times New Roman" w:cs="Times New Roman" w:eastAsia="Times New Roman" w:hint="default"/>
        </w:rPr>
        <w:t>3C</w:t>
      </w:r>
      <w:r>
        <w:rPr/>
        <w:t>及智能硬件等产品的研发、设计、生产制造与销售服</w:t>
      </w:r>
    </w:p>
    <w:p>
      <w:pPr>
        <w:pStyle w:val="BodyText"/>
        <w:spacing w:line="448" w:lineRule="auto" w:before="21"/>
        <w:ind w:right="1119"/>
        <w:jc w:val="left"/>
      </w:pPr>
      <w:r>
        <w:rPr/>
        <w:t>务。产品涉及网络通讯类、消费电子类及智能硬件类等领域，核心客户包括华为、小米、三星、</w:t>
      </w:r>
      <w:r>
        <w:rPr>
          <w:rFonts w:ascii="Times New Roman" w:hAnsi="Times New Roman" w:cs="Times New Roman" w:eastAsia="Times New Roman" w:hint="default"/>
        </w:rPr>
        <w:t>360</w:t>
      </w:r>
      <w:r>
        <w:rPr/>
        <w:t>等国内外知名品牌商。</w:t>
      </w:r>
      <w:r>
        <w:rPr>
          <w:spacing w:val="-82"/>
        </w:rPr>
        <w:t> </w:t>
      </w:r>
      <w:r>
        <w:rPr/>
        <w:t>报告期内，公司主营业务未发生重大变化。</w:t>
      </w:r>
    </w:p>
    <w:p>
      <w:pPr>
        <w:pStyle w:val="BodyText"/>
        <w:spacing w:line="448" w:lineRule="auto" w:before="88"/>
        <w:ind w:right="1128" w:firstLine="420"/>
        <w:jc w:val="both"/>
      </w:pPr>
      <w:r>
        <w:rPr>
          <w:spacing w:val="-1"/>
        </w:rPr>
        <w:t>公司致力打造以</w:t>
      </w:r>
      <w:r>
        <w:rPr>
          <w:rFonts w:ascii="Times New Roman" w:hAnsi="Times New Roman" w:cs="Times New Roman" w:eastAsia="Times New Roman" w:hint="default"/>
          <w:spacing w:val="-1"/>
        </w:rPr>
        <w:t>“1+N+X”</w:t>
      </w:r>
      <w:r>
        <w:rPr>
          <w:spacing w:val="-1"/>
        </w:rPr>
        <w:t>为核心的产品发展体系，聚焦通讯主业及手机</w:t>
      </w:r>
      <w:r>
        <w:rPr>
          <w:rFonts w:ascii="Times New Roman" w:hAnsi="Times New Roman" w:cs="Times New Roman" w:eastAsia="Times New Roman" w:hint="default"/>
          <w:spacing w:val="-1"/>
        </w:rPr>
        <w:t>“1”</w:t>
      </w:r>
      <w:r>
        <w:rPr>
          <w:spacing w:val="-1"/>
        </w:rPr>
        <w:t>个龙头，充分发挥龙头的核心作用，引领周</w:t>
      </w:r>
      <w:r>
        <w:rPr/>
        <w:t> 边</w:t>
      </w:r>
      <w:r>
        <w:rPr>
          <w:rFonts w:ascii="Times New Roman" w:hAnsi="Times New Roman" w:cs="Times New Roman" w:eastAsia="Times New Roman" w:hint="default"/>
        </w:rPr>
        <w:t>IOT</w:t>
      </w:r>
      <w:r>
        <w:rPr/>
        <w:t>物联网产品内</w:t>
      </w:r>
      <w:r>
        <w:rPr>
          <w:rFonts w:ascii="Times New Roman" w:hAnsi="Times New Roman" w:cs="Times New Roman" w:eastAsia="Times New Roman" w:hint="default"/>
        </w:rPr>
        <w:t>“N”</w:t>
      </w:r>
      <w:r>
        <w:rPr/>
        <w:t>个爆品，同时前瞻性布局</w:t>
      </w:r>
      <w:r>
        <w:rPr>
          <w:rFonts w:ascii="Times New Roman" w:hAnsi="Times New Roman" w:cs="Times New Roman" w:eastAsia="Times New Roman" w:hint="default"/>
        </w:rPr>
        <w:t>“X”</w:t>
      </w:r>
      <w:r>
        <w:rPr/>
        <w:t>个未来新兴产业。</w:t>
      </w:r>
    </w:p>
    <w:p>
      <w:pPr>
        <w:spacing w:line="240" w:lineRule="auto" w:before="9"/>
        <w:rPr>
          <w:rFonts w:ascii="宋体" w:hAnsi="宋体" w:cs="宋体" w:eastAsia="宋体" w:hint="default"/>
          <w:sz w:val="2"/>
          <w:szCs w:val="2"/>
        </w:rPr>
      </w:pPr>
    </w:p>
    <w:p>
      <w:pPr>
        <w:spacing w:line="4185" w:lineRule="exact"/>
        <w:ind w:left="2705"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3133725" cy="26574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3133725" cy="2657475"/>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8"/>
        <w:rPr>
          <w:rFonts w:ascii="宋体" w:hAnsi="宋体" w:cs="宋体" w:eastAsia="宋体" w:hint="default"/>
          <w:sz w:val="14"/>
          <w:szCs w:val="14"/>
        </w:rPr>
      </w:pPr>
    </w:p>
    <w:p>
      <w:pPr>
        <w:pStyle w:val="Heading6"/>
        <w:spacing w:line="240" w:lineRule="auto"/>
        <w:ind w:left="501" w:right="0"/>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个龙头</w:t>
      </w:r>
      <w:r>
        <w:rPr>
          <w:b w:val="0"/>
          <w:bCs w:val="0"/>
        </w:rPr>
      </w:r>
    </w:p>
    <w:p>
      <w:pPr>
        <w:spacing w:line="240" w:lineRule="auto" w:before="6"/>
        <w:rPr>
          <w:rFonts w:ascii="宋体" w:hAnsi="宋体" w:cs="宋体" w:eastAsia="宋体" w:hint="default"/>
          <w:b/>
          <w:bCs/>
          <w:sz w:val="16"/>
          <w:szCs w:val="16"/>
        </w:rPr>
      </w:pPr>
    </w:p>
    <w:p>
      <w:pPr>
        <w:pStyle w:val="BodyText"/>
        <w:spacing w:line="456" w:lineRule="auto"/>
        <w:ind w:right="1068" w:firstLine="360"/>
        <w:jc w:val="both"/>
      </w:pPr>
      <w:r>
        <w:rPr/>
        <w:t>公司聚焦主业通讯和手机</w:t>
      </w:r>
      <w:r>
        <w:rPr>
          <w:rFonts w:ascii="Times New Roman" w:hAnsi="Times New Roman" w:cs="Times New Roman" w:eastAsia="Times New Roman" w:hint="default"/>
        </w:rPr>
        <w:t>“1”</w:t>
      </w:r>
      <w:r>
        <w:rPr/>
        <w:t>个龙头，并在网络通讯方面拥有较为完整的产品系列：智能路由器、</w:t>
      </w:r>
      <w:r>
        <w:rPr>
          <w:rFonts w:ascii="Times New Roman" w:hAnsi="Times New Roman" w:cs="Times New Roman" w:eastAsia="Times New Roman" w:hint="default"/>
        </w:rPr>
        <w:t>CPE</w:t>
      </w:r>
      <w:r>
        <w:rPr/>
        <w:t>终端、</w:t>
      </w:r>
      <w:r>
        <w:rPr>
          <w:rFonts w:ascii="Times New Roman" w:hAnsi="Times New Roman" w:cs="Times New Roman" w:eastAsia="Times New Roman" w:hint="default"/>
        </w:rPr>
        <w:t>4G</w:t>
      </w:r>
      <w:r>
        <w:rPr>
          <w:rFonts w:ascii="Times New Roman" w:hAnsi="Times New Roman" w:cs="Times New Roman" w:eastAsia="Times New Roman" w:hint="default"/>
          <w:spacing w:val="9"/>
        </w:rPr>
        <w:t> </w:t>
      </w:r>
      <w:r>
        <w:rPr>
          <w:rFonts w:ascii="Times New Roman" w:hAnsi="Times New Roman" w:cs="Times New Roman" w:eastAsia="Times New Roman" w:hint="default"/>
        </w:rPr>
        <w:t>LTE</w:t>
      </w:r>
      <w:r>
        <w:rPr/>
        <w:t>、 </w:t>
      </w:r>
      <w:r>
        <w:rPr>
          <w:rFonts w:ascii="Times New Roman" w:hAnsi="Times New Roman" w:cs="Times New Roman" w:eastAsia="Times New Roman" w:hint="default"/>
        </w:rPr>
        <w:t>PON</w:t>
      </w:r>
      <w:r>
        <w:rPr/>
        <w:t>、</w:t>
      </w:r>
      <w:r>
        <w:rPr>
          <w:rFonts w:ascii="Times New Roman" w:hAnsi="Times New Roman" w:cs="Times New Roman" w:eastAsia="Times New Roman" w:hint="default"/>
        </w:rPr>
        <w:t>10GPON</w:t>
      </w:r>
      <w:r>
        <w:rPr/>
        <w:t>、家庭网关等产品。上述业务主要客户为世界知名品牌商，领域涵盖网络通信、互联网设备及智能手机等，</w:t>
      </w:r>
      <w:r>
        <w:rPr>
          <w:spacing w:val="-68"/>
        </w:rPr>
        <w:t> </w:t>
      </w:r>
      <w:r>
        <w:rPr>
          <w:spacing w:val="-68"/>
        </w:rPr>
      </w:r>
      <w:r>
        <w:rPr/>
        <w:t>产品从宽带接入、信息交换到移动终端全方位覆盖。</w:t>
      </w:r>
    </w:p>
    <w:p>
      <w:pPr>
        <w:pStyle w:val="BodyText"/>
        <w:spacing w:line="448" w:lineRule="auto" w:before="68"/>
        <w:ind w:right="1135" w:firstLine="360"/>
        <w:jc w:val="both"/>
      </w:pPr>
      <w:r>
        <w:rPr/>
        <w:t>随着以</w:t>
      </w:r>
      <w:r>
        <w:rPr>
          <w:rFonts w:ascii="Times New Roman" w:hAnsi="Times New Roman" w:cs="Times New Roman" w:eastAsia="Times New Roman" w:hint="default"/>
        </w:rPr>
        <w:t>5G</w:t>
      </w:r>
      <w:r>
        <w:rPr/>
        <w:t>技术为代表的新兴技术兴起和发展，新一代信息技术带动了移动网络频宽的需求，成就了通信网络设备出货 率的持续高增长。公司网络通讯和智能手机等业务将迎来发展红利期。下面以公司相关业务具体展开说明：</w:t>
      </w:r>
    </w:p>
    <w:p>
      <w:pPr>
        <w:spacing w:after="0" w:line="448"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60" w:lineRule="auto"/>
        <w:ind w:right="1094" w:firstLine="360"/>
        <w:jc w:val="both"/>
      </w:pPr>
      <w:r>
        <w:rPr>
          <w:rFonts w:ascii="Times New Roman" w:hAnsi="Times New Roman" w:cs="Times New Roman" w:eastAsia="Times New Roman" w:hint="default"/>
        </w:rPr>
        <w:t>5G</w:t>
      </w:r>
      <w:r>
        <w:rPr/>
        <w:t>时代，所有物体都可能接入网络，成为万物互联中的一个终端。在万物互联的连接生态中，</w:t>
      </w:r>
      <w:r>
        <w:rPr>
          <w:rFonts w:ascii="Times New Roman" w:hAnsi="Times New Roman" w:cs="Times New Roman" w:eastAsia="Times New Roman" w:hint="default"/>
        </w:rPr>
        <w:t>5G</w:t>
      </w:r>
      <w:r>
        <w:rPr/>
        <w:t>手机因拥有更快的传 </w:t>
      </w:r>
      <w:r>
        <w:rPr>
          <w:spacing w:val="-2"/>
        </w:rPr>
        <w:t>输速度，低时延，更精准的定位和使用者随身携带的特性，将成为这些联网设备的重要中心控制端之一。随着万物互联的实</w:t>
      </w:r>
      <w:r>
        <w:rPr>
          <w:spacing w:val="-42"/>
        </w:rPr>
        <w:t> </w:t>
      </w:r>
      <w:r>
        <w:rPr>
          <w:spacing w:val="-42"/>
        </w:rPr>
      </w:r>
      <w:r>
        <w:rPr>
          <w:spacing w:val="-1"/>
        </w:rPr>
        <w:t>现，</w:t>
      </w:r>
      <w:r>
        <w:rPr>
          <w:rFonts w:ascii="Times New Roman" w:hAnsi="Times New Roman" w:cs="Times New Roman" w:eastAsia="Times New Roman" w:hint="default"/>
          <w:spacing w:val="-1"/>
        </w:rPr>
        <w:t>5G</w:t>
      </w:r>
      <w:r>
        <w:rPr>
          <w:spacing w:val="-1"/>
        </w:rPr>
        <w:t>手机将成为市场的绝对主角。公司早在</w:t>
      </w:r>
      <w:r>
        <w:rPr>
          <w:rFonts w:ascii="Times New Roman" w:hAnsi="Times New Roman" w:cs="Times New Roman" w:eastAsia="Times New Roman" w:hint="default"/>
          <w:spacing w:val="-1"/>
        </w:rPr>
        <w:t>5G</w:t>
      </w:r>
      <w:r>
        <w:rPr>
          <w:spacing w:val="-1"/>
        </w:rPr>
        <w:t>手机和</w:t>
      </w:r>
      <w:r>
        <w:rPr>
          <w:rFonts w:ascii="Times New Roman" w:hAnsi="Times New Roman" w:cs="Times New Roman" w:eastAsia="Times New Roman" w:hint="default"/>
          <w:spacing w:val="-1"/>
        </w:rPr>
        <w:t>5G</w:t>
      </w:r>
      <w:r>
        <w:rPr>
          <w:spacing w:val="-1"/>
        </w:rPr>
        <w:t>周边产品等领域前瞻布局，并为核心客户生产了多款型号的</w:t>
      </w:r>
      <w:r>
        <w:rPr>
          <w:rFonts w:ascii="Times New Roman" w:hAnsi="Times New Roman" w:cs="Times New Roman" w:eastAsia="Times New Roman" w:hint="default"/>
          <w:spacing w:val="-1"/>
        </w:rPr>
        <w:t>5G</w:t>
      </w:r>
      <w:r>
        <w:rPr>
          <w:spacing w:val="-1"/>
        </w:rPr>
        <w:t>手</w:t>
      </w:r>
      <w:r>
        <w:rPr>
          <w:spacing w:val="-65"/>
        </w:rPr>
        <w:t> </w:t>
      </w:r>
      <w:r>
        <w:rPr/>
        <w:t>机，随着</w:t>
      </w:r>
      <w:r>
        <w:rPr>
          <w:rFonts w:ascii="Times New Roman" w:hAnsi="Times New Roman" w:cs="Times New Roman" w:eastAsia="Times New Roman" w:hint="default"/>
        </w:rPr>
        <w:t>5G</w:t>
      </w:r>
      <w:r>
        <w:rPr/>
        <w:t>商用的落地，公司</w:t>
      </w:r>
      <w:r>
        <w:rPr>
          <w:rFonts w:ascii="Times New Roman" w:hAnsi="Times New Roman" w:cs="Times New Roman" w:eastAsia="Times New Roman" w:hint="default"/>
        </w:rPr>
        <w:t>5G</w:t>
      </w:r>
      <w:r>
        <w:rPr/>
        <w:t>手机等业务有望得到更宽广的发展空间。</w:t>
      </w:r>
    </w:p>
    <w:p>
      <w:pPr>
        <w:pStyle w:val="BodyText"/>
        <w:spacing w:line="448" w:lineRule="auto" w:before="32"/>
        <w:ind w:right="1125" w:firstLine="360"/>
        <w:jc w:val="both"/>
      </w:pPr>
      <w:r>
        <w:rPr>
          <w:spacing w:val="-2"/>
        </w:rPr>
        <w:t>新一代</w:t>
      </w:r>
      <w:r>
        <w:rPr>
          <w:rFonts w:ascii="Times New Roman" w:hAnsi="Times New Roman" w:cs="Times New Roman" w:eastAsia="Times New Roman" w:hint="default"/>
          <w:spacing w:val="-2"/>
        </w:rPr>
        <w:t>Wi-Fi6</w:t>
      </w:r>
      <w:r>
        <w:rPr>
          <w:spacing w:val="-2"/>
        </w:rPr>
        <w:t>智能路由器主要特点有速度更快、延时更低、容量更大、安全性更高、能耗更低等。随着消费者对网速的</w:t>
      </w:r>
      <w:r>
        <w:rPr/>
        <w:t> </w:t>
      </w:r>
      <w:r>
        <w:rPr>
          <w:spacing w:val="-3"/>
        </w:rPr>
        <w:t>要求越来越高，室内、公共场合等应用场景需求的增长，诸如在线教育、远程协同、</w:t>
      </w:r>
      <w:r>
        <w:rPr>
          <w:rFonts w:ascii="Times New Roman" w:hAnsi="Times New Roman" w:cs="Times New Roman" w:eastAsia="Times New Roman" w:hint="default"/>
          <w:spacing w:val="-3"/>
        </w:rPr>
        <w:t>AR/VR/</w:t>
      </w:r>
      <w:r>
        <w:rPr>
          <w:spacing w:val="-3"/>
        </w:rPr>
        <w:t>游戏等，都将有利于促进</w:t>
      </w:r>
      <w:r>
        <w:rPr>
          <w:rFonts w:ascii="Times New Roman" w:hAnsi="Times New Roman" w:cs="Times New Roman" w:eastAsia="Times New Roman" w:hint="default"/>
          <w:spacing w:val="-3"/>
        </w:rPr>
        <w:t>Wi-Fi6</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路由器的市场应用和拓展。</w:t>
      </w:r>
    </w:p>
    <w:p>
      <w:pPr>
        <w:pStyle w:val="BodyText"/>
        <w:spacing w:line="463" w:lineRule="auto" w:before="73"/>
        <w:ind w:left="501" w:right="1118"/>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Times New Roman" w:hAnsi="Times New Roman" w:cs="Times New Roman" w:eastAsia="Times New Roman" w:hint="default"/>
          <w:b/>
          <w:bCs/>
        </w:rPr>
        <w:t>“N”</w:t>
      </w:r>
      <w:r>
        <w:rPr>
          <w:rFonts w:ascii="宋体" w:hAnsi="宋体" w:cs="宋体" w:eastAsia="宋体" w:hint="default"/>
          <w:b/>
          <w:bCs/>
        </w:rPr>
        <w:t>个爆品</w:t>
      </w:r>
      <w:r>
        <w:rPr>
          <w:rFonts w:ascii="宋体" w:hAnsi="宋体" w:cs="宋体" w:eastAsia="宋体" w:hint="default"/>
          <w:b/>
          <w:bCs/>
          <w:w w:val="99"/>
        </w:rPr>
        <w:t> </w:t>
      </w:r>
      <w:r>
        <w:rPr>
          <w:spacing w:val="-1"/>
        </w:rPr>
        <w:t>公司已形成以小米生态链、华为智选生态和</w:t>
      </w:r>
      <w:r>
        <w:rPr>
          <w:rFonts w:ascii="Times New Roman" w:hAnsi="Times New Roman" w:cs="Times New Roman" w:eastAsia="Times New Roman" w:hint="default"/>
          <w:spacing w:val="-1"/>
        </w:rPr>
        <w:t>360</w:t>
      </w:r>
      <w:r>
        <w:rPr>
          <w:spacing w:val="-1"/>
        </w:rPr>
        <w:t>智能硬件等智能产品的研发和制造体系，以</w:t>
      </w:r>
      <w:r>
        <w:rPr>
          <w:rFonts w:ascii="Times New Roman" w:hAnsi="Times New Roman" w:cs="Times New Roman" w:eastAsia="Times New Roman" w:hint="default"/>
          <w:spacing w:val="-1"/>
        </w:rPr>
        <w:t>5G</w:t>
      </w:r>
      <w:r>
        <w:rPr>
          <w:spacing w:val="-1"/>
        </w:rPr>
        <w:t>系列产品为突破口，以智</w:t>
      </w:r>
    </w:p>
    <w:p>
      <w:pPr>
        <w:pStyle w:val="BodyText"/>
        <w:spacing w:line="448" w:lineRule="auto" w:before="30"/>
        <w:ind w:right="1113"/>
        <w:jc w:val="both"/>
      </w:pPr>
      <w:r>
        <w:rPr>
          <w:spacing w:val="-1"/>
        </w:rPr>
        <w:t>能手环、智能手表、</w:t>
      </w:r>
      <w:r>
        <w:rPr>
          <w:rFonts w:ascii="Times New Roman" w:hAnsi="Times New Roman" w:cs="Times New Roman" w:eastAsia="Times New Roman" w:hint="default"/>
          <w:spacing w:val="-1"/>
        </w:rPr>
        <w:t>VR</w:t>
      </w:r>
      <w:r>
        <w:rPr>
          <w:spacing w:val="-1"/>
        </w:rPr>
        <w:t>眼镜等智能穿戴设备为接收端，以智能摄像头、智能控制</w:t>
      </w:r>
      <w:r>
        <w:rPr>
          <w:rFonts w:ascii="Times New Roman" w:hAnsi="Times New Roman" w:cs="Times New Roman" w:eastAsia="Times New Roman" w:hint="default"/>
          <w:spacing w:val="-1"/>
        </w:rPr>
        <w:t>/</w:t>
      </w:r>
      <w:r>
        <w:rPr>
          <w:spacing w:val="-1"/>
        </w:rPr>
        <w:t>连接系统、行车记录仪等车联网产品为服</w:t>
      </w:r>
      <w:r>
        <w:rPr>
          <w:spacing w:val="-44"/>
        </w:rPr>
        <w:t> </w:t>
      </w:r>
      <w:r>
        <w:rPr/>
        <w:t>务端，进一步丰富物联网的应用与服务生态，</w:t>
      </w:r>
      <w:r>
        <w:rPr>
          <w:rFonts w:ascii="Times New Roman" w:hAnsi="Times New Roman" w:cs="Times New Roman" w:eastAsia="Times New Roman" w:hint="default"/>
        </w:rPr>
        <w:t>“</w:t>
      </w:r>
      <w:r>
        <w:rPr/>
        <w:t>入口、连接、服务</w:t>
      </w:r>
      <w:r>
        <w:rPr>
          <w:rFonts w:ascii="Times New Roman" w:hAnsi="Times New Roman" w:cs="Times New Roman" w:eastAsia="Times New Roman" w:hint="default"/>
        </w:rPr>
        <w:t>”</w:t>
      </w:r>
      <w:r>
        <w:rPr/>
        <w:t>实现</w:t>
      </w:r>
      <w:r>
        <w:rPr>
          <w:rFonts w:ascii="Times New Roman" w:hAnsi="Times New Roman" w:cs="Times New Roman" w:eastAsia="Times New Roman" w:hint="default"/>
        </w:rPr>
        <w:t>“5G+AI+IoT”</w:t>
      </w:r>
      <w:r>
        <w:rPr/>
        <w:t>生态链全方位的深度布局。</w:t>
      </w:r>
    </w:p>
    <w:p>
      <w:pPr>
        <w:pStyle w:val="BodyText"/>
        <w:spacing w:line="468" w:lineRule="auto" w:before="43"/>
        <w:ind w:right="1120" w:firstLine="360"/>
        <w:jc w:val="both"/>
      </w:pPr>
      <w:r>
        <w:rPr>
          <w:spacing w:val="-2"/>
        </w:rPr>
        <w:t>物联网作为未来</w:t>
      </w:r>
      <w:r>
        <w:rPr>
          <w:rFonts w:ascii="Times New Roman" w:hAnsi="Times New Roman" w:cs="Times New Roman" w:eastAsia="Times New Roman" w:hint="default"/>
          <w:spacing w:val="-2"/>
        </w:rPr>
        <w:t>5G</w:t>
      </w:r>
      <w:r>
        <w:rPr>
          <w:spacing w:val="-2"/>
        </w:rPr>
        <w:t>发展的入口，将推动相关产业链的爆发性发展。公司作为产业链中的重要一环，具备一站式</w:t>
      </w:r>
      <w:r>
        <w:rPr>
          <w:rFonts w:ascii="Times New Roman" w:hAnsi="Times New Roman" w:cs="Times New Roman" w:eastAsia="Times New Roman" w:hint="default"/>
          <w:spacing w:val="-2"/>
        </w:rPr>
        <w:t>3C</w:t>
      </w:r>
      <w:r>
        <w:rPr>
          <w:spacing w:val="-2"/>
        </w:rPr>
        <w:t>、</w:t>
      </w:r>
      <w:r>
        <w:rPr>
          <w:rFonts w:ascii="Times New Roman" w:hAnsi="Times New Roman" w:cs="Times New Roman" w:eastAsia="Times New Roman" w:hint="default"/>
          <w:spacing w:val="-2"/>
        </w:rPr>
        <w:t>IOT</w:t>
      </w:r>
      <w:r>
        <w:rPr>
          <w:rFonts w:ascii="Times New Roman" w:hAnsi="Times New Roman" w:cs="Times New Roman" w:eastAsia="Times New Roman" w:hint="default"/>
        </w:rPr>
        <w:t> </w:t>
      </w:r>
      <w:r>
        <w:rPr>
          <w:spacing w:val="-2"/>
        </w:rPr>
        <w:t>产品方案提供能力和智能制造软硬一体化整体解决能力，拥有领先的技术能力和丰厚的技术积累，公司多技术整合能力的优</w:t>
      </w:r>
      <w:r>
        <w:rPr>
          <w:spacing w:val="-72"/>
        </w:rPr>
        <w:t> </w:t>
      </w:r>
      <w:r>
        <w:rPr>
          <w:spacing w:val="-72"/>
        </w:rPr>
      </w:r>
      <w:r>
        <w:rPr/>
        <w:t>势将在市场竞争中充分发挥。</w:t>
      </w:r>
    </w:p>
    <w:p>
      <w:pPr>
        <w:pStyle w:val="Heading6"/>
        <w:spacing w:line="240" w:lineRule="auto" w:before="59"/>
        <w:ind w:left="576" w:right="0"/>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“X”</w:t>
      </w:r>
      <w:r>
        <w:rPr/>
        <w:t>个未来新兴产业</w:t>
      </w:r>
      <w:r>
        <w:rPr>
          <w:b w:val="0"/>
          <w:bCs w:val="0"/>
        </w:rPr>
      </w:r>
    </w:p>
    <w:p>
      <w:pPr>
        <w:spacing w:line="240" w:lineRule="auto" w:before="6"/>
        <w:rPr>
          <w:rFonts w:ascii="宋体" w:hAnsi="宋体" w:cs="宋体" w:eastAsia="宋体" w:hint="default"/>
          <w:b/>
          <w:bCs/>
          <w:sz w:val="16"/>
          <w:szCs w:val="16"/>
        </w:rPr>
      </w:pPr>
    </w:p>
    <w:p>
      <w:pPr>
        <w:pStyle w:val="BodyText"/>
        <w:spacing w:line="448" w:lineRule="auto"/>
        <w:ind w:left="501" w:right="1118"/>
        <w:jc w:val="left"/>
      </w:pPr>
      <w:r>
        <w:rPr>
          <w:rFonts w:ascii="Times New Roman" w:hAnsi="Times New Roman" w:cs="Times New Roman" w:eastAsia="Times New Roman" w:hint="default"/>
        </w:rPr>
        <w:t>1)</w:t>
      </w:r>
      <w:r>
        <w:rPr/>
        <w:t>工业机器人</w:t>
      </w:r>
      <w:r>
        <w:rPr>
          <w:w w:val="99"/>
        </w:rPr>
        <w:t> </w:t>
      </w:r>
      <w:r>
        <w:rPr/>
        <w:t>为顺应工业发展趋势和潮流，把握工业</w:t>
      </w:r>
      <w:r>
        <w:rPr>
          <w:rFonts w:ascii="Times New Roman" w:hAnsi="Times New Roman" w:cs="Times New Roman" w:eastAsia="Times New Roman" w:hint="default"/>
        </w:rPr>
        <w:t>4.0</w:t>
      </w:r>
      <w:r>
        <w:rPr/>
        <w:t>的发展机遇，公司在坚持主业的同时，不断锻造前沿高端技术能力，全面打</w:t>
      </w:r>
    </w:p>
    <w:p>
      <w:pPr>
        <w:pStyle w:val="BodyText"/>
        <w:spacing w:line="489" w:lineRule="auto" w:before="43"/>
        <w:ind w:right="0"/>
        <w:jc w:val="left"/>
      </w:pPr>
      <w:r>
        <w:rPr>
          <w:spacing w:val="-2"/>
        </w:rPr>
        <w:t>造智能化工厂，推动智能制造领域业务的布局和发展。公司研发了一系列用于生产的自动化设备、自动化无人生产线及工业</w:t>
      </w:r>
      <w:r>
        <w:rPr>
          <w:spacing w:val="-75"/>
        </w:rPr>
        <w:t> </w:t>
      </w:r>
      <w:r>
        <w:rPr>
          <w:spacing w:val="-75"/>
        </w:rPr>
      </w:r>
      <w:r>
        <w:rPr>
          <w:spacing w:val="-2"/>
        </w:rPr>
        <w:t>机器人等，如全自动包装线、</w:t>
      </w:r>
      <w:r>
        <w:rPr>
          <w:rFonts w:ascii="Times New Roman" w:hAnsi="Times New Roman" w:cs="Times New Roman" w:eastAsia="Times New Roman" w:hint="default"/>
          <w:spacing w:val="-2"/>
        </w:rPr>
        <w:t>PCB</w:t>
      </w:r>
      <w:r>
        <w:rPr>
          <w:spacing w:val="-2"/>
        </w:rPr>
        <w:t>板测自动化线、塑封覆膜机、后摄镜片</w:t>
      </w:r>
      <w:r>
        <w:rPr>
          <w:rFonts w:ascii="Times New Roman" w:hAnsi="Times New Roman" w:cs="Times New Roman" w:eastAsia="Times New Roman" w:hint="default"/>
          <w:spacing w:val="-2"/>
        </w:rPr>
        <w:t>CCD</w:t>
      </w:r>
      <w:r>
        <w:rPr>
          <w:spacing w:val="-2"/>
        </w:rPr>
        <w:t>贴装机、</w:t>
      </w:r>
      <w:r>
        <w:rPr>
          <w:rFonts w:ascii="Times New Roman" w:hAnsi="Times New Roman" w:cs="Times New Roman" w:eastAsia="Times New Roman" w:hint="default"/>
          <w:spacing w:val="-2"/>
        </w:rPr>
        <w:t>LOGO</w:t>
      </w:r>
      <w:r>
        <w:rPr>
          <w:spacing w:val="-2"/>
        </w:rPr>
        <w:t>检测机、智能仓库电子料货架、</w:t>
      </w:r>
    </w:p>
    <w:p>
      <w:pPr>
        <w:pStyle w:val="BodyText"/>
        <w:spacing w:line="460" w:lineRule="auto" w:before="9"/>
        <w:ind w:right="1109"/>
        <w:jc w:val="both"/>
      </w:pPr>
      <w:r>
        <w:rPr>
          <w:spacing w:val="-3"/>
        </w:rPr>
        <w:t>热熔点胶机、双头伺服自动螺丝机、三明治贴片压合机、自动贴标机、双</w:t>
      </w:r>
      <w:r>
        <w:rPr>
          <w:rFonts w:ascii="Times New Roman" w:hAnsi="Times New Roman" w:cs="Times New Roman" w:eastAsia="Times New Roman" w:hint="default"/>
          <w:spacing w:val="-3"/>
        </w:rPr>
        <w:t>Y</w:t>
      </w:r>
      <w:r>
        <w:rPr>
          <w:spacing w:val="-3"/>
        </w:rPr>
        <w:t>分板机、协作机器人、</w:t>
      </w:r>
      <w:r>
        <w:rPr>
          <w:rFonts w:ascii="Times New Roman" w:hAnsi="Times New Roman" w:cs="Times New Roman" w:eastAsia="Times New Roman" w:hint="default"/>
          <w:spacing w:val="-3"/>
        </w:rPr>
        <w:t>Stewart</w:t>
      </w:r>
      <w:r>
        <w:rPr>
          <w:spacing w:val="-3"/>
        </w:rPr>
        <w:t>机器人、</w:t>
      </w:r>
      <w:r>
        <w:rPr>
          <w:rFonts w:ascii="Times New Roman" w:hAnsi="Times New Roman" w:cs="Times New Roman" w:eastAsia="Times New Roman" w:hint="default"/>
          <w:spacing w:val="-3"/>
        </w:rPr>
        <w:t>SCARA</w:t>
      </w:r>
      <w:r>
        <w:rPr>
          <w:rFonts w:ascii="Times New Roman" w:hAnsi="Times New Roman" w:cs="Times New Roman" w:eastAsia="Times New Roman" w:hint="default"/>
          <w:spacing w:val="34"/>
        </w:rPr>
        <w:t> </w:t>
      </w:r>
      <w:r>
        <w:rPr/>
        <w:t>机 </w:t>
      </w:r>
      <w:r>
        <w:rPr>
          <w:spacing w:val="-2"/>
        </w:rPr>
        <w:t>器人及运动控制器等，有利于降低人工成本、提升产能、稳定品质、提升产品盈利能力，提高市场竞争力。目前，公司的自</w:t>
      </w:r>
      <w:r>
        <w:rPr>
          <w:spacing w:val="-71"/>
        </w:rPr>
        <w:t> </w:t>
      </w:r>
      <w:r>
        <w:rPr>
          <w:spacing w:val="-71"/>
        </w:rPr>
      </w:r>
      <w:r>
        <w:rPr/>
        <w:t>动化水平处于行业领先地位。</w:t>
      </w:r>
    </w:p>
    <w:p>
      <w:pPr>
        <w:spacing w:line="240" w:lineRule="auto" w:before="7"/>
        <w:rPr>
          <w:rFonts w:ascii="宋体" w:hAnsi="宋体" w:cs="宋体" w:eastAsia="宋体" w:hint="default"/>
          <w:sz w:val="7"/>
          <w:szCs w:val="7"/>
        </w:rPr>
      </w:pPr>
    </w:p>
    <w:p>
      <w:pPr>
        <w:spacing w:line="2535" w:lineRule="exact"/>
        <w:ind w:left="170"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6086475" cy="160972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6086475" cy="1609725"/>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4"/>
        <w:rPr>
          <w:rFonts w:ascii="宋体" w:hAnsi="宋体" w:cs="宋体" w:eastAsia="宋体" w:hint="default"/>
          <w:sz w:val="19"/>
          <w:szCs w:val="19"/>
        </w:rPr>
      </w:pPr>
    </w:p>
    <w:p>
      <w:pPr>
        <w:pStyle w:val="BodyText"/>
        <w:spacing w:line="475" w:lineRule="auto"/>
        <w:ind w:right="1125" w:firstLine="420"/>
        <w:jc w:val="both"/>
      </w:pPr>
      <w:r>
        <w:rPr/>
        <w:t>随着《中国制造</w:t>
      </w:r>
      <w:r>
        <w:rPr>
          <w:rFonts w:ascii="宋体" w:hAnsi="宋体" w:cs="宋体" w:eastAsia="宋体" w:hint="default"/>
        </w:rPr>
        <w:t>2025</w:t>
      </w:r>
      <w:r>
        <w:rPr/>
        <w:t>》国家战略的稳步实施，国内制造业转型升级步伐将逐步加快，机器人密度将大幅增加，假设达 到日本的水平，则我国工业机器人是一个千亿级别的市场，未来</w:t>
      </w:r>
      <w:r>
        <w:rPr>
          <w:rFonts w:ascii="宋体" w:hAnsi="宋体" w:cs="宋体" w:eastAsia="宋体" w:hint="default"/>
        </w:rPr>
        <w:t>2020-2022</w:t>
      </w:r>
      <w:r>
        <w:rPr/>
        <w:t>三年间，国内工业机器人将拥有</w:t>
      </w:r>
      <w:r>
        <w:rPr>
          <w:rFonts w:ascii="宋体" w:hAnsi="宋体" w:cs="宋体" w:eastAsia="宋体" w:hint="default"/>
        </w:rPr>
        <w:t>1086</w:t>
      </w:r>
      <w:r>
        <w:rPr/>
        <w:t>亿元的市场</w:t>
      </w:r>
    </w:p>
    <w:p>
      <w:pPr>
        <w:spacing w:after="0" w:line="475"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75" w:lineRule="auto"/>
        <w:ind w:right="0"/>
        <w:jc w:val="left"/>
      </w:pPr>
      <w:r>
        <w:rPr>
          <w:spacing w:val="-2"/>
        </w:rPr>
        <w:t>空间。公司具备核心零部件自主研制能力与本体自给能力，掌握机器人运动控制器核心算法，定制化开发产品，具备成本优</w:t>
      </w:r>
      <w:r>
        <w:rPr>
          <w:spacing w:val="-42"/>
        </w:rPr>
        <w:t> </w:t>
      </w:r>
      <w:r>
        <w:rPr>
          <w:spacing w:val="-42"/>
        </w:rPr>
      </w:r>
      <w:r>
        <w:rPr/>
        <w:t>势，发展潜力巨大。</w:t>
      </w:r>
    </w:p>
    <w:p>
      <w:pPr>
        <w:pStyle w:val="BodyText"/>
        <w:spacing w:line="489" w:lineRule="auto" w:before="53"/>
        <w:ind w:left="561" w:right="1118"/>
        <w:jc w:val="left"/>
      </w:pPr>
      <w:r>
        <w:rPr>
          <w:rFonts w:ascii="宋体" w:hAnsi="宋体" w:cs="宋体" w:eastAsia="宋体" w:hint="default"/>
        </w:rPr>
        <w:t>2</w:t>
      </w:r>
      <w:r>
        <w:rPr/>
        <w:t>）量子点触角 公司已经完成了量子点显示材料的研发，达到了量产的技术水平并组建了材料生产线。目前，公司正按经营重点进行</w:t>
      </w:r>
    </w:p>
    <w:p>
      <w:pPr>
        <w:pStyle w:val="BodyText"/>
        <w:spacing w:line="475" w:lineRule="auto" w:before="42"/>
        <w:ind w:right="1029"/>
        <w:jc w:val="left"/>
      </w:pPr>
      <w:r>
        <w:rPr/>
        <w:t>业务布局并根据市场反馈进行量子点材料市场的开拓。 </w:t>
      </w:r>
      <w:r>
        <w:rPr>
          <w:rFonts w:ascii="宋体" w:hAnsi="宋体" w:cs="宋体" w:eastAsia="宋体" w:hint="default"/>
        </w:rPr>
        <w:t>QLED</w:t>
      </w:r>
      <w:r>
        <w:rPr/>
        <w:t>技术目前主要是应用于电视等液晶屏市场，正引领高端电视行业的新风向，未来随着</w:t>
      </w:r>
      <w:r>
        <w:rPr>
          <w:rFonts w:ascii="宋体" w:hAnsi="宋体" w:cs="宋体" w:eastAsia="宋体" w:hint="default"/>
        </w:rPr>
        <w:t>QLED</w:t>
      </w:r>
      <w:r>
        <w:rPr/>
        <w:t>技术的应用与市场渐趋成熟，</w:t>
      </w:r>
      <w:r>
        <w:rPr>
          <w:spacing w:val="-82"/>
        </w:rPr>
        <w:t> </w:t>
      </w:r>
      <w:r>
        <w:rPr>
          <w:spacing w:val="-2"/>
        </w:rPr>
        <w:t>也必然可以推向包含电视液晶屏、</w:t>
      </w:r>
      <w:r>
        <w:rPr>
          <w:rFonts w:ascii="宋体" w:hAnsi="宋体" w:cs="宋体" w:eastAsia="宋体" w:hint="default"/>
          <w:spacing w:val="-2"/>
        </w:rPr>
        <w:t>PC</w:t>
      </w:r>
      <w:r>
        <w:rPr>
          <w:spacing w:val="-2"/>
        </w:rPr>
        <w:t>端以及小型消费电子等覆盖范围更广的显示市场。公司很看好未来</w:t>
      </w:r>
      <w:r>
        <w:rPr>
          <w:rFonts w:ascii="宋体" w:hAnsi="宋体" w:cs="宋体" w:eastAsia="宋体" w:hint="default"/>
          <w:spacing w:val="-2"/>
        </w:rPr>
        <w:t>QLED</w:t>
      </w:r>
      <w:r>
        <w:rPr>
          <w:spacing w:val="-2"/>
        </w:rPr>
        <w:t>行业的发展，相</w:t>
      </w:r>
      <w:r>
        <w:rPr>
          <w:spacing w:val="-59"/>
        </w:rPr>
        <w:t> </w:t>
      </w:r>
      <w:r>
        <w:rPr>
          <w:spacing w:val="-59"/>
        </w:rPr>
      </w:r>
      <w:r>
        <w:rPr/>
        <w:t>信在技术上的不断突破和成熟，会真正改变整个显示行业格局。</w:t>
      </w:r>
    </w:p>
    <w:p>
      <w:pPr>
        <w:pStyle w:val="BodyText"/>
        <w:spacing w:line="472" w:lineRule="auto" w:before="68"/>
        <w:ind w:left="501" w:right="0" w:firstLine="60"/>
        <w:jc w:val="left"/>
      </w:pPr>
      <w:r>
        <w:rPr>
          <w:rFonts w:ascii="宋体" w:hAnsi="宋体" w:cs="宋体" w:eastAsia="宋体" w:hint="default"/>
          <w:b/>
          <w:bCs/>
        </w:rPr>
        <w:t>（二）主要经营模式</w:t>
      </w:r>
      <w:r>
        <w:rPr>
          <w:rFonts w:ascii="宋体" w:hAnsi="宋体" w:cs="宋体" w:eastAsia="宋体" w:hint="default"/>
          <w:b/>
          <w:bCs/>
          <w:w w:val="99"/>
        </w:rPr>
        <w:t> </w:t>
      </w:r>
      <w:r>
        <w:rPr>
          <w:spacing w:val="-2"/>
        </w:rPr>
        <w:t>公司主要以</w:t>
      </w:r>
      <w:r>
        <w:rPr>
          <w:rFonts w:ascii="宋体" w:hAnsi="宋体" w:cs="宋体" w:eastAsia="宋体" w:hint="default"/>
          <w:spacing w:val="-2"/>
        </w:rPr>
        <w:t>ODM/JDM/EMS</w:t>
      </w:r>
      <w:r>
        <w:rPr>
          <w:spacing w:val="-2"/>
        </w:rPr>
        <w:t>等模式为国内外的品牌渠道商提供合约制造服务。其中，</w:t>
      </w:r>
      <w:r>
        <w:rPr>
          <w:rFonts w:ascii="宋体" w:hAnsi="宋体" w:cs="宋体" w:eastAsia="宋体" w:hint="default"/>
          <w:spacing w:val="-2"/>
        </w:rPr>
        <w:t>ODM</w:t>
      </w:r>
      <w:r>
        <w:rPr>
          <w:spacing w:val="-2"/>
        </w:rPr>
        <w:t>模式下，公司为品牌商提供的服务</w:t>
      </w:r>
    </w:p>
    <w:p>
      <w:pPr>
        <w:pStyle w:val="BodyText"/>
        <w:spacing w:line="475" w:lineRule="auto" w:before="55"/>
        <w:ind w:right="1027"/>
        <w:jc w:val="both"/>
      </w:pPr>
      <w:r>
        <w:rPr>
          <w:spacing w:val="-2"/>
        </w:rPr>
        <w:t>包括从市场研究、产品设计开发、原材料采购一直到产品制造；</w:t>
      </w:r>
      <w:r>
        <w:rPr>
          <w:rFonts w:ascii="宋体" w:hAnsi="宋体" w:cs="宋体" w:eastAsia="宋体" w:hint="default"/>
          <w:spacing w:val="-2"/>
        </w:rPr>
        <w:t>JDM</w:t>
      </w:r>
      <w:r>
        <w:rPr>
          <w:spacing w:val="-2"/>
        </w:rPr>
        <w:t>（联合设计制造）模式，通过与品牌客户进行共同研发，</w:t>
      </w:r>
      <w:r>
        <w:rPr>
          <w:spacing w:val="-63"/>
        </w:rPr>
        <w:t> </w:t>
      </w:r>
      <w:r>
        <w:rPr>
          <w:spacing w:val="-63"/>
        </w:rPr>
      </w:r>
      <w:r>
        <w:rPr>
          <w:spacing w:val="-2"/>
        </w:rPr>
        <w:t>加强客户粘着力，实现资源共享；</w:t>
      </w:r>
      <w:r>
        <w:rPr>
          <w:rFonts w:ascii="宋体" w:hAnsi="宋体" w:cs="宋体" w:eastAsia="宋体" w:hint="default"/>
          <w:spacing w:val="-2"/>
        </w:rPr>
        <w:t>EMS</w:t>
      </w:r>
      <w:r>
        <w:rPr>
          <w:spacing w:val="-2"/>
        </w:rPr>
        <w:t>模式下，公司为品牌商提供包括原材料采购、产品制造和相关物流配送、售后等服务。</w:t>
      </w:r>
      <w:r>
        <w:rPr>
          <w:spacing w:val="-50"/>
        </w:rPr>
        <w:t> </w:t>
      </w:r>
      <w:r>
        <w:rPr>
          <w:spacing w:val="-50"/>
        </w:rPr>
      </w:r>
      <w:r>
        <w:rPr/>
        <w:t>同时，公司根据市场和消费者需求变化情况，也不排除尝试</w:t>
      </w:r>
      <w:r>
        <w:rPr>
          <w:rFonts w:ascii="宋体" w:hAnsi="宋体" w:cs="宋体" w:eastAsia="宋体" w:hint="default"/>
        </w:rPr>
        <w:t>C2M</w:t>
      </w:r>
      <w:r>
        <w:rPr/>
        <w:t>定制化新模式，使得各方价值最大化。</w:t>
      </w:r>
    </w:p>
    <w:p>
      <w:pPr>
        <w:pStyle w:val="BodyText"/>
        <w:spacing w:line="475" w:lineRule="auto" w:before="68"/>
        <w:ind w:right="0" w:firstLine="420"/>
        <w:jc w:val="left"/>
      </w:pPr>
      <w:r>
        <w:rPr/>
        <w:t>未来，公司将不断优化产品布局和业务模式，提高高附加值产品占比，深耕市场，巩固核心客户，加大新客户的开发 和新兴产品的研究应用，提升公司的盈利能力。</w:t>
      </w:r>
    </w:p>
    <w:p>
      <w:pPr>
        <w:pStyle w:val="Heading6"/>
        <w:spacing w:line="240" w:lineRule="auto" w:before="53"/>
        <w:ind w:left="561" w:right="0"/>
        <w:jc w:val="left"/>
        <w:rPr>
          <w:b w:val="0"/>
          <w:bCs w:val="0"/>
        </w:rPr>
      </w:pPr>
      <w:r>
        <w:rPr/>
        <w:t>（三）公司所属行业的发展状况</w:t>
      </w:r>
      <w:r>
        <w:rPr>
          <w:b w:val="0"/>
          <w:bCs w:val="0"/>
        </w:rPr>
      </w:r>
    </w:p>
    <w:p>
      <w:pPr>
        <w:spacing w:line="240" w:lineRule="auto" w:before="8"/>
        <w:rPr>
          <w:rFonts w:ascii="宋体" w:hAnsi="宋体" w:cs="宋体" w:eastAsia="宋体" w:hint="default"/>
          <w:b/>
          <w:bCs/>
          <w:sz w:val="17"/>
          <w:szCs w:val="17"/>
        </w:rPr>
      </w:pPr>
    </w:p>
    <w:p>
      <w:pPr>
        <w:pStyle w:val="BodyText"/>
        <w:spacing w:line="475" w:lineRule="auto"/>
        <w:ind w:right="1095" w:firstLine="420"/>
        <w:jc w:val="left"/>
      </w:pPr>
      <w:r>
        <w:rPr/>
        <w:t>详见“第四节</w:t>
      </w:r>
      <w:r>
        <w:rPr>
          <w:spacing w:val="-36"/>
        </w:rPr>
        <w:t> </w:t>
      </w:r>
      <w:r>
        <w:rPr/>
        <w:t>经营情况讨论与分析”之“九、公司未来发展的展望”之“（一）公司现处的行业格局和发展趋势”相</w:t>
      </w:r>
      <w:r>
        <w:rPr/>
        <w:t> 关内容。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3"/>
          <w:szCs w:val="23"/>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spacing w:val="5"/>
        </w:rPr>
        <w:t>1</w:t>
      </w:r>
      <w:r>
        <w:rPr>
          <w:spacing w:val="5"/>
        </w:rPr>
        <w:t>、主要资产重大变化情况</w:t>
      </w:r>
      <w:r>
        <w:rPr>
          <w:b w:val="0"/>
          <w:bCs w:val="0"/>
          <w:spacing w:val="5"/>
        </w:rPr>
      </w: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049"/>
        <w:gridCol w:w="6533"/>
      </w:tblGrid>
      <w:tr>
        <w:trPr>
          <w:trHeight w:val="187" w:hRule="exact"/>
        </w:trPr>
        <w:tc>
          <w:tcPr>
            <w:tcW w:w="3049" w:type="dxa"/>
            <w:tcBorders>
              <w:top w:val="single" w:sz="6" w:space="0" w:color="000000"/>
              <w:left w:val="single" w:sz="6" w:space="0" w:color="000000"/>
              <w:bottom w:val="nil" w:sz="6" w:space="0" w:color="auto"/>
              <w:right w:val="single" w:sz="6" w:space="0" w:color="000000"/>
            </w:tcBorders>
            <w:shd w:val="clear" w:color="auto" w:fill="D2D2D2"/>
          </w:tcPr>
          <w:p>
            <w:pPr/>
          </w:p>
        </w:tc>
        <w:tc>
          <w:tcPr>
            <w:tcW w:w="6533"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304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8" w:hRule="exact"/>
        </w:trPr>
        <w:tc>
          <w:tcPr>
            <w:tcW w:w="3049" w:type="dxa"/>
            <w:tcBorders>
              <w:top w:val="nil" w:sz="6" w:space="0" w:color="auto"/>
              <w:left w:val="single" w:sz="6" w:space="0" w:color="000000"/>
              <w:bottom w:val="single" w:sz="6" w:space="0" w:color="000000"/>
              <w:right w:val="single" w:sz="6" w:space="0" w:color="000000"/>
            </w:tcBorders>
            <w:shd w:val="clear" w:color="auto" w:fill="D2D2D2"/>
          </w:tcPr>
          <w:p>
            <w:pPr/>
          </w:p>
        </w:tc>
        <w:tc>
          <w:tcPr>
            <w:tcW w:w="6533"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6"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90"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21"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30" w:right="187"/>
              <w:jc w:val="left"/>
              <w:rPr>
                <w:rFonts w:ascii="宋体" w:hAnsi="宋体" w:cs="宋体" w:eastAsia="宋体" w:hint="default"/>
                <w:sz w:val="18"/>
                <w:szCs w:val="18"/>
              </w:rPr>
            </w:pPr>
            <w:r>
              <w:rPr>
                <w:rFonts w:ascii="宋体" w:hAnsi="宋体" w:cs="宋体" w:eastAsia="宋体" w:hint="default"/>
                <w:sz w:val="18"/>
                <w:szCs w:val="18"/>
              </w:rPr>
              <w:t>主要系年初将预期持有超过一年的以公允价值计量且其变动计入当期损益的非流 动金融资产列报于其他非流动金融资产项目。</w:t>
            </w:r>
          </w:p>
        </w:tc>
      </w:tr>
      <w:tr>
        <w:trPr>
          <w:trHeight w:val="390"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主要系应收票据按新金融工具准则调整列报所致。</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BodyText"/>
        <w:spacing w:line="240" w:lineRule="auto" w:before="44"/>
        <w:ind w:left="0" w:right="1141"/>
        <w:jc w:val="right"/>
      </w:pPr>
      <w:r>
        <w:rPr/>
        <w:pict>
          <v:shape style="position:absolute;margin-left:56.325001pt;margin-top:-136.658295pt;width:480.25pt;height:156.9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9"/>
                    <w:gridCol w:w="6533"/>
                  </w:tblGrid>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主要系应收票据按新金融工具准则调整列报所致。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年第四季度营业收入较上年同期增加所致。</w:t>
                        </w:r>
                      </w:p>
                    </w:tc>
                  </w:tr>
                  <w:tr>
                    <w:trPr>
                      <w:trHeight w:val="390"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主要系预付原材料款减少所致。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主要系本期新增融资租赁业务押金所致。</w:t>
                        </w:r>
                      </w:p>
                    </w:tc>
                  </w:tr>
                  <w:tr>
                    <w:trPr>
                      <w:trHeight w:val="40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主要系本期优化采购、生产与销售各环节的衔接工作，存货周转率提高所致。</w:t>
                        </w:r>
                      </w:p>
                    </w:tc>
                  </w:tr>
                  <w:tr>
                    <w:trPr>
                      <w:trHeight w:val="720"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87"/>
                          <w:jc w:val="left"/>
                          <w:rPr>
                            <w:rFonts w:ascii="宋体" w:hAnsi="宋体" w:cs="宋体" w:eastAsia="宋体" w:hint="default"/>
                            <w:sz w:val="18"/>
                            <w:szCs w:val="18"/>
                          </w:rPr>
                        </w:pPr>
                        <w:r>
                          <w:rPr>
                            <w:rFonts w:ascii="宋体" w:hAnsi="宋体" w:cs="宋体" w:eastAsia="宋体" w:hint="default"/>
                            <w:sz w:val="18"/>
                            <w:szCs w:val="18"/>
                          </w:rPr>
                          <w:t>主要系年初将预期持有超过一年的以公允价值计量且其变动计入当期损益的非流 动金融资产列报于其他非流动金融资产项目。</w:t>
                        </w:r>
                      </w:p>
                    </w:tc>
                  </w:tr>
                  <w:tr>
                    <w:trPr>
                      <w:trHeight w:val="391"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pacing w:val="-4"/>
                            <w:sz w:val="18"/>
                            <w:szCs w:val="18"/>
                          </w:rPr>
                          <w:t>主要系本期扩大生产，加大生产用工、治具投入和经营租入的厂房装修费增加所致</w:t>
                        </w:r>
                      </w:p>
                    </w:tc>
                  </w:tr>
                </w:tbl>
                <w:p>
                  <w:pPr/>
                </w:p>
              </w:txbxContent>
            </v:textbox>
            <w10:wrap type="none"/>
          </v:shape>
        </w:pict>
      </w:r>
      <w:r>
        <w:rPr/>
        <w:t>。</w:t>
      </w:r>
    </w:p>
    <w:p>
      <w:pPr>
        <w:spacing w:line="240" w:lineRule="auto" w:before="3"/>
        <w:rPr>
          <w:rFonts w:ascii="宋体" w:hAnsi="宋体" w:cs="宋体" w:eastAsia="宋体" w:hint="default"/>
          <w:sz w:val="29"/>
          <w:szCs w:val="29"/>
        </w:rPr>
      </w:pPr>
    </w:p>
    <w:p>
      <w:pPr>
        <w:pStyle w:val="Heading5"/>
        <w:spacing w:line="240" w:lineRule="auto" w:before="4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spacing w:val="4"/>
        </w:rPr>
        <w:t>2</w:t>
      </w:r>
      <w:r>
        <w:rPr>
          <w:spacing w:val="4"/>
        </w:rPr>
        <w:t>、主要境外资产情况</w:t>
      </w:r>
      <w:r>
        <w:rPr>
          <w:b w:val="0"/>
          <w:bCs w:val="0"/>
          <w:spacing w:val="4"/>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13"/>
        <w:rPr>
          <w:rFonts w:ascii="宋体" w:hAnsi="宋体" w:cs="宋体" w:eastAsia="宋体" w:hint="default"/>
          <w:b/>
          <w:bCs/>
          <w:sz w:val="32"/>
          <w:szCs w:val="32"/>
        </w:rPr>
      </w:pPr>
    </w:p>
    <w:p>
      <w:pPr>
        <w:pStyle w:val="BodyText"/>
        <w:spacing w:line="448" w:lineRule="auto"/>
        <w:ind w:right="0" w:firstLine="420"/>
        <w:jc w:val="left"/>
      </w:pPr>
      <w:r>
        <w:rPr/>
        <w:t>经过十几年的发展与沉淀，公司以服务客户为中心，坚持</w:t>
      </w:r>
      <w:r>
        <w:rPr>
          <w:rFonts w:ascii="Times New Roman" w:hAnsi="Times New Roman" w:cs="Times New Roman" w:eastAsia="Times New Roman" w:hint="default"/>
        </w:rPr>
        <w:t>“</w:t>
      </w:r>
      <w:r>
        <w:rPr/>
        <w:t>大客户、大制造、大创新</w:t>
      </w:r>
      <w:r>
        <w:rPr>
          <w:rFonts w:ascii="Times New Roman" w:hAnsi="Times New Roman" w:cs="Times New Roman" w:eastAsia="Times New Roman" w:hint="default"/>
        </w:rPr>
        <w:t>”</w:t>
      </w:r>
      <w:r>
        <w:rPr/>
        <w:t>的经营发展战略，依托核心能力 形成的公司竞争优势，主要体现在以下几个方面：</w:t>
      </w:r>
    </w:p>
    <w:p>
      <w:pPr>
        <w:pStyle w:val="BodyText"/>
        <w:spacing w:line="448" w:lineRule="auto" w:before="73"/>
        <w:ind w:left="561" w:right="1109"/>
        <w:jc w:val="left"/>
      </w:pPr>
      <w:r>
        <w:rPr>
          <w:rFonts w:ascii="Times New Roman" w:hAnsi="Times New Roman" w:cs="Times New Roman" w:eastAsia="Times New Roman" w:hint="default"/>
          <w:b/>
          <w:bCs/>
        </w:rPr>
        <w:t>1</w:t>
      </w:r>
      <w:r>
        <w:rPr>
          <w:rFonts w:ascii="宋体" w:hAnsi="宋体" w:cs="宋体" w:eastAsia="宋体" w:hint="default"/>
          <w:b/>
          <w:bCs/>
        </w:rPr>
        <w:t>、技术与研发优势</w:t>
      </w:r>
      <w:r>
        <w:rPr>
          <w:rFonts w:ascii="宋体" w:hAnsi="宋体" w:cs="宋体" w:eastAsia="宋体" w:hint="default"/>
          <w:b/>
          <w:bCs/>
          <w:w w:val="99"/>
        </w:rPr>
        <w:t> </w:t>
      </w:r>
      <w:r>
        <w:rPr/>
        <w:t>公司高度重视对新技术的开发，顺应新一代信息技术应用的新趋势和新要求，前瞻布局</w:t>
      </w:r>
      <w:r>
        <w:rPr>
          <w:rFonts w:ascii="Times New Roman" w:hAnsi="Times New Roman" w:cs="Times New Roman" w:eastAsia="Times New Roman" w:hint="default"/>
        </w:rPr>
        <w:t>5G</w:t>
      </w:r>
      <w:r>
        <w:rPr/>
        <w:t>、工业机器人、量子点材料</w:t>
      </w:r>
    </w:p>
    <w:p>
      <w:pPr>
        <w:pStyle w:val="BodyText"/>
        <w:spacing w:line="489" w:lineRule="auto" w:before="43"/>
        <w:ind w:left="561" w:right="1149" w:hanging="421"/>
        <w:jc w:val="left"/>
      </w:pPr>
      <w:r>
        <w:rPr/>
        <w:t>等前沿领域，以数十年制造经验为基石，以雄厚的技术实力为抓手，引领智能制造高质量发展。 公司作为国家级高新技术企业，在深圳、厦门、西安、天津、武汉五处设立研发中心，并拥有发明专利、实用新型等</w:t>
      </w:r>
    </w:p>
    <w:p>
      <w:pPr>
        <w:pStyle w:val="BodyText"/>
        <w:spacing w:line="448" w:lineRule="auto" w:before="42"/>
        <w:ind w:right="1119"/>
        <w:jc w:val="left"/>
      </w:pPr>
      <w:r>
        <w:rPr>
          <w:rFonts w:ascii="Times New Roman" w:hAnsi="Times New Roman" w:cs="Times New Roman" w:eastAsia="Times New Roman" w:hint="default"/>
        </w:rPr>
        <w:t>130</w:t>
      </w:r>
      <w:r>
        <w:rPr/>
        <w:t>余项。凭借深厚的技术储备与领先的研发实力，保证现有客户资源及长期稳定的战略合作关系。随着研发投入的增加和 研发经验的累积，公司已建立完整的核心技术体系，并成为公司核心竞争优势之一。</w:t>
      </w:r>
    </w:p>
    <w:p>
      <w:pPr>
        <w:pStyle w:val="BodyText"/>
        <w:spacing w:line="448" w:lineRule="auto" w:before="73"/>
        <w:ind w:left="561" w:right="0"/>
        <w:jc w:val="left"/>
      </w:pPr>
      <w:r>
        <w:rPr>
          <w:rFonts w:ascii="Times New Roman" w:hAnsi="Times New Roman" w:cs="Times New Roman" w:eastAsia="Times New Roman" w:hint="default"/>
          <w:b/>
          <w:bCs/>
        </w:rPr>
        <w:t>2</w:t>
      </w:r>
      <w:r>
        <w:rPr>
          <w:rFonts w:ascii="宋体" w:hAnsi="宋体" w:cs="宋体" w:eastAsia="宋体" w:hint="default"/>
          <w:b/>
          <w:bCs/>
        </w:rPr>
        <w:t>、产品与客户优势</w:t>
      </w:r>
      <w:r>
        <w:rPr>
          <w:rFonts w:ascii="宋体" w:hAnsi="宋体" w:cs="宋体" w:eastAsia="宋体" w:hint="default"/>
          <w:b/>
          <w:bCs/>
          <w:w w:val="99"/>
        </w:rPr>
        <w:t> </w:t>
      </w:r>
      <w:r>
        <w:rPr>
          <w:spacing w:val="-1"/>
        </w:rPr>
        <w:t>公司深耕智能制造十余年，在业内形成了技术领先、质量稳定等良好口碑，服务客户包括华为、小米、三星、</w:t>
      </w:r>
      <w:r>
        <w:rPr>
          <w:rFonts w:ascii="Times New Roman" w:hAnsi="Times New Roman" w:cs="Times New Roman" w:eastAsia="Times New Roman" w:hint="default"/>
          <w:spacing w:val="-1"/>
        </w:rPr>
        <w:t>360</w:t>
      </w:r>
      <w:r>
        <w:rPr>
          <w:spacing w:val="-1"/>
        </w:rPr>
        <w:t>、欧</w:t>
      </w:r>
    </w:p>
    <w:p>
      <w:pPr>
        <w:pStyle w:val="BodyText"/>
        <w:spacing w:line="472" w:lineRule="auto" w:before="58"/>
        <w:ind w:right="0"/>
        <w:jc w:val="left"/>
      </w:pPr>
      <w:r>
        <w:rPr>
          <w:spacing w:val="-2"/>
        </w:rPr>
        <w:t>普、诺基亚贝尔、中国移动等行业知名企业。公司十分重视客户关系管理，及时响应客户需求优化公司资源配置，通过多渠</w:t>
      </w:r>
      <w:r>
        <w:rPr>
          <w:spacing w:val="-57"/>
        </w:rPr>
        <w:t> </w:t>
      </w:r>
      <w:r>
        <w:rPr>
          <w:spacing w:val="-57"/>
        </w:rPr>
      </w:r>
      <w:r>
        <w:rPr/>
        <w:t>道增值，为客户提供品牌化、差异化、创新化优质服务。</w:t>
      </w:r>
    </w:p>
    <w:p>
      <w:pPr>
        <w:pStyle w:val="BodyText"/>
        <w:spacing w:line="460" w:lineRule="auto" w:before="55"/>
        <w:ind w:right="1035" w:firstLine="420"/>
        <w:jc w:val="left"/>
      </w:pPr>
      <w:r>
        <w:rPr>
          <w:spacing w:val="-2"/>
        </w:rPr>
        <w:t>得益于前瞻性的市场布局及大客户战略，公司业务覆盖</w:t>
      </w:r>
      <w:r>
        <w:rPr>
          <w:rFonts w:ascii="Times New Roman" w:hAnsi="Times New Roman" w:cs="Times New Roman" w:eastAsia="Times New Roman" w:hint="default"/>
          <w:spacing w:val="-2"/>
        </w:rPr>
        <w:t>5G</w:t>
      </w:r>
      <w:r>
        <w:rPr>
          <w:spacing w:val="-2"/>
        </w:rPr>
        <w:t>、物联网、工业机器人等多个领域。通过深入了解客户需求，</w:t>
      </w:r>
      <w:r>
        <w:rPr/>
        <w:t> </w:t>
      </w:r>
      <w:r>
        <w:rPr>
          <w:spacing w:val="-2"/>
        </w:rPr>
        <w:t>深度探索新产品的研发、组装工艺，协助客户缩短产品开发周期，凭借先进的技术、优质的产品和专业的服务满足客户的需</w:t>
      </w:r>
      <w:r>
        <w:rPr>
          <w:spacing w:val="-42"/>
        </w:rPr>
        <w:t> </w:t>
      </w:r>
      <w:r>
        <w:rPr>
          <w:spacing w:val="-42"/>
        </w:rPr>
      </w:r>
      <w:r>
        <w:rPr>
          <w:spacing w:val="-2"/>
        </w:rPr>
        <w:t>求，获得了客户的广泛认可，公司在产品、技术、服务、交付等多方面都获得客户高度肯定，如</w:t>
      </w:r>
      <w:r>
        <w:rPr>
          <w:rFonts w:ascii="Times New Roman" w:hAnsi="Times New Roman" w:cs="Times New Roman" w:eastAsia="Times New Roman" w:hint="default"/>
          <w:spacing w:val="-2"/>
        </w:rPr>
        <w:t>2019</w:t>
      </w:r>
      <w:r>
        <w:rPr>
          <w:spacing w:val="-2"/>
        </w:rPr>
        <w:t>年度获得华为客户授予</w:t>
      </w:r>
      <w:r>
        <w:rPr>
          <w:spacing w:val="-59"/>
        </w:rPr>
        <w:t> </w:t>
      </w:r>
      <w:r>
        <w:rPr/>
        <w:t>的</w:t>
      </w:r>
      <w:r>
        <w:rPr>
          <w:spacing w:val="-9"/>
        </w:rPr>
        <w:t> </w:t>
      </w:r>
      <w:r>
        <w:rPr>
          <w:rFonts w:ascii="Times New Roman" w:hAnsi="Times New Roman" w:cs="Times New Roman" w:eastAsia="Times New Roman" w:hint="default"/>
        </w:rPr>
        <w:t>“</w:t>
      </w:r>
      <w:r>
        <w:rPr/>
        <w:t>质量守护奖</w:t>
      </w:r>
      <w:r>
        <w:rPr>
          <w:rFonts w:ascii="Times New Roman" w:hAnsi="Times New Roman" w:cs="Times New Roman" w:eastAsia="Times New Roman" w:hint="default"/>
        </w:rPr>
        <w:t>”</w:t>
      </w:r>
      <w:r>
        <w:rPr/>
        <w:t>等荣誉。</w:t>
      </w:r>
    </w:p>
    <w:p>
      <w:pPr>
        <w:pStyle w:val="BodyText"/>
        <w:spacing w:line="448" w:lineRule="auto" w:before="33"/>
        <w:ind w:left="561" w:right="1149"/>
        <w:jc w:val="left"/>
      </w:pPr>
      <w:r>
        <w:rPr>
          <w:rFonts w:ascii="Times New Roman" w:hAnsi="Times New Roman" w:cs="Times New Roman" w:eastAsia="Times New Roman" w:hint="default"/>
          <w:b/>
          <w:bCs/>
        </w:rPr>
        <w:t>3</w:t>
      </w:r>
      <w:r>
        <w:rPr>
          <w:rFonts w:ascii="宋体" w:hAnsi="宋体" w:cs="宋体" w:eastAsia="宋体" w:hint="default"/>
          <w:b/>
          <w:bCs/>
        </w:rPr>
        <w:t>、规模制造优势</w:t>
      </w:r>
      <w:r>
        <w:rPr>
          <w:rFonts w:ascii="宋体" w:hAnsi="宋体" w:cs="宋体" w:eastAsia="宋体" w:hint="default"/>
          <w:b/>
          <w:bCs/>
          <w:w w:val="99"/>
        </w:rPr>
        <w:t> </w:t>
      </w:r>
      <w:r>
        <w:rPr/>
        <w:t>公司拥有深圳、天津两大制造基地，未来将进一步扩大生产规模，以满足客户不断升级的产品需求。公司以专业及高</w:t>
      </w:r>
    </w:p>
    <w:p>
      <w:pPr>
        <w:spacing w:after="0" w:line="448"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48" w:lineRule="auto"/>
        <w:ind w:right="1112"/>
        <w:jc w:val="both"/>
      </w:pPr>
      <w:r>
        <w:rPr/>
        <w:t>端</w:t>
      </w:r>
      <w:r>
        <w:rPr>
          <w:rFonts w:ascii="Times New Roman" w:hAnsi="Times New Roman" w:cs="Times New Roman" w:eastAsia="Times New Roman" w:hint="default"/>
        </w:rPr>
        <w:t>“ODM+JDM+EMS”</w:t>
      </w:r>
      <w:r>
        <w:rPr/>
        <w:t>模式，为全球客户提供精密柔性制造服务。公司拥有</w:t>
      </w:r>
      <w:r>
        <w:rPr>
          <w:rFonts w:ascii="Times New Roman" w:hAnsi="Times New Roman" w:cs="Times New Roman" w:eastAsia="Times New Roman" w:hint="default"/>
        </w:rPr>
        <w:t>70</w:t>
      </w:r>
      <w:r>
        <w:rPr/>
        <w:t>多条先进的</w:t>
      </w:r>
      <w:r>
        <w:rPr>
          <w:rFonts w:ascii="Times New Roman" w:hAnsi="Times New Roman" w:cs="Times New Roman" w:eastAsia="Times New Roman" w:hint="default"/>
        </w:rPr>
        <w:t>SMT</w:t>
      </w:r>
      <w:r>
        <w:rPr/>
        <w:t>生产线体，有业界领先的高速</w:t>
      </w:r>
      <w:r>
        <w:rPr>
          <w:spacing w:val="-71"/>
        </w:rPr>
        <w:t> </w:t>
      </w:r>
      <w:r>
        <w:rPr>
          <w:spacing w:val="-2"/>
        </w:rPr>
        <w:t>高精密双轨贴片线，可以</w:t>
      </w:r>
      <w:r>
        <w:rPr>
          <w:rFonts w:ascii="Times New Roman" w:hAnsi="Times New Roman" w:cs="Times New Roman" w:eastAsia="Times New Roman" w:hint="default"/>
          <w:spacing w:val="-2"/>
        </w:rPr>
        <w:t>“</w:t>
      </w:r>
      <w:r>
        <w:rPr>
          <w:spacing w:val="-2"/>
        </w:rPr>
        <w:t>一站式</w:t>
      </w:r>
      <w:r>
        <w:rPr>
          <w:rFonts w:ascii="Times New Roman" w:hAnsi="Times New Roman" w:cs="Times New Roman" w:eastAsia="Times New Roman" w:hint="default"/>
          <w:spacing w:val="-2"/>
        </w:rPr>
        <w:t>”</w:t>
      </w:r>
      <w:r>
        <w:rPr>
          <w:spacing w:val="-2"/>
        </w:rPr>
        <w:t>完成产品双面贴片，能进行大规模，高规格，标准化的产品制造，满足客户大批量产品生</w:t>
      </w:r>
      <w:r>
        <w:rPr>
          <w:spacing w:val="-48"/>
        </w:rPr>
        <w:t> </w:t>
      </w:r>
      <w:r>
        <w:rPr>
          <w:spacing w:val="-48"/>
        </w:rPr>
      </w:r>
      <w:r>
        <w:rPr/>
        <w:t>产的需求，并能通过规模化制造降低生产成本，公司整体制造能力处于行业领先水平。</w:t>
      </w:r>
    </w:p>
    <w:p>
      <w:pPr>
        <w:pStyle w:val="BodyText"/>
        <w:spacing w:line="448" w:lineRule="auto" w:before="88"/>
        <w:ind w:left="561" w:right="0"/>
        <w:jc w:val="left"/>
      </w:pPr>
      <w:r>
        <w:rPr>
          <w:rFonts w:ascii="Times New Roman" w:hAnsi="Times New Roman" w:cs="Times New Roman" w:eastAsia="Times New Roman" w:hint="default"/>
          <w:b/>
          <w:bCs/>
        </w:rPr>
        <w:t>4</w:t>
      </w:r>
      <w:r>
        <w:rPr>
          <w:rFonts w:ascii="宋体" w:hAnsi="宋体" w:cs="宋体" w:eastAsia="宋体" w:hint="default"/>
          <w:b/>
          <w:bCs/>
        </w:rPr>
        <w:t>、快速响应优势</w:t>
      </w:r>
      <w:r>
        <w:rPr>
          <w:rFonts w:ascii="宋体" w:hAnsi="宋体" w:cs="宋体" w:eastAsia="宋体" w:hint="default"/>
          <w:b/>
          <w:bCs/>
          <w:w w:val="99"/>
        </w:rPr>
        <w:t> </w:t>
      </w:r>
      <w:r>
        <w:rPr/>
        <w:t>公司作为一家效率驱动型的一站式智能终端产品解决方案提供商，拥有优异的研发设计能力，从研发设计、新产品开</w:t>
      </w:r>
    </w:p>
    <w:p>
      <w:pPr>
        <w:pStyle w:val="BodyText"/>
        <w:spacing w:line="475" w:lineRule="auto" w:before="73"/>
        <w:ind w:right="1136"/>
        <w:jc w:val="both"/>
      </w:pPr>
      <w:r>
        <w:rPr>
          <w:spacing w:val="-2"/>
        </w:rPr>
        <w:t>发、小批量试产、大批量量产，到全球物流和工程服务。公司充分发挥资源集成优势，垂直整合设计制造，实现快速量产和</w:t>
      </w:r>
      <w:r>
        <w:rPr>
          <w:spacing w:val="-72"/>
        </w:rPr>
        <w:t> </w:t>
      </w:r>
      <w:r>
        <w:rPr>
          <w:spacing w:val="-72"/>
        </w:rPr>
      </w:r>
      <w:r>
        <w:rPr/>
        <w:t>高效供应，对客户需求进行快速、高效响应。</w:t>
      </w:r>
    </w:p>
    <w:p>
      <w:pPr>
        <w:pStyle w:val="BodyText"/>
        <w:spacing w:line="468" w:lineRule="auto" w:before="53"/>
        <w:ind w:right="1133" w:firstLine="420"/>
        <w:jc w:val="both"/>
      </w:pPr>
      <w:r>
        <w:rPr/>
        <w:t>同时，公司拥有自研</w:t>
      </w:r>
      <w:r>
        <w:rPr>
          <w:rFonts w:ascii="Times New Roman" w:hAnsi="Times New Roman" w:cs="Times New Roman" w:eastAsia="Times New Roman" w:hint="default"/>
        </w:rPr>
        <w:t>MES</w:t>
      </w:r>
      <w:r>
        <w:rPr/>
        <w:t>智慧工厂系统，能在互联网模式下实现生产信息和自动化设备之间的高效运作，架设了生产 </w:t>
      </w:r>
      <w:r>
        <w:rPr>
          <w:spacing w:val="-2"/>
        </w:rPr>
        <w:t>信息和全自动化产线设备之间的传输数据链，将科学合理的生产指令直接下达给全自动生产线，帮助更多客户更快更高效地</w:t>
      </w:r>
      <w:r>
        <w:rPr>
          <w:spacing w:val="-72"/>
        </w:rPr>
        <w:t> </w:t>
      </w:r>
      <w:r>
        <w:rPr>
          <w:spacing w:val="-72"/>
        </w:rPr>
      </w:r>
      <w:r>
        <w:rPr/>
        <w:t>将最新产品导入市场。</w:t>
      </w:r>
    </w:p>
    <w:p>
      <w:pPr>
        <w:spacing w:line="240" w:lineRule="auto" w:before="1"/>
        <w:rPr>
          <w:rFonts w:ascii="宋体" w:hAnsi="宋体" w:cs="宋体" w:eastAsia="宋体" w:hint="default"/>
          <w:sz w:val="4"/>
          <w:szCs w:val="4"/>
        </w:rPr>
      </w:pPr>
    </w:p>
    <w:p>
      <w:pPr>
        <w:spacing w:line="3240" w:lineRule="exact"/>
        <w:ind w:left="560"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4114800" cy="2057400"/>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4114800" cy="2057400"/>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7"/>
        <w:rPr>
          <w:rFonts w:ascii="宋体" w:hAnsi="宋体" w:cs="宋体" w:eastAsia="宋体" w:hint="default"/>
          <w:sz w:val="15"/>
          <w:szCs w:val="15"/>
        </w:rPr>
      </w:pPr>
    </w:p>
    <w:p>
      <w:pPr>
        <w:pStyle w:val="BodyText"/>
        <w:spacing w:line="448" w:lineRule="auto"/>
        <w:ind w:left="561" w:right="1149"/>
        <w:jc w:val="left"/>
      </w:pPr>
      <w:r>
        <w:rPr>
          <w:rFonts w:ascii="Times New Roman" w:hAnsi="Times New Roman" w:cs="Times New Roman" w:eastAsia="Times New Roman" w:hint="default"/>
          <w:b/>
          <w:bCs/>
        </w:rPr>
        <w:t>5</w:t>
      </w:r>
      <w:r>
        <w:rPr>
          <w:rFonts w:ascii="宋体" w:hAnsi="宋体" w:cs="宋体" w:eastAsia="宋体" w:hint="default"/>
          <w:b/>
          <w:bCs/>
        </w:rPr>
        <w:t>、成本控制优势</w:t>
      </w:r>
      <w:r>
        <w:rPr>
          <w:rFonts w:ascii="宋体" w:hAnsi="宋体" w:cs="宋体" w:eastAsia="宋体" w:hint="default"/>
          <w:b/>
          <w:bCs/>
          <w:w w:val="99"/>
        </w:rPr>
        <w:t> </w:t>
      </w:r>
      <w:r>
        <w:rPr/>
        <w:t>公司高度重视智能工厂建设，在稳定的生产过程中，不断提高智能化、自动化水平，实现产线智能化，使智能制造为</w:t>
      </w:r>
    </w:p>
    <w:p>
      <w:pPr>
        <w:pStyle w:val="BodyText"/>
        <w:spacing w:line="475" w:lineRule="auto" w:before="73"/>
        <w:ind w:right="1121"/>
        <w:jc w:val="both"/>
      </w:pPr>
      <w:r>
        <w:rPr>
          <w:spacing w:val="-2"/>
        </w:rPr>
        <w:t>公司带来成本优势。公司专门成立了自动化事业部及机器人公司，自研了一系列自动化装备，从组装、测试、包装等多方面</w:t>
      </w:r>
      <w:r>
        <w:rPr>
          <w:spacing w:val="-57"/>
        </w:rPr>
        <w:t> </w:t>
      </w:r>
      <w:r>
        <w:rPr>
          <w:spacing w:val="-57"/>
        </w:rPr>
      </w:r>
      <w:r>
        <w:rPr/>
        <w:t>实现人工替代，为不断提高生产效率和产品质量提供了有力保障，为控制生产成本提供有利条件。</w:t>
      </w:r>
    </w:p>
    <w:p>
      <w:pPr>
        <w:pStyle w:val="BodyText"/>
        <w:spacing w:line="472" w:lineRule="auto" w:before="68"/>
        <w:ind w:right="1106" w:firstLine="360"/>
        <w:jc w:val="both"/>
      </w:pPr>
      <w:r>
        <w:rPr>
          <w:spacing w:val="-2"/>
        </w:rPr>
        <w:t>公司敏捷供应链管理系统表现突出，通过对资金流、物流、信息流的控制，将供应商、制造商和合作伙伴整合到一个统</w:t>
      </w:r>
      <w:r>
        <w:rPr/>
        <w:t> </w:t>
      </w:r>
      <w:r>
        <w:rPr>
          <w:spacing w:val="-2"/>
        </w:rPr>
        <w:t>一的功能网络链条，减少了信息不对称带来的成本，形成极具竞争力的战略联盟。公司拥有全球供应链资源索取能力，对生</w:t>
      </w:r>
      <w:r>
        <w:rPr>
          <w:spacing w:val="-42"/>
        </w:rPr>
        <w:t> </w:t>
      </w:r>
      <w:r>
        <w:rPr>
          <w:spacing w:val="-42"/>
        </w:rPr>
      </w:r>
      <w:r>
        <w:rPr/>
        <w:t>产成本、库存和订单进行可视化管理，保证战略客户和合作伙伴利益，确保企业效益可持续增长。</w:t>
      </w:r>
    </w:p>
    <w:p>
      <w:pPr>
        <w:spacing w:after="0" w:line="472"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left="3040" w:right="0"/>
        <w:jc w:val="left"/>
        <w:rPr>
          <w:b w:val="0"/>
          <w:bCs w:val="0"/>
        </w:rPr>
      </w:pPr>
      <w:bookmarkStart w:name="第四节经营情况讨论与分析" w:id="23"/>
      <w:bookmarkEnd w:id="23"/>
      <w:r>
        <w:rPr>
          <w:b w:val="0"/>
          <w:bCs w:val="0"/>
        </w:rPr>
      </w:r>
      <w:bookmarkStart w:name="_bookmark3" w:id="24"/>
      <w:bookmarkEnd w:id="24"/>
      <w:r>
        <w:rPr>
          <w:b w:val="0"/>
          <w:bCs w:val="0"/>
        </w:rPr>
      </w:r>
      <w:r>
        <w:rPr>
          <w:spacing w:val="5"/>
        </w:rPr>
        <w:t>第四节经营情况讨论与分析</w:t>
      </w:r>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0"/>
        <w:rPr>
          <w:rFonts w:ascii="宋体" w:hAnsi="宋体" w:cs="宋体" w:eastAsia="宋体" w:hint="default"/>
          <w:b/>
          <w:bCs/>
          <w:sz w:val="33"/>
          <w:szCs w:val="33"/>
        </w:rPr>
      </w:pPr>
    </w:p>
    <w:p>
      <w:pPr>
        <w:pStyle w:val="BodyText"/>
        <w:spacing w:line="453" w:lineRule="auto"/>
        <w:ind w:right="1029" w:firstLine="480"/>
        <w:jc w:val="left"/>
      </w:pPr>
      <w:r>
        <w:rPr>
          <w:rFonts w:ascii="Times New Roman" w:hAnsi="Times New Roman" w:cs="Times New Roman" w:eastAsia="Times New Roman" w:hint="default"/>
        </w:rPr>
        <w:t>2019</w:t>
      </w:r>
      <w:r>
        <w:rPr/>
        <w:t>年是全面建成小康社会的关键之年，中国经济结构处于调整期，短期内面临着复杂多变的外部环境和内部变化， </w:t>
      </w:r>
      <w:r>
        <w:rPr>
          <w:spacing w:val="-4"/>
        </w:rPr>
        <w:t>叠加贸易摩擦等因素影响，电子制造行业面临更为激烈的竞争环境。但长远来看，随着加强逆周期调节、以改革创新稳增长、</w:t>
      </w:r>
      <w:r>
        <w:rPr>
          <w:spacing w:val="-50"/>
        </w:rPr>
        <w:t> </w:t>
      </w:r>
      <w:r>
        <w:rPr>
          <w:spacing w:val="-50"/>
        </w:rPr>
      </w:r>
      <w:r>
        <w:rPr/>
        <w:t>发展创新型产业等政策推动，并全面推进</w:t>
      </w:r>
      <w:r>
        <w:rPr>
          <w:rFonts w:ascii="Times New Roman" w:hAnsi="Times New Roman" w:cs="Times New Roman" w:eastAsia="Times New Roman" w:hint="default"/>
        </w:rPr>
        <w:t>“</w:t>
      </w:r>
      <w:r>
        <w:rPr/>
        <w:t>新基建</w:t>
      </w:r>
      <w:r>
        <w:rPr>
          <w:rFonts w:ascii="Times New Roman" w:hAnsi="Times New Roman" w:cs="Times New Roman" w:eastAsia="Times New Roman" w:hint="default"/>
        </w:rPr>
        <w:t>”</w:t>
      </w:r>
      <w:r>
        <w:rPr/>
        <w:t>建设，将培育出新的经济增长点。随着国内启动</w:t>
      </w:r>
      <w:r>
        <w:rPr>
          <w:rFonts w:ascii="Times New Roman" w:hAnsi="Times New Roman" w:cs="Times New Roman" w:eastAsia="Times New Roman" w:hint="default"/>
        </w:rPr>
        <w:t>5G</w:t>
      </w:r>
      <w:r>
        <w:rPr/>
        <w:t>投资建设及商用，大</w:t>
      </w:r>
      <w:r>
        <w:rPr>
          <w:spacing w:val="-16"/>
        </w:rPr>
        <w:t> </w:t>
      </w:r>
      <w:r>
        <w:rPr>
          <w:spacing w:val="-16"/>
        </w:rPr>
      </w:r>
      <w:r>
        <w:rPr>
          <w:spacing w:val="-1"/>
        </w:rPr>
        <w:t>数据、云计算、物联网等行业快速发展，驱动国内电子制造行业需求在</w:t>
      </w:r>
      <w:r>
        <w:rPr>
          <w:rFonts w:ascii="Times New Roman" w:hAnsi="Times New Roman" w:cs="Times New Roman" w:eastAsia="Times New Roman" w:hint="default"/>
          <w:spacing w:val="-1"/>
        </w:rPr>
        <w:t>2019</w:t>
      </w:r>
      <w:r>
        <w:rPr>
          <w:spacing w:val="-1"/>
        </w:rPr>
        <w:t>年下半年有所复苏，全年呈现先抑后扬的发展态</w:t>
      </w:r>
      <w:r>
        <w:rPr/>
        <w:t> 势。</w:t>
      </w:r>
    </w:p>
    <w:p>
      <w:pPr>
        <w:pStyle w:val="BodyText"/>
        <w:spacing w:line="460" w:lineRule="auto" w:before="85"/>
        <w:ind w:right="1126" w:firstLine="480"/>
        <w:jc w:val="both"/>
      </w:pPr>
      <w:r>
        <w:rPr/>
        <w:t>报告期内，公司紧扣国家战略导向，精准发力，紧密围绕</w:t>
      </w:r>
      <w:r>
        <w:rPr>
          <w:rFonts w:ascii="Times New Roman" w:hAnsi="Times New Roman" w:cs="Times New Roman" w:eastAsia="Times New Roman" w:hint="default"/>
        </w:rPr>
        <w:t>“1+N+X”</w:t>
      </w:r>
      <w:r>
        <w:rPr/>
        <w:t>的产品发展体系，坚定执行</w:t>
      </w:r>
      <w:r>
        <w:rPr>
          <w:rFonts w:ascii="Times New Roman" w:hAnsi="Times New Roman" w:cs="Times New Roman" w:eastAsia="Times New Roman" w:hint="default"/>
        </w:rPr>
        <w:t>“</w:t>
      </w:r>
      <w:r>
        <w:rPr/>
        <w:t>大制造、大客户、大 创新</w:t>
      </w:r>
      <w:r>
        <w:rPr>
          <w:rFonts w:ascii="Times New Roman" w:hAnsi="Times New Roman" w:cs="Times New Roman" w:eastAsia="Times New Roman" w:hint="default"/>
        </w:rPr>
        <w:t>”</w:t>
      </w:r>
      <w:r>
        <w:rPr/>
        <w:t>的经营发展战略，聚焦主业、且耕且行。在不断优化产品结构的大背景下，公司取得了收入、利润、毛利率等关键财</w:t>
      </w:r>
      <w:r>
        <w:rPr>
          <w:spacing w:val="-75"/>
        </w:rPr>
        <w:t> </w:t>
      </w:r>
      <w:r>
        <w:rPr>
          <w:spacing w:val="-75"/>
        </w:rPr>
      </w:r>
      <w:r>
        <w:rPr/>
        <w:t>务指标增长的成绩。</w:t>
      </w:r>
      <w:r>
        <w:rPr>
          <w:rFonts w:ascii="宋体" w:hAnsi="宋体" w:cs="宋体" w:eastAsia="宋体" w:hint="default"/>
        </w:rPr>
        <w:t>2020</w:t>
      </w:r>
      <w:r>
        <w:rPr/>
        <w:t>年初，公司再次入围</w:t>
      </w:r>
      <w:r>
        <w:rPr>
          <w:rFonts w:ascii="宋体" w:hAnsi="宋体" w:cs="宋体" w:eastAsia="宋体" w:hint="default"/>
        </w:rPr>
        <w:t>MMI</w:t>
      </w:r>
      <w:r>
        <w:rPr/>
        <w:t>（权威市场调研机构</w:t>
      </w:r>
      <w:r>
        <w:rPr>
          <w:rFonts w:ascii="宋体" w:hAnsi="宋体" w:cs="宋体" w:eastAsia="宋体" w:hint="default"/>
        </w:rPr>
        <w:t>Manufacturing Market</w:t>
      </w:r>
      <w:r>
        <w:rPr>
          <w:rFonts w:ascii="宋体" w:hAnsi="宋体" w:cs="宋体" w:eastAsia="宋体" w:hint="default"/>
          <w:spacing w:val="7"/>
        </w:rPr>
        <w:t> </w:t>
      </w:r>
      <w:r>
        <w:rPr>
          <w:rFonts w:ascii="宋体" w:hAnsi="宋体" w:cs="宋体" w:eastAsia="宋体" w:hint="default"/>
        </w:rPr>
        <w:t>Inside</w:t>
      </w:r>
      <w:r>
        <w:rPr/>
        <w:t>）发布的</w:t>
      </w:r>
      <w:r>
        <w:rPr>
          <w:rFonts w:ascii="宋体" w:hAnsi="宋体" w:cs="宋体" w:eastAsia="宋体" w:hint="default"/>
        </w:rPr>
        <w:t>2020</w:t>
      </w:r>
      <w:r>
        <w:rPr/>
        <w:t>全球</w:t>
      </w:r>
      <w:r>
        <w:rPr>
          <w:rFonts w:ascii="宋体" w:hAnsi="宋体" w:cs="宋体" w:eastAsia="宋体" w:hint="default"/>
        </w:rPr>
        <w:t>EMS </w:t>
      </w:r>
      <w:r>
        <w:rPr>
          <w:spacing w:val="-2"/>
        </w:rPr>
        <w:t>制造商</w:t>
      </w:r>
      <w:r>
        <w:rPr>
          <w:rFonts w:ascii="宋体" w:hAnsi="宋体" w:cs="宋体" w:eastAsia="宋体" w:hint="default"/>
          <w:spacing w:val="-2"/>
        </w:rPr>
        <w:t>50</w:t>
      </w:r>
      <w:r>
        <w:rPr>
          <w:spacing w:val="-2"/>
        </w:rPr>
        <w:t>强榜单，代表着行业对公司生产制造与研发设计实力的认可。未来公司将以业务发展为导向，不断扩大规模生产优</w:t>
      </w:r>
      <w:r>
        <w:rPr>
          <w:spacing w:val="-67"/>
        </w:rPr>
        <w:t> </w:t>
      </w:r>
      <w:r>
        <w:rPr>
          <w:spacing w:val="-67"/>
        </w:rPr>
      </w:r>
      <w:r>
        <w:rPr/>
        <w:t>势，致力于提供高端智能制造综合服务，构建万物互联智能世界，为客户和社会创造更大价值。</w:t>
      </w:r>
    </w:p>
    <w:p>
      <w:pPr>
        <w:pStyle w:val="BodyText"/>
        <w:spacing w:line="240" w:lineRule="auto" w:before="79"/>
        <w:ind w:left="621" w:right="0"/>
        <w:jc w:val="left"/>
      </w:pPr>
      <w:r>
        <w:rPr>
          <w:rFonts w:ascii="Times New Roman" w:hAnsi="Times New Roman" w:cs="Times New Roman" w:eastAsia="Times New Roman" w:hint="default"/>
        </w:rPr>
        <w:t>2019</w:t>
      </w:r>
      <w:r>
        <w:rPr/>
        <w:t>年度，公司主要开展了以下工作：</w:t>
      </w:r>
    </w:p>
    <w:p>
      <w:pPr>
        <w:spacing w:line="240" w:lineRule="auto" w:before="7"/>
        <w:rPr>
          <w:rFonts w:ascii="宋体" w:hAnsi="宋体" w:cs="宋体" w:eastAsia="宋体" w:hint="default"/>
          <w:sz w:val="16"/>
          <w:szCs w:val="16"/>
        </w:rPr>
      </w:pPr>
    </w:p>
    <w:p>
      <w:pPr>
        <w:pStyle w:val="BodyText"/>
        <w:spacing w:line="448" w:lineRule="auto"/>
        <w:ind w:left="621" w:right="0"/>
        <w:jc w:val="left"/>
      </w:pPr>
      <w:r>
        <w:rPr>
          <w:rFonts w:ascii="Times New Roman" w:hAnsi="Times New Roman" w:cs="Times New Roman" w:eastAsia="Times New Roman" w:hint="default"/>
        </w:rPr>
        <w:t>1</w:t>
      </w:r>
      <w:r>
        <w:rPr/>
        <w:t>、深耕战略客户，前瞻布局新兴领域 </w:t>
      </w:r>
      <w:r>
        <w:rPr>
          <w:spacing w:val="-2"/>
        </w:rPr>
        <w:t>公司积极导入新兴产品，关注新技术崛起，前瞻布局了</w:t>
      </w:r>
      <w:r>
        <w:rPr>
          <w:rFonts w:ascii="Times New Roman" w:hAnsi="Times New Roman" w:cs="Times New Roman" w:eastAsia="Times New Roman" w:hint="default"/>
          <w:spacing w:val="-2"/>
        </w:rPr>
        <w:t>5G</w:t>
      </w:r>
      <w:r>
        <w:rPr>
          <w:spacing w:val="-2"/>
        </w:rPr>
        <w:t>周边产品、新兴智能硬件产品等。同时，公司坚定执行大客</w:t>
      </w:r>
    </w:p>
    <w:p>
      <w:pPr>
        <w:pStyle w:val="BodyText"/>
        <w:spacing w:line="448" w:lineRule="auto" w:before="42"/>
        <w:ind w:right="1085"/>
        <w:jc w:val="left"/>
      </w:pPr>
      <w:r>
        <w:rPr>
          <w:spacing w:val="-1"/>
        </w:rPr>
        <w:t>户战略，不断导入客户新产品，提升销量。与战略客户合作的网络通讯产品在</w:t>
      </w:r>
      <w:r>
        <w:rPr>
          <w:rFonts w:ascii="Times New Roman" w:hAnsi="Times New Roman" w:cs="Times New Roman" w:eastAsia="Times New Roman" w:hint="default"/>
          <w:spacing w:val="-1"/>
        </w:rPr>
        <w:t>2019</w:t>
      </w:r>
      <w:r>
        <w:rPr>
          <w:spacing w:val="-1"/>
        </w:rPr>
        <w:t>年第四季度发力明显，助力公司经营业绩</w:t>
      </w:r>
      <w:r>
        <w:rPr>
          <w:spacing w:val="-87"/>
        </w:rPr>
        <w:t> </w:t>
      </w:r>
      <w:r>
        <w:rPr>
          <w:spacing w:val="-87"/>
        </w:rPr>
      </w:r>
      <w:r>
        <w:rPr/>
        <w:t>再上一个台阶。</w:t>
      </w:r>
    </w:p>
    <w:p>
      <w:pPr>
        <w:pStyle w:val="BodyText"/>
        <w:spacing w:line="448" w:lineRule="auto" w:before="88"/>
        <w:ind w:right="1111" w:firstLine="480"/>
        <w:jc w:val="both"/>
      </w:pPr>
      <w:r>
        <w:rPr/>
        <w:t>得益于公司前瞻布局及对战略客户的深耕，</w:t>
      </w:r>
      <w:r>
        <w:rPr>
          <w:rFonts w:ascii="Times New Roman" w:hAnsi="Times New Roman" w:cs="Times New Roman" w:eastAsia="Times New Roman" w:hint="default"/>
        </w:rPr>
        <w:t>2020</w:t>
      </w:r>
      <w:r>
        <w:rPr/>
        <w:t>年第一季度公司导入了</w:t>
      </w:r>
      <w:r>
        <w:rPr>
          <w:rFonts w:ascii="Times New Roman" w:hAnsi="Times New Roman" w:cs="Times New Roman" w:eastAsia="Times New Roman" w:hint="default"/>
        </w:rPr>
        <w:t>wifi6</w:t>
      </w:r>
      <w:r>
        <w:rPr/>
        <w:t>路由器、</w:t>
      </w:r>
      <w:r>
        <w:rPr>
          <w:rFonts w:ascii="Times New Roman" w:hAnsi="Times New Roman" w:cs="Times New Roman" w:eastAsia="Times New Roman" w:hint="default"/>
        </w:rPr>
        <w:t>K30 PRO</w:t>
      </w:r>
      <w:r>
        <w:rPr>
          <w:rFonts w:ascii="Times New Roman" w:hAnsi="Times New Roman" w:cs="Times New Roman" w:eastAsia="Times New Roman" w:hint="default"/>
          <w:spacing w:val="31"/>
        </w:rPr>
        <w:t> </w:t>
      </w:r>
      <w:r>
        <w:rPr>
          <w:rFonts w:ascii="Times New Roman" w:hAnsi="Times New Roman" w:cs="Times New Roman" w:eastAsia="Times New Roman" w:hint="default"/>
        </w:rPr>
        <w:t>5G</w:t>
      </w:r>
      <w:r>
        <w:rPr/>
        <w:t>手机等爆品，并成 为战略客户的核心供应商甚至独家供应商，进一步彰显公司强大的技术储备实力、生产制造能力及大客户服务能力等。</w:t>
      </w:r>
    </w:p>
    <w:p>
      <w:pPr>
        <w:pStyle w:val="BodyText"/>
        <w:spacing w:line="448" w:lineRule="auto" w:before="73"/>
        <w:ind w:left="621" w:right="1089"/>
        <w:jc w:val="left"/>
      </w:pPr>
      <w:r>
        <w:rPr>
          <w:rFonts w:ascii="Times New Roman" w:hAnsi="Times New Roman" w:cs="Times New Roman" w:eastAsia="Times New Roman" w:hint="default"/>
        </w:rPr>
        <w:t>2</w:t>
      </w:r>
      <w:r>
        <w:rPr/>
        <w:t>、加大研发投入，打造公司硬实力 保持技术领先是激发企业活力的第一驱动力。公司十分重视对研发的相关投入，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年进行的研发</w:t>
      </w:r>
    </w:p>
    <w:p>
      <w:pPr>
        <w:pStyle w:val="BodyText"/>
        <w:spacing w:line="468" w:lineRule="auto" w:before="43"/>
        <w:ind w:right="0"/>
        <w:jc w:val="left"/>
      </w:pPr>
      <w:r>
        <w:rPr>
          <w:spacing w:val="-1"/>
        </w:rPr>
        <w:t>投入分别为</w:t>
      </w:r>
      <w:r>
        <w:rPr>
          <w:rFonts w:ascii="Times New Roman" w:hAnsi="Times New Roman" w:cs="Times New Roman" w:eastAsia="Times New Roman" w:hint="default"/>
          <w:spacing w:val="-1"/>
        </w:rPr>
        <w:t>0.99</w:t>
      </w:r>
      <w:r>
        <w:rPr>
          <w:spacing w:val="-1"/>
        </w:rPr>
        <w:t>亿元、</w:t>
      </w:r>
      <w:r>
        <w:rPr>
          <w:rFonts w:ascii="Times New Roman" w:hAnsi="Times New Roman" w:cs="Times New Roman" w:eastAsia="Times New Roman" w:hint="default"/>
          <w:spacing w:val="-1"/>
        </w:rPr>
        <w:t>1.10</w:t>
      </w:r>
      <w:r>
        <w:rPr>
          <w:spacing w:val="-1"/>
        </w:rPr>
        <w:t>亿元、</w:t>
      </w:r>
      <w:r>
        <w:rPr>
          <w:rFonts w:ascii="Times New Roman" w:hAnsi="Times New Roman" w:cs="Times New Roman" w:eastAsia="Times New Roman" w:hint="default"/>
          <w:spacing w:val="-1"/>
        </w:rPr>
        <w:t>1.52</w:t>
      </w:r>
      <w:r>
        <w:rPr>
          <w:spacing w:val="-1"/>
        </w:rPr>
        <w:t>亿元，呈逐年上升趋势。公司在深圳、西安、武汉、天津、厦门等地均设有研发中心，</w:t>
      </w:r>
      <w:r>
        <w:rPr>
          <w:spacing w:val="-44"/>
        </w:rPr>
        <w:t> </w:t>
      </w:r>
      <w:r>
        <w:rPr>
          <w:spacing w:val="-44"/>
        </w:rPr>
      </w:r>
      <w:r>
        <w:rPr>
          <w:spacing w:val="-2"/>
        </w:rPr>
        <w:t>专注于网络通讯产品、消费电子产品、工业机器人及自动化装备、智能可穿戴产品等研发和应用，并拥有发明专利、实用新</w:t>
      </w:r>
      <w:r>
        <w:rPr>
          <w:spacing w:val="-57"/>
        </w:rPr>
        <w:t> </w:t>
      </w:r>
      <w:r>
        <w:rPr>
          <w:spacing w:val="-57"/>
        </w:rPr>
      </w:r>
      <w:r>
        <w:rPr/>
        <w:t>型</w:t>
      </w:r>
      <w:r>
        <w:rPr>
          <w:rFonts w:ascii="Times New Roman" w:hAnsi="Times New Roman" w:cs="Times New Roman" w:eastAsia="Times New Roman" w:hint="default"/>
        </w:rPr>
        <w:t>130</w:t>
      </w:r>
      <w:r>
        <w:rPr/>
        <w:t>余项。上述研发布局，为公司提升业务水平、扩充生产能力提供了强有力支撑。</w:t>
      </w:r>
    </w:p>
    <w:p>
      <w:pPr>
        <w:pStyle w:val="BodyText"/>
        <w:spacing w:line="475" w:lineRule="auto" w:before="27"/>
        <w:ind w:right="1100" w:firstLine="480"/>
        <w:jc w:val="both"/>
      </w:pPr>
      <w:r>
        <w:rPr/>
        <w:t>公司目前研发并装备了系列产品的全自动化生产线，实现自动化上下料、焊接、点胶、装备、超声、测试以及包装等 </w:t>
      </w:r>
      <w:r>
        <w:rPr>
          <w:spacing w:val="-1"/>
        </w:rPr>
        <w:t>多工序的全程自动化生产，逐步通过以机器人替代人工，提升生产效率。同时，公司已部分完成战略客户核心产品的迭代研</w:t>
      </w:r>
      <w:r>
        <w:rPr/>
        <w:t> 发及制造工作，获得了客户的高度评价。</w:t>
      </w:r>
    </w:p>
    <w:p>
      <w:pPr>
        <w:spacing w:after="0" w:line="475"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48" w:lineRule="auto"/>
        <w:ind w:left="621" w:right="1089"/>
        <w:jc w:val="left"/>
      </w:pPr>
      <w:r>
        <w:rPr>
          <w:rFonts w:ascii="Times New Roman" w:hAnsi="Times New Roman" w:cs="Times New Roman" w:eastAsia="Times New Roman" w:hint="default"/>
        </w:rPr>
        <w:t>3</w:t>
      </w:r>
      <w:r>
        <w:rPr/>
        <w:t>、提升管理能力，保持公司高效运转 随着公司员工人数增加、生产规模扩大，提升管理能力，保持企业高效运转，快速响应市场成为关键一环。公司自上</w:t>
      </w:r>
    </w:p>
    <w:p>
      <w:pPr>
        <w:pStyle w:val="BodyText"/>
        <w:spacing w:line="240" w:lineRule="auto" w:before="73"/>
        <w:ind w:right="0"/>
        <w:jc w:val="both"/>
      </w:pPr>
      <w:r>
        <w:rPr/>
        <w:t>而下，从以下几个方面入手，致力于提升管理能力：</w:t>
      </w:r>
    </w:p>
    <w:p>
      <w:pPr>
        <w:spacing w:line="240" w:lineRule="auto" w:before="10"/>
        <w:rPr>
          <w:rFonts w:ascii="宋体" w:hAnsi="宋体" w:cs="宋体" w:eastAsia="宋体" w:hint="default"/>
          <w:sz w:val="18"/>
          <w:szCs w:val="18"/>
        </w:rPr>
      </w:pPr>
    </w:p>
    <w:p>
      <w:pPr>
        <w:pStyle w:val="BodyText"/>
        <w:spacing w:line="448" w:lineRule="auto"/>
        <w:ind w:right="1130" w:firstLine="480"/>
        <w:jc w:val="both"/>
      </w:pPr>
      <w:r>
        <w:rPr>
          <w:rFonts w:ascii="Times New Roman" w:hAnsi="Times New Roman" w:cs="Times New Roman" w:eastAsia="Times New Roman" w:hint="default"/>
        </w:rPr>
        <w:t>1</w:t>
      </w:r>
      <w:r>
        <w:rPr/>
        <w:t>）组织架构：组织架构是企业运行的基础和保障。公司从</w:t>
      </w:r>
      <w:r>
        <w:rPr>
          <w:rFonts w:ascii="Times New Roman" w:hAnsi="Times New Roman" w:cs="Times New Roman" w:eastAsia="Times New Roman" w:hint="default"/>
        </w:rPr>
        <w:t>“</w:t>
      </w:r>
      <w:r>
        <w:rPr/>
        <w:t>矩阵式</w:t>
      </w:r>
      <w:r>
        <w:rPr>
          <w:rFonts w:ascii="Times New Roman" w:hAnsi="Times New Roman" w:cs="Times New Roman" w:eastAsia="Times New Roman" w:hint="default"/>
        </w:rPr>
        <w:t>”</w:t>
      </w:r>
      <w:r>
        <w:rPr/>
        <w:t>管理逐步过渡到扁平化管理，进一步优化了组织 架构，提升内部决策效率；</w:t>
      </w:r>
    </w:p>
    <w:p>
      <w:pPr>
        <w:pStyle w:val="BodyText"/>
        <w:spacing w:line="460" w:lineRule="auto" w:before="73"/>
        <w:ind w:right="1129" w:firstLine="480"/>
        <w:jc w:val="both"/>
      </w:pPr>
      <w:r>
        <w:rPr>
          <w:rFonts w:ascii="Times New Roman" w:hAnsi="Times New Roman" w:cs="Times New Roman" w:eastAsia="Times New Roman" w:hint="default"/>
        </w:rPr>
        <w:t>2</w:t>
      </w:r>
      <w:r>
        <w:rPr/>
        <w:t>）制度梳理：企业制度是企业有序化运行的体制框架。报告期内，公司梳理并完善了包括《培训管理制度》、《干 </w:t>
      </w:r>
      <w:r>
        <w:rPr>
          <w:spacing w:val="-2"/>
        </w:rPr>
        <w:t>部管理制度》、《存货减值测试计提制度》、《固定资产管理制度》等一系列制度，完善后的制度更贴近公司实际情况，并</w:t>
      </w:r>
      <w:r>
        <w:rPr>
          <w:spacing w:val="-78"/>
        </w:rPr>
        <w:t> </w:t>
      </w:r>
      <w:r>
        <w:rPr>
          <w:spacing w:val="-78"/>
        </w:rPr>
      </w:r>
      <w:r>
        <w:rPr>
          <w:spacing w:val="-1"/>
        </w:rPr>
        <w:t>能满足企业不断前进的需求，同时公司推出了</w:t>
      </w:r>
      <w:r>
        <w:rPr>
          <w:rFonts w:ascii="Times New Roman" w:hAnsi="Times New Roman" w:cs="Times New Roman" w:eastAsia="Times New Roman" w:hint="default"/>
          <w:spacing w:val="-1"/>
        </w:rPr>
        <w:t>“</w:t>
      </w:r>
      <w:r>
        <w:rPr>
          <w:spacing w:val="-1"/>
        </w:rPr>
        <w:t>工龄奖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长期服务奖</w:t>
      </w:r>
      <w:r>
        <w:rPr>
          <w:rFonts w:ascii="Times New Roman" w:hAnsi="Times New Roman" w:cs="Times New Roman" w:eastAsia="Times New Roman" w:hint="default"/>
          <w:spacing w:val="-1"/>
        </w:rPr>
        <w:t>”</w:t>
      </w:r>
      <w:r>
        <w:rPr>
          <w:spacing w:val="-1"/>
        </w:rPr>
        <w:t>等制度化奖项，以降低员工流动率，避免无谓效率损</w:t>
      </w:r>
      <w:r>
        <w:rPr>
          <w:spacing w:val="-79"/>
        </w:rPr>
        <w:t> </w:t>
      </w:r>
      <w:r>
        <w:rPr>
          <w:spacing w:val="-79"/>
        </w:rPr>
      </w:r>
      <w:r>
        <w:rPr/>
        <w:t>失。</w:t>
      </w:r>
    </w:p>
    <w:p>
      <w:pPr>
        <w:pStyle w:val="BodyText"/>
        <w:spacing w:line="448" w:lineRule="auto" w:before="64"/>
        <w:ind w:right="1132" w:firstLine="480"/>
        <w:jc w:val="both"/>
      </w:pPr>
      <w:r>
        <w:rPr>
          <w:rFonts w:ascii="Times New Roman" w:hAnsi="Times New Roman" w:cs="Times New Roman" w:eastAsia="Times New Roman" w:hint="default"/>
        </w:rPr>
        <w:t>3</w:t>
      </w:r>
      <w:r>
        <w:rPr/>
        <w:t>）流程优化：流程管理是企业各项</w:t>
      </w:r>
      <w:r>
        <w:rPr>
          <w:rFonts w:ascii="Times New Roman" w:hAnsi="Times New Roman" w:cs="Times New Roman" w:eastAsia="Times New Roman" w:hint="default"/>
        </w:rPr>
        <w:t>“</w:t>
      </w:r>
      <w:r>
        <w:rPr/>
        <w:t>上层建筑</w:t>
      </w:r>
      <w:r>
        <w:rPr>
          <w:rFonts w:ascii="Times New Roman" w:hAnsi="Times New Roman" w:cs="Times New Roman" w:eastAsia="Times New Roman" w:hint="default"/>
        </w:rPr>
        <w:t>”</w:t>
      </w:r>
      <w:r>
        <w:rPr/>
        <w:t>的落脚点。报告期内公司聘请流程架构设计专家，为公司规划设计一 级流程架构，将基于此逐步细化建立</w:t>
      </w:r>
      <w:r>
        <w:rPr>
          <w:rFonts w:ascii="Times New Roman" w:hAnsi="Times New Roman" w:cs="Times New Roman" w:eastAsia="Times New Roman" w:hint="default"/>
        </w:rPr>
        <w:t>L4</w:t>
      </w:r>
      <w:r>
        <w:rPr/>
        <w:t>级的流程清单，作为流程体系建设的基础。</w:t>
      </w:r>
    </w:p>
    <w:p>
      <w:pPr>
        <w:pStyle w:val="BodyText"/>
        <w:spacing w:line="456" w:lineRule="auto" w:before="43"/>
        <w:ind w:right="1095" w:firstLine="480"/>
        <w:jc w:val="both"/>
      </w:pPr>
      <w:r>
        <w:rPr/>
        <w:t>作为流程优化的切入点，公司组织相关团队开展</w:t>
      </w:r>
      <w:r>
        <w:rPr>
          <w:rFonts w:ascii="Times New Roman" w:hAnsi="Times New Roman" w:cs="Times New Roman" w:eastAsia="Times New Roman" w:hint="default"/>
        </w:rPr>
        <w:t>OA</w:t>
      </w:r>
      <w:r>
        <w:rPr/>
        <w:t>审批流程优化，完成对近</w:t>
      </w:r>
      <w:r>
        <w:rPr>
          <w:rFonts w:ascii="Times New Roman" w:hAnsi="Times New Roman" w:cs="Times New Roman" w:eastAsia="Times New Roman" w:hint="default"/>
        </w:rPr>
        <w:t>30</w:t>
      </w:r>
      <w:r>
        <w:rPr/>
        <w:t>条</w:t>
      </w:r>
      <w:r>
        <w:rPr>
          <w:rFonts w:ascii="Times New Roman" w:hAnsi="Times New Roman" w:cs="Times New Roman" w:eastAsia="Times New Roman" w:hint="default"/>
        </w:rPr>
        <w:t>OA</w:t>
      </w:r>
      <w:r>
        <w:rPr/>
        <w:t>审批流程的梳理与优化，将</w:t>
      </w:r>
      <w:r>
        <w:rPr>
          <w:rFonts w:ascii="Times New Roman" w:hAnsi="Times New Roman" w:cs="Times New Roman" w:eastAsia="Times New Roman" w:hint="default"/>
        </w:rPr>
        <w:t>95% </w:t>
      </w:r>
      <w:r>
        <w:rPr>
          <w:spacing w:val="-1"/>
        </w:rPr>
        <w:t>的</w:t>
      </w:r>
      <w:r>
        <w:rPr>
          <w:rFonts w:ascii="Times New Roman" w:hAnsi="Times New Roman" w:cs="Times New Roman" w:eastAsia="Times New Roman" w:hint="default"/>
          <w:spacing w:val="-1"/>
        </w:rPr>
        <w:t>OA</w:t>
      </w:r>
      <w:r>
        <w:rPr>
          <w:spacing w:val="-1"/>
        </w:rPr>
        <w:t>审批流程的审批节点缩减到</w:t>
      </w:r>
      <w:r>
        <w:rPr>
          <w:rFonts w:ascii="Times New Roman" w:hAnsi="Times New Roman" w:cs="Times New Roman" w:eastAsia="Times New Roman" w:hint="default"/>
          <w:spacing w:val="-1"/>
        </w:rPr>
        <w:t>6</w:t>
      </w:r>
      <w:r>
        <w:rPr>
          <w:spacing w:val="-1"/>
        </w:rPr>
        <w:t>个以内，同时完成了产品生命周期管理关键流程的设计优化，并对应到</w:t>
      </w:r>
      <w:r>
        <w:rPr>
          <w:rFonts w:ascii="Times New Roman" w:hAnsi="Times New Roman" w:cs="Times New Roman" w:eastAsia="Times New Roman" w:hint="default"/>
          <w:spacing w:val="-1"/>
        </w:rPr>
        <w:t>IT</w:t>
      </w:r>
      <w:r>
        <w:rPr>
          <w:spacing w:val="-1"/>
        </w:rPr>
        <w:t>系统落地。对公</w:t>
      </w:r>
      <w:r>
        <w:rPr>
          <w:spacing w:val="-67"/>
        </w:rPr>
        <w:t> </w:t>
      </w:r>
      <w:r>
        <w:rPr>
          <w:spacing w:val="-67"/>
        </w:rPr>
      </w:r>
      <w:r>
        <w:rPr/>
        <w:t>司流程的优化，有效提高了工作效率，并成为企业降低成本、控制风险的重要环节。</w:t>
      </w:r>
    </w:p>
    <w:p>
      <w:pPr>
        <w:pStyle w:val="BodyText"/>
        <w:spacing w:line="460" w:lineRule="auto" w:before="68"/>
        <w:ind w:left="621" w:right="1013"/>
        <w:jc w:val="left"/>
      </w:pPr>
      <w:r>
        <w:rPr>
          <w:rFonts w:ascii="Times New Roman" w:hAnsi="Times New Roman" w:cs="Times New Roman" w:eastAsia="Times New Roman" w:hint="default"/>
        </w:rPr>
        <w:t>4</w:t>
      </w:r>
      <w:r>
        <w:rPr/>
        <w:t>、完善物料管理，优化供应链水平 对于制造型企业来说，如何优化供应链水平、保持供应链的平稳、高效运转成为市场决胜关键之一。 </w:t>
      </w:r>
      <w:r>
        <w:rPr>
          <w:spacing w:val="-2"/>
        </w:rPr>
        <w:t>物料管理方面，公司严控风险备料，减少呆滞物料形成，同时缩短长周期物料交期，管控库存实时状态；供应商方面，</w:t>
      </w:r>
    </w:p>
    <w:p>
      <w:pPr>
        <w:pStyle w:val="BodyText"/>
        <w:spacing w:line="482" w:lineRule="auto" w:before="64"/>
        <w:ind w:right="1095"/>
        <w:jc w:val="both"/>
      </w:pPr>
      <w:r>
        <w:rPr>
          <w:spacing w:val="-1"/>
        </w:rPr>
        <w:t>公司对供应商进行严格的考核和筛选，提升供应商的供货质量和水平，拥有较强的采购议价能力；客户方面，公司贴近核心</w:t>
      </w:r>
      <w:r>
        <w:rPr>
          <w:spacing w:val="-86"/>
        </w:rPr>
        <w:t> </w:t>
      </w:r>
      <w:r>
        <w:rPr>
          <w:spacing w:val="-86"/>
        </w:rPr>
      </w:r>
      <w:r>
        <w:rPr>
          <w:spacing w:val="-2"/>
        </w:rPr>
        <w:t>客户布局，部分产品线由总部向更贴近客户的生产基地有序转移，及时响应客户需求，与客户保持良性联动，保持供应链的</w:t>
      </w:r>
      <w:r>
        <w:rPr>
          <w:spacing w:val="-42"/>
        </w:rPr>
        <w:t> </w:t>
      </w:r>
      <w:r>
        <w:rPr>
          <w:spacing w:val="-42"/>
        </w:rPr>
      </w:r>
      <w:r>
        <w:rPr/>
        <w:t>高效运转水平。</w:t>
      </w:r>
    </w:p>
    <w:p>
      <w:pPr>
        <w:pStyle w:val="BodyText"/>
        <w:spacing w:line="240" w:lineRule="auto" w:before="48"/>
        <w:ind w:left="621" w:right="0"/>
        <w:jc w:val="left"/>
      </w:pPr>
      <w:r>
        <w:rPr>
          <w:rFonts w:ascii="Times New Roman" w:hAnsi="Times New Roman" w:cs="Times New Roman" w:eastAsia="Times New Roman" w:hint="default"/>
        </w:rPr>
        <w:t>5</w:t>
      </w:r>
      <w:r>
        <w:rPr/>
        <w:t>、实施资本战略，助力公司稳步扩张</w:t>
      </w:r>
    </w:p>
    <w:p>
      <w:pPr>
        <w:spacing w:line="240" w:lineRule="auto" w:before="6"/>
        <w:rPr>
          <w:rFonts w:ascii="宋体" w:hAnsi="宋体" w:cs="宋体" w:eastAsia="宋体" w:hint="default"/>
          <w:sz w:val="16"/>
          <w:szCs w:val="16"/>
        </w:rPr>
      </w:pPr>
    </w:p>
    <w:p>
      <w:pPr>
        <w:pStyle w:val="BodyText"/>
        <w:spacing w:line="468" w:lineRule="auto"/>
        <w:ind w:right="1100" w:firstLine="48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月，公司转让参股公司深圳市深创谷技术服务有限公司</w:t>
      </w:r>
      <w:r>
        <w:rPr>
          <w:rFonts w:ascii="Times New Roman" w:hAnsi="Times New Roman" w:cs="Times New Roman" w:eastAsia="Times New Roman" w:hint="default"/>
        </w:rPr>
        <w:t>12.94%</w:t>
      </w:r>
      <w:r>
        <w:rPr/>
        <w:t>股权，取得了不错的投资收益，</w:t>
      </w:r>
      <w:r>
        <w:rPr>
          <w:spacing w:val="-61"/>
        </w:rPr>
        <w:t> </w:t>
      </w:r>
      <w:r>
        <w:rPr/>
        <w:t>有利于公司集</w:t>
      </w:r>
      <w:r>
        <w:rPr/>
        <w:t> </w:t>
      </w:r>
      <w:r>
        <w:rPr>
          <w:spacing w:val="-2"/>
        </w:rPr>
        <w:t>中资金聚焦核心业务发展，促进公司良性、健康运营。同月，公司参股公司宁波容百新能源科技股份有限公司正式登陆上海</w:t>
      </w:r>
      <w:r>
        <w:rPr>
          <w:spacing w:val="-38"/>
        </w:rPr>
        <w:t> </w:t>
      </w:r>
      <w:r>
        <w:rPr>
          <w:spacing w:val="-38"/>
        </w:rPr>
      </w:r>
      <w:r>
        <w:rPr>
          <w:spacing w:val="-2"/>
        </w:rPr>
        <w:t>证券交易所科创板。</w:t>
      </w:r>
      <w:r>
        <w:rPr>
          <w:rFonts w:ascii="Times New Roman" w:hAnsi="Times New Roman" w:cs="Times New Roman" w:eastAsia="Times New Roman" w:hint="default"/>
          <w:spacing w:val="-2"/>
        </w:rPr>
        <w:t>2019</w:t>
      </w:r>
      <w:r>
        <w:rPr>
          <w:spacing w:val="-2"/>
        </w:rPr>
        <w:t>年度，公司为提升公众投资者信心，倡导价值投资，积极履行上市公司责任，累计以集中竞价方式</w:t>
      </w:r>
    </w:p>
    <w:p>
      <w:pPr>
        <w:pStyle w:val="BodyText"/>
        <w:spacing w:line="448" w:lineRule="auto" w:before="27"/>
        <w:ind w:right="1131"/>
        <w:jc w:val="both"/>
      </w:pPr>
      <w:r>
        <w:rPr/>
        <w:t>从二级市场回购股份</w:t>
      </w:r>
      <w:r>
        <w:rPr>
          <w:rFonts w:ascii="Times New Roman" w:hAnsi="Times New Roman" w:cs="Times New Roman" w:eastAsia="Times New Roman" w:hint="default"/>
        </w:rPr>
        <w:t>9,812,924</w:t>
      </w:r>
      <w:r>
        <w:rPr/>
        <w:t>股，回购金额为</w:t>
      </w:r>
      <w:r>
        <w:rPr>
          <w:rFonts w:ascii="Times New Roman" w:hAnsi="Times New Roman" w:cs="Times New Roman" w:eastAsia="Times New Roman" w:hint="default"/>
        </w:rPr>
        <w:t>7,525.21</w:t>
      </w:r>
      <w:r>
        <w:rPr/>
        <w:t>万元。回购股份用于股权激励或员工持股计划，进一步完善公司员工</w:t>
      </w:r>
      <w:r>
        <w:rPr>
          <w:spacing w:val="-87"/>
        </w:rPr>
        <w:t> </w:t>
      </w:r>
      <w:r>
        <w:rPr/>
        <w:t>激励体系。</w:t>
      </w:r>
    </w:p>
    <w:p>
      <w:pPr>
        <w:pStyle w:val="BodyText"/>
        <w:spacing w:line="475" w:lineRule="auto" w:before="73"/>
        <w:ind w:right="1089" w:firstLine="300"/>
        <w:jc w:val="left"/>
      </w:pPr>
      <w:r>
        <w:rPr/>
        <w:t>未来，公司也将按照既定的资本战略，进行相关投融资安排，保持与资本市场的良性互动，助力公司更好的实现战略目 标。</w:t>
      </w:r>
    </w:p>
    <w:p>
      <w:pPr>
        <w:spacing w:after="0" w:line="475" w:lineRule="auto"/>
        <w:jc w:val="left"/>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both"/>
        <w:rPr>
          <w:b w:val="0"/>
          <w:bCs w:val="0"/>
        </w:rPr>
      </w:pPr>
      <w:bookmarkStart w:name="二、主营业务分析" w:id="26"/>
      <w:bookmarkEnd w:id="26"/>
      <w:r>
        <w:rPr>
          <w:b w:val="0"/>
          <w:bCs w:val="0"/>
        </w:rPr>
      </w:r>
      <w:r>
        <w:rPr/>
        <w:t>二、主营业务分析</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both"/>
        <w:rPr>
          <w:b w:val="0"/>
          <w:bCs w:val="0"/>
        </w:rPr>
      </w:pPr>
      <w:bookmarkStart w:name="1、概述" w:id="27"/>
      <w:bookmarkEnd w:id="27"/>
      <w:r>
        <w:rPr>
          <w:b w:val="0"/>
          <w:bCs w:val="0"/>
        </w:rPr>
      </w:r>
      <w:r>
        <w:rPr>
          <w:rFonts w:ascii="Times New Roman" w:hAnsi="Times New Roman" w:cs="Times New Roman" w:eastAsia="Times New Roman" w:hint="default"/>
          <w:spacing w:val="5"/>
        </w:rPr>
        <w:t>1</w:t>
      </w:r>
      <w:r>
        <w:rPr>
          <w:spacing w:val="5"/>
        </w:rPr>
        <w:t>、概述</w:t>
      </w:r>
      <w:r>
        <w:rPr>
          <w:b w:val="0"/>
          <w:bCs w:val="0"/>
          <w:spacing w:val="5"/>
        </w:rPr>
      </w:r>
    </w:p>
    <w:p>
      <w:pPr>
        <w:spacing w:line="240" w:lineRule="auto" w:before="9"/>
        <w:rPr>
          <w:rFonts w:ascii="宋体" w:hAnsi="宋体" w:cs="宋体" w:eastAsia="宋体" w:hint="default"/>
          <w:b/>
          <w:bCs/>
          <w:sz w:val="26"/>
          <w:szCs w:val="26"/>
        </w:rPr>
      </w:pPr>
    </w:p>
    <w:p>
      <w:pPr>
        <w:pStyle w:val="BodyText"/>
        <w:spacing w:line="316" w:lineRule="auto"/>
        <w:ind w:right="1110"/>
        <w:jc w:val="both"/>
      </w:pPr>
      <w:r>
        <w:rPr>
          <w:spacing w:val="-1"/>
        </w:rPr>
        <w:t>（</w:t>
      </w:r>
      <w:r>
        <w:rPr>
          <w:rFonts w:ascii="宋体" w:hAnsi="宋体" w:cs="宋体" w:eastAsia="宋体" w:hint="default"/>
          <w:spacing w:val="-1"/>
        </w:rPr>
        <w:t>1</w:t>
      </w:r>
      <w:r>
        <w:rPr>
          <w:spacing w:val="-1"/>
        </w:rPr>
        <w:t>）报告期内，公司实现营业收入</w:t>
      </w:r>
      <w:r>
        <w:rPr>
          <w:rFonts w:ascii="宋体" w:hAnsi="宋体" w:cs="宋体" w:eastAsia="宋体" w:hint="default"/>
          <w:spacing w:val="-1"/>
        </w:rPr>
        <w:t>3,344,731,714.02</w:t>
      </w:r>
      <w:r>
        <w:rPr>
          <w:spacing w:val="-1"/>
        </w:rPr>
        <w:t>元，比上年同期上升</w:t>
      </w:r>
      <w:r>
        <w:rPr>
          <w:rFonts w:ascii="宋体" w:hAnsi="宋体" w:cs="宋体" w:eastAsia="宋体" w:hint="default"/>
          <w:spacing w:val="-1"/>
        </w:rPr>
        <w:t>6.36%</w:t>
      </w:r>
      <w:r>
        <w:rPr>
          <w:spacing w:val="-1"/>
        </w:rPr>
        <w:t>，营业成本为</w:t>
      </w:r>
      <w:r>
        <w:rPr>
          <w:rFonts w:ascii="宋体" w:hAnsi="宋体" w:cs="宋体" w:eastAsia="宋体" w:hint="default"/>
          <w:spacing w:val="-1"/>
        </w:rPr>
        <w:t>2,935,825,685.97</w:t>
      </w:r>
      <w:r>
        <w:rPr>
          <w:spacing w:val="-1"/>
        </w:rPr>
        <w:t>元，比上年</w:t>
      </w:r>
      <w:r>
        <w:rPr>
          <w:spacing w:val="-86"/>
        </w:rPr>
        <w:t> </w:t>
      </w:r>
      <w:r>
        <w:rPr>
          <w:spacing w:val="-86"/>
        </w:rPr>
      </w:r>
      <w:r>
        <w:rPr/>
        <w:t>同期上升</w:t>
      </w:r>
      <w:r>
        <w:rPr>
          <w:rFonts w:ascii="宋体" w:hAnsi="宋体" w:cs="宋体" w:eastAsia="宋体" w:hint="default"/>
        </w:rPr>
        <w:t>0.89%</w:t>
      </w:r>
      <w:r>
        <w:rPr/>
        <w:t>，实现归属于上市公司股东的净利润为</w:t>
      </w:r>
      <w:r>
        <w:rPr>
          <w:rFonts w:ascii="宋体" w:hAnsi="宋体" w:cs="宋体" w:eastAsia="宋体" w:hint="default"/>
        </w:rPr>
        <w:t>50,245,772.33</w:t>
      </w:r>
      <w:r>
        <w:rPr/>
        <w:t>元，比上年同期上升</w:t>
      </w:r>
      <w:r>
        <w:rPr>
          <w:rFonts w:ascii="宋体" w:hAnsi="宋体" w:cs="宋体" w:eastAsia="宋体" w:hint="default"/>
        </w:rPr>
        <w:t>148.87%</w:t>
      </w:r>
      <w:r>
        <w:rPr/>
        <w:t>。报告期内公司的营业收</w:t>
      </w:r>
      <w:r>
        <w:rPr>
          <w:spacing w:val="-84"/>
        </w:rPr>
        <w:t> </w:t>
      </w:r>
      <w:r>
        <w:rPr>
          <w:spacing w:val="-2"/>
        </w:rPr>
        <w:t>入上升的主要原因是网络通讯类产品收入增加所致；营业成本上升的主要原因是收入增加导致成本增加。归属于上市公司股</w:t>
      </w:r>
      <w:r>
        <w:rPr>
          <w:spacing w:val="-72"/>
        </w:rPr>
        <w:t> </w:t>
      </w:r>
      <w:r>
        <w:rPr>
          <w:spacing w:val="-72"/>
        </w:rPr>
      </w:r>
      <w:r>
        <w:rPr/>
        <w:t>东的净利润上升的主要原因是优化业务结构，提升管理水平，有效控制成本所致。</w:t>
      </w:r>
    </w:p>
    <w:p>
      <w:pPr>
        <w:pStyle w:val="BodyText"/>
        <w:spacing w:line="321" w:lineRule="auto" w:before="22"/>
        <w:ind w:right="1096"/>
        <w:jc w:val="left"/>
      </w:pPr>
      <w:r>
        <w:rPr>
          <w:spacing w:val="-1"/>
        </w:rPr>
        <w:t>（</w:t>
      </w:r>
      <w:r>
        <w:rPr>
          <w:rFonts w:ascii="宋体" w:hAnsi="宋体" w:cs="宋体" w:eastAsia="宋体" w:hint="default"/>
          <w:spacing w:val="-1"/>
        </w:rPr>
        <w:t>2</w:t>
      </w:r>
      <w:r>
        <w:rPr>
          <w:spacing w:val="-1"/>
        </w:rPr>
        <w:t>）报告期内，公司研发投入为</w:t>
      </w:r>
      <w:r>
        <w:rPr>
          <w:rFonts w:ascii="宋体" w:hAnsi="宋体" w:cs="宋体" w:eastAsia="宋体" w:hint="default"/>
          <w:spacing w:val="-1"/>
        </w:rPr>
        <w:t>151,590,276.38</w:t>
      </w:r>
      <w:r>
        <w:rPr>
          <w:spacing w:val="-1"/>
        </w:rPr>
        <w:t>元，占营业收入的比重为</w:t>
      </w:r>
      <w:r>
        <w:rPr>
          <w:rFonts w:ascii="宋体" w:hAnsi="宋体" w:cs="宋体" w:eastAsia="宋体" w:hint="default"/>
          <w:spacing w:val="-1"/>
        </w:rPr>
        <w:t>4.53%</w:t>
      </w:r>
      <w:r>
        <w:rPr>
          <w:spacing w:val="-1"/>
        </w:rPr>
        <w:t>，比上年同期增长</w:t>
      </w:r>
      <w:r>
        <w:rPr>
          <w:rFonts w:ascii="宋体" w:hAnsi="宋体" w:cs="宋体" w:eastAsia="宋体" w:hint="default"/>
          <w:spacing w:val="-1"/>
        </w:rPr>
        <w:t>38.36%</w:t>
      </w:r>
      <w:r>
        <w:rPr>
          <w:spacing w:val="-1"/>
        </w:rPr>
        <w:t>，主要系新设西安</w:t>
      </w:r>
      <w:r>
        <w:rPr/>
        <w:t> 研发基地、加大新产品和智能制造的研发投入力度。</w:t>
      </w:r>
    </w:p>
    <w:p>
      <w:pPr>
        <w:pStyle w:val="BodyText"/>
        <w:spacing w:line="307" w:lineRule="auto" w:before="18"/>
        <w:ind w:right="1119"/>
        <w:jc w:val="left"/>
      </w:pPr>
      <w:r>
        <w:rPr/>
        <w:t>（</w:t>
      </w:r>
      <w:r>
        <w:rPr>
          <w:rFonts w:ascii="宋体" w:hAnsi="宋体" w:cs="宋体" w:eastAsia="宋体" w:hint="default"/>
        </w:rPr>
        <w:t>3</w:t>
      </w:r>
      <w:r>
        <w:rPr/>
        <w:t>）报告期内，公司与前五名供应商、客户不存在关联关系，公司董事、监事、高级管理人员、核心技术人员、持股</w:t>
      </w:r>
      <w:r>
        <w:rPr>
          <w:rFonts w:ascii="宋体" w:hAnsi="宋体" w:cs="宋体" w:eastAsia="宋体" w:hint="default"/>
        </w:rPr>
        <w:t>5%</w:t>
      </w:r>
      <w:r>
        <w:rPr/>
        <w:t>以</w:t>
      </w:r>
      <w:r>
        <w:rPr>
          <w:spacing w:val="-79"/>
        </w:rPr>
        <w:t> </w:t>
      </w:r>
      <w:r>
        <w:rPr/>
        <w:t>上股东、实际控制人和其他关联方在主要客户、供应商中不直接或者间接拥有权益等。</w:t>
      </w:r>
    </w:p>
    <w:p>
      <w:pPr>
        <w:spacing w:line="240" w:lineRule="auto" w:before="6"/>
        <w:rPr>
          <w:rFonts w:ascii="宋体" w:hAnsi="宋体" w:cs="宋体" w:eastAsia="宋体" w:hint="default"/>
          <w:sz w:val="25"/>
          <w:szCs w:val="25"/>
        </w:rPr>
      </w:pPr>
    </w:p>
    <w:p>
      <w:pPr>
        <w:pStyle w:val="Heading5"/>
        <w:spacing w:line="240" w:lineRule="auto"/>
        <w:ind w:right="0"/>
        <w:jc w:val="both"/>
        <w:rPr>
          <w:b w:val="0"/>
          <w:bCs w:val="0"/>
        </w:rPr>
      </w:pPr>
      <w:bookmarkStart w:name="2、收入与成本" w:id="28"/>
      <w:bookmarkEnd w:id="28"/>
      <w:r>
        <w:rPr>
          <w:b w:val="0"/>
          <w:bCs w:val="0"/>
        </w:rPr>
      </w:r>
      <w:r>
        <w:rPr>
          <w:rFonts w:ascii="Times New Roman" w:hAnsi="Times New Roman" w:cs="Times New Roman" w:eastAsia="Times New Roman" w:hint="default"/>
          <w:spacing w:val="4"/>
        </w:rPr>
        <w:t>2</w:t>
      </w:r>
      <w:r>
        <w:rPr>
          <w:spacing w:val="4"/>
        </w:rPr>
        <w:t>、收入与成本</w:t>
      </w:r>
      <w:r>
        <w:rPr>
          <w:b w:val="0"/>
          <w:bCs w:val="0"/>
          <w:spacing w:val="4"/>
        </w:rPr>
      </w:r>
    </w:p>
    <w:p>
      <w:pPr>
        <w:spacing w:line="240" w:lineRule="auto" w:before="12"/>
        <w:rPr>
          <w:rFonts w:ascii="宋体" w:hAnsi="宋体" w:cs="宋体" w:eastAsia="宋体" w:hint="default"/>
          <w:b/>
          <w:bCs/>
          <w:sz w:val="26"/>
          <w:szCs w:val="26"/>
        </w:rPr>
      </w:pPr>
    </w:p>
    <w:p>
      <w:pPr>
        <w:pStyle w:val="Heading5"/>
        <w:spacing w:line="240" w:lineRule="auto"/>
        <w:ind w:right="0"/>
        <w:jc w:val="both"/>
        <w:rPr>
          <w:b w:val="0"/>
          <w:bCs w:val="0"/>
        </w:rPr>
      </w:pPr>
      <w:bookmarkStart w:name="（1）营业收入构成" w:id="29"/>
      <w:bookmarkEnd w:id="29"/>
      <w:r>
        <w:rPr>
          <w:b w:val="0"/>
          <w:bCs w:val="0"/>
        </w:rPr>
      </w:r>
      <w:r>
        <w:rPr>
          <w:spacing w:val="5"/>
        </w:rPr>
        <w:t>（</w:t>
      </w:r>
      <w:r>
        <w:rPr>
          <w:rFonts w:ascii="Times New Roman" w:hAnsi="Times New Roman" w:cs="Times New Roman" w:eastAsia="Times New Roman" w:hint="default"/>
          <w:spacing w:val="5"/>
        </w:rPr>
        <w:t>1</w:t>
      </w:r>
      <w:r>
        <w:rPr>
          <w:spacing w:val="5"/>
        </w:rPr>
        <w:t>）营业收入构成</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4"/>
        <w:gridCol w:w="1607"/>
        <w:gridCol w:w="1590"/>
        <w:gridCol w:w="1596"/>
        <w:gridCol w:w="1590"/>
        <w:gridCol w:w="1605"/>
      </w:tblGrid>
      <w:tr>
        <w:trPr>
          <w:trHeight w:val="203" w:hRule="exact"/>
        </w:trPr>
        <w:tc>
          <w:tcPr>
            <w:tcW w:w="15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318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5"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2" w:hRule="exact"/>
        </w:trPr>
        <w:tc>
          <w:tcPr>
            <w:tcW w:w="1594" w:type="dxa"/>
            <w:vMerge w:val="restart"/>
            <w:tcBorders>
              <w:top w:val="nil" w:sz="6" w:space="0" w:color="auto"/>
              <w:left w:val="single" w:sz="6" w:space="0" w:color="000000"/>
              <w:right w:val="single" w:sz="6" w:space="0" w:color="000000"/>
            </w:tcBorders>
            <w:shd w:val="clear" w:color="auto" w:fill="D2D2D2"/>
          </w:tcPr>
          <w:p>
            <w:pPr/>
          </w:p>
        </w:tc>
        <w:tc>
          <w:tcPr>
            <w:tcW w:w="3197" w:type="dxa"/>
            <w:gridSpan w:val="2"/>
            <w:vMerge/>
            <w:tcBorders>
              <w:left w:val="single" w:sz="6" w:space="0" w:color="000000"/>
              <w:bottom w:val="single" w:sz="6" w:space="0" w:color="000000"/>
              <w:right w:val="single" w:sz="6" w:space="0" w:color="000000"/>
            </w:tcBorders>
            <w:shd w:val="clear" w:color="auto" w:fill="D2D2D2"/>
          </w:tcPr>
          <w:p>
            <w:pPr/>
          </w:p>
        </w:tc>
        <w:tc>
          <w:tcPr>
            <w:tcW w:w="3186" w:type="dxa"/>
            <w:gridSpan w:val="2"/>
            <w:vMerge/>
            <w:tcBorders>
              <w:left w:val="single" w:sz="6" w:space="0" w:color="000000"/>
              <w:bottom w:val="single" w:sz="6" w:space="0" w:color="000000"/>
              <w:right w:val="single" w:sz="6" w:space="0" w:color="000000"/>
            </w:tcBorders>
            <w:shd w:val="clear" w:color="auto" w:fill="D2D2D2"/>
          </w:tcPr>
          <w:p>
            <w:pPr/>
          </w:p>
        </w:tc>
        <w:tc>
          <w:tcPr>
            <w:tcW w:w="16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4" w:type="dxa"/>
            <w:vMerge/>
            <w:tcBorders>
              <w:left w:val="single" w:sz="6" w:space="0" w:color="000000"/>
              <w:bottom w:val="nil" w:sz="6" w:space="0" w:color="auto"/>
              <w:right w:val="single" w:sz="6" w:space="0" w:color="000000"/>
            </w:tcBorders>
            <w:shd w:val="clear" w:color="auto" w:fill="D2D2D2"/>
          </w:tcPr>
          <w:p>
            <w:pP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7"/>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5" w:type="dxa"/>
            <w:vMerge/>
            <w:tcBorders>
              <w:left w:val="single" w:sz="6" w:space="0" w:color="000000"/>
              <w:bottom w:val="nil" w:sz="6" w:space="0" w:color="auto"/>
              <w:right w:val="single" w:sz="6" w:space="0" w:color="000000"/>
            </w:tcBorders>
            <w:shd w:val="clear" w:color="auto" w:fill="D2D2D2"/>
          </w:tcPr>
          <w:p>
            <w:pPr/>
          </w:p>
        </w:tc>
      </w:tr>
      <w:tr>
        <w:trPr>
          <w:trHeight w:val="203" w:hRule="exact"/>
        </w:trPr>
        <w:tc>
          <w:tcPr>
            <w:tcW w:w="15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596"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605"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7" w:type="dxa"/>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02"/>
              <w:ind w:right="8"/>
              <w:jc w:val="right"/>
              <w:rPr>
                <w:rFonts w:ascii="Times New Roman" w:hAnsi="Times New Roman" w:cs="Times New Roman" w:eastAsia="Times New Roman" w:hint="default"/>
                <w:sz w:val="18"/>
                <w:szCs w:val="18"/>
              </w:rPr>
            </w:pPr>
            <w:r>
              <w:rPr>
                <w:rFonts w:ascii="Times New Roman"/>
                <w:sz w:val="18"/>
              </w:rPr>
              <w:t>3,344,731,714.02</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6" w:type="dxa"/>
            <w:tcBorders>
              <w:top w:val="single" w:sz="6" w:space="0" w:color="000000"/>
              <w:left w:val="single" w:sz="12" w:space="0" w:color="000000"/>
              <w:bottom w:val="single" w:sz="6" w:space="0" w:color="000000"/>
              <w:right w:val="single" w:sz="18" w:space="0" w:color="D2D2D2"/>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z w:val="18"/>
              </w:rPr>
              <w:t>3,144,616,237.11</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6.36%</w:t>
            </w:r>
            <w:r>
              <w:rPr>
                <w:rFonts w:ascii="Times New Roman"/>
                <w:sz w:val="18"/>
              </w:rPr>
            </w:r>
          </w:p>
        </w:tc>
      </w:tr>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21"/>
              <w:jc w:val="left"/>
              <w:rPr>
                <w:rFonts w:ascii="宋体" w:hAnsi="宋体" w:cs="宋体" w:eastAsia="宋体" w:hint="default"/>
                <w:sz w:val="18"/>
                <w:szCs w:val="18"/>
              </w:rPr>
            </w:pPr>
            <w:r>
              <w:rPr>
                <w:rFonts w:ascii="宋体" w:hAnsi="宋体" w:cs="宋体" w:eastAsia="宋体" w:hint="default"/>
                <w:sz w:val="18"/>
                <w:szCs w:val="18"/>
              </w:rPr>
              <w:t>通讯及设备制造行 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3,344,731,714.02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3,144,616,237.11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6.36%</w:t>
            </w:r>
            <w:r>
              <w:rPr>
                <w:rFonts w:ascii="Times New Roman"/>
                <w:sz w:val="18"/>
              </w:rPr>
            </w:r>
          </w:p>
        </w:tc>
      </w:tr>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1,553,676,270.00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46.45%</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1,234,255,205.41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39.25%</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25.88%</w:t>
            </w:r>
            <w:r>
              <w:rPr>
                <w:rFonts w:ascii="Times New Roman"/>
                <w:sz w:val="18"/>
              </w:rPr>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便携式消费电子类</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1,616,748,912.26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48.34%</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8"/>
              <w:jc w:val="right"/>
              <w:rPr>
                <w:rFonts w:ascii="Times New Roman" w:hAnsi="Times New Roman" w:cs="Times New Roman" w:eastAsia="Times New Roman" w:hint="default"/>
                <w:sz w:val="18"/>
                <w:szCs w:val="18"/>
              </w:rPr>
            </w:pPr>
            <w:r>
              <w:rPr>
                <w:rFonts w:ascii="Times New Roman"/>
                <w:sz w:val="18"/>
              </w:rPr>
              <w:t>1,760,536,792.27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55.99%</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-8.17%</w:t>
            </w:r>
          </w:p>
        </w:tc>
      </w:tr>
      <w:tr>
        <w:trPr>
          <w:trHeight w:val="39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6"/>
              <w:jc w:val="right"/>
              <w:rPr>
                <w:rFonts w:ascii="Times New Roman" w:hAnsi="Times New Roman" w:cs="Times New Roman" w:eastAsia="Times New Roman" w:hint="default"/>
                <w:sz w:val="18"/>
                <w:szCs w:val="18"/>
              </w:rPr>
            </w:pPr>
            <w:r>
              <w:rPr>
                <w:rFonts w:ascii="Times New Roman"/>
                <w:sz w:val="18"/>
              </w:rPr>
              <w:t>174,306,531.76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5.21%</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8"/>
              <w:jc w:val="right"/>
              <w:rPr>
                <w:rFonts w:ascii="Times New Roman" w:hAnsi="Times New Roman" w:cs="Times New Roman" w:eastAsia="Times New Roman" w:hint="default"/>
                <w:sz w:val="18"/>
                <w:szCs w:val="18"/>
              </w:rPr>
            </w:pPr>
            <w:r>
              <w:rPr>
                <w:rFonts w:ascii="Times New Roman"/>
                <w:sz w:val="18"/>
              </w:rPr>
              <w:t>149,824,239.43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Times New Roman" w:hAnsi="Times New Roman" w:cs="Times New Roman" w:eastAsia="Times New Roman" w:hint="default"/>
                <w:sz w:val="18"/>
                <w:szCs w:val="18"/>
              </w:rPr>
            </w:pPr>
            <w:r>
              <w:rPr>
                <w:rFonts w:ascii="Times New Roman"/>
                <w:w w:val="95"/>
                <w:sz w:val="18"/>
              </w:rPr>
              <w:t>4.76%</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16.34%</w:t>
            </w:r>
            <w:r>
              <w:rPr>
                <w:rFonts w:ascii="Times New Roman"/>
                <w:sz w:val="18"/>
              </w:rPr>
            </w:r>
          </w:p>
        </w:tc>
      </w:tr>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2,852,614,997.80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85.29%</w:t>
            </w:r>
            <w:r>
              <w:rPr>
                <w:rFonts w:ascii="Times New Roman"/>
                <w:sz w:val="18"/>
              </w:rPr>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2,947,068,653.54</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93.72%</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-3.21%</w:t>
            </w:r>
          </w:p>
        </w:tc>
      </w:tr>
      <w:tr>
        <w:trPr>
          <w:trHeight w:val="39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492,116,716.22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14.71%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197,547,583.57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6.28%</w:t>
            </w:r>
            <w:r>
              <w:rPr>
                <w:rFonts w:ascii="Times New Roman"/>
                <w:sz w:val="18"/>
              </w:rPr>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149.11%</w:t>
            </w:r>
            <w:r>
              <w:rPr>
                <w:rFonts w:ascii="Times New Roman"/>
                <w:sz w:val="18"/>
              </w:rPr>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占公司营业收入或营业利润10%以上的行业、产品或地区情况" w:id="30"/>
      <w:bookmarkEnd w:id="30"/>
      <w:r>
        <w:rPr>
          <w:b w:val="0"/>
          <w:bCs w:val="0"/>
        </w:rPr>
      </w:r>
      <w:r>
        <w:rPr>
          <w:spacing w:val="6"/>
        </w:rPr>
        <w:t>（</w:t>
      </w:r>
      <w:r>
        <w:rPr>
          <w:rFonts w:ascii="Times New Roman" w:hAnsi="Times New Roman" w:cs="Times New Roman" w:eastAsia="Times New Roman" w:hint="default"/>
          <w:spacing w:val="6"/>
        </w:rPr>
        <w:t>2</w:t>
      </w:r>
      <w:r>
        <w:rPr>
          <w:spacing w:val="6"/>
        </w:rPr>
        <w:t>）占公司营业收入或营业利润</w:t>
      </w:r>
      <w:r>
        <w:rPr>
          <w:spacing w:val="96"/>
        </w:rPr>
        <w:t> </w:t>
      </w:r>
      <w:r>
        <w:rPr>
          <w:rFonts w:ascii="Times New Roman" w:hAnsi="Times New Roman" w:cs="Times New Roman" w:eastAsia="Times New Roman" w:hint="default"/>
          <w:spacing w:val="4"/>
        </w:rPr>
        <w:t>10%</w:t>
      </w:r>
      <w:r>
        <w:rPr>
          <w:spacing w:val="4"/>
        </w:rPr>
        <w:t>以上的行业、产品或地区情况</w:t>
      </w:r>
      <w:r>
        <w:rPr>
          <w:b w:val="0"/>
          <w:bCs w:val="0"/>
          <w:spacing w:val="4"/>
        </w:rPr>
      </w:r>
    </w:p>
    <w:p>
      <w:pPr>
        <w:spacing w:line="240" w:lineRule="auto" w:before="6"/>
        <w:rPr>
          <w:rFonts w:ascii="宋体" w:hAnsi="宋体" w:cs="宋体" w:eastAsia="宋体" w:hint="default"/>
          <w:b/>
          <w:bCs/>
          <w:sz w:val="24"/>
          <w:szCs w:val="24"/>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97"/>
        <w:gridCol w:w="1427"/>
        <w:gridCol w:w="1411"/>
        <w:gridCol w:w="931"/>
        <w:gridCol w:w="1382"/>
        <w:gridCol w:w="1367"/>
        <w:gridCol w:w="1367"/>
      </w:tblGrid>
      <w:tr>
        <w:trPr>
          <w:trHeight w:val="721" w:hRule="exact"/>
        </w:trPr>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14"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00" w:right="59"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05" w:right="44"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0"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通讯及设备制造行业</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5" w:right="0"/>
              <w:jc w:val="left"/>
              <w:rPr>
                <w:rFonts w:ascii="Times New Roman" w:hAnsi="Times New Roman" w:cs="Times New Roman" w:eastAsia="Times New Roman" w:hint="default"/>
                <w:sz w:val="18"/>
                <w:szCs w:val="18"/>
              </w:rPr>
            </w:pPr>
            <w:r>
              <w:rPr>
                <w:rFonts w:ascii="Times New Roman"/>
                <w:sz w:val="18"/>
              </w:rPr>
              <w:t>3,344,731,714.02</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9" w:right="0"/>
              <w:jc w:val="left"/>
              <w:rPr>
                <w:rFonts w:ascii="Times New Roman" w:hAnsi="Times New Roman" w:cs="Times New Roman" w:eastAsia="Times New Roman" w:hint="default"/>
                <w:sz w:val="18"/>
                <w:szCs w:val="18"/>
              </w:rPr>
            </w:pPr>
            <w:r>
              <w:rPr>
                <w:rFonts w:ascii="Times New Roman"/>
                <w:sz w:val="18"/>
              </w:rPr>
              <w:t>2,935,825,685.97</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5" w:right="0"/>
              <w:jc w:val="left"/>
              <w:rPr>
                <w:rFonts w:ascii="Times New Roman" w:hAnsi="Times New Roman" w:cs="Times New Roman" w:eastAsia="Times New Roman" w:hint="default"/>
                <w:sz w:val="18"/>
                <w:szCs w:val="18"/>
              </w:rPr>
            </w:pPr>
            <w:r>
              <w:rPr>
                <w:rFonts w:ascii="Times New Roman"/>
                <w:sz w:val="18"/>
              </w:rPr>
              <w:t>12.23%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1" w:right="0"/>
              <w:jc w:val="left"/>
              <w:rPr>
                <w:rFonts w:ascii="Times New Roman" w:hAnsi="Times New Roman" w:cs="Times New Roman" w:eastAsia="Times New Roman" w:hint="default"/>
                <w:sz w:val="18"/>
                <w:szCs w:val="18"/>
              </w:rPr>
            </w:pPr>
            <w:r>
              <w:rPr>
                <w:rFonts w:ascii="Times New Roman"/>
                <w:sz w:val="18"/>
              </w:rPr>
              <w:t>6.36%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56" w:right="0"/>
              <w:jc w:val="left"/>
              <w:rPr>
                <w:rFonts w:ascii="Times New Roman" w:hAnsi="Times New Roman" w:cs="Times New Roman" w:eastAsia="Times New Roman" w:hint="default"/>
                <w:sz w:val="18"/>
                <w:szCs w:val="18"/>
              </w:rPr>
            </w:pPr>
            <w:r>
              <w:rPr>
                <w:rFonts w:ascii="Times New Roman"/>
                <w:sz w:val="18"/>
              </w:rPr>
              <w:t>0.89%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71" w:right="0"/>
              <w:jc w:val="left"/>
              <w:rPr>
                <w:rFonts w:ascii="Times New Roman" w:hAnsi="Times New Roman" w:cs="Times New Roman" w:eastAsia="Times New Roman" w:hint="default"/>
                <w:sz w:val="18"/>
                <w:szCs w:val="18"/>
              </w:rPr>
            </w:pPr>
            <w:r>
              <w:rPr>
                <w:rFonts w:ascii="Times New Roman"/>
                <w:sz w:val="18"/>
              </w:rPr>
              <w:t>4.77%</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97"/>
        <w:gridCol w:w="1427"/>
        <w:gridCol w:w="1411"/>
        <w:gridCol w:w="931"/>
        <w:gridCol w:w="1382"/>
        <w:gridCol w:w="1367"/>
        <w:gridCol w:w="1367"/>
      </w:tblGrid>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1,553,676,270.00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1,353,043,372.72</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12.91%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25.88%</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15.61%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7.73%</w:t>
            </w:r>
            <w:r>
              <w:rPr>
                <w:rFonts w:ascii="Times New Roman"/>
                <w:sz w:val="18"/>
              </w:rPr>
            </w:r>
          </w:p>
        </w:tc>
      </w:tr>
      <w:tr>
        <w:trPr>
          <w:trHeight w:val="390"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便携式消费电子类</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1,616,748,912.26</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1,452,543,266.70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10.16%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-8.17%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-9.30%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1.13%</w:t>
            </w:r>
            <w:r>
              <w:rPr>
                <w:rFonts w:ascii="Times New Roman"/>
                <w:sz w:val="18"/>
              </w:rPr>
            </w:r>
          </w:p>
        </w:tc>
      </w:tr>
      <w:tr>
        <w:trPr>
          <w:trHeight w:val="40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174,306,531.76</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130,239,046.55</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25.28%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16.34%</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17.48%</w:t>
            </w:r>
            <w:r>
              <w:rPr>
                <w:rFonts w:ascii="Times New Roman"/>
                <w:sz w:val="18"/>
              </w:rPr>
            </w:r>
          </w:p>
        </w:tc>
      </w:tr>
      <w:tr>
        <w:trPr>
          <w:trHeight w:val="406"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2,852,614,997.80</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2,483,009,918.48</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12.96%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-3.21%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-8.70%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5.24%</w:t>
            </w:r>
            <w:r>
              <w:rPr>
                <w:rFonts w:ascii="Times New Roman"/>
                <w:sz w:val="18"/>
              </w:rPr>
            </w:r>
          </w:p>
        </w:tc>
      </w:tr>
      <w:tr>
        <w:trPr>
          <w:trHeight w:val="390"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492,116,716.22</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452,815,767.49</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7.99%</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149.11%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137.86%</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4.36%</w:t>
            </w:r>
            <w:r>
              <w:rPr>
                <w:rFonts w:ascii="Times New Roman"/>
                <w:sz w:val="18"/>
              </w:rPr>
            </w:r>
          </w:p>
        </w:tc>
      </w:tr>
    </w:tbl>
    <w:p>
      <w:pPr>
        <w:pStyle w:val="BodyText"/>
        <w:spacing w:line="240" w:lineRule="auto" w:before="59"/>
        <w:ind w:right="0"/>
        <w:jc w:val="left"/>
      </w:pPr>
      <w:r>
        <w:rPr/>
        <w:t>公司主营业务数据统计口径在报告期发生调整的情况下，公司最近</w:t>
      </w:r>
      <w:r>
        <w:rPr>
          <w:spacing w:val="-39"/>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9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3）公司实物销售收入是否大于劳务收入" w:id="31"/>
      <w:bookmarkEnd w:id="31"/>
      <w:r>
        <w:rPr>
          <w:b w:val="0"/>
          <w:bCs w:val="0"/>
        </w:rPr>
      </w:r>
      <w:r>
        <w:rPr>
          <w:spacing w:val="5"/>
        </w:rPr>
        <w:t>（</w:t>
      </w:r>
      <w:r>
        <w:rPr>
          <w:rFonts w:ascii="Times New Roman" w:hAnsi="Times New Roman" w:cs="Times New Roman" w:eastAsia="Times New Roman" w:hint="default"/>
          <w:spacing w:val="5"/>
        </w:rPr>
        <w:t>3</w:t>
      </w:r>
      <w:r>
        <w:rPr>
          <w:spacing w:val="5"/>
        </w:rPr>
        <w:t>）公司实物销售收入是否大于劳务收入</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607"/>
        <w:gridCol w:w="1577"/>
        <w:gridCol w:w="1607"/>
        <w:gridCol w:w="1592"/>
        <w:gridCol w:w="1592"/>
        <w:gridCol w:w="1607"/>
      </w:tblGrid>
      <w:tr>
        <w:trPr>
          <w:trHeight w:val="390" w:hRule="exact"/>
        </w:trPr>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607" w:type="dxa"/>
            <w:vMerge w:val="restart"/>
            <w:tcBorders>
              <w:top w:val="single" w:sz="6" w:space="0" w:color="000000"/>
              <w:left w:val="single" w:sz="6" w:space="0" w:color="000000"/>
              <w:right w:val="single" w:sz="18"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通信及设备制造业</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PCS</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138,705,635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100,170,105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38.47%</w:t>
            </w:r>
            <w:r>
              <w:rPr>
                <w:rFonts w:ascii="Times New Roman"/>
                <w:sz w:val="18"/>
              </w:rPr>
            </w:r>
          </w:p>
        </w:tc>
      </w:tr>
      <w:tr>
        <w:trPr>
          <w:trHeight w:val="406" w:hRule="exact"/>
        </w:trPr>
        <w:tc>
          <w:tcPr>
            <w:tcW w:w="1607" w:type="dxa"/>
            <w:vMerge/>
            <w:tcBorders>
              <w:left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PCS</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138,037,202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100,337,069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37.57%</w:t>
            </w:r>
            <w:r>
              <w:rPr>
                <w:rFonts w:ascii="Times New Roman"/>
                <w:sz w:val="18"/>
              </w:rPr>
            </w:r>
          </w:p>
        </w:tc>
      </w:tr>
      <w:tr>
        <w:trPr>
          <w:trHeight w:val="390" w:hRule="exact"/>
        </w:trPr>
        <w:tc>
          <w:tcPr>
            <w:tcW w:w="1607" w:type="dxa"/>
            <w:vMerge/>
            <w:tcBorders>
              <w:left w:val="single" w:sz="6" w:space="0" w:color="000000"/>
              <w:bottom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PCS</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1,992,956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1,324,523</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50.47%</w:t>
            </w:r>
            <w:r>
              <w:rPr>
                <w:rFonts w:ascii="Times New Roman"/>
                <w:sz w:val="18"/>
              </w:rPr>
            </w:r>
          </w:p>
        </w:tc>
      </w:tr>
    </w:tbl>
    <w:p>
      <w:pPr>
        <w:pStyle w:val="BodyText"/>
        <w:spacing w:line="240" w:lineRule="auto" w:before="59"/>
        <w:ind w:right="0"/>
        <w:jc w:val="left"/>
      </w:pPr>
      <w:r>
        <w:rPr/>
        <w:t>相关数据同比发生变动</w:t>
      </w:r>
      <w:r>
        <w:rPr>
          <w:spacing w:val="-43"/>
        </w:rPr>
        <w:t> </w:t>
      </w:r>
      <w:r>
        <w:rPr>
          <w:rFonts w:ascii="Times New Roman" w:hAnsi="Times New Roman" w:cs="Times New Roman" w:eastAsia="Times New Roman" w:hint="default"/>
        </w:rPr>
        <w:t>30%</w:t>
      </w:r>
      <w:r>
        <w:rPr/>
        <w:t>以上的原因说明</w:t>
      </w:r>
    </w:p>
    <w:p>
      <w:pPr>
        <w:pStyle w:val="BodyText"/>
        <w:spacing w:line="333" w:lineRule="auto" w:before="111"/>
        <w:ind w:left="366" w:right="1029" w:hanging="2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本期销售量、生产量、库存量同比上期增长的原因主要系本年营业收入的上升及部分产品以</w:t>
      </w:r>
      <w:r>
        <w:rPr>
          <w:rFonts w:ascii="Times New Roman" w:hAnsi="Times New Roman" w:cs="Times New Roman" w:eastAsia="Times New Roman" w:hint="default"/>
        </w:rPr>
        <w:t>PCBA</w:t>
      </w:r>
      <w:r>
        <w:rPr/>
        <w:t>与组包分段出货所致。</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4）公司已签订的重大销售合同截至本报告期的履行情况" w:id="32"/>
      <w:bookmarkEnd w:id="32"/>
      <w:r>
        <w:rPr>
          <w:b w:val="0"/>
          <w:bCs w:val="0"/>
        </w:rPr>
      </w:r>
      <w:r>
        <w:rPr>
          <w:spacing w:val="5"/>
        </w:rPr>
        <w:t>（</w:t>
      </w:r>
      <w:r>
        <w:rPr>
          <w:rFonts w:ascii="Times New Roman" w:hAnsi="Times New Roman" w:cs="Times New Roman" w:eastAsia="Times New Roman" w:hint="default"/>
          <w:spacing w:val="5"/>
        </w:rPr>
        <w:t>4</w:t>
      </w:r>
      <w:r>
        <w:rPr>
          <w:spacing w:val="5"/>
        </w:rPr>
        <w:t>）公司已签订的重大销售合同截至本报告期的履行情况</w:t>
      </w:r>
      <w:r>
        <w:rPr>
          <w:b w:val="0"/>
          <w:bCs w:val="0"/>
          <w:spacing w:val="5"/>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5）营业成本构成" w:id="33"/>
      <w:bookmarkEnd w:id="33"/>
      <w:r>
        <w:rPr>
          <w:b w:val="0"/>
          <w:bCs w:val="0"/>
        </w:rPr>
      </w:r>
      <w:r>
        <w:rPr>
          <w:spacing w:val="5"/>
        </w:rPr>
        <w:t>（</w:t>
      </w:r>
      <w:r>
        <w:rPr>
          <w:rFonts w:ascii="Times New Roman" w:hAnsi="Times New Roman" w:cs="Times New Roman" w:eastAsia="Times New Roman" w:hint="default"/>
          <w:spacing w:val="5"/>
        </w:rPr>
        <w:t>5</w:t>
      </w:r>
      <w:r>
        <w:rPr>
          <w:spacing w:val="5"/>
        </w:rPr>
        <w:t>）营业成本构成</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right="0"/>
        <w:jc w:val="left"/>
      </w:pPr>
      <w:r>
        <w:rPr/>
        <w:t>行业和产品分类</w:t>
      </w:r>
    </w:p>
    <w:p>
      <w:pPr>
        <w:pStyle w:val="BodyText"/>
        <w:spacing w:line="240" w:lineRule="auto" w:before="124"/>
        <w:ind w:left="0" w:right="1110"/>
        <w:jc w:val="right"/>
      </w:pPr>
      <w:r>
        <w:rPr/>
        <w:t>单位：元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97"/>
        <w:gridCol w:w="1036"/>
        <w:gridCol w:w="1382"/>
        <w:gridCol w:w="1367"/>
        <w:gridCol w:w="1366"/>
        <w:gridCol w:w="1367"/>
        <w:gridCol w:w="1367"/>
      </w:tblGrid>
      <w:tr>
        <w:trPr>
          <w:trHeight w:val="405" w:hRule="exact"/>
        </w:trPr>
        <w:tc>
          <w:tcPr>
            <w:tcW w:w="16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697" w:type="dxa"/>
            <w:vMerge/>
            <w:tcBorders>
              <w:left w:val="single" w:sz="6" w:space="0" w:color="000000"/>
              <w:bottom w:val="single" w:sz="6" w:space="0" w:color="000000"/>
              <w:right w:val="single" w:sz="6" w:space="0" w:color="000000"/>
            </w:tcBorders>
            <w:shd w:val="clear" w:color="auto" w:fill="D2D2D2"/>
          </w:tcPr>
          <w:p>
            <w:pPr/>
          </w:p>
        </w:tc>
        <w:tc>
          <w:tcPr>
            <w:tcW w:w="1036"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通讯及设备制造行业</w:t>
            </w:r>
          </w:p>
        </w:tc>
        <w:tc>
          <w:tcPr>
            <w:tcW w:w="1036"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2,935,825,685.97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 w:right="0"/>
              <w:jc w:val="center"/>
              <w:rPr>
                <w:rFonts w:ascii="Times New Roman" w:hAnsi="Times New Roman" w:cs="Times New Roman" w:eastAsia="Times New Roman" w:hint="default"/>
                <w:sz w:val="18"/>
                <w:szCs w:val="18"/>
              </w:rPr>
            </w:pPr>
            <w:r>
              <w:rPr>
                <w:rFonts w:ascii="Times New Roman"/>
                <w:sz w:val="18"/>
              </w:rPr>
              <w:t>2,910,042,686.80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56" w:right="0"/>
              <w:jc w:val="left"/>
              <w:rPr>
                <w:rFonts w:ascii="Times New Roman" w:hAnsi="Times New Roman" w:cs="Times New Roman" w:eastAsia="Times New Roman" w:hint="default"/>
                <w:sz w:val="18"/>
                <w:szCs w:val="18"/>
              </w:rPr>
            </w:pPr>
            <w:r>
              <w:rPr>
                <w:rFonts w:ascii="Times New Roman"/>
                <w:sz w:val="18"/>
              </w:rPr>
              <w:t>0.89%</w:t>
            </w:r>
          </w:p>
        </w:tc>
      </w:tr>
    </w:tbl>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97"/>
        <w:gridCol w:w="1036"/>
        <w:gridCol w:w="1382"/>
        <w:gridCol w:w="1367"/>
        <w:gridCol w:w="1366"/>
        <w:gridCol w:w="1367"/>
        <w:gridCol w:w="1367"/>
      </w:tblGrid>
      <w:tr>
        <w:trPr>
          <w:trHeight w:val="390" w:hRule="exact"/>
        </w:trPr>
        <w:tc>
          <w:tcPr>
            <w:tcW w:w="16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0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697" w:type="dxa"/>
            <w:vMerge/>
            <w:tcBorders>
              <w:left w:val="single" w:sz="6" w:space="0" w:color="000000"/>
              <w:bottom w:val="single" w:sz="6" w:space="0" w:color="000000"/>
              <w:right w:val="single" w:sz="6" w:space="0" w:color="000000"/>
            </w:tcBorders>
            <w:shd w:val="clear" w:color="auto" w:fill="D2D2D2"/>
          </w:tcPr>
          <w:p>
            <w:pPr/>
          </w:p>
        </w:tc>
        <w:tc>
          <w:tcPr>
            <w:tcW w:w="1036"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网络通讯终端类</w:t>
            </w:r>
          </w:p>
        </w:tc>
        <w:tc>
          <w:tcPr>
            <w:tcW w:w="1036"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1,353,043,372.72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46.09%</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1,170,367,024.83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40.22%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15.61%</w:t>
            </w:r>
            <w:r>
              <w:rPr>
                <w:rFonts w:ascii="Times New Roman"/>
                <w:sz w:val="18"/>
              </w:rPr>
            </w:r>
          </w:p>
        </w:tc>
      </w:tr>
      <w:tr>
        <w:trPr>
          <w:trHeight w:val="40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便携式消费电子类</w:t>
            </w:r>
          </w:p>
        </w:tc>
        <w:tc>
          <w:tcPr>
            <w:tcW w:w="1036"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1,452,543,266.70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49.48%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1,601,540,084.80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55.03%</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-9.30%</w:t>
            </w:r>
          </w:p>
        </w:tc>
      </w:tr>
      <w:tr>
        <w:trPr>
          <w:trHeight w:val="390"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1036"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130,239,046.55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4.43%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138,135,577.17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4.75%</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-5.72%</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6）报告期内合并范围是否发生变动" w:id="34"/>
      <w:bookmarkEnd w:id="34"/>
      <w:r>
        <w:rPr>
          <w:b w:val="0"/>
          <w:bCs w:val="0"/>
        </w:rPr>
      </w:r>
      <w:r>
        <w:rPr>
          <w:spacing w:val="5"/>
        </w:rPr>
        <w:t>（</w:t>
      </w:r>
      <w:r>
        <w:rPr>
          <w:rFonts w:ascii="Times New Roman" w:hAnsi="Times New Roman" w:cs="Times New Roman" w:eastAsia="Times New Roman" w:hint="default"/>
          <w:spacing w:val="5"/>
        </w:rPr>
        <w:t>6</w:t>
      </w:r>
      <w:r>
        <w:rPr>
          <w:spacing w:val="5"/>
        </w:rPr>
        <w:t>）报告期内合并范围是否发生变动</w:t>
      </w:r>
      <w:r>
        <w:rPr>
          <w:b w:val="0"/>
          <w:bCs w:val="0"/>
          <w:spacing w:val="5"/>
        </w:rPr>
      </w:r>
    </w:p>
    <w:p>
      <w:pPr>
        <w:spacing w:line="240" w:lineRule="auto" w:before="11"/>
        <w:rPr>
          <w:rFonts w:ascii="宋体" w:hAnsi="宋体" w:cs="宋体" w:eastAsia="宋体" w:hint="default"/>
          <w:b/>
          <w:bCs/>
          <w:sz w:val="27"/>
          <w:szCs w:val="27"/>
        </w:rPr>
      </w:pPr>
    </w:p>
    <w:p>
      <w:pPr>
        <w:pStyle w:val="BodyText"/>
        <w:spacing w:line="319" w:lineRule="auto"/>
        <w:ind w:right="44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本报告期内，新增西安卓华联盛科技有限公司和武汉市卓翼智造科技有限公司。</w:t>
      </w:r>
    </w:p>
    <w:p>
      <w:pPr>
        <w:spacing w:line="240" w:lineRule="auto" w:before="10"/>
        <w:rPr>
          <w:rFonts w:ascii="宋体" w:hAnsi="宋体" w:cs="宋体" w:eastAsia="宋体" w:hint="default"/>
          <w:sz w:val="24"/>
          <w:szCs w:val="24"/>
        </w:rPr>
      </w:pPr>
    </w:p>
    <w:p>
      <w:pPr>
        <w:pStyle w:val="Heading5"/>
        <w:spacing w:line="240" w:lineRule="auto"/>
        <w:ind w:right="0"/>
        <w:jc w:val="left"/>
        <w:rPr>
          <w:b w:val="0"/>
          <w:bCs w:val="0"/>
        </w:rPr>
      </w:pPr>
      <w:bookmarkStart w:name="（7）公司报告期内业务、产品或服务发生重大变化或调整有关情况" w:id="35"/>
      <w:bookmarkEnd w:id="35"/>
      <w:r>
        <w:rPr>
          <w:b w:val="0"/>
          <w:bCs w:val="0"/>
        </w:rPr>
      </w:r>
      <w:r>
        <w:rPr>
          <w:spacing w:val="5"/>
        </w:rPr>
        <w:t>（</w:t>
      </w:r>
      <w:r>
        <w:rPr>
          <w:rFonts w:ascii="Times New Roman" w:hAnsi="Times New Roman" w:cs="Times New Roman" w:eastAsia="Times New Roman" w:hint="default"/>
          <w:spacing w:val="5"/>
        </w:rPr>
        <w:t>7</w:t>
      </w:r>
      <w:r>
        <w:rPr>
          <w:spacing w:val="5"/>
        </w:rPr>
        <w:t>）公司报告期内业务、产品或服务发生重大变化或调整有关情况</w:t>
      </w:r>
      <w:r>
        <w:rPr>
          <w:b w:val="0"/>
          <w:bCs w:val="0"/>
          <w:spacing w:val="5"/>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8）主要销售客户和主要供应商情况" w:id="36"/>
      <w:bookmarkEnd w:id="36"/>
      <w:r>
        <w:rPr>
          <w:b w:val="0"/>
          <w:bCs w:val="0"/>
        </w:rPr>
      </w:r>
      <w:r>
        <w:rPr>
          <w:spacing w:val="5"/>
        </w:rPr>
        <w:t>（</w:t>
      </w:r>
      <w:r>
        <w:rPr>
          <w:rFonts w:ascii="Times New Roman" w:hAnsi="Times New Roman" w:cs="Times New Roman" w:eastAsia="Times New Roman" w:hint="default"/>
          <w:spacing w:val="5"/>
        </w:rPr>
        <w:t>8</w:t>
      </w:r>
      <w:r>
        <w:rPr>
          <w:spacing w:val="5"/>
        </w:rPr>
        <w:t>）主要销售客户和主要供应商情况</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2,294,347,670.58</w:t>
            </w:r>
          </w:p>
        </w:tc>
      </w:tr>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68.60%</w:t>
            </w:r>
            <w:r>
              <w:rPr>
                <w:rFonts w:ascii="Times New Roman"/>
                <w:sz w:val="18"/>
              </w:rPr>
            </w:r>
          </w:p>
        </w:tc>
      </w:tr>
      <w:tr>
        <w:trPr>
          <w:trHeight w:val="7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85"/>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9"/>
        <w:ind w:right="0"/>
        <w:jc w:val="left"/>
      </w:pPr>
      <w:r>
        <w:rPr/>
        <w:t>公司前</w:t>
      </w:r>
      <w:r>
        <w:rPr>
          <w:spacing w:val="-45"/>
        </w:rPr>
        <w:t> </w:t>
      </w:r>
      <w:r>
        <w:rPr>
          <w:rFonts w:ascii="Times New Roman" w:hAnsi="Times New Roman" w:cs="Times New Roman" w:eastAsia="Times New Roman" w:hint="default"/>
        </w:rPr>
        <w:t>5 </w:t>
      </w:r>
      <w:r>
        <w:rPr/>
        <w:t>大客户资料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781"/>
        <w:gridCol w:w="3327"/>
        <w:gridCol w:w="2313"/>
        <w:gridCol w:w="3154"/>
      </w:tblGrid>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0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1</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620,918,196.89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18.56%</w:t>
            </w:r>
            <w:r>
              <w:rPr>
                <w:rFonts w:ascii="Times New Roman"/>
                <w:sz w:val="18"/>
              </w:rPr>
            </w:r>
          </w:p>
        </w:tc>
      </w:tr>
      <w:tr>
        <w:trPr>
          <w:trHeight w:val="391"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2</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520,316,791.47</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15.56%</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3</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462,265,216.86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13.82%</w:t>
            </w:r>
            <w:r>
              <w:rPr>
                <w:rFonts w:ascii="Times New Roman"/>
                <w:sz w:val="18"/>
              </w:rPr>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365,192,917.36</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10.92%</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325,654,548.00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9.74%</w:t>
            </w:r>
            <w:r>
              <w:rPr>
                <w:rFonts w:ascii="Times New Roman"/>
                <w:sz w:val="18"/>
              </w:rPr>
            </w:r>
          </w:p>
        </w:tc>
      </w:tr>
      <w:tr>
        <w:trPr>
          <w:trHeight w:val="391"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2,294,347,670.58</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68.60%</w:t>
            </w:r>
            <w:r>
              <w:rPr>
                <w:rFonts w:ascii="Times New Roman"/>
                <w:sz w:val="18"/>
              </w:rPr>
            </w:r>
          </w:p>
        </w:tc>
      </w:tr>
    </w:tbl>
    <w:p>
      <w:pPr>
        <w:pStyle w:val="BodyText"/>
        <w:spacing w:line="240" w:lineRule="auto" w:before="44"/>
        <w:ind w:right="0"/>
        <w:jc w:val="left"/>
      </w:pPr>
      <w:r>
        <w:rPr/>
        <w:t>主要客户其他情况说明</w:t>
      </w:r>
    </w:p>
    <w:p>
      <w:pPr>
        <w:pStyle w:val="BodyText"/>
        <w:spacing w:line="331"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公司主要供应商情况</w:t>
      </w:r>
    </w:p>
    <w:p>
      <w:pPr>
        <w:spacing w:line="240" w:lineRule="auto" w:before="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522,792,722.77</w:t>
            </w:r>
          </w:p>
        </w:tc>
      </w:tr>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29.88%</w:t>
            </w:r>
            <w:r>
              <w:rPr>
                <w:rFonts w:ascii="Times New Roman"/>
                <w:sz w:val="18"/>
              </w:rPr>
            </w:r>
          </w:p>
        </w:tc>
      </w:tr>
      <w:tr>
        <w:trPr>
          <w:trHeight w:val="7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85"/>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0"/>
        <w:ind w:right="0"/>
        <w:jc w:val="left"/>
      </w:pPr>
      <w:r>
        <w:rPr/>
        <w:t>公司前</w:t>
      </w:r>
      <w:r>
        <w:rPr>
          <w:spacing w:val="-45"/>
        </w:rPr>
        <w:t> </w:t>
      </w:r>
      <w:r>
        <w:rPr>
          <w:rFonts w:ascii="Times New Roman" w:hAnsi="Times New Roman" w:cs="Times New Roman" w:eastAsia="Times New Roman" w:hint="default"/>
        </w:rPr>
        <w:t>5 </w:t>
      </w:r>
      <w:r>
        <w:rPr/>
        <w:t>名供应商资料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916"/>
        <w:gridCol w:w="3192"/>
        <w:gridCol w:w="2313"/>
        <w:gridCol w:w="3154"/>
      </w:tblGrid>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1</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234,459,411.21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13.40%</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2</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128,328,835.44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7.34%</w:t>
            </w:r>
            <w:r>
              <w:rPr>
                <w:rFonts w:ascii="Times New Roman"/>
                <w:sz w:val="18"/>
              </w:rPr>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3</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78,390,698.59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4.48%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916"/>
        <w:gridCol w:w="3192"/>
        <w:gridCol w:w="2313"/>
        <w:gridCol w:w="3154"/>
      </w:tblGrid>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43,076,840.74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2.46%</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5</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38,536,936.79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2.20%</w:t>
            </w:r>
            <w:r>
              <w:rPr>
                <w:rFonts w:ascii="Times New Roman"/>
                <w:sz w:val="18"/>
              </w:rPr>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522,792,722.77</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29.88%</w:t>
            </w:r>
            <w:r>
              <w:rPr>
                <w:rFonts w:ascii="Times New Roman"/>
                <w:sz w:val="18"/>
              </w:rPr>
            </w:r>
          </w:p>
        </w:tc>
      </w:tr>
    </w:tbl>
    <w:p>
      <w:pPr>
        <w:pStyle w:val="BodyText"/>
        <w:spacing w:line="240" w:lineRule="auto" w:before="44"/>
        <w:ind w:right="0"/>
        <w:jc w:val="left"/>
      </w:pPr>
      <w:r>
        <w:rPr/>
        <w:t>主要供应商其他情况说明</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3、费用" w:id="37"/>
      <w:bookmarkEnd w:id="37"/>
      <w:r>
        <w:rPr>
          <w:b w:val="0"/>
          <w:bCs w:val="0"/>
        </w:rPr>
      </w:r>
      <w:r>
        <w:rPr>
          <w:rFonts w:ascii="Times New Roman" w:hAnsi="Times New Roman" w:cs="Times New Roman" w:eastAsia="Times New Roman" w:hint="default"/>
          <w:spacing w:val="5"/>
        </w:rPr>
        <w:t>3</w:t>
      </w:r>
      <w:r>
        <w:rPr>
          <w:spacing w:val="5"/>
        </w:rPr>
        <w:t>、费用</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637"/>
        <w:gridCol w:w="1637"/>
        <w:gridCol w:w="1457"/>
        <w:gridCol w:w="2929"/>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8" w:hRule="exact"/>
        </w:trPr>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37" w:type="dxa"/>
            <w:vMerge w:val="restart"/>
            <w:tcBorders>
              <w:top w:val="single" w:sz="6" w:space="0" w:color="000000"/>
              <w:left w:val="single" w:sz="12"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48" w:right="0"/>
              <w:jc w:val="left"/>
              <w:rPr>
                <w:rFonts w:ascii="Times New Roman" w:hAnsi="Times New Roman" w:cs="Times New Roman" w:eastAsia="Times New Roman" w:hint="default"/>
                <w:sz w:val="18"/>
                <w:szCs w:val="18"/>
              </w:rPr>
            </w:pPr>
            <w:r>
              <w:rPr>
                <w:rFonts w:ascii="Times New Roman"/>
                <w:sz w:val="18"/>
              </w:rPr>
              <w:t>33,524,551.00</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42,564,558.85</w:t>
            </w:r>
          </w:p>
        </w:tc>
        <w:tc>
          <w:tcPr>
            <w:tcW w:w="145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11" w:right="0"/>
              <w:jc w:val="left"/>
              <w:rPr>
                <w:rFonts w:ascii="Times New Roman" w:hAnsi="Times New Roman" w:cs="Times New Roman" w:eastAsia="Times New Roman" w:hint="default"/>
                <w:sz w:val="18"/>
                <w:szCs w:val="18"/>
              </w:rPr>
            </w:pPr>
            <w:r>
              <w:rPr>
                <w:rFonts w:ascii="Times New Roman"/>
                <w:sz w:val="18"/>
              </w:rPr>
              <w:t>-21.24%</w:t>
            </w:r>
          </w:p>
        </w:tc>
        <w:tc>
          <w:tcPr>
            <w:tcW w:w="2929" w:type="dxa"/>
            <w:vMerge w:val="restart"/>
            <w:tcBorders>
              <w:top w:val="single" w:sz="6" w:space="0" w:color="000000"/>
              <w:left w:val="single" w:sz="6" w:space="0" w:color="000000"/>
              <w:right w:val="single" w:sz="6" w:space="0" w:color="000000"/>
            </w:tcBorders>
          </w:tcPr>
          <w:p>
            <w:pPr>
              <w:pStyle w:val="TableParagraph"/>
              <w:spacing w:line="307" w:lineRule="auto" w:before="44"/>
              <w:ind w:left="30" w:right="181"/>
              <w:jc w:val="left"/>
              <w:rPr>
                <w:rFonts w:ascii="宋体" w:hAnsi="宋体" w:cs="宋体" w:eastAsia="宋体" w:hint="default"/>
                <w:sz w:val="18"/>
                <w:szCs w:val="18"/>
              </w:rPr>
            </w:pPr>
            <w:r>
              <w:rPr>
                <w:rFonts w:ascii="宋体" w:hAnsi="宋体" w:cs="宋体" w:eastAsia="宋体" w:hint="default"/>
                <w:sz w:val="18"/>
                <w:szCs w:val="18"/>
              </w:rPr>
              <w:t>主要系组织架构调整引起的职工薪 酬、折旧费用减少所致。</w:t>
            </w:r>
          </w:p>
        </w:tc>
      </w:tr>
      <w:tr>
        <w:trPr>
          <w:trHeight w:val="391" w:hRule="exact"/>
        </w:trPr>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2" w:space="0" w:color="D2D2D2"/>
              <w:right w:val="single" w:sz="6" w:space="0" w:color="000000"/>
            </w:tcBorders>
          </w:tcPr>
          <w:p>
            <w:pPr/>
          </w:p>
        </w:tc>
        <w:tc>
          <w:tcPr>
            <w:tcW w:w="1637"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2929" w:type="dxa"/>
            <w:vMerge/>
            <w:tcBorders>
              <w:left w:val="single" w:sz="6" w:space="0" w:color="000000"/>
              <w:right w:val="single" w:sz="6" w:space="0" w:color="000000"/>
            </w:tcBorders>
          </w:tcPr>
          <w:p>
            <w:pPr/>
          </w:p>
        </w:tc>
      </w:tr>
      <w:tr>
        <w:trPr>
          <w:trHeight w:val="173" w:hRule="exact"/>
        </w:trPr>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c>
          <w:tcPr>
            <w:tcW w:w="1637" w:type="dxa"/>
            <w:vMerge/>
            <w:tcBorders>
              <w:left w:val="single" w:sz="12" w:space="0" w:color="D2D2D2"/>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457" w:type="dxa"/>
            <w:vMerge/>
            <w:tcBorders>
              <w:left w:val="single" w:sz="6" w:space="0" w:color="000000"/>
              <w:bottom w:val="single" w:sz="6" w:space="0" w:color="000000"/>
              <w:right w:val="single" w:sz="6" w:space="0" w:color="000000"/>
            </w:tcBorders>
          </w:tcPr>
          <w:p>
            <w:pPr/>
          </w:p>
        </w:tc>
        <w:tc>
          <w:tcPr>
            <w:tcW w:w="2929" w:type="dxa"/>
            <w:vMerge/>
            <w:tcBorders>
              <w:left w:val="single" w:sz="6" w:space="0" w:color="000000"/>
              <w:bottom w:val="single" w:sz="6" w:space="0" w:color="000000"/>
              <w:right w:val="single" w:sz="6" w:space="0" w:color="000000"/>
            </w:tcBorders>
          </w:tcPr>
          <w:p>
            <w:pP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155,490,315.39</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65" w:right="0"/>
              <w:jc w:val="left"/>
              <w:rPr>
                <w:rFonts w:ascii="Times New Roman" w:hAnsi="Times New Roman" w:cs="Times New Roman" w:eastAsia="Times New Roman" w:hint="default"/>
                <w:sz w:val="18"/>
                <w:szCs w:val="18"/>
              </w:rPr>
            </w:pPr>
            <w:r>
              <w:rPr>
                <w:rFonts w:ascii="Times New Roman"/>
                <w:sz w:val="18"/>
              </w:rPr>
              <w:t>161,399,861.30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-3.66%</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26,159,478.00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55" w:right="0"/>
              <w:jc w:val="left"/>
              <w:rPr>
                <w:rFonts w:ascii="Times New Roman" w:hAnsi="Times New Roman" w:cs="Times New Roman" w:eastAsia="Times New Roman" w:hint="default"/>
                <w:sz w:val="18"/>
                <w:szCs w:val="18"/>
              </w:rPr>
            </w:pPr>
            <w:r>
              <w:rPr>
                <w:rFonts w:ascii="Times New Roman"/>
                <w:sz w:val="18"/>
              </w:rPr>
              <w:t>29,921,500.20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-12.57%</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主要系本期借款利息减少所致。</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142,945,455.03</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65" w:right="0"/>
              <w:jc w:val="left"/>
              <w:rPr>
                <w:rFonts w:ascii="Times New Roman" w:hAnsi="Times New Roman" w:cs="Times New Roman" w:eastAsia="Times New Roman" w:hint="default"/>
                <w:sz w:val="18"/>
                <w:szCs w:val="18"/>
              </w:rPr>
            </w:pPr>
            <w:r>
              <w:rPr>
                <w:rFonts w:ascii="Times New Roman"/>
                <w:sz w:val="18"/>
              </w:rPr>
              <w:t>105,363,180.20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35.67%</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主要系本期加大研发投入所致。</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4、研发投入" w:id="38"/>
      <w:bookmarkEnd w:id="38"/>
      <w:r>
        <w:rPr>
          <w:b w:val="0"/>
          <w:bCs w:val="0"/>
        </w:rPr>
      </w:r>
      <w:r>
        <w:rPr>
          <w:rFonts w:ascii="Times New Roman" w:hAnsi="Times New Roman" w:cs="Times New Roman" w:eastAsia="Times New Roman" w:hint="default"/>
          <w:spacing w:val="5"/>
        </w:rPr>
        <w:t>4</w:t>
      </w:r>
      <w:r>
        <w:rPr>
          <w:spacing w:val="5"/>
        </w:rPr>
        <w:t>、研发投入</w:t>
      </w:r>
      <w:r>
        <w:rPr>
          <w:b w:val="0"/>
          <w:bCs w:val="0"/>
          <w:spacing w:val="5"/>
        </w:rPr>
      </w:r>
    </w:p>
    <w:p>
      <w:pPr>
        <w:spacing w:line="240" w:lineRule="auto" w:before="11"/>
        <w:rPr>
          <w:rFonts w:ascii="宋体" w:hAnsi="宋体" w:cs="宋体" w:eastAsia="宋体" w:hint="default"/>
          <w:b/>
          <w:bCs/>
          <w:sz w:val="27"/>
          <w:szCs w:val="27"/>
        </w:rPr>
      </w:pPr>
    </w:p>
    <w:p>
      <w:pPr>
        <w:pStyle w:val="BodyText"/>
        <w:spacing w:line="405" w:lineRule="auto"/>
        <w:ind w:left="501" w:right="111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宋体" w:hAnsi="宋体" w:cs="宋体" w:eastAsia="宋体" w:hint="default"/>
        </w:rPr>
        <w:t>1</w:t>
      </w:r>
      <w:r>
        <w:rPr/>
        <w:t>、“全自动扣屏蔽盖一体机的视觉定位技术与嵌入关键技术的研究”项目开发目标：屏蔽盖主要应用于电子制造行业</w:t>
      </w:r>
    </w:p>
    <w:p>
      <w:pPr>
        <w:pStyle w:val="BodyText"/>
        <w:spacing w:line="477" w:lineRule="auto" w:before="106"/>
        <w:ind w:right="1038"/>
        <w:jc w:val="left"/>
      </w:pPr>
      <w:r>
        <w:rPr>
          <w:rFonts w:ascii="宋体" w:hAnsi="宋体" w:cs="宋体" w:eastAsia="宋体" w:hint="default"/>
          <w:spacing w:val="-2"/>
        </w:rPr>
        <w:t>PCBA</w:t>
      </w:r>
      <w:r>
        <w:rPr>
          <w:spacing w:val="-2"/>
        </w:rPr>
        <w:t>主板的一种辅料，</w:t>
      </w:r>
      <w:r>
        <w:rPr>
          <w:rFonts w:ascii="宋体" w:hAnsi="宋体" w:cs="宋体" w:eastAsia="宋体" w:hint="default"/>
          <w:spacing w:val="-2"/>
        </w:rPr>
        <w:t>PCBA</w:t>
      </w:r>
      <w:r>
        <w:rPr>
          <w:spacing w:val="-2"/>
        </w:rPr>
        <w:t>板上的电子元件容易受到电磁干扰而影响正常性能，为了使</w:t>
      </w:r>
      <w:r>
        <w:rPr>
          <w:rFonts w:ascii="宋体" w:hAnsi="宋体" w:cs="宋体" w:eastAsia="宋体" w:hint="default"/>
          <w:spacing w:val="-2"/>
        </w:rPr>
        <w:t>PCBA</w:t>
      </w:r>
      <w:r>
        <w:rPr>
          <w:spacing w:val="-2"/>
        </w:rPr>
        <w:t>板综合性能稳定而加设屏蔽盖以</w:t>
      </w:r>
      <w:r>
        <w:rPr>
          <w:spacing w:val="-53"/>
        </w:rPr>
        <w:t> </w:t>
      </w:r>
      <w:r>
        <w:rPr>
          <w:spacing w:val="-3"/>
        </w:rPr>
        <w:t>实现电磁屏蔽，因而屏蔽盖被众多现代智能电子产品</w:t>
      </w:r>
      <w:r>
        <w:rPr>
          <w:rFonts w:ascii="宋体" w:hAnsi="宋体" w:cs="宋体" w:eastAsia="宋体" w:hint="default"/>
          <w:spacing w:val="-3"/>
        </w:rPr>
        <w:t>PCBA</w:t>
      </w:r>
      <w:r>
        <w:rPr>
          <w:spacing w:val="-3"/>
        </w:rPr>
        <w:t>板研发设计人员广泛运用。传统</w:t>
      </w:r>
      <w:r>
        <w:rPr>
          <w:rFonts w:ascii="宋体" w:hAnsi="宋体" w:cs="宋体" w:eastAsia="宋体" w:hint="default"/>
          <w:spacing w:val="-3"/>
        </w:rPr>
        <w:t>PCBA</w:t>
      </w:r>
      <w:r>
        <w:rPr>
          <w:spacing w:val="-3"/>
        </w:rPr>
        <w:t>板采用人工线外加工扣屏蔽盖，</w:t>
      </w:r>
      <w:r>
        <w:rPr>
          <w:spacing w:val="-85"/>
        </w:rPr>
        <w:t> </w:t>
      </w:r>
      <w:r>
        <w:rPr/>
        <w:t>人力</w:t>
      </w:r>
      <w:r>
        <w:rPr>
          <w:rFonts w:ascii="宋体" w:hAnsi="宋体" w:cs="宋体" w:eastAsia="宋体" w:hint="default"/>
        </w:rPr>
        <w:t>5-6</w:t>
      </w:r>
      <w:r>
        <w:rPr/>
        <w:t>人，且效率低，劳动强度大，而导入全自动扣屏蔽盖一体机：屏蔽盖自动上料→自动扣屏蔽盖→自动收板，最大限</w:t>
      </w:r>
      <w:r>
        <w:rPr>
          <w:spacing w:val="-81"/>
        </w:rPr>
        <w:t> </w:t>
      </w:r>
      <w:r>
        <w:rPr>
          <w:spacing w:val="-81"/>
        </w:rPr>
      </w:r>
      <w:r>
        <w:rPr>
          <w:spacing w:val="-2"/>
        </w:rPr>
        <w:t>度减轻损耗，缩短生产周期，解放劳动力，提高生产效率及质量的一个流生产模式便成了大势所趋，众多自动化研发公司竞</w:t>
      </w:r>
      <w:r>
        <w:rPr>
          <w:spacing w:val="-42"/>
        </w:rPr>
        <w:t> </w:t>
      </w:r>
      <w:r>
        <w:rPr>
          <w:spacing w:val="-42"/>
        </w:rPr>
      </w:r>
      <w:r>
        <w:rPr/>
        <w:t>相效尤。为了提高卓翼自动化业内竞争力及影响力，满足客户及市场需求，特立此项研发。目前该项目研发已完成。</w:t>
      </w:r>
    </w:p>
    <w:p>
      <w:pPr>
        <w:pStyle w:val="BodyText"/>
        <w:spacing w:line="480" w:lineRule="auto" w:before="52"/>
        <w:ind w:right="1014" w:firstLine="360"/>
        <w:jc w:val="left"/>
      </w:pPr>
      <w:r>
        <w:rPr>
          <w:rFonts w:ascii="宋体" w:hAnsi="宋体" w:cs="宋体" w:eastAsia="宋体" w:hint="default"/>
        </w:rPr>
        <w:t>2</w:t>
      </w:r>
      <w:r>
        <w:rPr/>
        <w:t>、“双位双</w:t>
      </w:r>
      <w:r>
        <w:rPr>
          <w:rFonts w:ascii="宋体" w:hAnsi="宋体" w:cs="宋体" w:eastAsia="宋体" w:hint="default"/>
        </w:rPr>
        <w:t>Y</w:t>
      </w:r>
      <w:r>
        <w:rPr/>
        <w:t>高速分板机的关键技术研究”项目开发目标：双位双</w:t>
      </w:r>
      <w:r>
        <w:rPr>
          <w:rFonts w:ascii="宋体" w:hAnsi="宋体" w:cs="宋体" w:eastAsia="宋体" w:hint="default"/>
        </w:rPr>
        <w:t>Y</w:t>
      </w:r>
      <w:r>
        <w:rPr/>
        <w:t>高速分板机主要是将电子制造行业各种一托多拼板 </w:t>
      </w:r>
      <w:r>
        <w:rPr>
          <w:spacing w:val="-2"/>
        </w:rPr>
        <w:t>方式的整张</w:t>
      </w:r>
      <w:r>
        <w:rPr>
          <w:rFonts w:ascii="宋体" w:hAnsi="宋体" w:cs="宋体" w:eastAsia="宋体" w:hint="default"/>
          <w:spacing w:val="-2"/>
        </w:rPr>
        <w:t>PCBA</w:t>
      </w:r>
      <w:r>
        <w:rPr>
          <w:spacing w:val="-2"/>
        </w:rPr>
        <w:t>板分割成单独</w:t>
      </w:r>
      <w:r>
        <w:rPr>
          <w:rFonts w:ascii="宋体" w:hAnsi="宋体" w:cs="宋体" w:eastAsia="宋体" w:hint="default"/>
          <w:spacing w:val="-2"/>
        </w:rPr>
        <w:t>PCBA</w:t>
      </w:r>
      <w:r>
        <w:rPr>
          <w:spacing w:val="-2"/>
        </w:rPr>
        <w:t>板以用于单个产品组装。传统分板机耗用人力且效率低，而双位双</w:t>
      </w:r>
      <w:r>
        <w:rPr>
          <w:rFonts w:ascii="宋体" w:hAnsi="宋体" w:cs="宋体" w:eastAsia="宋体" w:hint="default"/>
          <w:spacing w:val="-2"/>
        </w:rPr>
        <w:t>Y</w:t>
      </w:r>
      <w:r>
        <w:rPr>
          <w:spacing w:val="-2"/>
        </w:rPr>
        <w:t>高速分板机设计先进，</w:t>
      </w:r>
      <w:r>
        <w:rPr>
          <w:spacing w:val="-57"/>
        </w:rPr>
        <w:t> </w:t>
      </w:r>
      <w:r>
        <w:rPr>
          <w:spacing w:val="-2"/>
        </w:rPr>
        <w:t>结构合理，性能可靠：（</w:t>
      </w:r>
      <w:r>
        <w:rPr>
          <w:rFonts w:ascii="宋体" w:hAnsi="宋体" w:cs="宋体" w:eastAsia="宋体" w:hint="default"/>
          <w:spacing w:val="-2"/>
        </w:rPr>
        <w:t>1</w:t>
      </w:r>
      <w:r>
        <w:rPr>
          <w:spacing w:val="-2"/>
        </w:rPr>
        <w:t>）采用精密伺服电机驱动及先进算法，双</w:t>
      </w:r>
      <w:r>
        <w:rPr>
          <w:rFonts w:ascii="宋体" w:hAnsi="宋体" w:cs="宋体" w:eastAsia="宋体" w:hint="default"/>
          <w:spacing w:val="-2"/>
        </w:rPr>
        <w:t>Table</w:t>
      </w:r>
      <w:r>
        <w:rPr>
          <w:spacing w:val="-2"/>
        </w:rPr>
        <w:t>位双</w:t>
      </w:r>
      <w:r>
        <w:rPr>
          <w:rFonts w:ascii="宋体" w:hAnsi="宋体" w:cs="宋体" w:eastAsia="宋体" w:hint="default"/>
          <w:spacing w:val="-2"/>
        </w:rPr>
        <w:t>Y</w:t>
      </w:r>
      <w:r>
        <w:rPr>
          <w:spacing w:val="-2"/>
        </w:rPr>
        <w:t>，定位精度和重复精度高；（</w:t>
      </w:r>
      <w:r>
        <w:rPr>
          <w:rFonts w:ascii="宋体" w:hAnsi="宋体" w:cs="宋体" w:eastAsia="宋体" w:hint="default"/>
          <w:spacing w:val="-2"/>
        </w:rPr>
        <w:t>2</w:t>
      </w:r>
      <w:r>
        <w:rPr>
          <w:spacing w:val="-2"/>
        </w:rPr>
        <w:t>）精湛的视觉</w:t>
      </w:r>
      <w:r>
        <w:rPr>
          <w:spacing w:val="-59"/>
        </w:rPr>
        <w:t> </w:t>
      </w:r>
      <w:r>
        <w:rPr>
          <w:spacing w:val="-59"/>
        </w:rPr>
      </w:r>
      <w:r>
        <w:rPr>
          <w:spacing w:val="-2"/>
        </w:rPr>
        <w:t>系统，支持机器校正补偿和定位的全部功能，拥有高稳定性和抗干扰能力；（</w:t>
      </w:r>
      <w:r>
        <w:rPr>
          <w:rFonts w:ascii="宋体" w:hAnsi="宋体" w:cs="宋体" w:eastAsia="宋体" w:hint="default"/>
          <w:spacing w:val="-2"/>
        </w:rPr>
        <w:t>3</w:t>
      </w:r>
      <w:r>
        <w:rPr>
          <w:spacing w:val="-2"/>
        </w:rPr>
        <w:t>）自带接驳功能，</w:t>
      </w:r>
      <w:r>
        <w:rPr>
          <w:rFonts w:ascii="宋体" w:hAnsi="宋体" w:cs="宋体" w:eastAsia="宋体" w:hint="default"/>
          <w:spacing w:val="-2"/>
        </w:rPr>
        <w:t>PCBA</w:t>
      </w:r>
      <w:r>
        <w:rPr>
          <w:spacing w:val="-2"/>
        </w:rPr>
        <w:t>自动送板</w:t>
      </w:r>
      <w:r>
        <w:rPr>
          <w:rFonts w:ascii="宋体" w:hAnsi="宋体" w:cs="宋体" w:eastAsia="宋体" w:hint="default"/>
          <w:spacing w:val="-2"/>
        </w:rPr>
        <w:t>/</w:t>
      </w:r>
      <w:r>
        <w:rPr>
          <w:spacing w:val="-2"/>
        </w:rPr>
        <w:t>收板，可连</w:t>
      </w:r>
      <w:r>
        <w:rPr>
          <w:spacing w:val="-58"/>
        </w:rPr>
        <w:t> </w:t>
      </w:r>
      <w:r>
        <w:rPr>
          <w:spacing w:val="-58"/>
        </w:rPr>
      </w:r>
      <w:r>
        <w:rPr>
          <w:spacing w:val="-2"/>
        </w:rPr>
        <w:t>线生产，易维护高寿命；（</w:t>
      </w:r>
      <w:r>
        <w:rPr>
          <w:rFonts w:ascii="宋体" w:hAnsi="宋体" w:cs="宋体" w:eastAsia="宋体" w:hint="default"/>
          <w:spacing w:val="-2"/>
        </w:rPr>
        <w:t>4</w:t>
      </w:r>
      <w:r>
        <w:rPr>
          <w:spacing w:val="-2"/>
        </w:rPr>
        <w:t>）集尘机与机台一体化，全自动脉冲除尘；（</w:t>
      </w:r>
      <w:r>
        <w:rPr>
          <w:rFonts w:ascii="宋体" w:hAnsi="宋体" w:cs="宋体" w:eastAsia="宋体" w:hint="default"/>
          <w:spacing w:val="-2"/>
        </w:rPr>
        <w:t>5</w:t>
      </w:r>
      <w:r>
        <w:rPr>
          <w:spacing w:val="-2"/>
        </w:rPr>
        <w:t>）断刀自动监测，刀具磨损自动补偿等功能。最</w:t>
      </w:r>
      <w:r>
        <w:rPr>
          <w:spacing w:val="-69"/>
        </w:rPr>
        <w:t> </w:t>
      </w:r>
      <w:r>
        <w:rPr>
          <w:spacing w:val="-69"/>
        </w:rPr>
      </w:r>
      <w:r>
        <w:rPr>
          <w:spacing w:val="-3"/>
        </w:rPr>
        <w:t>大限度减轻损耗，缩短生产周期，解放劳动力，大大提高生产效率和分板质量。为了提高卓翼自动化竞争力，满足市场需求，</w:t>
      </w:r>
      <w:r>
        <w:rPr>
          <w:spacing w:val="-80"/>
        </w:rPr>
        <w:t> </w:t>
      </w:r>
      <w:r>
        <w:rPr>
          <w:spacing w:val="-80"/>
        </w:rPr>
      </w:r>
      <w:r>
        <w:rPr/>
        <w:t>特立此项研发。目前该项目研发已完成。</w:t>
      </w:r>
    </w:p>
    <w:p>
      <w:pPr>
        <w:pStyle w:val="BodyText"/>
        <w:spacing w:line="475" w:lineRule="auto" w:before="50"/>
        <w:ind w:right="1119" w:firstLine="360"/>
        <w:jc w:val="left"/>
      </w:pPr>
      <w:r>
        <w:rPr>
          <w:rFonts w:ascii="宋体" w:hAnsi="宋体" w:cs="宋体" w:eastAsia="宋体" w:hint="default"/>
        </w:rPr>
        <w:t>3</w:t>
      </w:r>
      <w:r>
        <w:rPr/>
        <w:t>、“手机包装线全自动无人包装机操作工艺流程技术分析与嵌入关键技术的研究”项目开发目标：手机包装线全自动 </w:t>
      </w:r>
      <w:r>
        <w:rPr>
          <w:spacing w:val="-2"/>
        </w:rPr>
        <w:t>无人包装机操作工艺流程技术分析与嵌入关键技术的研究是按手机包装的工艺过程，将各自动包装机和有关辅助设备用输送</w:t>
      </w:r>
    </w:p>
    <w:p>
      <w:pPr>
        <w:spacing w:after="0" w:line="475"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80" w:lineRule="auto"/>
        <w:ind w:right="1106"/>
        <w:jc w:val="both"/>
      </w:pPr>
      <w:r>
        <w:rPr>
          <w:spacing w:val="-2"/>
        </w:rPr>
        <w:t>装置连接起来，并具有独立控制装置的工作系统。现今人们生活水平不断提高，对产品外观的审美要求也不断提升。因包装</w:t>
      </w:r>
      <w:r>
        <w:rPr>
          <w:spacing w:val="-42"/>
        </w:rPr>
        <w:t> </w:t>
      </w:r>
      <w:r>
        <w:rPr>
          <w:spacing w:val="-42"/>
        </w:rPr>
      </w:r>
      <w:r>
        <w:rPr>
          <w:spacing w:val="-2"/>
        </w:rPr>
        <w:t>工艺繁琐，人工包装速度慢，质量得不到保证，而自动包装线不需要人工直接参与操作，使用方便，一次完成多道工序，改</w:t>
      </w:r>
      <w:r>
        <w:rPr>
          <w:spacing w:val="-72"/>
        </w:rPr>
        <w:t> </w:t>
      </w:r>
      <w:r>
        <w:rPr>
          <w:spacing w:val="-72"/>
        </w:rPr>
      </w:r>
      <w:r>
        <w:rPr>
          <w:spacing w:val="-2"/>
        </w:rPr>
        <w:t>善劳动条件，提高生产效率和包装质量，降低成本。为了扩展卓翼自动化市场，提高竞争力，特立此项研发。目前该项目研</w:t>
      </w:r>
      <w:r>
        <w:rPr>
          <w:spacing w:val="-67"/>
        </w:rPr>
        <w:t> </w:t>
      </w:r>
      <w:r>
        <w:rPr>
          <w:spacing w:val="-67"/>
        </w:rPr>
      </w:r>
      <w:r>
        <w:rPr/>
        <w:t>发已完成。</w:t>
      </w:r>
    </w:p>
    <w:p>
      <w:pPr>
        <w:pStyle w:val="BodyText"/>
        <w:spacing w:line="475" w:lineRule="auto" w:before="49"/>
        <w:ind w:right="1126" w:firstLine="360"/>
        <w:jc w:val="both"/>
        <w:rPr>
          <w:rFonts w:ascii="宋体" w:hAnsi="宋体" w:cs="宋体" w:eastAsia="宋体" w:hint="default"/>
        </w:rPr>
      </w:pPr>
      <w:r>
        <w:rPr>
          <w:rFonts w:ascii="宋体" w:hAnsi="宋体" w:cs="宋体" w:eastAsia="宋体" w:hint="default"/>
        </w:rPr>
        <w:t>4</w:t>
      </w:r>
      <w:r>
        <w:rPr/>
        <w:t>、“全自动贴</w:t>
      </w:r>
      <w:r>
        <w:rPr>
          <w:rFonts w:ascii="宋体" w:hAnsi="宋体" w:cs="宋体" w:eastAsia="宋体" w:hint="default"/>
        </w:rPr>
        <w:t>Mylar</w:t>
      </w:r>
      <w:r>
        <w:rPr/>
        <w:t>标签机的关键技术研发”项目开发目标：</w:t>
      </w:r>
      <w:r>
        <w:rPr>
          <w:rFonts w:ascii="宋体" w:hAnsi="宋体" w:cs="宋体" w:eastAsia="宋体" w:hint="default"/>
        </w:rPr>
        <w:t>Mylar</w:t>
      </w:r>
      <w:r>
        <w:rPr/>
        <w:t>片主要应用于电子制造行业的一种辅料，已广泛用 </w:t>
      </w:r>
      <w:r>
        <w:rPr>
          <w:spacing w:val="-2"/>
        </w:rPr>
        <w:t>于电气绝缘行业，适用于电子、家用电器、仪表、显示器、电机槽缝、电脑及周边，起到设备的垫片、档片、屏幕及保护作</w:t>
      </w:r>
      <w:r>
        <w:rPr>
          <w:spacing w:val="-76"/>
        </w:rPr>
        <w:t> </w:t>
      </w:r>
      <w:r>
        <w:rPr>
          <w:spacing w:val="-76"/>
        </w:rPr>
      </w:r>
      <w:r>
        <w:rPr/>
        <w:t>用。传统人工线外加工贴</w:t>
      </w:r>
      <w:r>
        <w:rPr>
          <w:rFonts w:ascii="宋体" w:hAnsi="宋体" w:cs="宋体" w:eastAsia="宋体" w:hint="default"/>
        </w:rPr>
        <w:t>Mylar</w:t>
      </w:r>
      <w:r>
        <w:rPr/>
        <w:t>，人力</w:t>
      </w:r>
      <w:r>
        <w:rPr>
          <w:rFonts w:ascii="宋体" w:hAnsi="宋体" w:cs="宋体" w:eastAsia="宋体" w:hint="default"/>
        </w:rPr>
        <w:t>2-3</w:t>
      </w:r>
      <w:r>
        <w:rPr/>
        <w:t>人，且效率低，劳动强度大，而导入全自动贴</w:t>
      </w:r>
      <w:r>
        <w:rPr>
          <w:rFonts w:ascii="宋体" w:hAnsi="宋体" w:cs="宋体" w:eastAsia="宋体" w:hint="default"/>
        </w:rPr>
        <w:t>Mylar</w:t>
      </w:r>
      <w:r>
        <w:rPr/>
        <w:t>机：自动上料→自动贴</w:t>
      </w:r>
      <w:r>
        <w:rPr>
          <w:rFonts w:ascii="宋体" w:hAnsi="宋体" w:cs="宋体" w:eastAsia="宋体" w:hint="default"/>
        </w:rPr>
        <w:t>Mylar</w:t>
      </w:r>
    </w:p>
    <w:p>
      <w:pPr>
        <w:pStyle w:val="BodyText"/>
        <w:spacing w:line="482" w:lineRule="auto" w:before="53"/>
        <w:ind w:right="1106"/>
        <w:jc w:val="both"/>
      </w:pPr>
      <w:r>
        <w:rPr>
          <w:spacing w:val="-2"/>
        </w:rPr>
        <w:t>→自动收料，最大限度减轻损耗，缩短生产周期，解放劳动力，提高生产效率及质量的一个流生产模式便成了大势所趋，众</w:t>
      </w:r>
      <w:r>
        <w:rPr>
          <w:spacing w:val="-47"/>
        </w:rPr>
        <w:t> </w:t>
      </w:r>
      <w:r>
        <w:rPr>
          <w:spacing w:val="-47"/>
        </w:rPr>
      </w:r>
      <w:r>
        <w:rPr>
          <w:spacing w:val="-2"/>
        </w:rPr>
        <w:t>多自动化研发公司竞相效尤。为了提高卓翼自动化业内竞争力及影响力，满足客户及市场需求，特立此项研发。目前该项目</w:t>
      </w:r>
      <w:r>
        <w:rPr>
          <w:spacing w:val="-42"/>
        </w:rPr>
        <w:t> </w:t>
      </w:r>
      <w:r>
        <w:rPr>
          <w:spacing w:val="-42"/>
        </w:rPr>
      </w:r>
      <w:r>
        <w:rPr/>
        <w:t>研发已完成。</w:t>
      </w:r>
    </w:p>
    <w:p>
      <w:pPr>
        <w:pStyle w:val="BodyText"/>
        <w:spacing w:line="477" w:lineRule="auto" w:before="48"/>
        <w:ind w:right="1114" w:firstLine="360"/>
        <w:jc w:val="both"/>
      </w:pPr>
      <w:r>
        <w:rPr>
          <w:rFonts w:ascii="宋体" w:hAnsi="宋体" w:cs="宋体" w:eastAsia="宋体" w:hint="default"/>
        </w:rPr>
        <w:t>5</w:t>
      </w:r>
      <w:r>
        <w:rPr/>
        <w:t>、“激光平面度测量机刻度等离子与视觉定位技术的研发”项目开发目标：激光平面度测量设备主要是应用先进的光 路和激光联动技术，同时配备了高精度</w:t>
      </w:r>
      <w:r>
        <w:rPr>
          <w:rFonts w:ascii="宋体" w:hAnsi="宋体" w:cs="宋体" w:eastAsia="宋体" w:hint="default"/>
        </w:rPr>
        <w:t>CCD</w:t>
      </w:r>
      <w:r>
        <w:rPr/>
        <w:t>影像、刻度等离子技术和高精度的激光镭射探测系统，使影像光学光路和激光同</w:t>
      </w:r>
      <w:r>
        <w:rPr>
          <w:spacing w:val="-87"/>
        </w:rPr>
        <w:t> </w:t>
      </w:r>
      <w:r>
        <w:rPr>
          <w:spacing w:val="-2"/>
        </w:rPr>
        <w:t>轴，根据测量过程的要求，二套光路可实现自动切换，同时配置高速伺服马达系统，实现高速高质测量产品表面平面度、翘</w:t>
      </w:r>
      <w:r>
        <w:rPr>
          <w:spacing w:val="-57"/>
        </w:rPr>
        <w:t> </w:t>
      </w:r>
      <w:r>
        <w:rPr>
          <w:spacing w:val="-57"/>
        </w:rPr>
      </w:r>
      <w:r>
        <w:rPr>
          <w:spacing w:val="-2"/>
        </w:rPr>
        <w:t>曲度、表面形貌、断差等功能。传统的平面度检测方式已跟不上时代高品质要求，而导入激光平面度测量设备，实现批量高</w:t>
      </w:r>
      <w:r>
        <w:rPr>
          <w:spacing w:val="-51"/>
        </w:rPr>
        <w:t> </w:t>
      </w:r>
      <w:r>
        <w:rPr>
          <w:spacing w:val="-51"/>
        </w:rPr>
      </w:r>
      <w:r>
        <w:rPr>
          <w:spacing w:val="-2"/>
        </w:rPr>
        <w:t>速高质检测，缩短生产周期，解放劳动力，提高生产效率及品质便成了大势所趋，众多自动化研发公司竞相效尤。为了提高</w:t>
      </w:r>
      <w:r>
        <w:rPr>
          <w:spacing w:val="-57"/>
        </w:rPr>
        <w:t> </w:t>
      </w:r>
      <w:r>
        <w:rPr>
          <w:spacing w:val="-57"/>
        </w:rPr>
      </w:r>
      <w:r>
        <w:rPr/>
        <w:t>卓翼自动化竞争力，满足市场需求，特立此项研发。目前该项目研发已完成。</w:t>
      </w:r>
    </w:p>
    <w:p>
      <w:pPr>
        <w:pStyle w:val="BodyText"/>
        <w:spacing w:line="482" w:lineRule="auto" w:before="52"/>
        <w:ind w:right="0" w:firstLine="360"/>
        <w:jc w:val="left"/>
      </w:pPr>
      <w:r>
        <w:rPr>
          <w:rFonts w:ascii="宋体" w:hAnsi="宋体" w:cs="宋体" w:eastAsia="宋体" w:hint="default"/>
        </w:rPr>
        <w:t>6</w:t>
      </w:r>
      <w:r>
        <w:rPr/>
        <w:t>、“前驱后阻尼式标签分离模块的开发”项目开发目标：为最大限度减轻损耗，缩短生产周期，解放劳动力，提高生 </w:t>
      </w:r>
      <w:r>
        <w:rPr>
          <w:spacing w:val="-4"/>
        </w:rPr>
        <w:t>产效率及质量的一个流生产模式便成了大势所趋，众多自动化研发公司竞相效尤。为了提高卓翼自动化业内竞争力及影响力，</w:t>
      </w:r>
      <w:r>
        <w:rPr>
          <w:spacing w:val="-50"/>
        </w:rPr>
        <w:t> </w:t>
      </w:r>
      <w:r>
        <w:rPr>
          <w:spacing w:val="-50"/>
        </w:rPr>
      </w:r>
      <w:r>
        <w:rPr/>
        <w:t>满足客户及市场需求，特立此项研发。目前该项目研发已完成。</w:t>
      </w:r>
    </w:p>
    <w:p>
      <w:pPr>
        <w:pStyle w:val="BodyText"/>
        <w:spacing w:line="475" w:lineRule="auto" w:before="48"/>
        <w:ind w:right="0" w:firstLine="360"/>
        <w:jc w:val="left"/>
      </w:pPr>
      <w:r>
        <w:rPr>
          <w:rFonts w:ascii="宋体" w:hAnsi="宋体" w:cs="宋体" w:eastAsia="宋体" w:hint="default"/>
          <w:spacing w:val="-2"/>
        </w:rPr>
        <w:t>7</w:t>
      </w:r>
      <w:r>
        <w:rPr>
          <w:spacing w:val="-2"/>
        </w:rPr>
        <w:t>、“精密伺服控制翻转定位设备的研究”项目开发目标：（</w:t>
      </w:r>
      <w:r>
        <w:rPr>
          <w:rFonts w:ascii="宋体" w:hAnsi="宋体" w:cs="宋体" w:eastAsia="宋体" w:hint="default"/>
          <w:spacing w:val="-2"/>
        </w:rPr>
        <w:t>1</w:t>
      </w:r>
      <w:r>
        <w:rPr>
          <w:spacing w:val="-2"/>
        </w:rPr>
        <w:t>）目前大部分机器一次只能加工单个面，若想进行双面加</w:t>
      </w:r>
      <w:r>
        <w:rPr/>
        <w:t> 工，只能使用两台相同的机器，中间还需要设置一台产品的翻转机器。精密伺服控制翻转定位设备可以有效解决这个问题， 采用电机带动旋转中心轴旋转实现产品翻转，有效可行，提高效率，节省成本。（</w:t>
      </w:r>
      <w:r>
        <w:rPr>
          <w:rFonts w:ascii="宋体" w:hAnsi="宋体" w:cs="宋体" w:eastAsia="宋体" w:hint="default"/>
        </w:rPr>
        <w:t>2</w:t>
      </w:r>
      <w:r>
        <w:rPr/>
        <w:t>）精密伺服控制翻转定位设备可以应对</w:t>
      </w:r>
      <w:r>
        <w:rPr>
          <w:spacing w:val="-82"/>
        </w:rPr>
        <w:t> </w:t>
      </w:r>
      <w:r>
        <w:rPr>
          <w:spacing w:val="-2"/>
        </w:rPr>
        <w:t>不同大小的板料，两活动板之间的宽度可以自由调节，有效地缓解了如今机器与板尺寸一对一的尴尬局面。（</w:t>
      </w:r>
      <w:r>
        <w:rPr>
          <w:rFonts w:ascii="宋体" w:hAnsi="宋体" w:cs="宋体" w:eastAsia="宋体" w:hint="default"/>
          <w:spacing w:val="-2"/>
        </w:rPr>
        <w:t>3</w:t>
      </w:r>
      <w:r>
        <w:rPr>
          <w:spacing w:val="-2"/>
        </w:rPr>
        <w:t>）翻面加工：</w:t>
      </w:r>
      <w:r>
        <w:rPr>
          <w:spacing w:val="-46"/>
        </w:rPr>
        <w:t> </w:t>
      </w:r>
      <w:r>
        <w:rPr>
          <w:spacing w:val="-46"/>
        </w:rPr>
      </w:r>
      <w:r>
        <w:rPr>
          <w:spacing w:val="-2"/>
        </w:rPr>
        <w:t>入板口进板，限位结构限制，水平导向结构限制解除，电机动作实现旋转，水平导向结构限制启用，产品翻面实现，加工完</w:t>
      </w:r>
      <w:r>
        <w:rPr>
          <w:spacing w:val="-63"/>
        </w:rPr>
        <w:t> </w:t>
      </w:r>
      <w:r>
        <w:rPr>
          <w:spacing w:val="-63"/>
        </w:rPr>
      </w:r>
      <w:r>
        <w:rPr/>
        <w:t>成后，限位结构解除，出板，等待进板。动作简单，有效快捷。（</w:t>
      </w:r>
      <w:r>
        <w:rPr>
          <w:rFonts w:ascii="宋体" w:hAnsi="宋体" w:cs="宋体" w:eastAsia="宋体" w:hint="default"/>
        </w:rPr>
        <w:t>4</w:t>
      </w:r>
      <w:r>
        <w:rPr/>
        <w:t>）双面加工：入板口进板，限位结构动作，产品加工，</w:t>
      </w:r>
      <w:r>
        <w:rPr>
          <w:spacing w:val="-84"/>
        </w:rPr>
        <w:t> </w:t>
      </w:r>
      <w:r>
        <w:rPr/>
        <w:t>再执行翻面加工而导入精密伺服控制翻转定位设备平台，最大限度展现通用兼容性，减轻劳动强度，提高设备空间利用率， </w:t>
      </w:r>
      <w:r>
        <w:rPr>
          <w:spacing w:val="-2"/>
        </w:rPr>
        <w:t>提高效率及安全的一个通用平台模式便成了大势所趋，众多自动化研发公司竞相效尤。为了提高卓翼自动化业内竞争力及影</w:t>
      </w:r>
      <w:r>
        <w:rPr>
          <w:spacing w:val="-72"/>
        </w:rPr>
        <w:t> </w:t>
      </w:r>
      <w:r>
        <w:rPr>
          <w:spacing w:val="-72"/>
        </w:rPr>
      </w:r>
      <w:r>
        <w:rPr/>
        <w:t>响力，满足客户及市场需求，特立此项研发。目前该项目研发已完成。</w:t>
      </w:r>
    </w:p>
    <w:p>
      <w:pPr>
        <w:pStyle w:val="BodyText"/>
        <w:spacing w:line="475" w:lineRule="auto" w:before="68"/>
        <w:ind w:right="0" w:firstLine="360"/>
        <w:jc w:val="left"/>
      </w:pPr>
      <w:r>
        <w:rPr>
          <w:rFonts w:ascii="宋体" w:hAnsi="宋体" w:cs="宋体" w:eastAsia="宋体" w:hint="default"/>
          <w:spacing w:val="-2"/>
        </w:rPr>
        <w:t>8</w:t>
      </w:r>
      <w:r>
        <w:rPr>
          <w:spacing w:val="-2"/>
        </w:rPr>
        <w:t>、“精密电机驱动等分中间顶升辅助接驳台研发”项目开发目标：（</w:t>
      </w:r>
      <w:r>
        <w:rPr>
          <w:rFonts w:ascii="宋体" w:hAnsi="宋体" w:cs="宋体" w:eastAsia="宋体" w:hint="default"/>
          <w:spacing w:val="-2"/>
        </w:rPr>
        <w:t>1</w:t>
      </w:r>
      <w:r>
        <w:rPr>
          <w:spacing w:val="-2"/>
        </w:rPr>
        <w:t>）接驳台滑动板固定在直线滑轨上，丝杆固定在</w:t>
      </w:r>
      <w:r>
        <w:rPr/>
        <w:t> </w:t>
      </w:r>
      <w:r>
        <w:rPr>
          <w:spacing w:val="-2"/>
        </w:rPr>
        <w:t>接驳台滑动板上，丝杆与电机相连，通过电机提供动力，进行位置调节。接驳台滑动板上的皮带，两两一对，也是通过电机</w:t>
      </w:r>
    </w:p>
    <w:p>
      <w:pPr>
        <w:spacing w:after="0" w:line="475"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77" w:lineRule="auto"/>
        <w:ind w:right="1029"/>
        <w:jc w:val="left"/>
      </w:pPr>
      <w:r>
        <w:rPr/>
        <w:t>提供动力，运输产品。（</w:t>
      </w:r>
      <w:r>
        <w:rPr>
          <w:rFonts w:ascii="宋体" w:hAnsi="宋体" w:cs="宋体" w:eastAsia="宋体" w:hint="default"/>
        </w:rPr>
        <w:t>2</w:t>
      </w:r>
      <w:r>
        <w:rPr/>
        <w:t>）目前大部分接驳台的入板大小固定、不可改变。而该接驳台可适用于大小不同的产品，实现便 于调节和更换皮带方便，是一款自动可调节的接驳台。（</w:t>
      </w:r>
      <w:r>
        <w:rPr>
          <w:rFonts w:ascii="宋体" w:hAnsi="宋体" w:cs="宋体" w:eastAsia="宋体" w:hint="default"/>
        </w:rPr>
        <w:t>3</w:t>
      </w:r>
      <w:r>
        <w:rPr/>
        <w:t>）带有贴标辅助的接驳台，能有效保证产品的水平，抵消了标签</w:t>
      </w:r>
      <w:r>
        <w:rPr>
          <w:spacing w:val="-85"/>
        </w:rPr>
        <w:t> </w:t>
      </w:r>
      <w:r>
        <w:rPr/>
        <w:t>下压时带来的力，提高了贴标的准确性并减少对产品带来的伤害。（</w:t>
      </w:r>
      <w:r>
        <w:rPr>
          <w:rFonts w:ascii="宋体" w:hAnsi="宋体" w:cs="宋体" w:eastAsia="宋体" w:hint="default"/>
        </w:rPr>
        <w:t>4</w:t>
      </w:r>
      <w:r>
        <w:rPr/>
        <w:t>）当感应器感应到有产品时，电机转动，皮带运输，</w:t>
      </w:r>
      <w:r>
        <w:rPr>
          <w:spacing w:val="-84"/>
        </w:rPr>
        <w:t> </w:t>
      </w:r>
      <w:r>
        <w:rPr/>
        <w:t>产品到达限位块处</w:t>
      </w:r>
      <w:r>
        <w:rPr>
          <w:rFonts w:ascii="宋体" w:hAnsi="宋体" w:cs="宋体" w:eastAsia="宋体" w:hint="default"/>
        </w:rPr>
        <w:t>,</w:t>
      </w:r>
      <w:r>
        <w:rPr/>
        <w:t>感应器感应到产品，如果前面有产品还没有出去，会停止等待。没有产品的话，气缸顶起限位块，产品</w:t>
      </w:r>
      <w:r>
        <w:rPr>
          <w:spacing w:val="-83"/>
        </w:rPr>
        <w:t> </w:t>
      </w:r>
      <w:r>
        <w:rPr>
          <w:spacing w:val="-83"/>
        </w:rPr>
      </w:r>
      <w:r>
        <w:rPr>
          <w:spacing w:val="-2"/>
        </w:rPr>
        <w:t>到达第二个限位挡块，此时感应器感应到产品，皮带停转，滑动板压紧产品，辅助支撑板上抬，待产品贴标完成后，滑动板</w:t>
      </w:r>
      <w:r>
        <w:rPr>
          <w:spacing w:val="-72"/>
        </w:rPr>
        <w:t> </w:t>
      </w:r>
      <w:r>
        <w:rPr>
          <w:spacing w:val="-72"/>
        </w:rPr>
      </w:r>
      <w:r>
        <w:rPr>
          <w:spacing w:val="-2"/>
        </w:rPr>
        <w:t>松开，限位块顶起，皮带运输产品出去，感应器感应到产品出料后，下一个产品进来。而导入精密电机驱动等分中间顶升辅</w:t>
      </w:r>
      <w:r>
        <w:rPr>
          <w:spacing w:val="-57"/>
        </w:rPr>
        <w:t> </w:t>
      </w:r>
      <w:r>
        <w:rPr>
          <w:spacing w:val="-57"/>
        </w:rPr>
      </w:r>
      <w:r>
        <w:rPr>
          <w:spacing w:val="-2"/>
        </w:rPr>
        <w:t>助接驳台，最大限度展现通用兼容性，减轻劳动强度，提高设备空间利用率，提高效率及安全的一个通用平台模式便成了大</w:t>
      </w:r>
      <w:r>
        <w:rPr>
          <w:spacing w:val="-42"/>
        </w:rPr>
        <w:t> </w:t>
      </w:r>
      <w:r>
        <w:rPr>
          <w:spacing w:val="-42"/>
        </w:rPr>
      </w:r>
      <w:r>
        <w:rPr/>
        <w:t>势所趋，众多自动化研发公司竞相效尤。为了提高卓翼自动化业内竞争力及影响力，满足客户及市场需求，特立此项研发。 目前该项目研发已完成。</w:t>
      </w:r>
    </w:p>
    <w:p>
      <w:pPr>
        <w:pStyle w:val="BodyText"/>
        <w:spacing w:line="477" w:lineRule="auto" w:before="51"/>
        <w:ind w:right="1121" w:firstLine="360"/>
        <w:jc w:val="both"/>
      </w:pPr>
      <w:r>
        <w:rPr>
          <w:rFonts w:ascii="宋体" w:hAnsi="宋体" w:cs="宋体" w:eastAsia="宋体" w:hint="default"/>
        </w:rPr>
        <w:t>9</w:t>
      </w:r>
      <w:r>
        <w:rPr/>
        <w:t>、“伺服电机驱动宽度自动调节输送带研发”项目开发目标：伺服电机驱动宽度自动调节输送带主要是应用先进的光 路和测试联动技术，同时配备了高精度</w:t>
      </w:r>
      <w:r>
        <w:rPr>
          <w:rFonts w:ascii="宋体" w:hAnsi="宋体" w:cs="宋体" w:eastAsia="宋体" w:hint="default"/>
        </w:rPr>
        <w:t>CCD</w:t>
      </w:r>
      <w:r>
        <w:rPr/>
        <w:t>影像、高精度的测试系统，使影像光学光路根据测试过程的要求，二套光路可实</w:t>
      </w:r>
      <w:r>
        <w:rPr>
          <w:spacing w:val="-87"/>
        </w:rPr>
        <w:t> </w:t>
      </w:r>
      <w:r>
        <w:rPr>
          <w:spacing w:val="-2"/>
        </w:rPr>
        <w:t>现自动切换，同时配置高速伺服马达系统，实现高速高质测量产品表面平面度、翘曲度、表面形貌、断差等功能。传统的测</w:t>
      </w:r>
      <w:r>
        <w:rPr>
          <w:spacing w:val="-72"/>
        </w:rPr>
        <w:t> </w:t>
      </w:r>
      <w:r>
        <w:rPr>
          <w:spacing w:val="-72"/>
        </w:rPr>
      </w:r>
      <w:r>
        <w:rPr>
          <w:spacing w:val="-2"/>
        </w:rPr>
        <w:t>试方式已跟不上时代高品质要求，而导入网关测试设备，实现批量高速高质检测，缩短生产周期，解放劳动力，提高生产效</w:t>
      </w:r>
      <w:r>
        <w:rPr>
          <w:spacing w:val="-57"/>
        </w:rPr>
        <w:t> </w:t>
      </w:r>
      <w:r>
        <w:rPr>
          <w:spacing w:val="-57"/>
        </w:rPr>
      </w:r>
      <w:r>
        <w:rPr>
          <w:spacing w:val="-2"/>
        </w:rPr>
        <w:t>率及品质便成了大势所趋，众多自动化研发公司竞相效尤。为了提高卓翼自动化竞争力，满足市场需求，特立此项研发。目</w:t>
      </w:r>
      <w:r>
        <w:rPr>
          <w:spacing w:val="-57"/>
        </w:rPr>
        <w:t> </w:t>
      </w:r>
      <w:r>
        <w:rPr>
          <w:spacing w:val="-57"/>
        </w:rPr>
      </w:r>
      <w:r>
        <w:rPr/>
        <w:t>前该项目研发已完成。</w:t>
      </w:r>
    </w:p>
    <w:p>
      <w:pPr>
        <w:pStyle w:val="BodyText"/>
        <w:spacing w:line="480" w:lineRule="auto" w:before="51"/>
        <w:ind w:right="1099" w:firstLine="360"/>
        <w:jc w:val="both"/>
      </w:pPr>
      <w:r>
        <w:rPr>
          <w:rFonts w:ascii="宋体" w:hAnsi="宋体" w:cs="宋体" w:eastAsia="宋体" w:hint="default"/>
          <w:spacing w:val="-2"/>
        </w:rPr>
        <w:t>10</w:t>
      </w:r>
      <w:r>
        <w:rPr>
          <w:spacing w:val="-2"/>
        </w:rPr>
        <w:t>、“快速举升驱动限位装置的研究”项目开发目标：普通举升装置效率低，劳动强度大，而导入全自动快速举升驱动</w:t>
      </w:r>
      <w:r>
        <w:rPr/>
        <w:t> </w:t>
      </w:r>
      <w:r>
        <w:rPr>
          <w:spacing w:val="-1"/>
        </w:rPr>
        <w:t>限位装置一体机：热熔胶自动上料→自动快速举升驱动限位装置→自动收板，最大限度减轻损耗，缩短生产周期，解放劳动</w:t>
      </w:r>
      <w:r>
        <w:rPr/>
        <w:t> </w:t>
      </w:r>
      <w:r>
        <w:rPr>
          <w:spacing w:val="-2"/>
        </w:rPr>
        <w:t>力，提高生产效率及质量的一个流生产模式便成了大势所趋，众多自动化研发公司竞相效尤。为了提高卓翼自动化业内竞争</w:t>
      </w:r>
      <w:r>
        <w:rPr>
          <w:spacing w:val="-75"/>
        </w:rPr>
        <w:t> </w:t>
      </w:r>
      <w:r>
        <w:rPr>
          <w:spacing w:val="-75"/>
        </w:rPr>
      </w:r>
      <w:r>
        <w:rPr/>
        <w:t>力及影响力，满足客户及市场需求，特立此项研发。目前该项目研发已完成。</w:t>
      </w:r>
    </w:p>
    <w:p>
      <w:pPr>
        <w:pStyle w:val="BodyText"/>
        <w:spacing w:line="475" w:lineRule="auto" w:before="50"/>
        <w:ind w:right="1106" w:firstLine="360"/>
        <w:jc w:val="both"/>
      </w:pPr>
      <w:r>
        <w:rPr>
          <w:rFonts w:ascii="宋体" w:hAnsi="宋体" w:cs="宋体" w:eastAsia="宋体" w:hint="default"/>
          <w:spacing w:val="-3"/>
        </w:rPr>
        <w:t>11</w:t>
      </w:r>
      <w:r>
        <w:rPr>
          <w:spacing w:val="-3"/>
        </w:rPr>
        <w:t>、“集成旋转定位料盘快速限位装置的开发”项目开发目标：在生产过程中有时候需要在两个工序之间运送物料。在</w:t>
      </w:r>
      <w:r>
        <w:rPr>
          <w:spacing w:val="-30"/>
        </w:rPr>
        <w:t> </w:t>
      </w:r>
      <w:r>
        <w:rPr>
          <w:spacing w:val="-2"/>
        </w:rPr>
        <w:t>此运送过程中需要一个送料小车作为运送设备，该送料小车往返于两个工序之间，进行重复取料和卸料。送料小车将物料运</w:t>
      </w:r>
      <w:r>
        <w:rPr>
          <w:spacing w:val="-75"/>
        </w:rPr>
        <w:t> </w:t>
      </w:r>
      <w:r>
        <w:rPr>
          <w:spacing w:val="-75"/>
        </w:rPr>
      </w:r>
      <w:r>
        <w:rPr>
          <w:spacing w:val="-2"/>
        </w:rPr>
        <w:t>送至指定的工序时，送料小车停放在机架上，并被机架上的限位机构限位固定。为了实现一次运送比较多的物料，目前有些</w:t>
      </w:r>
      <w:r>
        <w:rPr>
          <w:spacing w:val="-42"/>
        </w:rPr>
        <w:t> </w:t>
      </w:r>
      <w:r>
        <w:rPr>
          <w:spacing w:val="-42"/>
        </w:rPr>
      </w:r>
      <w:r>
        <w:rPr>
          <w:spacing w:val="-2"/>
        </w:rPr>
        <w:t>送料小车的车体内会设置若干沿车体的高度方向间隔设置的料盘，送料小车的一侧对应料盘设有出盘口，用于料盘能从送料</w:t>
      </w:r>
      <w:r>
        <w:rPr>
          <w:spacing w:val="-72"/>
        </w:rPr>
        <w:t> </w:t>
      </w:r>
      <w:r>
        <w:rPr>
          <w:spacing w:val="-72"/>
        </w:rPr>
      </w:r>
      <w:r>
        <w:rPr>
          <w:spacing w:val="-2"/>
        </w:rPr>
        <w:t>小车内取出，在料盘被取之前需要对各料盘靠近送料小车的出盘口的一端进行限位，使各料盘靠近出料小车的出盘口的一端</w:t>
      </w:r>
      <w:r>
        <w:rPr>
          <w:spacing w:val="-72"/>
        </w:rPr>
        <w:t> </w:t>
      </w:r>
      <w:r>
        <w:rPr>
          <w:spacing w:val="-72"/>
        </w:rPr>
      </w:r>
      <w:r>
        <w:rPr>
          <w:spacing w:val="-2"/>
        </w:rPr>
        <w:t>对齐，从而使外界的机械能精确地取到各料盘，卓翼自主研发集成旋转定位料盘快速限位装置，其能在料盘被取之前对送料</w:t>
      </w:r>
      <w:r>
        <w:rPr>
          <w:spacing w:val="-67"/>
        </w:rPr>
        <w:t> </w:t>
      </w:r>
      <w:r>
        <w:rPr>
          <w:spacing w:val="-67"/>
        </w:rPr>
      </w:r>
      <w:r>
        <w:rPr>
          <w:spacing w:val="-2"/>
        </w:rPr>
        <w:t>小车内的各料盘靠近送料小车的出盘口的一端进行精确限位，成本低。最大限度减轻损耗，缩短生产周期，解放劳动力，提</w:t>
      </w:r>
      <w:r>
        <w:rPr>
          <w:spacing w:val="-57"/>
        </w:rPr>
        <w:t> </w:t>
      </w:r>
      <w:r>
        <w:rPr>
          <w:spacing w:val="-57"/>
        </w:rPr>
      </w:r>
      <w:r>
        <w:rPr>
          <w:spacing w:val="-2"/>
        </w:rPr>
        <w:t>高生产效率及质量的一个流生产模式便成了大势所趋，众多自动化研发公司竞相效尤。为了提高卓翼自动化业内竞争力及影</w:t>
      </w:r>
      <w:r>
        <w:rPr>
          <w:spacing w:val="-72"/>
        </w:rPr>
        <w:t> </w:t>
      </w:r>
      <w:r>
        <w:rPr>
          <w:spacing w:val="-72"/>
        </w:rPr>
      </w:r>
      <w:r>
        <w:rPr/>
        <w:t>响力，满足客户及市场需求，特立此项研发。目前该项目研发已完成。</w:t>
      </w:r>
    </w:p>
    <w:p>
      <w:pPr>
        <w:pStyle w:val="BodyText"/>
        <w:spacing w:line="475" w:lineRule="auto" w:before="68"/>
        <w:ind w:right="1116" w:firstLine="360"/>
        <w:jc w:val="both"/>
      </w:pPr>
      <w:r>
        <w:rPr>
          <w:rFonts w:ascii="宋体" w:hAnsi="宋体" w:cs="宋体" w:eastAsia="宋体" w:hint="default"/>
          <w:spacing w:val="-2"/>
        </w:rPr>
        <w:t>12</w:t>
      </w:r>
      <w:r>
        <w:rPr>
          <w:spacing w:val="-2"/>
        </w:rPr>
        <w:t>、“四轴高精密拾取自动测试设备研究”项目开发目标：为最大限度减轻损耗，缩短生产周期，解放劳动力，提高生</w:t>
      </w:r>
      <w:r>
        <w:rPr/>
        <w:t> </w:t>
      </w:r>
      <w:r>
        <w:rPr>
          <w:spacing w:val="-2"/>
        </w:rPr>
        <w:t>产效率及质量的一个流生产模式便成了大势所趋，众多自动化研发公司竞相效尤。为了提高卓翼业内竞争力及影响力，满足</w:t>
      </w:r>
    </w:p>
    <w:p>
      <w:pPr>
        <w:spacing w:after="0" w:line="475"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75" w:lineRule="auto"/>
        <w:ind w:left="501" w:right="0" w:hanging="361"/>
        <w:jc w:val="left"/>
      </w:pPr>
      <w:r>
        <w:rPr/>
        <w:t>客户及市场需求，特立此项研发。目前该项目研发已完成。 </w:t>
      </w:r>
      <w:r>
        <w:rPr>
          <w:rFonts w:ascii="宋体" w:hAnsi="宋体" w:cs="宋体" w:eastAsia="宋体" w:hint="default"/>
          <w:spacing w:val="-2"/>
        </w:rPr>
        <w:t>13</w:t>
      </w:r>
      <w:r>
        <w:rPr>
          <w:spacing w:val="-2"/>
        </w:rPr>
        <w:t>、“智能泛光摄像机技术与嵌入关键技术的研究”项目开发目标：智能泛光摄像机作为最具代表性的第三代网络化视</w:t>
      </w:r>
    </w:p>
    <w:p>
      <w:pPr>
        <w:pStyle w:val="BodyText"/>
        <w:spacing w:line="480" w:lineRule="auto" w:before="53"/>
        <w:ind w:right="1029"/>
        <w:jc w:val="left"/>
      </w:pPr>
      <w:r>
        <w:rPr>
          <w:spacing w:val="-2"/>
        </w:rPr>
        <w:t>频监控产品，在工业级的安全防范领域已经广为市场认可，越来越多的安防项目选用网络摄像机产品来实施。而随着国内整</w:t>
      </w:r>
      <w:r>
        <w:rPr>
          <w:spacing w:val="-75"/>
        </w:rPr>
        <w:t> </w:t>
      </w:r>
      <w:r>
        <w:rPr>
          <w:spacing w:val="-75"/>
        </w:rPr>
      </w:r>
      <w:r>
        <w:rPr>
          <w:spacing w:val="-2"/>
        </w:rPr>
        <w:t>体社会经济的发展，网络摄像机已经开始进入寻常百姓家，在小商铺、办公室和家庭等场所，已经可以看到网络摄像机在守</w:t>
      </w:r>
      <w:r>
        <w:rPr>
          <w:spacing w:val="-42"/>
        </w:rPr>
        <w:t> </w:t>
      </w:r>
      <w:r>
        <w:rPr>
          <w:spacing w:val="-42"/>
        </w:rPr>
      </w:r>
      <w:r>
        <w:rPr/>
        <w:t>护着安全。网络摄像机能从工业领域进人民用领域，除了国民经济取得长足发展的大背景之外，还有三个不可或缺的因素。 为了提高卓翼业内竞争力及影响力，满足客户及市场需求，特立此项研发。目前该项目研发已完成。</w:t>
      </w:r>
    </w:p>
    <w:p>
      <w:pPr>
        <w:pStyle w:val="BodyText"/>
        <w:spacing w:line="482" w:lineRule="auto" w:before="50"/>
        <w:ind w:right="1046" w:firstLine="360"/>
        <w:jc w:val="both"/>
      </w:pPr>
      <w:r>
        <w:rPr>
          <w:rFonts w:ascii="宋体" w:hAnsi="宋体" w:cs="宋体" w:eastAsia="宋体" w:hint="default"/>
          <w:spacing w:val="-2"/>
        </w:rPr>
        <w:t>14</w:t>
      </w:r>
      <w:r>
        <w:rPr>
          <w:spacing w:val="-2"/>
        </w:rPr>
        <w:t>、“Smart高端</w:t>
      </w:r>
      <w:r>
        <w:rPr>
          <w:rFonts w:ascii="宋体" w:hAnsi="宋体" w:cs="宋体" w:eastAsia="宋体" w:hint="default"/>
          <w:spacing w:val="-2"/>
        </w:rPr>
        <w:t>AI</w:t>
      </w:r>
      <w:r>
        <w:rPr>
          <w:spacing w:val="-2"/>
        </w:rPr>
        <w:t>语音浴霸开发”项目开发目标：</w:t>
      </w:r>
      <w:r>
        <w:rPr>
          <w:rFonts w:ascii="宋体" w:hAnsi="宋体" w:cs="宋体" w:eastAsia="宋体" w:hint="default"/>
          <w:spacing w:val="-2"/>
        </w:rPr>
        <w:t>Smart</w:t>
      </w:r>
      <w:r>
        <w:rPr>
          <w:spacing w:val="-2"/>
        </w:rPr>
        <w:t>高端</w:t>
      </w:r>
      <w:r>
        <w:rPr>
          <w:rFonts w:ascii="宋体" w:hAnsi="宋体" w:cs="宋体" w:eastAsia="宋体" w:hint="default"/>
          <w:spacing w:val="-2"/>
        </w:rPr>
        <w:t>AI</w:t>
      </w:r>
      <w:r>
        <w:rPr>
          <w:spacing w:val="-2"/>
        </w:rPr>
        <w:t>语音控制系统是智能家居最主要的控制功能，在智能照</w:t>
      </w:r>
      <w:r>
        <w:rPr/>
        <w:t> </w:t>
      </w:r>
      <w:r>
        <w:rPr>
          <w:spacing w:val="-2"/>
        </w:rPr>
        <w:t>明控制中，可以实现定时开关、随意调节灯光的明暗度等功能，而且能设定不同的照明场景来满足不同时间的照明需要。同</w:t>
      </w:r>
      <w:r>
        <w:rPr>
          <w:spacing w:val="-42"/>
        </w:rPr>
        <w:t> </w:t>
      </w:r>
      <w:r>
        <w:rPr>
          <w:spacing w:val="-42"/>
        </w:rPr>
      </w:r>
      <w:r>
        <w:rPr>
          <w:spacing w:val="-4"/>
        </w:rPr>
        <w:t>时照明产品成为继空调、采暖电机之后的家庭第二能耗大户，通过智能照明控制可以达到节能目的。目前该项目研发已完成。</w:t>
      </w:r>
    </w:p>
    <w:p>
      <w:pPr>
        <w:pStyle w:val="BodyText"/>
        <w:spacing w:line="477" w:lineRule="auto" w:before="47"/>
        <w:ind w:right="1106" w:firstLine="360"/>
        <w:jc w:val="both"/>
      </w:pPr>
      <w:r>
        <w:rPr>
          <w:rFonts w:ascii="宋体" w:hAnsi="宋体" w:cs="宋体" w:eastAsia="宋体" w:hint="default"/>
          <w:spacing w:val="-2"/>
        </w:rPr>
        <w:t>15</w:t>
      </w:r>
      <w:r>
        <w:rPr>
          <w:spacing w:val="-2"/>
        </w:rPr>
        <w:t>、“光纤传导多功能网关测试关键技术研发的研究”项目开发目标：光纤传导多功能网关测试关键技术研发主要是应</w:t>
      </w:r>
      <w:r>
        <w:rPr/>
        <w:t> 用先进的光路和测试联动技术，同时配备了高精度</w:t>
      </w:r>
      <w:r>
        <w:rPr>
          <w:rFonts w:ascii="宋体" w:hAnsi="宋体" w:cs="宋体" w:eastAsia="宋体" w:hint="default"/>
        </w:rPr>
        <w:t>CCD</w:t>
      </w:r>
      <w:r>
        <w:rPr/>
        <w:t>影像、高精度的测试系统，使影像光学光路，根据测试过程的要求，</w:t>
      </w:r>
      <w:r>
        <w:rPr>
          <w:spacing w:val="-85"/>
        </w:rPr>
        <w:t> </w:t>
      </w:r>
      <w:r>
        <w:rPr>
          <w:spacing w:val="-2"/>
        </w:rPr>
        <w:t>二套光路可实现自动切换，同时配置高速伺服马达系统，实现高速高质测量产品表面平面度、翘曲度、表面形貌、断差等功</w:t>
      </w:r>
      <w:r>
        <w:rPr>
          <w:spacing w:val="-57"/>
        </w:rPr>
        <w:t> </w:t>
      </w:r>
      <w:r>
        <w:rPr>
          <w:spacing w:val="-57"/>
        </w:rPr>
      </w:r>
      <w:r>
        <w:rPr>
          <w:spacing w:val="-2"/>
        </w:rPr>
        <w:t>能。传统的测试方式已跟不上时代高品质要求，而导入光纤传导多功能网关测试关键技术研发，实现批量高速高质检测，缩</w:t>
      </w:r>
      <w:r>
        <w:rPr>
          <w:spacing w:val="-42"/>
        </w:rPr>
        <w:t> </w:t>
      </w:r>
      <w:r>
        <w:rPr>
          <w:spacing w:val="-42"/>
        </w:rPr>
      </w:r>
      <w:r>
        <w:rPr>
          <w:spacing w:val="-2"/>
        </w:rPr>
        <w:t>短生产周期，解放劳动力，提高生产效率及品质便成了大势所趋，众多自动化研发公司竞相效尤。为了提高卓翼自动化竞争</w:t>
      </w:r>
      <w:r>
        <w:rPr>
          <w:spacing w:val="-42"/>
        </w:rPr>
        <w:t> </w:t>
      </w:r>
      <w:r>
        <w:rPr>
          <w:spacing w:val="-42"/>
        </w:rPr>
      </w:r>
      <w:r>
        <w:rPr/>
        <w:t>力，满足市场需求，特立此项研发。目前该项目研发已完成。</w:t>
      </w:r>
    </w:p>
    <w:p>
      <w:pPr>
        <w:pStyle w:val="BodyText"/>
        <w:spacing w:line="477" w:lineRule="auto" w:before="51"/>
        <w:ind w:right="0" w:firstLine="360"/>
        <w:jc w:val="left"/>
      </w:pPr>
      <w:r>
        <w:rPr>
          <w:rFonts w:ascii="宋体" w:hAnsi="宋体" w:cs="宋体" w:eastAsia="宋体" w:hint="default"/>
          <w:spacing w:val="-2"/>
        </w:rPr>
        <w:t>16</w:t>
      </w:r>
      <w:r>
        <w:rPr>
          <w:spacing w:val="-2"/>
        </w:rPr>
        <w:t>、“微芯片驱控差压式气密性测试关键技术研发”项目开发目标：微芯片驱控差压式气密性测试仪主要是应用先进的</w:t>
      </w:r>
      <w:r>
        <w:rPr/>
        <w:t> 光路和测试联动技术，同时配备了高精度</w:t>
      </w:r>
      <w:r>
        <w:rPr>
          <w:rFonts w:ascii="宋体" w:hAnsi="宋体" w:cs="宋体" w:eastAsia="宋体" w:hint="default"/>
        </w:rPr>
        <w:t>CCD</w:t>
      </w:r>
      <w:r>
        <w:rPr/>
        <w:t>影像、高精度的测试系统，使影像光学光路，根据测试过程的要求，二套光路</w:t>
      </w:r>
      <w:r>
        <w:rPr>
          <w:spacing w:val="-87"/>
        </w:rPr>
        <w:t> </w:t>
      </w:r>
      <w:r>
        <w:rPr>
          <w:spacing w:val="-2"/>
        </w:rPr>
        <w:t>可实现自动切换，同时配置高速伺服马达系统，实现高速高质测量产品表面平面度、翘曲度、表面形貌、断差等功能。传统</w:t>
      </w:r>
      <w:r>
        <w:rPr>
          <w:spacing w:val="-72"/>
        </w:rPr>
        <w:t> </w:t>
      </w:r>
      <w:r>
        <w:rPr>
          <w:spacing w:val="-72"/>
        </w:rPr>
      </w:r>
      <w:r>
        <w:rPr>
          <w:spacing w:val="-2"/>
        </w:rPr>
        <w:t>的测试方式已跟不上时代高品质要求，而导入网关测试设备，实现批量高速高质检测，缩短生产周期，解放劳动力，提高生</w:t>
      </w:r>
      <w:r>
        <w:rPr>
          <w:spacing w:val="-57"/>
        </w:rPr>
        <w:t> </w:t>
      </w:r>
      <w:r>
        <w:rPr>
          <w:spacing w:val="-57"/>
        </w:rPr>
      </w:r>
      <w:r>
        <w:rPr>
          <w:spacing w:val="-4"/>
        </w:rPr>
        <w:t>产效率及品质便成了大势所趋，众多自动化研发公司竞相效尤。为了提高卓翼自动化竞争力，满足市场需求，特立此项研发。</w:t>
      </w:r>
      <w:r>
        <w:rPr>
          <w:spacing w:val="-40"/>
        </w:rPr>
        <w:t> </w:t>
      </w:r>
      <w:r>
        <w:rPr>
          <w:spacing w:val="-40"/>
        </w:rPr>
      </w:r>
      <w:r>
        <w:rPr/>
        <w:t>目前该项目研发已完成。</w:t>
      </w:r>
    </w:p>
    <w:p>
      <w:pPr>
        <w:pStyle w:val="BodyText"/>
        <w:spacing w:line="477" w:lineRule="auto" w:before="51"/>
        <w:ind w:right="1029" w:firstLine="360"/>
        <w:jc w:val="left"/>
      </w:pPr>
      <w:r>
        <w:rPr>
          <w:rFonts w:ascii="宋体" w:hAnsi="宋体" w:cs="宋体" w:eastAsia="宋体" w:hint="default"/>
          <w:spacing w:val="-2"/>
        </w:rPr>
        <w:t>17</w:t>
      </w:r>
      <w:r>
        <w:rPr>
          <w:spacing w:val="-2"/>
        </w:rPr>
        <w:t>、“便携调节集成左右夹持网关测试设备的研究”项目开发目标：便携调节集成左右夹持网关测试设备主要是应用先</w:t>
      </w:r>
      <w:r>
        <w:rPr/>
        <w:t> 进的光路和测试联动技术，同时配备了高精度</w:t>
      </w:r>
      <w:r>
        <w:rPr>
          <w:rFonts w:ascii="宋体" w:hAnsi="宋体" w:cs="宋体" w:eastAsia="宋体" w:hint="default"/>
        </w:rPr>
        <w:t>CCD</w:t>
      </w:r>
      <w:r>
        <w:rPr/>
        <w:t>影像、高精度的测试系统，使影像光学光路，根据测试过程的要求，二套</w:t>
      </w:r>
      <w:r>
        <w:rPr>
          <w:spacing w:val="-86"/>
        </w:rPr>
        <w:t> </w:t>
      </w:r>
      <w:r>
        <w:rPr/>
        <w:t>光路可实现自动切换，同时配置高速伺服马达系统，实现高速高质测量产品表面平面度、翘曲度、表面形貌、断差等功能。 </w:t>
      </w:r>
      <w:r>
        <w:rPr>
          <w:spacing w:val="-2"/>
        </w:rPr>
        <w:t>传统的测试方式已跟不上时代高品质要求，而导入网关测试设备，实现批量高速高质检测，缩短生产周期，解放劳动力，提</w:t>
      </w:r>
      <w:r>
        <w:rPr>
          <w:spacing w:val="-57"/>
        </w:rPr>
        <w:t> </w:t>
      </w:r>
      <w:r>
        <w:rPr>
          <w:spacing w:val="-57"/>
        </w:rPr>
      </w:r>
      <w:r>
        <w:rPr>
          <w:spacing w:val="-2"/>
        </w:rPr>
        <w:t>高生产效率及品质便成了大势所趋，众多自动化研发公司竞相效尤。为了提高卓翼智造竞争力，满足市场需求，特立此项研</w:t>
      </w:r>
      <w:r>
        <w:rPr>
          <w:spacing w:val="-39"/>
        </w:rPr>
        <w:t> </w:t>
      </w:r>
      <w:r>
        <w:rPr>
          <w:spacing w:val="-39"/>
        </w:rPr>
      </w:r>
      <w:r>
        <w:rPr/>
        <w:t>发。目前该项目研发已完成。</w:t>
      </w:r>
    </w:p>
    <w:p>
      <w:pPr>
        <w:pStyle w:val="BodyText"/>
        <w:spacing w:line="482" w:lineRule="auto" w:before="52"/>
        <w:ind w:right="1106" w:firstLine="360"/>
        <w:jc w:val="both"/>
      </w:pPr>
      <w:r>
        <w:rPr>
          <w:rFonts w:ascii="宋体" w:hAnsi="宋体" w:cs="宋体" w:eastAsia="宋体" w:hint="default"/>
          <w:spacing w:val="-2"/>
        </w:rPr>
        <w:t>18</w:t>
      </w:r>
      <w:r>
        <w:rPr>
          <w:spacing w:val="-2"/>
        </w:rPr>
        <w:t>、“多轴转向自适应剥标模组的研究”项目开发目标：在生产过程中有时候需要在两个工序之间运送物料。在此运送</w:t>
      </w:r>
      <w:r>
        <w:rPr/>
        <w:t> </w:t>
      </w:r>
      <w:r>
        <w:rPr>
          <w:spacing w:val="-2"/>
        </w:rPr>
        <w:t>过程中需要一个送料小车作为运送设备，该送料小车往返于两个工序之间，进行重复取料和卸料。送料小车将物料运送至指</w:t>
      </w:r>
      <w:r>
        <w:rPr>
          <w:spacing w:val="-75"/>
        </w:rPr>
        <w:t> </w:t>
      </w:r>
      <w:r>
        <w:rPr>
          <w:spacing w:val="-75"/>
        </w:rPr>
      </w:r>
      <w:r>
        <w:rPr>
          <w:spacing w:val="-2"/>
        </w:rPr>
        <w:t>定的工序时，送料小车停放在机架上，并被机架上的限位机构限位固定。为了实现一次运送比较多的物料，目前有些送料小</w:t>
      </w:r>
    </w:p>
    <w:p>
      <w:pPr>
        <w:spacing w:after="0" w:line="482"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77" w:lineRule="auto"/>
        <w:ind w:right="1029"/>
        <w:jc w:val="left"/>
      </w:pPr>
      <w:r>
        <w:rPr>
          <w:spacing w:val="-2"/>
        </w:rPr>
        <w:t>车的车体内会设置若干沿车体的高度方向间隔设置的料盘，送料小车的一侧对应料盘设有出盘口，用于料盘能从送料小车内</w:t>
      </w:r>
      <w:r>
        <w:rPr>
          <w:spacing w:val="-62"/>
        </w:rPr>
        <w:t> </w:t>
      </w:r>
      <w:r>
        <w:rPr>
          <w:spacing w:val="-62"/>
        </w:rPr>
      </w:r>
      <w:r>
        <w:rPr/>
        <w:t>取出，在料盘被取之前需要对各料盘靠近送料小车的出盘口的一端进行限位，使各料盘靠近出料小车的出盘口的一端对齐， </w:t>
      </w:r>
      <w:r>
        <w:rPr>
          <w:spacing w:val="-2"/>
        </w:rPr>
        <w:t>从而使外界的机械能精确地取到各料盘，卓翼自主多轴转向自适应剥标模组，其能在料盘被取之前对送料小车内的各料盘靠</w:t>
      </w:r>
      <w:r>
        <w:rPr>
          <w:spacing w:val="-72"/>
        </w:rPr>
        <w:t> </w:t>
      </w:r>
      <w:r>
        <w:rPr>
          <w:spacing w:val="-72"/>
        </w:rPr>
      </w:r>
      <w:r>
        <w:rPr>
          <w:spacing w:val="-2"/>
        </w:rPr>
        <w:t>近送料小车的出盘口的一端进行精确限位，成本低。最大限度减轻损耗，缩短生产周期，解放劳动力，提高生产效率及质量</w:t>
      </w:r>
      <w:r>
        <w:rPr>
          <w:spacing w:val="-57"/>
        </w:rPr>
        <w:t> </w:t>
      </w:r>
      <w:r>
        <w:rPr>
          <w:spacing w:val="-57"/>
        </w:rPr>
      </w:r>
      <w:r>
        <w:rPr>
          <w:spacing w:val="-2"/>
        </w:rPr>
        <w:t>的一个流生产模式便成了大势所趋，众多自动化研发公司竞相效尤。为了提高卓翼自动化业内竞争力及影响力，满足客户及</w:t>
      </w:r>
      <w:r>
        <w:rPr>
          <w:spacing w:val="-75"/>
        </w:rPr>
        <w:t> </w:t>
      </w:r>
      <w:r>
        <w:rPr>
          <w:spacing w:val="-75"/>
        </w:rPr>
      </w:r>
      <w:r>
        <w:rPr/>
        <w:t>市场需求，特立此项研发。目前该项目研发已完成。</w:t>
      </w:r>
    </w:p>
    <w:p>
      <w:pPr>
        <w:pStyle w:val="BodyText"/>
        <w:spacing w:line="477" w:lineRule="auto" w:before="52"/>
        <w:ind w:right="1106" w:firstLine="360"/>
        <w:jc w:val="both"/>
      </w:pPr>
      <w:r>
        <w:rPr>
          <w:rFonts w:ascii="宋体" w:hAnsi="宋体" w:cs="宋体" w:eastAsia="宋体" w:hint="default"/>
          <w:spacing w:val="-2"/>
        </w:rPr>
        <w:t>19</w:t>
      </w:r>
      <w:r>
        <w:rPr>
          <w:spacing w:val="-2"/>
        </w:rPr>
        <w:t>、“移动电源全自动无人生产线设备工艺流程技术分析与嵌入关键技术的研究”项目开发目标：卓翼基于自身相关硬</w:t>
      </w:r>
      <w:r>
        <w:rPr/>
        <w:t> </w:t>
      </w:r>
      <w:r>
        <w:rPr>
          <w:spacing w:val="-2"/>
        </w:rPr>
        <w:t>件、软件、电控等方面的技术及优势，以智能装备为主体，采用工业机器人组装、测试及高难度柔性化作业内容，以及采用</w:t>
      </w:r>
      <w:r>
        <w:rPr>
          <w:spacing w:val="-72"/>
        </w:rPr>
        <w:t> </w:t>
      </w:r>
      <w:r>
        <w:rPr>
          <w:spacing w:val="-72"/>
        </w:rPr>
      </w:r>
      <w:r>
        <w:rPr>
          <w:rFonts w:ascii="宋体" w:hAnsi="宋体" w:cs="宋体" w:eastAsia="宋体" w:hint="default"/>
        </w:rPr>
        <w:t>AGV</w:t>
      </w:r>
      <w:r>
        <w:rPr/>
        <w:t>、</w:t>
      </w:r>
      <w:r>
        <w:rPr>
          <w:rFonts w:ascii="宋体" w:hAnsi="宋体" w:cs="宋体" w:eastAsia="宋体" w:hint="default"/>
        </w:rPr>
        <w:t>RGV</w:t>
      </w:r>
      <w:r>
        <w:rPr/>
        <w:t>为基础的工具完成搬运动作及自动上下料，运用云数控系统平台、</w:t>
      </w:r>
      <w:r>
        <w:rPr>
          <w:rFonts w:ascii="宋体" w:hAnsi="宋体" w:cs="宋体" w:eastAsia="宋体" w:hint="default"/>
        </w:rPr>
        <w:t>SCDA</w:t>
      </w:r>
      <w:r>
        <w:rPr/>
        <w:t>（数据采集与监视控制系统）、</w:t>
      </w:r>
      <w:r>
        <w:rPr>
          <w:rFonts w:ascii="宋体" w:hAnsi="宋体" w:cs="宋体" w:eastAsia="宋体" w:hint="default"/>
        </w:rPr>
        <w:t>MES</w:t>
      </w:r>
      <w:r>
        <w:rPr/>
        <w:t>（制造</w:t>
      </w:r>
      <w:r>
        <w:rPr>
          <w:spacing w:val="-81"/>
        </w:rPr>
        <w:t> </w:t>
      </w:r>
      <w:r>
        <w:rPr>
          <w:spacing w:val="-2"/>
        </w:rPr>
        <w:t>执行系统）、</w:t>
      </w:r>
      <w:r>
        <w:rPr>
          <w:rFonts w:ascii="宋体" w:hAnsi="宋体" w:cs="宋体" w:eastAsia="宋体" w:hint="default"/>
          <w:spacing w:val="-2"/>
        </w:rPr>
        <w:t>APS</w:t>
      </w:r>
      <w:r>
        <w:rPr>
          <w:spacing w:val="-2"/>
        </w:rPr>
        <w:t>（高级生产排程系统）、</w:t>
      </w:r>
      <w:r>
        <w:rPr>
          <w:rFonts w:ascii="宋体" w:hAnsi="宋体" w:cs="宋体" w:eastAsia="宋体" w:hint="default"/>
          <w:spacing w:val="-2"/>
        </w:rPr>
        <w:t>CAPP</w:t>
      </w:r>
      <w:r>
        <w:rPr>
          <w:spacing w:val="-2"/>
        </w:rPr>
        <w:t>（计算机辅助工艺过程设计）、</w:t>
      </w:r>
      <w:r>
        <w:rPr>
          <w:rFonts w:ascii="宋体" w:hAnsi="宋体" w:cs="宋体" w:eastAsia="宋体" w:hint="default"/>
          <w:spacing w:val="-2"/>
        </w:rPr>
        <w:t>Labview</w:t>
      </w:r>
      <w:r>
        <w:rPr>
          <w:spacing w:val="-2"/>
        </w:rPr>
        <w:t>等软件系统，综合三维仿真技术，大</w:t>
      </w:r>
      <w:r>
        <w:rPr>
          <w:spacing w:val="-54"/>
        </w:rPr>
        <w:t> </w:t>
      </w:r>
      <w:r>
        <w:rPr>
          <w:spacing w:val="-54"/>
        </w:rPr>
      </w:r>
      <w:r>
        <w:rPr>
          <w:spacing w:val="-2"/>
        </w:rPr>
        <w:t>数据应用技术，组装集成，实现移动电源组装</w:t>
      </w:r>
      <w:r>
        <w:rPr>
          <w:rFonts w:ascii="宋体" w:hAnsi="宋体" w:cs="宋体" w:eastAsia="宋体" w:hint="default"/>
          <w:spacing w:val="-2"/>
        </w:rPr>
        <w:t>/</w:t>
      </w:r>
      <w:r>
        <w:rPr>
          <w:spacing w:val="-2"/>
        </w:rPr>
        <w:t>测试</w:t>
      </w:r>
      <w:r>
        <w:rPr>
          <w:rFonts w:ascii="宋体" w:hAnsi="宋体" w:cs="宋体" w:eastAsia="宋体" w:hint="default"/>
          <w:spacing w:val="-2"/>
        </w:rPr>
        <w:t>/</w:t>
      </w:r>
      <w:r>
        <w:rPr>
          <w:spacing w:val="-2"/>
        </w:rPr>
        <w:t>包装一个流智能全自动化加工生产线。缩短生产周期，解放劳动力，提</w:t>
      </w:r>
      <w:r>
        <w:rPr>
          <w:spacing w:val="-49"/>
        </w:rPr>
        <w:t> </w:t>
      </w:r>
      <w:r>
        <w:rPr>
          <w:spacing w:val="-49"/>
        </w:rPr>
      </w:r>
      <w:r>
        <w:rPr>
          <w:spacing w:val="-2"/>
        </w:rPr>
        <w:t>高生产效率及品质。为了提高卓翼自动化业内竞争力及影响力，满足客户及市场需求，特立此项研发。目前该项目研发已完</w:t>
      </w:r>
      <w:r>
        <w:rPr>
          <w:spacing w:val="-42"/>
        </w:rPr>
        <w:t> </w:t>
      </w:r>
      <w:r>
        <w:rPr>
          <w:spacing w:val="-42"/>
        </w:rPr>
      </w:r>
      <w:r>
        <w:rPr/>
        <w:t>成。</w:t>
      </w:r>
    </w:p>
    <w:p>
      <w:pPr>
        <w:pStyle w:val="BodyText"/>
        <w:spacing w:line="477" w:lineRule="auto" w:before="66"/>
        <w:ind w:right="1029" w:firstLine="360"/>
        <w:jc w:val="left"/>
      </w:pPr>
      <w:r>
        <w:rPr>
          <w:rFonts w:ascii="宋体" w:hAnsi="宋体" w:cs="宋体" w:eastAsia="宋体" w:hint="default"/>
          <w:spacing w:val="-2"/>
        </w:rPr>
        <w:t>20</w:t>
      </w:r>
      <w:r>
        <w:rPr>
          <w:spacing w:val="-2"/>
        </w:rPr>
        <w:t>、“网关成品功能自动测试机关键技术研发”项目开发目标：在工业生产中，很多地方都需用到印刷电路板，特别是</w:t>
      </w:r>
      <w:r>
        <w:rPr/>
        <w:t> </w:t>
      </w:r>
      <w:r>
        <w:rPr>
          <w:spacing w:val="-2"/>
        </w:rPr>
        <w:t>手机，智能网关等电子产品上关键的主板部件，随着人口红利的逐渐消失及对电路板测试品质的更高要求，高效稳定的测试</w:t>
      </w:r>
      <w:r>
        <w:rPr>
          <w:spacing w:val="-75"/>
        </w:rPr>
        <w:t> </w:t>
      </w:r>
      <w:r>
        <w:rPr>
          <w:spacing w:val="-75"/>
        </w:rPr>
      </w:r>
      <w:r>
        <w:rPr/>
        <w:t>自动线将得到市场更多的认可及应用。卓翼网关单板及成品功能自动测试线集自动上板、自动分板、自动下载、自动写号、 </w:t>
      </w:r>
      <w:r>
        <w:rPr>
          <w:spacing w:val="-2"/>
        </w:rPr>
        <w:t>自动校准、自动综测及自动收料为一体，满足公司自身需求，减员增效，公司推崇“一个设计中心，两地制造，全球交货”</w:t>
      </w:r>
      <w:r>
        <w:rPr>
          <w:spacing w:val="-63"/>
        </w:rPr>
        <w:t> </w:t>
      </w:r>
      <w:r>
        <w:rPr>
          <w:spacing w:val="-63"/>
        </w:rPr>
      </w:r>
      <w:r>
        <w:rPr>
          <w:spacing w:val="-2"/>
        </w:rPr>
        <w:t>战略发展方针，增强公司实力，推向国际化舞台。而导入单板及成品功能自动测试机，实现批量高速高质测试，缩短测试周</w:t>
      </w:r>
      <w:r>
        <w:rPr>
          <w:spacing w:val="-57"/>
        </w:rPr>
        <w:t> </w:t>
      </w:r>
      <w:r>
        <w:rPr>
          <w:spacing w:val="-57"/>
        </w:rPr>
      </w:r>
      <w:r>
        <w:rPr>
          <w:spacing w:val="-2"/>
        </w:rPr>
        <w:t>期，解放劳动力，提高生产效率及品质便成了大势所趋。为了提高卓翼自动化竞争力，满足市场需求，特立此项研发。目前</w:t>
      </w:r>
      <w:r>
        <w:rPr>
          <w:spacing w:val="-72"/>
        </w:rPr>
        <w:t> </w:t>
      </w:r>
      <w:r>
        <w:rPr>
          <w:spacing w:val="-72"/>
        </w:rPr>
      </w:r>
      <w:r>
        <w:rPr/>
        <w:t>该项目研发已完成。</w:t>
      </w:r>
    </w:p>
    <w:p>
      <w:pPr>
        <w:pStyle w:val="BodyText"/>
        <w:spacing w:line="472" w:lineRule="auto" w:before="52"/>
        <w:ind w:left="501" w:right="5349"/>
        <w:jc w:val="left"/>
      </w:pPr>
      <w:r>
        <w:rPr>
          <w:rFonts w:ascii="宋体" w:hAnsi="宋体" w:cs="宋体" w:eastAsia="宋体" w:hint="default"/>
        </w:rPr>
        <w:t>21</w:t>
      </w:r>
      <w:r>
        <w:rPr/>
        <w:t>、“珑智屏蔽箱的隔离参数关键技术的研发”项目开发目标：</w:t>
      </w:r>
      <w:r>
        <w:rPr>
          <w:spacing w:val="-87"/>
        </w:rPr>
        <w:t> </w:t>
      </w:r>
      <w:r>
        <w:rPr>
          <w:spacing w:val="-87"/>
        </w:rPr>
      </w:r>
      <w:r>
        <w:rPr/>
        <w:t>珑智屏蔽箱主要用于：</w:t>
      </w:r>
    </w:p>
    <w:p>
      <w:pPr>
        <w:pStyle w:val="BodyText"/>
        <w:spacing w:line="240" w:lineRule="auto" w:before="55"/>
        <w:ind w:left="501" w:right="0"/>
        <w:jc w:val="left"/>
      </w:pPr>
      <w:r>
        <w:rPr/>
        <w:t>（</w:t>
      </w:r>
      <w:r>
        <w:rPr>
          <w:rFonts w:ascii="宋体" w:hAnsi="宋体" w:cs="宋体" w:eastAsia="宋体" w:hint="default"/>
        </w:rPr>
        <w:t>1</w:t>
      </w:r>
      <w:r>
        <w:rPr/>
        <w:t>）应用无线通信测试</w:t>
      </w:r>
    </w:p>
    <w:p>
      <w:pPr>
        <w:spacing w:line="240" w:lineRule="auto" w:before="9"/>
        <w:rPr>
          <w:rFonts w:ascii="宋体" w:hAnsi="宋体" w:cs="宋体" w:eastAsia="宋体" w:hint="default"/>
          <w:sz w:val="18"/>
          <w:szCs w:val="18"/>
        </w:rPr>
      </w:pPr>
    </w:p>
    <w:p>
      <w:pPr>
        <w:pStyle w:val="BodyText"/>
        <w:spacing w:line="240" w:lineRule="auto"/>
        <w:ind w:left="501" w:right="0"/>
        <w:jc w:val="left"/>
      </w:pPr>
      <w:r>
        <w:rPr/>
        <w:t>（</w:t>
      </w:r>
      <w:r>
        <w:rPr>
          <w:rFonts w:ascii="宋体" w:hAnsi="宋体" w:cs="宋体" w:eastAsia="宋体" w:hint="default"/>
        </w:rPr>
        <w:t>2</w:t>
      </w:r>
      <w:r>
        <w:rPr/>
        <w:t>）</w:t>
      </w:r>
      <w:r>
        <w:rPr>
          <w:rFonts w:ascii="宋体" w:hAnsi="宋体" w:cs="宋体" w:eastAsia="宋体" w:hint="default"/>
        </w:rPr>
        <w:t>EMI </w:t>
      </w:r>
      <w:r>
        <w:rPr/>
        <w:t>测试</w:t>
      </w:r>
    </w:p>
    <w:p>
      <w:pPr>
        <w:spacing w:line="240" w:lineRule="auto" w:before="8"/>
        <w:rPr>
          <w:rFonts w:ascii="宋体" w:hAnsi="宋体" w:cs="宋体" w:eastAsia="宋体" w:hint="default"/>
          <w:sz w:val="17"/>
          <w:szCs w:val="17"/>
        </w:rPr>
      </w:pPr>
    </w:p>
    <w:p>
      <w:pPr>
        <w:pStyle w:val="BodyText"/>
        <w:spacing w:line="240" w:lineRule="auto"/>
        <w:ind w:left="501" w:right="0"/>
        <w:jc w:val="left"/>
      </w:pPr>
      <w:r>
        <w:rPr/>
        <w:t>（</w:t>
      </w:r>
      <w:r>
        <w:rPr>
          <w:rFonts w:ascii="宋体" w:hAnsi="宋体" w:cs="宋体" w:eastAsia="宋体" w:hint="default"/>
        </w:rPr>
        <w:t>3</w:t>
      </w:r>
      <w:r>
        <w:rPr/>
        <w:t>）耦合测试</w:t>
      </w:r>
    </w:p>
    <w:p>
      <w:pPr>
        <w:spacing w:line="240" w:lineRule="auto" w:before="7"/>
        <w:rPr>
          <w:rFonts w:ascii="宋体" w:hAnsi="宋体" w:cs="宋体" w:eastAsia="宋体" w:hint="default"/>
          <w:sz w:val="17"/>
          <w:szCs w:val="17"/>
        </w:rPr>
      </w:pPr>
    </w:p>
    <w:p>
      <w:pPr>
        <w:pStyle w:val="BodyText"/>
        <w:spacing w:line="240" w:lineRule="auto"/>
        <w:ind w:left="501" w:right="0"/>
        <w:jc w:val="left"/>
      </w:pPr>
      <w:r>
        <w:rPr/>
        <w:t>（</w:t>
      </w:r>
      <w:r>
        <w:rPr>
          <w:rFonts w:ascii="宋体" w:hAnsi="宋体" w:cs="宋体" w:eastAsia="宋体" w:hint="default"/>
        </w:rPr>
        <w:t>4</w:t>
      </w:r>
      <w:r>
        <w:rPr/>
        <w:t>）</w:t>
      </w:r>
      <w:r>
        <w:rPr>
          <w:rFonts w:ascii="宋体" w:hAnsi="宋体" w:cs="宋体" w:eastAsia="宋体" w:hint="default"/>
        </w:rPr>
        <w:t>RF </w:t>
      </w:r>
      <w:r>
        <w:rPr/>
        <w:t>功能测试</w:t>
      </w:r>
    </w:p>
    <w:p>
      <w:pPr>
        <w:spacing w:line="240" w:lineRule="auto" w:before="7"/>
        <w:rPr>
          <w:rFonts w:ascii="宋体" w:hAnsi="宋体" w:cs="宋体" w:eastAsia="宋体" w:hint="default"/>
          <w:sz w:val="17"/>
          <w:szCs w:val="17"/>
        </w:rPr>
      </w:pPr>
    </w:p>
    <w:p>
      <w:pPr>
        <w:pStyle w:val="BodyText"/>
        <w:spacing w:line="240" w:lineRule="auto"/>
        <w:ind w:left="501" w:right="0"/>
        <w:jc w:val="left"/>
      </w:pPr>
      <w:r>
        <w:rPr/>
        <w:t>（</w:t>
      </w:r>
      <w:r>
        <w:rPr>
          <w:rFonts w:ascii="宋体" w:hAnsi="宋体" w:cs="宋体" w:eastAsia="宋体" w:hint="default"/>
        </w:rPr>
        <w:t>5</w:t>
      </w:r>
      <w:r>
        <w:rPr/>
        <w:t>）接收机灵敏度测试</w:t>
      </w:r>
    </w:p>
    <w:p>
      <w:pPr>
        <w:spacing w:line="240" w:lineRule="auto" w:before="8"/>
        <w:rPr>
          <w:rFonts w:ascii="宋体" w:hAnsi="宋体" w:cs="宋体" w:eastAsia="宋体" w:hint="default"/>
          <w:sz w:val="17"/>
          <w:szCs w:val="17"/>
        </w:rPr>
      </w:pPr>
    </w:p>
    <w:p>
      <w:pPr>
        <w:pStyle w:val="BodyText"/>
        <w:spacing w:line="240" w:lineRule="auto"/>
        <w:ind w:left="501" w:right="0"/>
        <w:jc w:val="left"/>
      </w:pPr>
      <w:r>
        <w:rPr/>
        <w:t>（</w:t>
      </w:r>
      <w:r>
        <w:rPr>
          <w:rFonts w:ascii="宋体" w:hAnsi="宋体" w:cs="宋体" w:eastAsia="宋体" w:hint="default"/>
        </w:rPr>
        <w:t>6</w:t>
      </w:r>
      <w:r>
        <w:rPr/>
        <w:t>）发射机辐射功率测试</w:t>
      </w:r>
    </w:p>
    <w:p>
      <w:pPr>
        <w:spacing w:line="240" w:lineRule="auto" w:before="9"/>
        <w:rPr>
          <w:rFonts w:ascii="宋体" w:hAnsi="宋体" w:cs="宋体" w:eastAsia="宋体" w:hint="default"/>
          <w:sz w:val="18"/>
          <w:szCs w:val="18"/>
        </w:rPr>
      </w:pPr>
    </w:p>
    <w:p>
      <w:pPr>
        <w:pStyle w:val="BodyText"/>
        <w:spacing w:line="240" w:lineRule="auto"/>
        <w:ind w:left="501" w:right="0"/>
        <w:jc w:val="left"/>
        <w:rPr>
          <w:rFonts w:ascii="宋体" w:hAnsi="宋体" w:cs="宋体" w:eastAsia="宋体" w:hint="default"/>
        </w:rPr>
      </w:pPr>
      <w:r>
        <w:rPr/>
        <w:t>（</w:t>
      </w:r>
      <w:r>
        <w:rPr>
          <w:rFonts w:ascii="宋体" w:hAnsi="宋体" w:cs="宋体" w:eastAsia="宋体" w:hint="default"/>
        </w:rPr>
        <w:t>7</w:t>
      </w:r>
      <w:r>
        <w:rPr/>
        <w:t>）</w:t>
      </w:r>
      <w:r>
        <w:rPr>
          <w:rFonts w:ascii="宋体" w:hAnsi="宋体" w:cs="宋体" w:eastAsia="宋体" w:hint="default"/>
        </w:rPr>
        <w:t>Bluetooth</w:t>
      </w:r>
      <w:r>
        <w:rPr/>
        <w:t>，</w:t>
      </w:r>
      <w:r>
        <w:rPr>
          <w:rFonts w:ascii="宋体" w:hAnsi="宋体" w:cs="宋体" w:eastAsia="宋体" w:hint="default"/>
        </w:rPr>
        <w:t>DAB/DMB</w:t>
      </w:r>
    </w:p>
    <w:p>
      <w:pPr>
        <w:spacing w:line="240" w:lineRule="auto" w:before="7"/>
        <w:rPr>
          <w:rFonts w:ascii="宋体" w:hAnsi="宋体" w:cs="宋体" w:eastAsia="宋体" w:hint="default"/>
          <w:sz w:val="17"/>
          <w:szCs w:val="17"/>
        </w:rPr>
      </w:pPr>
    </w:p>
    <w:p>
      <w:pPr>
        <w:pStyle w:val="BodyText"/>
        <w:spacing w:line="240" w:lineRule="auto"/>
        <w:ind w:left="501" w:right="0"/>
        <w:jc w:val="left"/>
      </w:pPr>
      <w:r>
        <w:rPr/>
        <w:t>（</w:t>
      </w:r>
      <w:r>
        <w:rPr>
          <w:rFonts w:ascii="宋体" w:hAnsi="宋体" w:cs="宋体" w:eastAsia="宋体" w:hint="default"/>
        </w:rPr>
        <w:t>8</w:t>
      </w:r>
      <w:r>
        <w:rPr/>
        <w:t>）小型</w:t>
      </w:r>
      <w:r>
        <w:rPr>
          <w:rFonts w:ascii="宋体" w:hAnsi="宋体" w:cs="宋体" w:eastAsia="宋体" w:hint="default"/>
        </w:rPr>
        <w:t>UHF</w:t>
      </w:r>
      <w:r>
        <w:rPr/>
        <w:t>设备</w:t>
      </w:r>
      <w:r>
        <w:rPr>
          <w:rFonts w:ascii="宋体" w:hAnsi="宋体" w:cs="宋体" w:eastAsia="宋体" w:hint="default"/>
        </w:rPr>
        <w:t>EMI</w:t>
      </w:r>
      <w:r>
        <w:rPr/>
        <w:t>和</w:t>
      </w:r>
      <w:r>
        <w:rPr>
          <w:rFonts w:ascii="宋体" w:hAnsi="宋体" w:cs="宋体" w:eastAsia="宋体" w:hint="default"/>
        </w:rPr>
        <w:t>EMS</w:t>
      </w:r>
      <w:r>
        <w:rPr/>
        <w:t>测试</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75" w:lineRule="auto"/>
        <w:ind w:left="501" w:right="0"/>
        <w:jc w:val="left"/>
      </w:pPr>
      <w:r>
        <w:rPr/>
        <w:t>（</w:t>
      </w:r>
      <w:r>
        <w:rPr>
          <w:rFonts w:ascii="宋体" w:hAnsi="宋体" w:cs="宋体" w:eastAsia="宋体" w:hint="default"/>
        </w:rPr>
        <w:t>9</w:t>
      </w:r>
      <w:r>
        <w:rPr/>
        <w:t>）手机、蓝牙、无线路由器等设备，整机的或者芯片的测试 </w:t>
      </w:r>
      <w:r>
        <w:rPr>
          <w:spacing w:val="-2"/>
        </w:rPr>
        <w:t>最大限度减轻损耗，缩短生产周期，解放劳动力，大大提高生产效率和分板质量。为提高卓翼自动化业内竞争力，满足</w:t>
      </w:r>
    </w:p>
    <w:p>
      <w:pPr>
        <w:pStyle w:val="BodyText"/>
        <w:spacing w:line="482" w:lineRule="auto" w:before="53"/>
        <w:ind w:left="501" w:right="5349" w:hanging="361"/>
        <w:jc w:val="left"/>
      </w:pPr>
      <w:r>
        <w:rPr/>
        <w:t>市场需求，特立此项研发。目前该项目研发已完成。 </w:t>
      </w:r>
      <w:r>
        <w:rPr>
          <w:rFonts w:ascii="宋体" w:hAnsi="宋体" w:cs="宋体" w:eastAsia="宋体" w:hint="default"/>
        </w:rPr>
        <w:t>22</w:t>
      </w:r>
      <w:r>
        <w:rPr/>
        <w:t>、“慧集屏蔽箱的校准功能关键技术的研发”项目开发目标： 慧集屏蔽箱主要用于：</w:t>
      </w:r>
    </w:p>
    <w:p>
      <w:pPr>
        <w:pStyle w:val="BodyText"/>
        <w:spacing w:line="240" w:lineRule="auto" w:before="48"/>
        <w:ind w:left="501" w:right="0"/>
        <w:jc w:val="left"/>
      </w:pPr>
      <w:r>
        <w:rPr/>
        <w:t>（</w:t>
      </w:r>
      <w:r>
        <w:rPr>
          <w:rFonts w:ascii="宋体" w:hAnsi="宋体" w:cs="宋体" w:eastAsia="宋体" w:hint="default"/>
        </w:rPr>
        <w:t>1</w:t>
      </w:r>
      <w:r>
        <w:rPr/>
        <w:t>）应用无线通信测试</w:t>
      </w:r>
    </w:p>
    <w:p>
      <w:pPr>
        <w:spacing w:line="240" w:lineRule="auto" w:before="8"/>
        <w:rPr>
          <w:rFonts w:ascii="宋体" w:hAnsi="宋体" w:cs="宋体" w:eastAsia="宋体" w:hint="default"/>
          <w:sz w:val="17"/>
          <w:szCs w:val="17"/>
        </w:rPr>
      </w:pPr>
    </w:p>
    <w:p>
      <w:pPr>
        <w:pStyle w:val="BodyText"/>
        <w:spacing w:line="240" w:lineRule="auto"/>
        <w:ind w:left="501" w:right="0"/>
        <w:jc w:val="left"/>
      </w:pPr>
      <w:r>
        <w:rPr/>
        <w:t>（</w:t>
      </w:r>
      <w:r>
        <w:rPr>
          <w:rFonts w:ascii="宋体" w:hAnsi="宋体" w:cs="宋体" w:eastAsia="宋体" w:hint="default"/>
        </w:rPr>
        <w:t>2</w:t>
      </w:r>
      <w:r>
        <w:rPr/>
        <w:t>）</w:t>
      </w:r>
      <w:r>
        <w:rPr>
          <w:rFonts w:ascii="宋体" w:hAnsi="宋体" w:cs="宋体" w:eastAsia="宋体" w:hint="default"/>
        </w:rPr>
        <w:t>EMI </w:t>
      </w:r>
      <w:r>
        <w:rPr/>
        <w:t>测试</w:t>
      </w:r>
    </w:p>
    <w:p>
      <w:pPr>
        <w:spacing w:line="240" w:lineRule="auto" w:before="7"/>
        <w:rPr>
          <w:rFonts w:ascii="宋体" w:hAnsi="宋体" w:cs="宋体" w:eastAsia="宋体" w:hint="default"/>
          <w:sz w:val="17"/>
          <w:szCs w:val="17"/>
        </w:rPr>
      </w:pPr>
    </w:p>
    <w:p>
      <w:pPr>
        <w:pStyle w:val="BodyText"/>
        <w:spacing w:line="240" w:lineRule="auto"/>
        <w:ind w:left="501" w:right="0"/>
        <w:jc w:val="left"/>
      </w:pPr>
      <w:r>
        <w:rPr/>
        <w:t>（</w:t>
      </w:r>
      <w:r>
        <w:rPr>
          <w:rFonts w:ascii="宋体" w:hAnsi="宋体" w:cs="宋体" w:eastAsia="宋体" w:hint="default"/>
        </w:rPr>
        <w:t>3</w:t>
      </w:r>
      <w:r>
        <w:rPr/>
        <w:t>）耦合测试</w:t>
      </w:r>
    </w:p>
    <w:p>
      <w:pPr>
        <w:spacing w:line="240" w:lineRule="auto" w:before="10"/>
        <w:rPr>
          <w:rFonts w:ascii="宋体" w:hAnsi="宋体" w:cs="宋体" w:eastAsia="宋体" w:hint="default"/>
          <w:sz w:val="18"/>
          <w:szCs w:val="18"/>
        </w:rPr>
      </w:pPr>
    </w:p>
    <w:p>
      <w:pPr>
        <w:pStyle w:val="BodyText"/>
        <w:spacing w:line="240" w:lineRule="auto"/>
        <w:ind w:left="501" w:right="0"/>
        <w:jc w:val="left"/>
      </w:pPr>
      <w:r>
        <w:rPr/>
        <w:t>（</w:t>
      </w:r>
      <w:r>
        <w:rPr>
          <w:rFonts w:ascii="宋体" w:hAnsi="宋体" w:cs="宋体" w:eastAsia="宋体" w:hint="default"/>
        </w:rPr>
        <w:t>4</w:t>
      </w:r>
      <w:r>
        <w:rPr/>
        <w:t>）</w:t>
      </w:r>
      <w:r>
        <w:rPr>
          <w:rFonts w:ascii="宋体" w:hAnsi="宋体" w:cs="宋体" w:eastAsia="宋体" w:hint="default"/>
        </w:rPr>
        <w:t>RF </w:t>
      </w:r>
      <w:r>
        <w:rPr/>
        <w:t>功能测试</w:t>
      </w:r>
    </w:p>
    <w:p>
      <w:pPr>
        <w:spacing w:line="240" w:lineRule="auto" w:before="7"/>
        <w:rPr>
          <w:rFonts w:ascii="宋体" w:hAnsi="宋体" w:cs="宋体" w:eastAsia="宋体" w:hint="default"/>
          <w:sz w:val="17"/>
          <w:szCs w:val="17"/>
        </w:rPr>
      </w:pPr>
    </w:p>
    <w:p>
      <w:pPr>
        <w:pStyle w:val="BodyText"/>
        <w:spacing w:line="240" w:lineRule="auto"/>
        <w:ind w:left="501" w:right="0"/>
        <w:jc w:val="left"/>
      </w:pPr>
      <w:r>
        <w:rPr/>
        <w:t>（</w:t>
      </w:r>
      <w:r>
        <w:rPr>
          <w:rFonts w:ascii="宋体" w:hAnsi="宋体" w:cs="宋体" w:eastAsia="宋体" w:hint="default"/>
        </w:rPr>
        <w:t>5</w:t>
      </w:r>
      <w:r>
        <w:rPr/>
        <w:t>）接收机灵敏度测试</w:t>
      </w:r>
    </w:p>
    <w:p>
      <w:pPr>
        <w:spacing w:line="240" w:lineRule="auto" w:before="8"/>
        <w:rPr>
          <w:rFonts w:ascii="宋体" w:hAnsi="宋体" w:cs="宋体" w:eastAsia="宋体" w:hint="default"/>
          <w:sz w:val="17"/>
          <w:szCs w:val="17"/>
        </w:rPr>
      </w:pPr>
    </w:p>
    <w:p>
      <w:pPr>
        <w:pStyle w:val="BodyText"/>
        <w:spacing w:line="240" w:lineRule="auto"/>
        <w:ind w:left="501" w:right="0"/>
        <w:jc w:val="left"/>
      </w:pPr>
      <w:r>
        <w:rPr/>
        <w:t>（</w:t>
      </w:r>
      <w:r>
        <w:rPr>
          <w:rFonts w:ascii="宋体" w:hAnsi="宋体" w:cs="宋体" w:eastAsia="宋体" w:hint="default"/>
        </w:rPr>
        <w:t>6</w:t>
      </w:r>
      <w:r>
        <w:rPr/>
        <w:t>）发射机辐射功率测试</w:t>
      </w:r>
    </w:p>
    <w:p>
      <w:pPr>
        <w:spacing w:line="240" w:lineRule="auto" w:before="7"/>
        <w:rPr>
          <w:rFonts w:ascii="宋体" w:hAnsi="宋体" w:cs="宋体" w:eastAsia="宋体" w:hint="default"/>
          <w:sz w:val="17"/>
          <w:szCs w:val="17"/>
        </w:rPr>
      </w:pPr>
    </w:p>
    <w:p>
      <w:pPr>
        <w:pStyle w:val="BodyText"/>
        <w:spacing w:line="240" w:lineRule="auto"/>
        <w:ind w:left="501" w:right="0"/>
        <w:jc w:val="left"/>
        <w:rPr>
          <w:rFonts w:ascii="宋体" w:hAnsi="宋体" w:cs="宋体" w:eastAsia="宋体" w:hint="default"/>
        </w:rPr>
      </w:pPr>
      <w:r>
        <w:rPr/>
        <w:t>（</w:t>
      </w:r>
      <w:r>
        <w:rPr>
          <w:rFonts w:ascii="宋体" w:hAnsi="宋体" w:cs="宋体" w:eastAsia="宋体" w:hint="default"/>
        </w:rPr>
        <w:t>7</w:t>
      </w:r>
      <w:r>
        <w:rPr/>
        <w:t>）</w:t>
      </w:r>
      <w:r>
        <w:rPr>
          <w:rFonts w:ascii="宋体" w:hAnsi="宋体" w:cs="宋体" w:eastAsia="宋体" w:hint="default"/>
        </w:rPr>
        <w:t>Bluetooth</w:t>
      </w:r>
      <w:r>
        <w:rPr/>
        <w:t>，</w:t>
      </w:r>
      <w:r>
        <w:rPr>
          <w:rFonts w:ascii="宋体" w:hAnsi="宋体" w:cs="宋体" w:eastAsia="宋体" w:hint="default"/>
        </w:rPr>
        <w:t>DAB/DMB</w:t>
      </w:r>
    </w:p>
    <w:p>
      <w:pPr>
        <w:spacing w:line="240" w:lineRule="auto" w:before="8"/>
        <w:rPr>
          <w:rFonts w:ascii="宋体" w:hAnsi="宋体" w:cs="宋体" w:eastAsia="宋体" w:hint="default"/>
          <w:sz w:val="17"/>
          <w:szCs w:val="17"/>
        </w:rPr>
      </w:pPr>
    </w:p>
    <w:p>
      <w:pPr>
        <w:pStyle w:val="BodyText"/>
        <w:spacing w:line="240" w:lineRule="auto"/>
        <w:ind w:left="501" w:right="0"/>
        <w:jc w:val="left"/>
      </w:pPr>
      <w:r>
        <w:rPr/>
        <w:t>（</w:t>
      </w:r>
      <w:r>
        <w:rPr>
          <w:rFonts w:ascii="宋体" w:hAnsi="宋体" w:cs="宋体" w:eastAsia="宋体" w:hint="default"/>
        </w:rPr>
        <w:t>8</w:t>
      </w:r>
      <w:r>
        <w:rPr/>
        <w:t>）小型</w:t>
      </w:r>
      <w:r>
        <w:rPr>
          <w:rFonts w:ascii="宋体" w:hAnsi="宋体" w:cs="宋体" w:eastAsia="宋体" w:hint="default"/>
        </w:rPr>
        <w:t>UHF</w:t>
      </w:r>
      <w:r>
        <w:rPr/>
        <w:t>设备</w:t>
      </w:r>
      <w:r>
        <w:rPr>
          <w:rFonts w:ascii="宋体" w:hAnsi="宋体" w:cs="宋体" w:eastAsia="宋体" w:hint="default"/>
        </w:rPr>
        <w:t>EMI</w:t>
      </w:r>
      <w:r>
        <w:rPr/>
        <w:t>和</w:t>
      </w:r>
      <w:r>
        <w:rPr>
          <w:rFonts w:ascii="宋体" w:hAnsi="宋体" w:cs="宋体" w:eastAsia="宋体" w:hint="default"/>
        </w:rPr>
        <w:t>EMS</w:t>
      </w:r>
      <w:r>
        <w:rPr/>
        <w:t>测试</w:t>
      </w:r>
    </w:p>
    <w:p>
      <w:pPr>
        <w:spacing w:line="240" w:lineRule="auto" w:before="9"/>
        <w:rPr>
          <w:rFonts w:ascii="宋体" w:hAnsi="宋体" w:cs="宋体" w:eastAsia="宋体" w:hint="default"/>
          <w:sz w:val="18"/>
          <w:szCs w:val="18"/>
        </w:rPr>
      </w:pPr>
    </w:p>
    <w:p>
      <w:pPr>
        <w:pStyle w:val="BodyText"/>
        <w:spacing w:line="475" w:lineRule="auto"/>
        <w:ind w:left="501" w:right="0"/>
        <w:jc w:val="left"/>
      </w:pPr>
      <w:r>
        <w:rPr/>
        <w:t>（</w:t>
      </w:r>
      <w:r>
        <w:rPr>
          <w:rFonts w:ascii="宋体" w:hAnsi="宋体" w:cs="宋体" w:eastAsia="宋体" w:hint="default"/>
        </w:rPr>
        <w:t>9</w:t>
      </w:r>
      <w:r>
        <w:rPr/>
        <w:t>）手机、蓝牙、无线路由器等设备，整机的或者芯片的测试 </w:t>
      </w:r>
      <w:r>
        <w:rPr>
          <w:spacing w:val="-2"/>
        </w:rPr>
        <w:t>最大限度减轻损耗，缩短生产周期，解放劳动力，大大提高生产效率和分板质量。为提高卓翼自动化业内竞争力，满足</w:t>
      </w:r>
    </w:p>
    <w:p>
      <w:pPr>
        <w:pStyle w:val="BodyText"/>
        <w:spacing w:line="475" w:lineRule="auto" w:before="53"/>
        <w:ind w:left="501" w:right="0" w:hanging="361"/>
        <w:jc w:val="left"/>
      </w:pPr>
      <w:r>
        <w:rPr/>
        <w:t>市场需求，特立此项研发。目前该项目研发已完成。 </w:t>
      </w:r>
      <w:r>
        <w:rPr>
          <w:rFonts w:ascii="宋体" w:hAnsi="宋体" w:cs="宋体" w:eastAsia="宋体" w:hint="default"/>
          <w:spacing w:val="-2"/>
        </w:rPr>
        <w:t>23</w:t>
      </w:r>
      <w:r>
        <w:rPr>
          <w:spacing w:val="-2"/>
        </w:rPr>
        <w:t>、“自动点胶贴屏一体机的激光视觉定位与校准检测关键技术的研究”项目开发目标：自动点胶贴屏机主要是将智能</w:t>
      </w:r>
    </w:p>
    <w:p>
      <w:pPr>
        <w:pStyle w:val="BodyText"/>
        <w:spacing w:line="477" w:lineRule="auto" w:before="53"/>
        <w:ind w:right="1016"/>
        <w:jc w:val="left"/>
      </w:pPr>
      <w:r>
        <w:rPr/>
        <w:t>手表自动</w:t>
      </w:r>
      <w:r>
        <w:rPr>
          <w:rFonts w:ascii="宋体" w:hAnsi="宋体" w:cs="宋体" w:eastAsia="宋体" w:hint="default"/>
        </w:rPr>
        <w:t>A</w:t>
      </w:r>
      <w:r>
        <w:rPr/>
        <w:t>壳点胶</w:t>
      </w:r>
      <w:r>
        <w:rPr>
          <w:rFonts w:ascii="宋体" w:hAnsi="宋体" w:cs="宋体" w:eastAsia="宋体" w:hint="default"/>
        </w:rPr>
        <w:t>+TP</w:t>
      </w:r>
      <w:r>
        <w:rPr/>
        <w:t>贴屏设备</w:t>
      </w:r>
      <w:r>
        <w:rPr>
          <w:rFonts w:ascii="宋体" w:hAnsi="宋体" w:cs="宋体" w:eastAsia="宋体" w:hint="default"/>
        </w:rPr>
        <w:t>,</w:t>
      </w:r>
      <w:r>
        <w:rPr/>
        <w:t>实现</w:t>
      </w:r>
      <w:r>
        <w:rPr>
          <w:rFonts w:ascii="宋体" w:hAnsi="宋体" w:cs="宋体" w:eastAsia="宋体" w:hint="default"/>
        </w:rPr>
        <w:t>A</w:t>
      </w:r>
      <w:r>
        <w:rPr/>
        <w:t>壳组件点胶后与</w:t>
      </w:r>
      <w:r>
        <w:rPr>
          <w:rFonts w:ascii="宋体" w:hAnsi="宋体" w:cs="宋体" w:eastAsia="宋体" w:hint="default"/>
        </w:rPr>
        <w:t>TP</w:t>
      </w:r>
      <w:r>
        <w:rPr/>
        <w:t>屏组件自动组装</w:t>
      </w:r>
      <w:r>
        <w:rPr>
          <w:rFonts w:ascii="宋体" w:hAnsi="宋体" w:cs="宋体" w:eastAsia="宋体" w:hint="default"/>
        </w:rPr>
        <w:t>,</w:t>
      </w:r>
      <w:r>
        <w:rPr/>
        <w:t>保证品质，节省人力。设备主要组成：</w:t>
      </w:r>
      <w:r>
        <w:rPr>
          <w:rFonts w:ascii="宋体" w:hAnsi="宋体" w:cs="宋体" w:eastAsia="宋体" w:hint="default"/>
        </w:rPr>
        <w:t>A</w:t>
      </w:r>
      <w:r>
        <w:rPr/>
        <w:t>壳</w:t>
      </w:r>
      <w:r>
        <w:rPr>
          <w:rFonts w:ascii="宋体" w:hAnsi="宋体" w:cs="宋体" w:eastAsia="宋体" w:hint="default"/>
        </w:rPr>
        <w:t>/TP</w:t>
      </w:r>
      <w:r>
        <w:rPr/>
        <w:t>上料</w:t>
      </w:r>
      <w:r>
        <w:rPr>
          <w:spacing w:val="-83"/>
        </w:rPr>
        <w:t> </w:t>
      </w:r>
      <w:r>
        <w:rPr/>
        <w:t>模组，点胶模组，贴屏模组，预保压模组，收料模组，</w:t>
      </w:r>
      <w:r>
        <w:rPr>
          <w:rFonts w:ascii="宋体" w:hAnsi="宋体" w:cs="宋体" w:eastAsia="宋体" w:hint="default"/>
        </w:rPr>
        <w:t>3D</w:t>
      </w:r>
      <w:r>
        <w:rPr/>
        <w:t>激光检测，视觉定位系统；设备工作流程：</w:t>
      </w:r>
      <w:r>
        <w:rPr>
          <w:rFonts w:ascii="宋体" w:hAnsi="宋体" w:cs="宋体" w:eastAsia="宋体" w:hint="default"/>
        </w:rPr>
        <w:t>A</w:t>
      </w:r>
      <w:r>
        <w:rPr/>
        <w:t>壳自动上料</w:t>
      </w:r>
      <w:r>
        <w:rPr>
          <w:rFonts w:ascii="宋体" w:hAnsi="宋体" w:cs="宋体" w:eastAsia="宋体" w:hint="default"/>
        </w:rPr>
        <w:t>-A</w:t>
      </w:r>
      <w:r>
        <w:rPr/>
        <w:t>壳移至</w:t>
      </w:r>
      <w:r>
        <w:rPr>
          <w:spacing w:val="-80"/>
        </w:rPr>
        <w:t> </w:t>
      </w:r>
      <w:r>
        <w:rPr/>
        <w:t>点胶平台</w:t>
      </w:r>
      <w:r>
        <w:rPr>
          <w:rFonts w:ascii="宋体" w:hAnsi="宋体" w:cs="宋体" w:eastAsia="宋体" w:hint="default"/>
        </w:rPr>
        <w:t>-A</w:t>
      </w:r>
      <w:r>
        <w:rPr/>
        <w:t>壳点胶</w:t>
      </w:r>
      <w:r>
        <w:rPr>
          <w:rFonts w:ascii="宋体" w:hAnsi="宋体" w:cs="宋体" w:eastAsia="宋体" w:hint="default"/>
        </w:rPr>
        <w:t>-</w:t>
      </w:r>
      <w:r>
        <w:rPr/>
        <w:t>移载至贴合位置，</w:t>
      </w:r>
      <w:r>
        <w:rPr>
          <w:rFonts w:ascii="宋体" w:hAnsi="宋体" w:cs="宋体" w:eastAsia="宋体" w:hint="default"/>
        </w:rPr>
        <w:t>TP</w:t>
      </w:r>
      <w:r>
        <w:rPr/>
        <w:t>自动上料</w:t>
      </w:r>
      <w:r>
        <w:rPr>
          <w:rFonts w:ascii="宋体" w:hAnsi="宋体" w:cs="宋体" w:eastAsia="宋体" w:hint="default"/>
        </w:rPr>
        <w:t>-</w:t>
      </w:r>
      <w:r>
        <w:rPr/>
        <w:t>伺服模组取屏</w:t>
      </w:r>
      <w:r>
        <w:rPr>
          <w:rFonts w:ascii="宋体" w:hAnsi="宋体" w:cs="宋体" w:eastAsia="宋体" w:hint="default"/>
        </w:rPr>
        <w:t>-</w:t>
      </w:r>
      <w:r>
        <w:rPr/>
        <w:t>视觉拍照定位后贴合</w:t>
      </w:r>
      <w:r>
        <w:rPr>
          <w:rFonts w:ascii="宋体" w:hAnsi="宋体" w:cs="宋体" w:eastAsia="宋体" w:hint="default"/>
        </w:rPr>
        <w:t>-</w:t>
      </w:r>
      <w:r>
        <w:rPr/>
        <w:t>预保压，自动收料，人工装保压盒</w:t>
      </w:r>
      <w:r>
        <w:rPr>
          <w:rFonts w:ascii="宋体" w:hAnsi="宋体" w:cs="宋体" w:eastAsia="宋体" w:hint="default"/>
        </w:rPr>
        <w:t>&amp;</w:t>
      </w:r>
      <w:r>
        <w:rPr>
          <w:rFonts w:ascii="宋体" w:hAnsi="宋体" w:cs="宋体" w:eastAsia="宋体" w:hint="default"/>
          <w:spacing w:val="-83"/>
        </w:rPr>
        <w:t> </w:t>
      </w:r>
      <w:r>
        <w:rPr>
          <w:spacing w:val="-3"/>
        </w:rPr>
        <w:t>不良处理。最大限度减轻损耗，缩短生产周期，解放劳动力，大大提高生产效率和分板质量。为提高卓翼自动化业内竞争力，</w:t>
      </w:r>
      <w:r>
        <w:rPr>
          <w:spacing w:val="-80"/>
        </w:rPr>
        <w:t> </w:t>
      </w:r>
      <w:r>
        <w:rPr>
          <w:spacing w:val="-80"/>
        </w:rPr>
      </w:r>
      <w:r>
        <w:rPr/>
        <w:t>满足市场需求，特立此项研发。目前该项目研发已完成。</w:t>
      </w:r>
    </w:p>
    <w:p>
      <w:pPr>
        <w:pStyle w:val="BodyText"/>
        <w:spacing w:line="484" w:lineRule="auto" w:before="82"/>
        <w:ind w:right="1029" w:firstLine="360"/>
        <w:jc w:val="left"/>
      </w:pPr>
      <w:r>
        <w:rPr>
          <w:rFonts w:ascii="宋体" w:hAnsi="宋体" w:cs="宋体" w:eastAsia="宋体" w:hint="default"/>
          <w:spacing w:val="-2"/>
        </w:rPr>
        <w:t>24</w:t>
      </w:r>
      <w:r>
        <w:rPr>
          <w:spacing w:val="-2"/>
        </w:rPr>
        <w:t>、“红色有镉量子点材料开发项目”开发目标：为了研发高端显示材料，以满足市场对高端显示材料的需求。现阶段</w:t>
      </w:r>
      <w:r>
        <w:rPr/>
        <w:t> 红色有镉量子点材料开发项目已完成，开发所得红色有镉量子点半峰宽窄，发光效率高，性能稳定，能够应用于包括显示、 </w:t>
      </w:r>
      <w:r>
        <w:rPr>
          <w:spacing w:val="-2"/>
        </w:rPr>
        <w:t>照明、医疗等众多领域。红色有镉量子点材料开发项目经过立项调研评估，立项后进入开发阶段，公司将此项目开发阶段中</w:t>
      </w:r>
      <w:r>
        <w:rPr>
          <w:spacing w:val="-42"/>
        </w:rPr>
        <w:t> </w:t>
      </w:r>
      <w:r>
        <w:rPr>
          <w:spacing w:val="-42"/>
        </w:rPr>
      </w:r>
      <w:r>
        <w:rPr/>
        <w:t>与项目开发直接相关的费用进行资本化，截止</w:t>
      </w:r>
      <w:r>
        <w:rPr>
          <w:spacing w:val="-41"/>
        </w:rPr>
        <w:t> </w:t>
      </w:r>
      <w:r>
        <w:rPr>
          <w:rFonts w:ascii="宋体" w:hAnsi="宋体" w:cs="宋体" w:eastAsia="宋体" w:hint="default"/>
        </w:rPr>
        <w:t>2019</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日，红色有镉量子点材料开发项目已经完成项目开发，后续</w:t>
      </w:r>
    </w:p>
    <w:p>
      <w:pPr>
        <w:pStyle w:val="BodyText"/>
        <w:spacing w:line="535" w:lineRule="auto" w:before="31"/>
        <w:ind w:left="501" w:right="0" w:hanging="361"/>
        <w:jc w:val="left"/>
      </w:pPr>
      <w:r>
        <w:rPr/>
        <w:t>产业化等相关工作也在同步展开，预计在</w:t>
      </w:r>
      <w:r>
        <w:rPr>
          <w:spacing w:val="-42"/>
        </w:rPr>
        <w:t> </w:t>
      </w:r>
      <w:r>
        <w:rPr>
          <w:rFonts w:ascii="宋体" w:hAnsi="宋体" w:cs="宋体" w:eastAsia="宋体" w:hint="default"/>
        </w:rPr>
        <w:t>2020</w:t>
      </w:r>
      <w:r>
        <w:rPr>
          <w:rFonts w:ascii="宋体" w:hAnsi="宋体" w:cs="宋体" w:eastAsia="宋体" w:hint="default"/>
          <w:spacing w:val="-45"/>
        </w:rPr>
        <w:t> </w:t>
      </w:r>
      <w:r>
        <w:rPr/>
        <w:t>年</w:t>
      </w:r>
      <w:r>
        <w:rPr>
          <w:spacing w:val="-45"/>
        </w:rPr>
        <w:t> </w:t>
      </w:r>
      <w:r>
        <w:rPr>
          <w:rFonts w:ascii="宋体" w:hAnsi="宋体" w:cs="宋体" w:eastAsia="宋体" w:hint="default"/>
        </w:rPr>
        <w:t>9</w:t>
      </w:r>
      <w:r>
        <w:rPr>
          <w:rFonts w:ascii="宋体" w:hAnsi="宋体" w:cs="宋体" w:eastAsia="宋体" w:hint="default"/>
          <w:spacing w:val="-45"/>
        </w:rPr>
        <w:t> </w:t>
      </w:r>
      <w:r>
        <w:rPr/>
        <w:t>月份实现量产。 </w:t>
      </w:r>
      <w:r>
        <w:rPr>
          <w:rFonts w:ascii="宋体" w:hAnsi="宋体" w:cs="宋体" w:eastAsia="宋体" w:hint="default"/>
          <w:spacing w:val="-2"/>
        </w:rPr>
        <w:t>25</w:t>
      </w:r>
      <w:r>
        <w:rPr>
          <w:spacing w:val="-2"/>
        </w:rPr>
        <w:t>、“绿色有镉量子点材料开发项目”开发目标：为了研发高端显示材料，以满足市场对高端显示材料的需求。现阶段</w:t>
      </w:r>
    </w:p>
    <w:p>
      <w:pPr>
        <w:pStyle w:val="BodyText"/>
        <w:spacing w:line="240" w:lineRule="auto" w:before="8"/>
        <w:ind w:right="0"/>
        <w:jc w:val="left"/>
      </w:pPr>
      <w:r>
        <w:rPr/>
        <w:t>绿色有镉量子点材料开发项目已完成，开发所得绿色有镉量子点半峰宽窄，发光效率高，性能稳定，能够应用于包括显示、</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75" w:lineRule="auto"/>
        <w:ind w:right="0"/>
        <w:jc w:val="left"/>
      </w:pPr>
      <w:r>
        <w:rPr>
          <w:spacing w:val="-2"/>
        </w:rPr>
        <w:t>照明、医疗等众多领域。绿色有镉量子点材料开发项目经过立项调研评估，立项后进入开发阶段，公司将此项目开发阶段中</w:t>
      </w:r>
      <w:r>
        <w:rPr>
          <w:spacing w:val="-42"/>
        </w:rPr>
        <w:t> </w:t>
      </w:r>
      <w:r>
        <w:rPr>
          <w:spacing w:val="-42"/>
        </w:rPr>
      </w:r>
      <w:r>
        <w:rPr/>
        <w:t>与项目开发直接相关的费用进行资本化，截止</w:t>
      </w:r>
      <w:r>
        <w:rPr>
          <w:spacing w:val="-41"/>
        </w:rPr>
        <w:t> </w:t>
      </w:r>
      <w:r>
        <w:rPr>
          <w:rFonts w:ascii="宋体" w:hAnsi="宋体" w:cs="宋体" w:eastAsia="宋体" w:hint="default"/>
        </w:rPr>
        <w:t>2019</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日，绿色有镉量子点材料开发项目已经完成项目开发，后续</w:t>
      </w:r>
    </w:p>
    <w:p>
      <w:pPr>
        <w:pStyle w:val="BodyText"/>
        <w:spacing w:line="535" w:lineRule="auto" w:before="38"/>
        <w:ind w:left="501" w:right="0" w:hanging="361"/>
        <w:jc w:val="left"/>
      </w:pPr>
      <w:r>
        <w:rPr/>
        <w:t>产业化等相关工作也在同步展开，预计在</w:t>
      </w:r>
      <w:r>
        <w:rPr>
          <w:spacing w:val="-42"/>
        </w:rPr>
        <w:t> </w:t>
      </w:r>
      <w:r>
        <w:rPr>
          <w:rFonts w:ascii="宋体" w:hAnsi="宋体" w:cs="宋体" w:eastAsia="宋体" w:hint="default"/>
        </w:rPr>
        <w:t>2020</w:t>
      </w:r>
      <w:r>
        <w:rPr>
          <w:rFonts w:ascii="宋体" w:hAnsi="宋体" w:cs="宋体" w:eastAsia="宋体" w:hint="default"/>
          <w:spacing w:val="-45"/>
        </w:rPr>
        <w:t> </w:t>
      </w:r>
      <w:r>
        <w:rPr/>
        <w:t>年</w:t>
      </w:r>
      <w:r>
        <w:rPr>
          <w:spacing w:val="-45"/>
        </w:rPr>
        <w:t> </w:t>
      </w:r>
      <w:r>
        <w:rPr>
          <w:rFonts w:ascii="宋体" w:hAnsi="宋体" w:cs="宋体" w:eastAsia="宋体" w:hint="default"/>
        </w:rPr>
        <w:t>9</w:t>
      </w:r>
      <w:r>
        <w:rPr>
          <w:rFonts w:ascii="宋体" w:hAnsi="宋体" w:cs="宋体" w:eastAsia="宋体" w:hint="default"/>
          <w:spacing w:val="-45"/>
        </w:rPr>
        <w:t> </w:t>
      </w:r>
      <w:r>
        <w:rPr/>
        <w:t>月份实现量产。 </w:t>
      </w:r>
      <w:r>
        <w:rPr>
          <w:rFonts w:ascii="宋体" w:hAnsi="宋体" w:cs="宋体" w:eastAsia="宋体" w:hint="default"/>
          <w:spacing w:val="-2"/>
        </w:rPr>
        <w:t>26</w:t>
      </w:r>
      <w:r>
        <w:rPr>
          <w:spacing w:val="-2"/>
        </w:rPr>
        <w:t>、“无镉量子点预研项目”开发目标：为了解决有镉量子点含有有毒物质的痛点，以进一步满足市场对高端显示材料</w:t>
      </w:r>
    </w:p>
    <w:p>
      <w:pPr>
        <w:pStyle w:val="BodyText"/>
        <w:spacing w:line="475" w:lineRule="auto" w:before="8"/>
        <w:ind w:right="1029"/>
        <w:jc w:val="left"/>
      </w:pPr>
      <w:r>
        <w:rPr/>
        <w:t>的需求。现阶段无镉量子点预研项目已完成，预研所得无镉量子点与同类产品相比半峰宽较窄，发光效率较高，性能稳定，</w:t>
      </w:r>
      <w:r>
        <w:rPr>
          <w:spacing w:val="-87"/>
        </w:rPr>
        <w:t> </w:t>
      </w:r>
      <w:r>
        <w:rPr>
          <w:spacing w:val="-87"/>
        </w:rPr>
      </w:r>
      <w:r>
        <w:rPr>
          <w:spacing w:val="-2"/>
        </w:rPr>
        <w:t>为后续进一步的研发工作打下坚实基础。无镉量子点预研项目经过立项调研评估，立项后进入开发阶段，公司将此项目开发</w:t>
      </w:r>
      <w:r>
        <w:rPr>
          <w:spacing w:val="-75"/>
        </w:rPr>
        <w:t> </w:t>
      </w:r>
      <w:r>
        <w:rPr>
          <w:spacing w:val="-75"/>
        </w:rPr>
      </w:r>
      <w:r>
        <w:rPr/>
        <w:t>阶段中与项目开发直接相关的费用进行资本化，截止</w:t>
      </w:r>
      <w:r>
        <w:rPr>
          <w:spacing w:val="-40"/>
        </w:rPr>
        <w:t> </w:t>
      </w:r>
      <w:r>
        <w:rPr>
          <w:rFonts w:ascii="宋体" w:hAnsi="宋体" w:cs="宋体" w:eastAsia="宋体" w:hint="default"/>
        </w:rPr>
        <w:t>2019</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日，无镉量子点预研项目已经完成项目预研工作，后 续将进一步提升材料的性能及稳定性，以满足市场对高端显示材料的多元化需求。</w:t>
      </w:r>
    </w:p>
    <w:p>
      <w:pPr>
        <w:pStyle w:val="BodyText"/>
        <w:spacing w:line="480" w:lineRule="auto" w:before="113"/>
        <w:ind w:right="1011" w:firstLine="360"/>
        <w:jc w:val="left"/>
      </w:pPr>
      <w:r>
        <w:rPr>
          <w:rFonts w:ascii="宋体" w:hAnsi="宋体" w:cs="宋体" w:eastAsia="宋体" w:hint="default"/>
          <w:spacing w:val="-3"/>
        </w:rPr>
        <w:t>27</w:t>
      </w:r>
      <w:r>
        <w:rPr>
          <w:spacing w:val="-3"/>
        </w:rPr>
        <w:t>、“量子点光学膜片开发项目”开发目标：为了配合使用公司自研量子点材料，制成满足市场需求的量子点光学膜片，</w:t>
      </w:r>
      <w:r>
        <w:rPr/>
        <w:t> </w:t>
      </w:r>
      <w:r>
        <w:rPr>
          <w:spacing w:val="-2"/>
        </w:rPr>
        <w:t>使其在未来实现量子点材料利用最大化。现阶段量子点光学膜片开发项目仍在进行中，现阶段开发所得量子点光学膜片稳定</w:t>
      </w:r>
      <w:r>
        <w:rPr>
          <w:spacing w:val="-69"/>
        </w:rPr>
        <w:t> </w:t>
      </w:r>
      <w:r>
        <w:rPr>
          <w:spacing w:val="-69"/>
        </w:rPr>
      </w:r>
      <w:r>
        <w:rPr>
          <w:spacing w:val="-3"/>
        </w:rPr>
        <w:t>性高，寿命长，亮度好，可根据客户要求对</w:t>
      </w:r>
      <w:r>
        <w:rPr>
          <w:spacing w:val="-47"/>
        </w:rPr>
        <w:t> </w:t>
      </w:r>
      <w:r>
        <w:rPr>
          <w:rFonts w:ascii="宋体" w:hAnsi="宋体" w:cs="宋体" w:eastAsia="宋体" w:hint="default"/>
        </w:rPr>
        <w:t>CIE</w:t>
      </w:r>
      <w:r>
        <w:rPr>
          <w:rFonts w:ascii="宋体" w:hAnsi="宋体" w:cs="宋体" w:eastAsia="宋体" w:hint="default"/>
          <w:spacing w:val="-49"/>
        </w:rPr>
        <w:t> </w:t>
      </w:r>
      <w:r>
        <w:rPr/>
        <w:t>进行精确调节。量子点光学膜片开发项目经过立项调研评估，立项后进入开 发阶段，公司将此项目开发阶段中与项目开发直接相关的费用进行资本化，截止</w:t>
      </w:r>
      <w:r>
        <w:rPr>
          <w:spacing w:val="-37"/>
        </w:rPr>
        <w:t> </w:t>
      </w:r>
      <w:r>
        <w:rPr>
          <w:rFonts w:ascii="宋体" w:hAnsi="宋体" w:cs="宋体" w:eastAsia="宋体" w:hint="default"/>
        </w:rPr>
        <w:t>2019</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日，量子点光学膜片开发</w:t>
      </w:r>
    </w:p>
    <w:p>
      <w:pPr>
        <w:pStyle w:val="BodyText"/>
        <w:spacing w:line="465" w:lineRule="auto" w:before="50"/>
        <w:ind w:right="1125"/>
        <w:jc w:val="both"/>
      </w:pPr>
      <w:r>
        <w:rPr/>
        <w:t>项目完成第三阶段的项目开发，根据项目计划，在</w:t>
      </w:r>
      <w:r>
        <w:rPr>
          <w:spacing w:val="-40"/>
        </w:rPr>
        <w:t> </w:t>
      </w:r>
      <w:r>
        <w:rPr>
          <w:rFonts w:ascii="宋体" w:hAnsi="宋体" w:cs="宋体" w:eastAsia="宋体" w:hint="default"/>
        </w:rPr>
        <w:t>2020</w:t>
      </w:r>
      <w:r>
        <w:rPr>
          <w:rFonts w:ascii="宋体" w:hAnsi="宋体" w:cs="宋体" w:eastAsia="宋体" w:hint="default"/>
          <w:spacing w:val="-45"/>
        </w:rPr>
        <w:t> </w:t>
      </w:r>
      <w:r>
        <w:rPr/>
        <w:t>年将进行项目第四阶段的开展实施，本阶段预期花费</w:t>
      </w:r>
      <w:r>
        <w:rPr>
          <w:spacing w:val="-40"/>
        </w:rPr>
        <w:t> </w:t>
      </w:r>
      <w:r>
        <w:rPr>
          <w:rFonts w:ascii="宋体" w:hAnsi="宋体" w:cs="宋体" w:eastAsia="宋体" w:hint="default"/>
        </w:rPr>
        <w:t>7</w:t>
      </w:r>
      <w:r>
        <w:rPr>
          <w:rFonts w:ascii="宋体" w:hAnsi="宋体" w:cs="宋体" w:eastAsia="宋体" w:hint="default"/>
          <w:spacing w:val="-45"/>
        </w:rPr>
        <w:t> </w:t>
      </w:r>
      <w:r>
        <w:rPr/>
        <w:t>个月时间， </w:t>
      </w:r>
      <w:r>
        <w:rPr>
          <w:spacing w:val="-2"/>
        </w:rPr>
        <w:t>主要进行涂布厂家外协合作和制作量产膜片样品等内容，项目开发完成后将达成量产膜片样品符合目标客户需求的目标，同</w:t>
      </w:r>
      <w:r>
        <w:rPr>
          <w:spacing w:val="-72"/>
        </w:rPr>
        <w:t> </w:t>
      </w:r>
      <w:r>
        <w:rPr>
          <w:spacing w:val="-72"/>
        </w:rPr>
      </w:r>
      <w:r>
        <w:rPr/>
        <w:t>时积累量子点光学膜片量产的工艺技术及经验，为后续大量量产做基础。</w:t>
      </w:r>
    </w:p>
    <w:p>
      <w:pPr>
        <w:pStyle w:val="BodyText"/>
        <w:spacing w:line="477" w:lineRule="auto" w:before="121"/>
        <w:ind w:right="1029" w:firstLine="360"/>
        <w:jc w:val="left"/>
      </w:pPr>
      <w:r>
        <w:rPr>
          <w:rFonts w:ascii="宋体" w:hAnsi="宋体" w:cs="宋体" w:eastAsia="宋体" w:hint="default"/>
          <w:spacing w:val="-2"/>
        </w:rPr>
        <w:t>28</w:t>
      </w:r>
      <w:r>
        <w:rPr>
          <w:spacing w:val="-2"/>
        </w:rPr>
        <w:t>、“量子点应用项目”开发目标：为了掌握量子点材料在各领域的应用要求，改善或优化自身量子点材料性能，实现</w:t>
      </w:r>
      <w:r>
        <w:rPr/>
        <w:t> 自产量子点价值最大化，达到战略布局。现阶段量子点应用项目仍在进行中，现阶段开发所得量子点应用涵盖材料、显示、 </w:t>
      </w:r>
      <w:r>
        <w:rPr>
          <w:spacing w:val="-2"/>
        </w:rPr>
        <w:t>照明等领域。量子点应用项目经过立项调研评估，立项后进入开发阶段，公司将此项目开发阶段中与项目开发直接相关的费</w:t>
      </w:r>
      <w:r>
        <w:rPr>
          <w:spacing w:val="-75"/>
        </w:rPr>
        <w:t> </w:t>
      </w:r>
      <w:r>
        <w:rPr>
          <w:spacing w:val="-75"/>
        </w:rPr>
      </w:r>
      <w:r>
        <w:rPr/>
        <w:t>用进行资本化，截止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w:t>
      </w:r>
      <w:r>
        <w:rPr/>
        <w:t>该项目已完成</w:t>
      </w:r>
      <w:r>
        <w:rPr>
          <w:rFonts w:ascii="宋体" w:hAnsi="宋体" w:cs="宋体" w:eastAsia="宋体" w:hint="default"/>
        </w:rPr>
        <w:t>4</w:t>
      </w:r>
      <w:r>
        <w:rPr/>
        <w:t>项</w:t>
      </w:r>
      <w:r>
        <w:rPr>
          <w:rFonts w:ascii="宋体" w:hAnsi="宋体" w:cs="宋体" w:eastAsia="宋体" w:hint="default"/>
        </w:rPr>
        <w:t>7</w:t>
      </w:r>
      <w:r>
        <w:rPr/>
        <w:t>篇专利的撰写、修改及递交工作。根据项目计划，在</w:t>
      </w:r>
      <w:r>
        <w:rPr>
          <w:rFonts w:ascii="宋体" w:hAnsi="宋体" w:cs="宋体" w:eastAsia="宋体" w:hint="default"/>
        </w:rPr>
        <w:t>2020</w:t>
      </w:r>
      <w:r>
        <w:rPr/>
        <w:t>年将在量</w:t>
      </w:r>
      <w:r>
        <w:rPr>
          <w:spacing w:val="-82"/>
        </w:rPr>
        <w:t> </w:t>
      </w:r>
      <w:r>
        <w:rPr>
          <w:spacing w:val="-2"/>
        </w:rPr>
        <w:t>子点所涉及的重点领域进行进一步布局，所涉及费用包含文献专利查询费用，专利修改润色委托费，专利送审费，实验设备</w:t>
      </w:r>
      <w:r>
        <w:rPr>
          <w:spacing w:val="-42"/>
        </w:rPr>
        <w:t> </w:t>
      </w:r>
      <w:r>
        <w:rPr>
          <w:spacing w:val="-42"/>
        </w:rPr>
      </w:r>
      <w:r>
        <w:rPr/>
        <w:t>公摊等，以实现公司在量子点应用方面，尤其是量子点显示、照明应用方面的专利布局。</w:t>
      </w:r>
    </w:p>
    <w:p>
      <w:pPr>
        <w:pStyle w:val="BodyText"/>
        <w:spacing w:line="482" w:lineRule="auto" w:before="52"/>
        <w:ind w:right="1128" w:firstLine="360"/>
        <w:jc w:val="both"/>
      </w:pPr>
      <w:r>
        <w:rPr>
          <w:rFonts w:ascii="宋体" w:hAnsi="宋体" w:cs="宋体" w:eastAsia="宋体" w:hint="default"/>
        </w:rPr>
        <w:t>29</w:t>
      </w:r>
      <w:r>
        <w:rPr/>
        <w:t>、“ZC1201”项目开发目标：</w:t>
      </w:r>
      <w:r>
        <w:rPr>
          <w:rFonts w:ascii="宋体" w:hAnsi="宋体" w:cs="宋体" w:eastAsia="宋体" w:hint="default"/>
        </w:rPr>
        <w:t>CPE</w:t>
      </w:r>
      <w:r>
        <w:rPr/>
        <w:t>产品是一款将宽带和移动网络，转化为</w:t>
      </w:r>
      <w:r>
        <w:rPr>
          <w:rFonts w:ascii="宋体" w:hAnsi="宋体" w:cs="宋体" w:eastAsia="宋体" w:hint="default"/>
        </w:rPr>
        <w:t>WIFI</w:t>
      </w:r>
      <w:r>
        <w:rPr/>
        <w:t>热点，形成可用信号，方便用户连接， 使用。随着</w:t>
      </w:r>
      <w:r>
        <w:rPr>
          <w:rFonts w:ascii="宋体" w:hAnsi="宋体" w:cs="宋体" w:eastAsia="宋体" w:hint="default"/>
        </w:rPr>
        <w:t>4G</w:t>
      </w:r>
      <w:r>
        <w:rPr/>
        <w:t>网络不断成熟，网速越来越快，网络越来越稳定，可以提供高质量的服务和使用，</w:t>
      </w:r>
      <w:r>
        <w:rPr>
          <w:rFonts w:ascii="宋体" w:hAnsi="宋体" w:cs="宋体" w:eastAsia="宋体" w:hint="default"/>
        </w:rPr>
        <w:t>CPE</w:t>
      </w:r>
      <w:r>
        <w:rPr/>
        <w:t>能提供多用户同时接入</w:t>
      </w:r>
      <w:r>
        <w:rPr>
          <w:spacing w:val="-82"/>
        </w:rPr>
        <w:t> </w:t>
      </w:r>
      <w:r>
        <w:rPr/>
        <w:t>连接使用，能满足在小商铺、办公室和家庭等场所，接入网络，特立此项研发。目前该项目研发已完成。</w:t>
      </w:r>
    </w:p>
    <w:p>
      <w:pPr>
        <w:pStyle w:val="BodyText"/>
        <w:spacing w:line="475" w:lineRule="auto" w:before="48"/>
        <w:ind w:right="0" w:firstLine="360"/>
        <w:jc w:val="left"/>
      </w:pPr>
      <w:r>
        <w:rPr>
          <w:rFonts w:ascii="宋体" w:hAnsi="宋体" w:cs="宋体" w:eastAsia="宋体" w:hint="default"/>
          <w:spacing w:val="-2"/>
        </w:rPr>
        <w:t>30</w:t>
      </w:r>
      <w:r>
        <w:rPr>
          <w:spacing w:val="-2"/>
        </w:rPr>
        <w:t>、“ZE1302”项目开发目标：</w:t>
      </w:r>
      <w:r>
        <w:rPr>
          <w:rFonts w:ascii="宋体" w:hAnsi="宋体" w:cs="宋体" w:eastAsia="宋体" w:hint="default"/>
          <w:spacing w:val="-2"/>
        </w:rPr>
        <w:t>MIFI</w:t>
      </w:r>
      <w:r>
        <w:rPr>
          <w:spacing w:val="-2"/>
        </w:rPr>
        <w:t>产品是一款将移动网络，转化为</w:t>
      </w:r>
      <w:r>
        <w:rPr>
          <w:rFonts w:ascii="宋体" w:hAnsi="宋体" w:cs="宋体" w:eastAsia="宋体" w:hint="default"/>
          <w:spacing w:val="-2"/>
        </w:rPr>
        <w:t>WIFI</w:t>
      </w:r>
      <w:r>
        <w:rPr>
          <w:spacing w:val="-2"/>
        </w:rPr>
        <w:t>热点，形成可用信号，供在无宽带或网络的地</w:t>
      </w:r>
      <w:r>
        <w:rPr/>
        <w:t> </w:t>
      </w:r>
      <w:r>
        <w:rPr>
          <w:spacing w:val="-4"/>
        </w:rPr>
        <w:t>区提供给多设备或多仪器上网服务。随着</w:t>
      </w:r>
      <w:r>
        <w:rPr>
          <w:rFonts w:ascii="宋体" w:hAnsi="宋体" w:cs="宋体" w:eastAsia="宋体" w:hint="default"/>
          <w:spacing w:val="-4"/>
        </w:rPr>
        <w:t>4G</w:t>
      </w:r>
      <w:r>
        <w:rPr>
          <w:spacing w:val="-4"/>
        </w:rPr>
        <w:t>网络不断成熟，网速越来越快，网络越来越稳定，可以提供高质量的服务和使用，</w:t>
      </w:r>
      <w:r>
        <w:rPr>
          <w:spacing w:val="-43"/>
        </w:rPr>
        <w:t> </w:t>
      </w:r>
      <w:r>
        <w:rPr>
          <w:spacing w:val="-43"/>
        </w:rPr>
      </w:r>
      <w:r>
        <w:rPr>
          <w:rFonts w:ascii="宋体" w:hAnsi="宋体" w:cs="宋体" w:eastAsia="宋体" w:hint="default"/>
          <w:spacing w:val="-4"/>
        </w:rPr>
        <w:t>MIFI</w:t>
      </w:r>
      <w:r>
        <w:rPr>
          <w:spacing w:val="-4"/>
        </w:rPr>
        <w:t>能提供</w:t>
      </w:r>
      <w:r>
        <w:rPr>
          <w:rFonts w:ascii="宋体" w:hAnsi="宋体" w:cs="宋体" w:eastAsia="宋体" w:hint="default"/>
          <w:spacing w:val="-4"/>
        </w:rPr>
        <w:t>32</w:t>
      </w:r>
      <w:r>
        <w:rPr>
          <w:spacing w:val="-4"/>
        </w:rPr>
        <w:t>个用户同时接入连接使用，能满足在小商铺、办公室和家庭等场所，接入网络。在缺少基站或没有宽带情况下，</w:t>
      </w:r>
      <w:r>
        <w:rPr>
          <w:spacing w:val="-38"/>
        </w:rPr>
        <w:t> </w:t>
      </w:r>
      <w:r>
        <w:rPr>
          <w:spacing w:val="-38"/>
        </w:rPr>
      </w:r>
      <w:r>
        <w:rPr/>
        <w:t>提供无线网络，特立此项研发。目前该项目研发已完成。</w:t>
      </w:r>
    </w:p>
    <w:p>
      <w:pPr>
        <w:pStyle w:val="BodyText"/>
        <w:spacing w:line="240" w:lineRule="auto" w:before="23"/>
        <w:ind w:right="0"/>
        <w:jc w:val="left"/>
      </w:pPr>
      <w:r>
        <w:rPr/>
        <w:t>公司研发投入情况</w:t>
      </w:r>
    </w:p>
    <w:p>
      <w:pPr>
        <w:spacing w:after="0" w:line="240"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819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665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23.16%</w:t>
            </w:r>
            <w:r>
              <w:rPr>
                <w:rFonts w:ascii="Times New Roman"/>
                <w:sz w:val="18"/>
              </w:rPr>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5.43%</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9.71%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-4.28%</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151,590,276.38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109,564,276.13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38.36%</w:t>
            </w:r>
            <w:r>
              <w:rPr>
                <w:rFonts w:ascii="Times New Roman"/>
                <w:sz w:val="18"/>
              </w:rPr>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4.53%</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3.48%</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1.05%</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5,101,480.77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4,201,095.93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21.43%</w:t>
            </w:r>
            <w:r>
              <w:rPr>
                <w:rFonts w:ascii="Times New Roman"/>
                <w:sz w:val="18"/>
              </w:rPr>
            </w:r>
          </w:p>
        </w:tc>
      </w:tr>
      <w:tr>
        <w:trPr>
          <w:trHeight w:val="7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8"/>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3.37%</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3.83%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-0.46%</w:t>
            </w:r>
          </w:p>
        </w:tc>
      </w:tr>
    </w:tbl>
    <w:p>
      <w:pPr>
        <w:pStyle w:val="BodyText"/>
        <w:spacing w:line="240" w:lineRule="auto" w:before="45"/>
        <w:ind w:right="0"/>
        <w:jc w:val="left"/>
      </w:pPr>
      <w:r>
        <w:rPr/>
        <w:t>研发投入总额占营业收入的比重较上年发生显著变化的原因</w:t>
      </w:r>
    </w:p>
    <w:p>
      <w:pPr>
        <w:pStyle w:val="BodyText"/>
        <w:spacing w:line="333" w:lineRule="auto" w:before="124"/>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研发投入资本化率大幅变动的原因及其合理性说明</w:t>
      </w:r>
    </w:p>
    <w:p>
      <w:pPr>
        <w:pStyle w:val="BodyText"/>
        <w:spacing w:line="240" w:lineRule="auto" w:before="5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5、现金流" w:id="39"/>
      <w:bookmarkEnd w:id="39"/>
      <w:r>
        <w:rPr>
          <w:b w:val="0"/>
          <w:bCs w:val="0"/>
        </w:rPr>
      </w:r>
      <w:r>
        <w:rPr>
          <w:rFonts w:ascii="Times New Roman" w:hAnsi="Times New Roman" w:cs="Times New Roman" w:eastAsia="Times New Roman" w:hint="default"/>
          <w:spacing w:val="4"/>
        </w:rPr>
        <w:t>5</w:t>
      </w:r>
      <w:r>
        <w:rPr>
          <w:spacing w:val="4"/>
        </w:rPr>
        <w:t>、现金流</w:t>
      </w:r>
      <w:r>
        <w:rPr>
          <w:b w:val="0"/>
          <w:bCs w:val="0"/>
          <w:spacing w:val="4"/>
        </w:rPr>
      </w:r>
    </w:p>
    <w:p>
      <w:pPr>
        <w:spacing w:line="240" w:lineRule="auto" w:before="2"/>
        <w:rPr>
          <w:rFonts w:ascii="宋体" w:hAnsi="宋体" w:cs="宋体" w:eastAsia="宋体" w:hint="default"/>
          <w:b/>
          <w:bCs/>
          <w:sz w:val="22"/>
          <w:szCs w:val="22"/>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3,405,876,547.93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3,826,559,600.47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-10.99%</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3,132,332,973.55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3,742,063,144.91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-16.29%</w:t>
            </w:r>
          </w:p>
        </w:tc>
      </w:tr>
      <w:tr>
        <w:trPr>
          <w:trHeight w:val="7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273,543,574.38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84,496,455.56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223.73%</w:t>
            </w:r>
            <w:r>
              <w:rPr>
                <w:rFonts w:ascii="Times New Roman"/>
                <w:sz w:val="18"/>
              </w:rPr>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35,317,971.72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488,085,072.27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-92.76%</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216,298,920.57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407,738,340.45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-46.95%</w:t>
            </w:r>
          </w:p>
        </w:tc>
      </w:tr>
      <w:tr>
        <w:trPr>
          <w:trHeight w:val="7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-180,980,948.85</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80,346,731.82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-325.25%</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736,709,476.17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489,575,608.31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50.48%</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696,660,296.74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745,951,286.59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-6.61%</w:t>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8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40,049,179.43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-256,375,678.28</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115.62%</w:t>
            </w:r>
            <w:r>
              <w:rPr>
                <w:rFonts w:ascii="Times New Roman"/>
                <w:sz w:val="18"/>
              </w:rPr>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133,438,904.33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-92,043,994.70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244.97%</w:t>
            </w:r>
            <w:r>
              <w:rPr>
                <w:rFonts w:ascii="Times New Roman"/>
                <w:sz w:val="18"/>
              </w:rPr>
            </w:r>
          </w:p>
        </w:tc>
      </w:tr>
    </w:tbl>
    <w:p>
      <w:pPr>
        <w:pStyle w:val="BodyText"/>
        <w:spacing w:line="240" w:lineRule="auto" w:before="45"/>
        <w:ind w:right="0"/>
        <w:jc w:val="left"/>
      </w:pPr>
      <w:r>
        <w:rPr/>
        <w:t>相关数据同比发生重大变动的主要影响因素说明</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88" w:lineRule="auto" w:before="111"/>
        <w:ind w:right="1194"/>
        <w:jc w:val="left"/>
      </w:pPr>
      <w:r>
        <w:rPr/>
        <w:t>（</w:t>
      </w:r>
      <w:r>
        <w:rPr>
          <w:rFonts w:ascii="Times New Roman" w:hAnsi="Times New Roman" w:cs="Times New Roman" w:eastAsia="Times New Roman" w:hint="default"/>
        </w:rPr>
        <w:t>1</w:t>
      </w:r>
      <w:r>
        <w:rPr/>
        <w:t>）经营活动产生的现金流量净额比上年同期增长</w:t>
      </w:r>
      <w:r>
        <w:rPr>
          <w:rFonts w:ascii="Times New Roman" w:hAnsi="Times New Roman" w:cs="Times New Roman" w:eastAsia="Times New Roman" w:hint="default"/>
        </w:rPr>
        <w:t>223.73%</w:t>
      </w:r>
      <w:r>
        <w:rPr/>
        <w:t>，主要系本期存货采购储备较上年同期减少，支付货款减少所</w:t>
      </w:r>
      <w:r>
        <w:rPr>
          <w:spacing w:val="-85"/>
        </w:rPr>
        <w:t> </w:t>
      </w:r>
      <w:r>
        <w:rPr/>
        <w:t>致。</w:t>
      </w:r>
    </w:p>
    <w:p>
      <w:pPr>
        <w:pStyle w:val="BodyText"/>
        <w:spacing w:line="240" w:lineRule="auto" w:before="89"/>
        <w:ind w:right="0"/>
        <w:jc w:val="left"/>
      </w:pPr>
      <w:r>
        <w:rPr/>
        <w:t>（</w:t>
      </w:r>
      <w:r>
        <w:rPr>
          <w:rFonts w:ascii="Times New Roman" w:hAnsi="Times New Roman" w:cs="Times New Roman" w:eastAsia="Times New Roman" w:hint="default"/>
        </w:rPr>
        <w:t>2</w:t>
      </w:r>
      <w:r>
        <w:rPr/>
        <w:t>）投资活动产生的现金流量净额比上年同期下降</w:t>
      </w:r>
      <w:r>
        <w:rPr>
          <w:rFonts w:ascii="Times New Roman" w:hAnsi="Times New Roman" w:cs="Times New Roman" w:eastAsia="Times New Roman" w:hint="default"/>
        </w:rPr>
        <w:t>325.25%</w:t>
      </w:r>
      <w:r>
        <w:rPr/>
        <w:t>，</w:t>
      </w:r>
      <w:r>
        <w:rPr>
          <w:spacing w:val="-10"/>
        </w:rPr>
        <w:t> </w:t>
      </w:r>
      <w:r>
        <w:rPr/>
        <w:t>主要系上期理财产品到期赎回金额较多所致。</w:t>
      </w:r>
    </w:p>
    <w:p>
      <w:pPr>
        <w:pStyle w:val="BodyText"/>
        <w:spacing w:line="240" w:lineRule="auto" w:before="96"/>
        <w:ind w:right="0"/>
        <w:jc w:val="left"/>
      </w:pPr>
      <w:r>
        <w:rPr/>
        <w:t>（</w:t>
      </w:r>
      <w:r>
        <w:rPr>
          <w:rFonts w:ascii="Times New Roman" w:hAnsi="Times New Roman" w:cs="Times New Roman" w:eastAsia="Times New Roman" w:hint="default"/>
        </w:rPr>
        <w:t>3</w:t>
      </w:r>
      <w:r>
        <w:rPr/>
        <w:t>）筹资活动产生的现金流量净额比上年同期增长</w:t>
      </w:r>
      <w:r>
        <w:rPr>
          <w:rFonts w:ascii="Times New Roman" w:hAnsi="Times New Roman" w:cs="Times New Roman" w:eastAsia="Times New Roman" w:hint="default"/>
        </w:rPr>
        <w:t>115.62%</w:t>
      </w:r>
      <w:r>
        <w:rPr/>
        <w:t>，</w:t>
      </w:r>
      <w:r>
        <w:rPr>
          <w:spacing w:val="-10"/>
        </w:rPr>
        <w:t> </w:t>
      </w:r>
      <w:r>
        <w:rPr/>
        <w:t>主要系本期收到的应收账款保理及融资租赁款项较多所致。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BodyText"/>
        <w:spacing w:line="240" w:lineRule="auto"/>
        <w:ind w:right="0"/>
        <w:jc w:val="left"/>
      </w:pPr>
      <w:r>
        <w:rPr/>
        <w:t>报告期内公司经营活动产生的现金净流量与本年度净利润存在重大差异的原因说明</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517"/>
        <w:gridCol w:w="1915"/>
        <w:gridCol w:w="1622"/>
        <w:gridCol w:w="2268"/>
        <w:gridCol w:w="2253"/>
      </w:tblGrid>
      <w:tr>
        <w:trPr>
          <w:trHeight w:val="390" w:hRule="exact"/>
        </w:trPr>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0"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58" w:hRule="exact"/>
        </w:trPr>
        <w:tc>
          <w:tcPr>
            <w:tcW w:w="151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18" w:space="0" w:color="D2D2D2"/>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33" w:right="0"/>
              <w:jc w:val="left"/>
              <w:rPr>
                <w:rFonts w:ascii="Times New Roman" w:hAnsi="Times New Roman" w:cs="Times New Roman" w:eastAsia="Times New Roman" w:hint="default"/>
                <w:sz w:val="18"/>
                <w:szCs w:val="18"/>
              </w:rPr>
            </w:pPr>
            <w:r>
              <w:rPr>
                <w:rFonts w:ascii="Times New Roman"/>
                <w:sz w:val="18"/>
              </w:rPr>
              <w:t>14,268,007.34</w:t>
            </w:r>
          </w:p>
        </w:tc>
        <w:tc>
          <w:tcPr>
            <w:tcW w:w="162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31.27%</w:t>
            </w:r>
          </w:p>
        </w:tc>
        <w:tc>
          <w:tcPr>
            <w:tcW w:w="2268" w:type="dxa"/>
            <w:vMerge w:val="restart"/>
            <w:tcBorders>
              <w:top w:val="single" w:sz="6" w:space="0" w:color="000000"/>
              <w:left w:val="single" w:sz="6" w:space="0" w:color="000000"/>
              <w:right w:val="single" w:sz="6" w:space="0" w:color="000000"/>
            </w:tcBorders>
          </w:tcPr>
          <w:p>
            <w:pPr>
              <w:pStyle w:val="TableParagraph"/>
              <w:spacing w:line="321" w:lineRule="auto" w:before="44"/>
              <w:ind w:left="30" w:right="60"/>
              <w:jc w:val="left"/>
              <w:rPr>
                <w:rFonts w:ascii="宋体" w:hAnsi="宋体" w:cs="宋体" w:eastAsia="宋体" w:hint="default"/>
                <w:sz w:val="18"/>
                <w:szCs w:val="18"/>
              </w:rPr>
            </w:pPr>
            <w:r>
              <w:rPr>
                <w:rFonts w:ascii="宋体" w:hAnsi="宋体" w:cs="宋体" w:eastAsia="宋体" w:hint="default"/>
                <w:sz w:val="18"/>
                <w:szCs w:val="18"/>
              </w:rPr>
              <w:t>主要系处置联营企业部分股 权产生的投资收益。</w:t>
            </w:r>
          </w:p>
        </w:tc>
        <w:tc>
          <w:tcPr>
            <w:tcW w:w="2253"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51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vMerge/>
            <w:tcBorders>
              <w:left w:val="single" w:sz="18" w:space="0" w:color="D2D2D2"/>
              <w:right w:val="single" w:sz="6" w:space="0" w:color="000000"/>
            </w:tcBorders>
          </w:tcPr>
          <w:p>
            <w:pPr/>
          </w:p>
        </w:tc>
        <w:tc>
          <w:tcPr>
            <w:tcW w:w="1622" w:type="dxa"/>
            <w:vMerge/>
            <w:tcBorders>
              <w:left w:val="single" w:sz="6" w:space="0" w:color="000000"/>
              <w:right w:val="single" w:sz="6" w:space="0" w:color="000000"/>
            </w:tcBorders>
          </w:tcPr>
          <w:p>
            <w:pPr/>
          </w:p>
        </w:tc>
        <w:tc>
          <w:tcPr>
            <w:tcW w:w="2268" w:type="dxa"/>
            <w:vMerge/>
            <w:tcBorders>
              <w:left w:val="single" w:sz="6" w:space="0" w:color="000000"/>
              <w:right w:val="single" w:sz="6" w:space="0" w:color="000000"/>
            </w:tcBorders>
          </w:tcPr>
          <w:p>
            <w:pPr/>
          </w:p>
        </w:tc>
        <w:tc>
          <w:tcPr>
            <w:tcW w:w="2253" w:type="dxa"/>
            <w:vMerge/>
            <w:tcBorders>
              <w:left w:val="single" w:sz="6" w:space="0" w:color="000000"/>
              <w:right w:val="single" w:sz="6" w:space="0" w:color="000000"/>
            </w:tcBorders>
          </w:tcPr>
          <w:p>
            <w:pPr/>
          </w:p>
        </w:tc>
      </w:tr>
      <w:tr>
        <w:trPr>
          <w:trHeight w:val="158" w:hRule="exact"/>
        </w:trPr>
        <w:tc>
          <w:tcPr>
            <w:tcW w:w="151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18" w:space="0" w:color="D2D2D2"/>
              <w:bottom w:val="single" w:sz="6" w:space="0" w:color="000000"/>
              <w:right w:val="single" w:sz="6" w:space="0" w:color="000000"/>
            </w:tcBorders>
          </w:tcPr>
          <w:p>
            <w:pPr/>
          </w:p>
        </w:tc>
        <w:tc>
          <w:tcPr>
            <w:tcW w:w="1622"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bottom w:val="single" w:sz="6" w:space="0" w:color="000000"/>
              <w:right w:val="single" w:sz="6" w:space="0" w:color="000000"/>
            </w:tcBorders>
          </w:tcPr>
          <w:p>
            <w:pPr/>
          </w:p>
        </w:tc>
        <w:tc>
          <w:tcPr>
            <w:tcW w:w="2253" w:type="dxa"/>
            <w:vMerge/>
            <w:tcBorders>
              <w:left w:val="single" w:sz="6" w:space="0" w:color="000000"/>
              <w:bottom w:val="single" w:sz="6" w:space="0" w:color="000000"/>
              <w:right w:val="single" w:sz="6" w:space="0" w:color="000000"/>
            </w:tcBorders>
          </w:tcPr>
          <w:p>
            <w:pPr/>
          </w:p>
        </w:tc>
      </w:tr>
      <w:tr>
        <w:trPr>
          <w:trHeight w:val="158" w:hRule="exact"/>
        </w:trPr>
        <w:tc>
          <w:tcPr>
            <w:tcW w:w="151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12"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16,796,133.72</w:t>
            </w:r>
          </w:p>
        </w:tc>
        <w:tc>
          <w:tcPr>
            <w:tcW w:w="162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36.81%</w:t>
            </w:r>
          </w:p>
        </w:tc>
        <w:tc>
          <w:tcPr>
            <w:tcW w:w="2268" w:type="dxa"/>
            <w:vMerge w:val="restart"/>
            <w:tcBorders>
              <w:top w:val="single" w:sz="6" w:space="0" w:color="000000"/>
              <w:left w:val="single" w:sz="6" w:space="0" w:color="000000"/>
              <w:right w:val="single" w:sz="6" w:space="0" w:color="000000"/>
            </w:tcBorders>
          </w:tcPr>
          <w:p>
            <w:pPr>
              <w:pStyle w:val="TableParagraph"/>
              <w:spacing w:line="307" w:lineRule="auto" w:before="44"/>
              <w:ind w:left="30" w:right="60"/>
              <w:jc w:val="left"/>
              <w:rPr>
                <w:rFonts w:ascii="宋体" w:hAnsi="宋体" w:cs="宋体" w:eastAsia="宋体" w:hint="default"/>
                <w:sz w:val="18"/>
                <w:szCs w:val="18"/>
              </w:rPr>
            </w:pPr>
            <w:r>
              <w:rPr>
                <w:rFonts w:ascii="宋体" w:hAnsi="宋体" w:cs="宋体" w:eastAsia="宋体" w:hint="default"/>
                <w:sz w:val="18"/>
                <w:szCs w:val="18"/>
              </w:rPr>
              <w:t>主要系参股公司容百科技上 市公允价值变动。</w:t>
            </w:r>
          </w:p>
        </w:tc>
        <w:tc>
          <w:tcPr>
            <w:tcW w:w="2253"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51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5" w:type="dxa"/>
            <w:vMerge/>
            <w:tcBorders>
              <w:left w:val="single" w:sz="12" w:space="0" w:color="D2D2D2"/>
              <w:right w:val="single" w:sz="6" w:space="0" w:color="000000"/>
            </w:tcBorders>
          </w:tcPr>
          <w:p>
            <w:pPr/>
          </w:p>
        </w:tc>
        <w:tc>
          <w:tcPr>
            <w:tcW w:w="1622" w:type="dxa"/>
            <w:vMerge/>
            <w:tcBorders>
              <w:left w:val="single" w:sz="6" w:space="0" w:color="000000"/>
              <w:right w:val="single" w:sz="6" w:space="0" w:color="000000"/>
            </w:tcBorders>
          </w:tcPr>
          <w:p>
            <w:pPr/>
          </w:p>
        </w:tc>
        <w:tc>
          <w:tcPr>
            <w:tcW w:w="2268" w:type="dxa"/>
            <w:vMerge/>
            <w:tcBorders>
              <w:left w:val="single" w:sz="6" w:space="0" w:color="000000"/>
              <w:right w:val="single" w:sz="6" w:space="0" w:color="000000"/>
            </w:tcBorders>
          </w:tcPr>
          <w:p>
            <w:pPr/>
          </w:p>
        </w:tc>
        <w:tc>
          <w:tcPr>
            <w:tcW w:w="2253" w:type="dxa"/>
            <w:vMerge/>
            <w:tcBorders>
              <w:left w:val="single" w:sz="6" w:space="0" w:color="000000"/>
              <w:right w:val="single" w:sz="6" w:space="0" w:color="000000"/>
            </w:tcBorders>
          </w:tcPr>
          <w:p>
            <w:pPr/>
          </w:p>
        </w:tc>
      </w:tr>
      <w:tr>
        <w:trPr>
          <w:trHeight w:val="172" w:hRule="exact"/>
        </w:trPr>
        <w:tc>
          <w:tcPr>
            <w:tcW w:w="151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12" w:space="0" w:color="D2D2D2"/>
              <w:bottom w:val="single" w:sz="6" w:space="0" w:color="000000"/>
              <w:right w:val="single" w:sz="6" w:space="0" w:color="000000"/>
            </w:tcBorders>
          </w:tcPr>
          <w:p>
            <w:pPr/>
          </w:p>
        </w:tc>
        <w:tc>
          <w:tcPr>
            <w:tcW w:w="1622"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bottom w:val="single" w:sz="6" w:space="0" w:color="000000"/>
              <w:right w:val="single" w:sz="6" w:space="0" w:color="000000"/>
            </w:tcBorders>
          </w:tcPr>
          <w:p>
            <w:pPr/>
          </w:p>
        </w:tc>
        <w:tc>
          <w:tcPr>
            <w:tcW w:w="2253" w:type="dxa"/>
            <w:vMerge/>
            <w:tcBorders>
              <w:left w:val="single" w:sz="6" w:space="0" w:color="000000"/>
              <w:bottom w:val="single" w:sz="6" w:space="0" w:color="000000"/>
              <w:right w:val="single" w:sz="6" w:space="0" w:color="000000"/>
            </w:tcBorders>
          </w:tcPr>
          <w:p>
            <w:pPr/>
          </w:p>
        </w:tc>
      </w:tr>
      <w:tr>
        <w:trPr>
          <w:trHeight w:val="308" w:hRule="exact"/>
        </w:trPr>
        <w:tc>
          <w:tcPr>
            <w:tcW w:w="151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-4,180,606.06</w:t>
            </w:r>
          </w:p>
        </w:tc>
        <w:tc>
          <w:tcPr>
            <w:tcW w:w="162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-9.16%</w:t>
            </w:r>
          </w:p>
        </w:tc>
        <w:tc>
          <w:tcPr>
            <w:tcW w:w="2268" w:type="dxa"/>
            <w:vMerge w:val="restart"/>
            <w:tcBorders>
              <w:top w:val="single" w:sz="6" w:space="0" w:color="000000"/>
              <w:left w:val="single" w:sz="6" w:space="0" w:color="000000"/>
              <w:right w:val="single" w:sz="6" w:space="0" w:color="000000"/>
            </w:tcBorders>
          </w:tcPr>
          <w:p>
            <w:pPr>
              <w:pStyle w:val="TableParagraph"/>
              <w:spacing w:line="321" w:lineRule="auto" w:before="30"/>
              <w:ind w:left="30" w:right="60"/>
              <w:jc w:val="both"/>
              <w:rPr>
                <w:rFonts w:ascii="宋体" w:hAnsi="宋体" w:cs="宋体" w:eastAsia="宋体" w:hint="default"/>
                <w:sz w:val="18"/>
                <w:szCs w:val="18"/>
              </w:rPr>
            </w:pPr>
            <w:r>
              <w:rPr>
                <w:rFonts w:ascii="宋体" w:hAnsi="宋体" w:cs="宋体" w:eastAsia="宋体" w:hint="default"/>
                <w:sz w:val="18"/>
                <w:szCs w:val="18"/>
              </w:rPr>
              <w:t>主要系本期呆滞物料大幅减 少，存货跌价准备计提减少 所致。</w:t>
            </w:r>
          </w:p>
        </w:tc>
        <w:tc>
          <w:tcPr>
            <w:tcW w:w="2253"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151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vMerge/>
            <w:tcBorders>
              <w:left w:val="single" w:sz="12" w:space="0" w:color="D2D2D2"/>
              <w:right w:val="single" w:sz="6" w:space="0" w:color="000000"/>
            </w:tcBorders>
          </w:tcPr>
          <w:p>
            <w:pPr/>
          </w:p>
        </w:tc>
        <w:tc>
          <w:tcPr>
            <w:tcW w:w="1622" w:type="dxa"/>
            <w:vMerge/>
            <w:tcBorders>
              <w:left w:val="single" w:sz="6" w:space="0" w:color="000000"/>
              <w:right w:val="single" w:sz="6" w:space="0" w:color="000000"/>
            </w:tcBorders>
          </w:tcPr>
          <w:p>
            <w:pPr/>
          </w:p>
        </w:tc>
        <w:tc>
          <w:tcPr>
            <w:tcW w:w="2268" w:type="dxa"/>
            <w:vMerge/>
            <w:tcBorders>
              <w:left w:val="single" w:sz="6" w:space="0" w:color="000000"/>
              <w:right w:val="single" w:sz="6" w:space="0" w:color="000000"/>
            </w:tcBorders>
          </w:tcPr>
          <w:p>
            <w:pPr/>
          </w:p>
        </w:tc>
        <w:tc>
          <w:tcPr>
            <w:tcW w:w="2253" w:type="dxa"/>
            <w:vMerge/>
            <w:tcBorders>
              <w:left w:val="single" w:sz="6" w:space="0" w:color="000000"/>
              <w:right w:val="single" w:sz="6" w:space="0" w:color="000000"/>
            </w:tcBorders>
          </w:tcPr>
          <w:p>
            <w:pPr/>
          </w:p>
        </w:tc>
      </w:tr>
      <w:tr>
        <w:trPr>
          <w:trHeight w:val="323" w:hRule="exact"/>
        </w:trPr>
        <w:tc>
          <w:tcPr>
            <w:tcW w:w="151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12" w:space="0" w:color="D2D2D2"/>
              <w:bottom w:val="single" w:sz="6" w:space="0" w:color="000000"/>
              <w:right w:val="single" w:sz="6" w:space="0" w:color="000000"/>
            </w:tcBorders>
          </w:tcPr>
          <w:p>
            <w:pPr/>
          </w:p>
        </w:tc>
        <w:tc>
          <w:tcPr>
            <w:tcW w:w="1622"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bottom w:val="single" w:sz="6" w:space="0" w:color="000000"/>
              <w:right w:val="single" w:sz="6" w:space="0" w:color="000000"/>
            </w:tcBorders>
          </w:tcPr>
          <w:p>
            <w:pPr/>
          </w:p>
        </w:tc>
        <w:tc>
          <w:tcPr>
            <w:tcW w:w="2253" w:type="dxa"/>
            <w:vMerge/>
            <w:tcBorders>
              <w:left w:val="single" w:sz="6" w:space="0" w:color="000000"/>
              <w:bottom w:val="single" w:sz="6" w:space="0" w:color="000000"/>
              <w:right w:val="single" w:sz="6" w:space="0" w:color="000000"/>
            </w:tcBorders>
          </w:tcPr>
          <w:p>
            <w:pPr/>
          </w:p>
        </w:tc>
      </w:tr>
      <w:tr>
        <w:trPr>
          <w:trHeight w:val="308" w:hRule="exact"/>
        </w:trPr>
        <w:tc>
          <w:tcPr>
            <w:tcW w:w="151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2,662,435.88</w:t>
            </w:r>
          </w:p>
        </w:tc>
        <w:tc>
          <w:tcPr>
            <w:tcW w:w="162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5.83%</w:t>
            </w:r>
            <w:r>
              <w:rPr>
                <w:rFonts w:ascii="Times New Roman"/>
                <w:sz w:val="18"/>
              </w:rPr>
            </w:r>
          </w:p>
        </w:tc>
        <w:tc>
          <w:tcPr>
            <w:tcW w:w="2268" w:type="dxa"/>
            <w:vMerge w:val="restart"/>
            <w:tcBorders>
              <w:top w:val="single" w:sz="6" w:space="0" w:color="000000"/>
              <w:left w:val="single" w:sz="6" w:space="0" w:color="000000"/>
              <w:right w:val="single" w:sz="6" w:space="0" w:color="000000"/>
            </w:tcBorders>
          </w:tcPr>
          <w:p>
            <w:pPr>
              <w:pStyle w:val="TableParagraph"/>
              <w:spacing w:line="314" w:lineRule="auto" w:before="44"/>
              <w:ind w:left="30" w:right="60"/>
              <w:jc w:val="left"/>
              <w:rPr>
                <w:rFonts w:ascii="宋体" w:hAnsi="宋体" w:cs="宋体" w:eastAsia="宋体" w:hint="default"/>
                <w:sz w:val="18"/>
                <w:szCs w:val="18"/>
              </w:rPr>
            </w:pPr>
            <w:r>
              <w:rPr>
                <w:rFonts w:ascii="宋体" w:hAnsi="宋体" w:cs="宋体" w:eastAsia="宋体" w:hint="default"/>
                <w:sz w:val="18"/>
                <w:szCs w:val="18"/>
              </w:rPr>
              <w:t>主要系收到与日常活动无关 的政府补助与废品处置收 入。</w:t>
            </w:r>
          </w:p>
        </w:tc>
        <w:tc>
          <w:tcPr>
            <w:tcW w:w="2253"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51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vMerge/>
            <w:tcBorders>
              <w:left w:val="single" w:sz="12" w:space="0" w:color="D2D2D2"/>
              <w:right w:val="single" w:sz="6" w:space="0" w:color="000000"/>
            </w:tcBorders>
          </w:tcPr>
          <w:p>
            <w:pPr/>
          </w:p>
        </w:tc>
        <w:tc>
          <w:tcPr>
            <w:tcW w:w="1622" w:type="dxa"/>
            <w:vMerge/>
            <w:tcBorders>
              <w:left w:val="single" w:sz="6" w:space="0" w:color="000000"/>
              <w:right w:val="single" w:sz="6" w:space="0" w:color="000000"/>
            </w:tcBorders>
          </w:tcPr>
          <w:p>
            <w:pPr/>
          </w:p>
        </w:tc>
        <w:tc>
          <w:tcPr>
            <w:tcW w:w="2268" w:type="dxa"/>
            <w:vMerge/>
            <w:tcBorders>
              <w:left w:val="single" w:sz="6" w:space="0" w:color="000000"/>
              <w:right w:val="single" w:sz="6" w:space="0" w:color="000000"/>
            </w:tcBorders>
          </w:tcPr>
          <w:p>
            <w:pPr/>
          </w:p>
        </w:tc>
        <w:tc>
          <w:tcPr>
            <w:tcW w:w="2253" w:type="dxa"/>
            <w:vMerge/>
            <w:tcBorders>
              <w:left w:val="single" w:sz="6" w:space="0" w:color="000000"/>
              <w:right w:val="single" w:sz="6" w:space="0" w:color="000000"/>
            </w:tcBorders>
          </w:tcPr>
          <w:p>
            <w:pPr/>
          </w:p>
        </w:tc>
      </w:tr>
      <w:tr>
        <w:trPr>
          <w:trHeight w:val="308" w:hRule="exact"/>
        </w:trPr>
        <w:tc>
          <w:tcPr>
            <w:tcW w:w="151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12" w:space="0" w:color="D2D2D2"/>
              <w:bottom w:val="single" w:sz="6" w:space="0" w:color="000000"/>
              <w:right w:val="single" w:sz="6" w:space="0" w:color="000000"/>
            </w:tcBorders>
          </w:tcPr>
          <w:p>
            <w:pPr/>
          </w:p>
        </w:tc>
        <w:tc>
          <w:tcPr>
            <w:tcW w:w="1622"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bottom w:val="single" w:sz="6" w:space="0" w:color="000000"/>
              <w:right w:val="single" w:sz="6" w:space="0" w:color="000000"/>
            </w:tcBorders>
          </w:tcPr>
          <w:p>
            <w:pPr/>
          </w:p>
        </w:tc>
        <w:tc>
          <w:tcPr>
            <w:tcW w:w="2253" w:type="dxa"/>
            <w:vMerge/>
            <w:tcBorders>
              <w:left w:val="single" w:sz="6" w:space="0" w:color="000000"/>
              <w:bottom w:val="single" w:sz="6" w:space="0" w:color="000000"/>
              <w:right w:val="single" w:sz="6" w:space="0" w:color="000000"/>
            </w:tcBorders>
          </w:tcPr>
          <w:p>
            <w:pPr/>
          </w:p>
        </w:tc>
      </w:tr>
      <w:tr>
        <w:trPr>
          <w:trHeight w:val="322" w:hRule="exact"/>
        </w:trPr>
        <w:tc>
          <w:tcPr>
            <w:tcW w:w="151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12,462,187.72</w:t>
            </w:r>
          </w:p>
        </w:tc>
        <w:tc>
          <w:tcPr>
            <w:tcW w:w="162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27.31%</w:t>
            </w:r>
          </w:p>
        </w:tc>
        <w:tc>
          <w:tcPr>
            <w:tcW w:w="2268" w:type="dxa"/>
            <w:vMerge w:val="restart"/>
            <w:tcBorders>
              <w:top w:val="single" w:sz="6" w:space="0" w:color="000000"/>
              <w:left w:val="single" w:sz="6" w:space="0" w:color="000000"/>
              <w:right w:val="single" w:sz="6" w:space="0" w:color="000000"/>
            </w:tcBorders>
          </w:tcPr>
          <w:p>
            <w:pPr>
              <w:pStyle w:val="TableParagraph"/>
              <w:spacing w:line="314" w:lineRule="auto" w:before="44"/>
              <w:ind w:left="30" w:right="60"/>
              <w:jc w:val="both"/>
              <w:rPr>
                <w:rFonts w:ascii="宋体" w:hAnsi="宋体" w:cs="宋体" w:eastAsia="宋体" w:hint="default"/>
                <w:sz w:val="18"/>
                <w:szCs w:val="18"/>
              </w:rPr>
            </w:pPr>
            <w:r>
              <w:rPr>
                <w:rFonts w:ascii="宋体" w:hAnsi="宋体" w:cs="宋体" w:eastAsia="宋体" w:hint="default"/>
                <w:sz w:val="18"/>
                <w:szCs w:val="18"/>
              </w:rPr>
              <w:t>主要系子公司卓大精密业务 结构调整，关闭并报废喷涂 生产线所致。</w:t>
            </w:r>
          </w:p>
        </w:tc>
        <w:tc>
          <w:tcPr>
            <w:tcW w:w="225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51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vMerge/>
            <w:tcBorders>
              <w:left w:val="single" w:sz="12" w:space="0" w:color="D2D2D2"/>
              <w:right w:val="single" w:sz="6" w:space="0" w:color="000000"/>
            </w:tcBorders>
          </w:tcPr>
          <w:p>
            <w:pPr/>
          </w:p>
        </w:tc>
        <w:tc>
          <w:tcPr>
            <w:tcW w:w="1622" w:type="dxa"/>
            <w:vMerge/>
            <w:tcBorders>
              <w:left w:val="single" w:sz="6" w:space="0" w:color="000000"/>
              <w:right w:val="single" w:sz="6" w:space="0" w:color="000000"/>
            </w:tcBorders>
          </w:tcPr>
          <w:p>
            <w:pPr/>
          </w:p>
        </w:tc>
        <w:tc>
          <w:tcPr>
            <w:tcW w:w="2268" w:type="dxa"/>
            <w:vMerge/>
            <w:tcBorders>
              <w:left w:val="single" w:sz="6" w:space="0" w:color="000000"/>
              <w:right w:val="single" w:sz="6" w:space="0" w:color="000000"/>
            </w:tcBorders>
          </w:tcPr>
          <w:p>
            <w:pPr/>
          </w:p>
        </w:tc>
        <w:tc>
          <w:tcPr>
            <w:tcW w:w="2253" w:type="dxa"/>
            <w:vMerge/>
            <w:tcBorders>
              <w:left w:val="single" w:sz="6" w:space="0" w:color="000000"/>
              <w:right w:val="single" w:sz="6" w:space="0" w:color="000000"/>
            </w:tcBorders>
          </w:tcPr>
          <w:p>
            <w:pPr/>
          </w:p>
        </w:tc>
      </w:tr>
      <w:tr>
        <w:trPr>
          <w:trHeight w:val="323" w:hRule="exact"/>
        </w:trPr>
        <w:tc>
          <w:tcPr>
            <w:tcW w:w="151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12" w:space="0" w:color="D2D2D2"/>
              <w:bottom w:val="single" w:sz="6" w:space="0" w:color="000000"/>
              <w:right w:val="single" w:sz="6" w:space="0" w:color="000000"/>
            </w:tcBorders>
          </w:tcPr>
          <w:p>
            <w:pPr/>
          </w:p>
        </w:tc>
        <w:tc>
          <w:tcPr>
            <w:tcW w:w="1622"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bottom w:val="single" w:sz="6" w:space="0" w:color="000000"/>
              <w:right w:val="single" w:sz="6" w:space="0" w:color="000000"/>
            </w:tcBorders>
          </w:tcPr>
          <w:p>
            <w:pPr/>
          </w:p>
        </w:tc>
        <w:tc>
          <w:tcPr>
            <w:tcW w:w="2253" w:type="dxa"/>
            <w:vMerge/>
            <w:tcBorders>
              <w:left w:val="single" w:sz="6" w:space="0" w:color="000000"/>
              <w:bottom w:val="single" w:sz="6" w:space="0" w:color="000000"/>
              <w:right w:val="single" w:sz="6" w:space="0" w:color="000000"/>
            </w:tcBorders>
          </w:tcPr>
          <w:p>
            <w:pPr/>
          </w:p>
        </w:tc>
      </w:tr>
      <w:tr>
        <w:trPr>
          <w:trHeight w:val="706" w:hRule="exact"/>
        </w:trPr>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-1,216,336.96</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-2.67%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60"/>
              <w:jc w:val="left"/>
              <w:rPr>
                <w:rFonts w:ascii="宋体" w:hAnsi="宋体" w:cs="宋体" w:eastAsia="宋体" w:hint="default"/>
                <w:sz w:val="18"/>
                <w:szCs w:val="18"/>
              </w:rPr>
            </w:pPr>
            <w:r>
              <w:rPr>
                <w:rFonts w:ascii="宋体" w:hAnsi="宋体" w:cs="宋体" w:eastAsia="宋体" w:hint="default"/>
                <w:sz w:val="18"/>
                <w:szCs w:val="18"/>
              </w:rPr>
              <w:t>主要系计提本期应收款项坏 账准备。</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11,799,437.76</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25.86%</w:t>
            </w:r>
            <w:r>
              <w:rPr>
                <w:rFonts w:ascii="Times New Roman"/>
                <w:sz w:val="18"/>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60"/>
              <w:jc w:val="left"/>
              <w:rPr>
                <w:rFonts w:ascii="宋体" w:hAnsi="宋体" w:cs="宋体" w:eastAsia="宋体" w:hint="default"/>
                <w:sz w:val="18"/>
                <w:szCs w:val="18"/>
              </w:rPr>
            </w:pPr>
            <w:r>
              <w:rPr>
                <w:rFonts w:ascii="宋体" w:hAnsi="宋体" w:cs="宋体" w:eastAsia="宋体" w:hint="default"/>
                <w:sz w:val="18"/>
                <w:szCs w:val="18"/>
              </w:rPr>
              <w:t>主要系收到与收益相关的政 府补助及递延收益摊销。</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-9,235,777.89</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-20.24%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58"/>
              <w:jc w:val="left"/>
              <w:rPr>
                <w:rFonts w:ascii="宋体" w:hAnsi="宋体" w:cs="宋体" w:eastAsia="宋体" w:hint="default"/>
                <w:sz w:val="18"/>
                <w:szCs w:val="18"/>
              </w:rPr>
            </w:pPr>
            <w:r>
              <w:rPr>
                <w:rFonts w:ascii="宋体" w:hAnsi="宋体" w:cs="宋体" w:eastAsia="宋体" w:hint="default"/>
                <w:sz w:val="18"/>
                <w:szCs w:val="18"/>
              </w:rPr>
              <w:t>主要系业务结构调整，处置 注塑车间设备所致。</w:t>
            </w:r>
          </w:p>
        </w:tc>
        <w:tc>
          <w:tcPr>
            <w:tcW w:w="2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spacing w:val="5"/>
        </w:rPr>
        <w:t>1</w:t>
      </w:r>
      <w:r>
        <w:rPr>
          <w:spacing w:val="5"/>
        </w:rPr>
        <w:t>、资产构成重大变动情况</w:t>
      </w:r>
      <w:r>
        <w:rPr>
          <w:b w:val="0"/>
          <w:bCs w:val="0"/>
          <w:spacing w:val="5"/>
        </w:rPr>
      </w:r>
    </w:p>
    <w:p>
      <w:pPr>
        <w:spacing w:line="240" w:lineRule="auto" w:before="6"/>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50"/>
          <w:pgMar w:header="731" w:footer="981" w:top="1040" w:bottom="1180" w:left="1000" w:right="0"/>
        </w:sectPr>
      </w:pPr>
    </w:p>
    <w:p>
      <w:pPr>
        <w:pStyle w:val="BodyText"/>
        <w:spacing w:line="240" w:lineRule="auto" w:before="44"/>
        <w:ind w:right="-19"/>
        <w:jc w:val="left"/>
      </w:pPr>
      <w:r>
        <w:rPr/>
        <w:t>公司</w:t>
      </w:r>
      <w:r>
        <w:rPr>
          <w:spacing w:val="-45"/>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11"/>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8513" w:space="423"/>
            <w:col w:w="197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172"/>
        <w:gridCol w:w="1066"/>
        <w:gridCol w:w="1187"/>
        <w:gridCol w:w="1066"/>
        <w:gridCol w:w="796"/>
        <w:gridCol w:w="2929"/>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
        </w:tc>
        <w:tc>
          <w:tcPr>
            <w:tcW w:w="223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225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年初</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7" w:hRule="exact"/>
        </w:trPr>
        <w:tc>
          <w:tcPr>
            <w:tcW w:w="1367" w:type="dxa"/>
            <w:vMerge/>
            <w:tcBorders>
              <w:left w:val="single" w:sz="6" w:space="0" w:color="000000"/>
              <w:right w:val="single" w:sz="6" w:space="0" w:color="000000"/>
            </w:tcBorders>
            <w:shd w:val="clear" w:color="auto" w:fill="D2D2D2"/>
          </w:tcPr>
          <w:p>
            <w:pPr/>
          </w:p>
        </w:tc>
        <w:tc>
          <w:tcPr>
            <w:tcW w:w="117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420" w:right="89"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8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435"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390" w:hRule="exact"/>
        </w:trPr>
        <w:tc>
          <w:tcPr>
            <w:tcW w:w="1367" w:type="dxa"/>
            <w:vMerge/>
            <w:tcBorders>
              <w:left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173"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2929"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541,191,563.0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13.73%</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435,537,315.04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12.41%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1.32%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30" w:right="181"/>
              <w:jc w:val="left"/>
              <w:rPr>
                <w:rFonts w:ascii="宋体" w:hAnsi="宋体" w:cs="宋体" w:eastAsia="宋体" w:hint="default"/>
                <w:sz w:val="18"/>
                <w:szCs w:val="18"/>
              </w:rPr>
            </w:pPr>
            <w:r>
              <w:rPr>
                <w:rFonts w:ascii="宋体" w:hAnsi="宋体" w:cs="宋体" w:eastAsia="宋体" w:hint="default"/>
                <w:sz w:val="18"/>
                <w:szCs w:val="18"/>
              </w:rPr>
              <w:t>主要系本期经营活动产生的现金流 量净额增加所致。</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83" w:right="0"/>
              <w:jc w:val="center"/>
              <w:rPr>
                <w:rFonts w:ascii="Times New Roman" w:hAnsi="Times New Roman" w:cs="Times New Roman" w:eastAsia="Times New Roman" w:hint="default"/>
                <w:sz w:val="18"/>
                <w:szCs w:val="18"/>
              </w:rPr>
            </w:pPr>
            <w:r>
              <w:rPr>
                <w:rFonts w:ascii="Times New Roman"/>
                <w:sz w:val="18"/>
              </w:rPr>
              <w:t>981,413,891.2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24.91%</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691,991,457.68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19.72%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5.19%</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30" w:right="0"/>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年第四季度营业收入较</w:t>
            </w:r>
          </w:p>
        </w:tc>
      </w:tr>
    </w:tbl>
    <w:p>
      <w:pPr>
        <w:spacing w:after="0" w:line="240"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172"/>
        <w:gridCol w:w="1066"/>
        <w:gridCol w:w="1187"/>
        <w:gridCol w:w="1066"/>
        <w:gridCol w:w="796"/>
        <w:gridCol w:w="2929"/>
      </w:tblGrid>
      <w:tr>
        <w:trPr>
          <w:trHeight w:val="36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上年同期增加所致。</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278,479,279.9</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7.07%</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391,109,373.54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11.14%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-4.07%</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16"/>
              <w:jc w:val="both"/>
              <w:rPr>
                <w:rFonts w:ascii="宋体" w:hAnsi="宋体" w:cs="宋体" w:eastAsia="宋体" w:hint="default"/>
                <w:sz w:val="18"/>
                <w:szCs w:val="18"/>
              </w:rPr>
            </w:pPr>
            <w:r>
              <w:rPr>
                <w:rFonts w:ascii="宋体" w:hAnsi="宋体" w:cs="宋体" w:eastAsia="宋体" w:hint="default"/>
                <w:spacing w:val="-1"/>
                <w:sz w:val="18"/>
                <w:szCs w:val="18"/>
              </w:rPr>
              <w:t>主要系本期优化采购、生产与销售各</w:t>
            </w:r>
            <w:r>
              <w:rPr>
                <w:rFonts w:ascii="宋体" w:hAnsi="宋体" w:cs="宋体" w:eastAsia="宋体" w:hint="default"/>
                <w:sz w:val="18"/>
                <w:szCs w:val="18"/>
              </w:rPr>
              <w:t> </w:t>
            </w:r>
            <w:r>
              <w:rPr>
                <w:rFonts w:ascii="宋体" w:hAnsi="宋体" w:cs="宋体" w:eastAsia="宋体" w:hint="default"/>
                <w:spacing w:val="-1"/>
                <w:sz w:val="18"/>
                <w:szCs w:val="18"/>
              </w:rPr>
              <w:t>环节的衔接工作，存货周转率提高以</w:t>
            </w:r>
            <w:r>
              <w:rPr>
                <w:rFonts w:ascii="宋体" w:hAnsi="宋体" w:cs="宋体" w:eastAsia="宋体" w:hint="default"/>
                <w:sz w:val="18"/>
                <w:szCs w:val="18"/>
              </w:rPr>
              <w:t> 及本年度核销部分呆滞存货所致。</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174,555,531.2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4.43%</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180,524,359.39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5.14%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-0.71%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3,407,670.85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0.09%</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2,400,087.79</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0.07%</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1,228,647,910.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45</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31.18%</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1,234,307,153.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35.17%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-3.99%</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224,114,739.3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5.69%</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165,595,023.06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4.72%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0.97%</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81"/>
              <w:jc w:val="left"/>
              <w:rPr>
                <w:rFonts w:ascii="宋体" w:hAnsi="宋体" w:cs="宋体" w:eastAsia="宋体" w:hint="default"/>
                <w:sz w:val="18"/>
                <w:szCs w:val="18"/>
              </w:rPr>
            </w:pPr>
            <w:r>
              <w:rPr>
                <w:rFonts w:ascii="宋体" w:hAnsi="宋体" w:cs="宋体" w:eastAsia="宋体" w:hint="default"/>
                <w:sz w:val="18"/>
                <w:szCs w:val="18"/>
              </w:rPr>
              <w:t>主要系本期天津基地项目增加投入 所致。</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208,650,000.0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5.29%</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264,781,903.60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7.54%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-2.25%</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163,750,000.0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4.16%</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120,000,000.00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3.42%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0.74%</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35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62,193,274.50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1.58%</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1.58%</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30" w:right="181"/>
              <w:jc w:val="both"/>
              <w:rPr>
                <w:rFonts w:ascii="宋体" w:hAnsi="宋体" w:cs="宋体" w:eastAsia="宋体" w:hint="default"/>
                <w:sz w:val="18"/>
                <w:szCs w:val="18"/>
              </w:rPr>
            </w:pPr>
            <w:r>
              <w:rPr>
                <w:rFonts w:ascii="宋体" w:hAnsi="宋体" w:cs="宋体" w:eastAsia="宋体" w:hint="default"/>
                <w:sz w:val="18"/>
                <w:szCs w:val="18"/>
              </w:rPr>
              <w:t>主要系年初将预期持有超过一年的 以公允价值计量且其变动计入当期 损益的非流动金融资产列报于其他 非流动金融资产项目所致。</w:t>
            </w:r>
          </w:p>
        </w:tc>
      </w:tr>
      <w:tr>
        <w:trPr>
          <w:trHeight w:val="1337"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07" w:lineRule="auto"/>
              <w:ind w:left="15" w:right="74"/>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92,954,270.82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2.36%</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138,351,411.60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3.94%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-1.58%</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30" w:right="181"/>
              <w:jc w:val="both"/>
              <w:rPr>
                <w:rFonts w:ascii="宋体" w:hAnsi="宋体" w:cs="宋体" w:eastAsia="宋体" w:hint="default"/>
                <w:sz w:val="18"/>
                <w:szCs w:val="18"/>
              </w:rPr>
            </w:pPr>
            <w:r>
              <w:rPr>
                <w:rFonts w:ascii="宋体" w:hAnsi="宋体" w:cs="宋体" w:eastAsia="宋体" w:hint="default"/>
                <w:sz w:val="18"/>
                <w:szCs w:val="18"/>
              </w:rPr>
              <w:t>主要系年初将预期持有超过一年的 以公允价值计量且其变动计入当期 损益的非流动金融资产列报于其他 非流动金融资产项目所致。</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0.51%</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0.51%</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81"/>
              <w:jc w:val="left"/>
              <w:rPr>
                <w:rFonts w:ascii="宋体" w:hAnsi="宋体" w:cs="宋体" w:eastAsia="宋体" w:hint="default"/>
                <w:sz w:val="18"/>
                <w:szCs w:val="18"/>
              </w:rPr>
            </w:pPr>
            <w:r>
              <w:rPr>
                <w:rFonts w:ascii="宋体" w:hAnsi="宋体" w:cs="宋体" w:eastAsia="宋体" w:hint="default"/>
                <w:sz w:val="18"/>
                <w:szCs w:val="18"/>
              </w:rPr>
              <w:t>主要系应收票据按新金融工具准则 调整列报所致。</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75,039,546.66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1.90%</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1.90%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主要系本期新增融资租赁业务所致。</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989,433,818.2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25.11%</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731,251,307.88</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20.84%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4.27%</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81"/>
              <w:jc w:val="left"/>
              <w:rPr>
                <w:rFonts w:ascii="宋体" w:hAnsi="宋体" w:cs="宋体" w:eastAsia="宋体" w:hint="default"/>
                <w:sz w:val="18"/>
                <w:szCs w:val="18"/>
              </w:rPr>
            </w:pPr>
            <w:r>
              <w:rPr>
                <w:rFonts w:ascii="宋体" w:hAnsi="宋体" w:cs="宋体" w:eastAsia="宋体" w:hint="default"/>
                <w:sz w:val="18"/>
                <w:szCs w:val="18"/>
              </w:rPr>
              <w:t>主要系本期第四季度采购及销售规 模增长较大所致。</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spacing w:val="5"/>
        </w:rPr>
        <w:t>2</w:t>
      </w:r>
      <w:r>
        <w:rPr>
          <w:spacing w:val="5"/>
        </w:rPr>
        <w:t>、以公允价值计量的资产和负债</w:t>
      </w:r>
      <w:r>
        <w:rPr>
          <w:b w:val="0"/>
          <w:bCs w:val="0"/>
          <w:spacing w:val="5"/>
        </w:rPr>
      </w:r>
    </w:p>
    <w:p>
      <w:pPr>
        <w:spacing w:line="240" w:lineRule="auto" w:before="6"/>
        <w:rPr>
          <w:rFonts w:ascii="宋体" w:hAnsi="宋体" w:cs="宋体" w:eastAsia="宋体" w:hint="default"/>
          <w:b/>
          <w:bCs/>
          <w:sz w:val="24"/>
          <w:szCs w:val="24"/>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089"/>
        <w:gridCol w:w="1100"/>
        <w:gridCol w:w="1082"/>
        <w:gridCol w:w="1096"/>
        <w:gridCol w:w="1093"/>
        <w:gridCol w:w="1093"/>
        <w:gridCol w:w="1081"/>
        <w:gridCol w:w="980"/>
        <w:gridCol w:w="961"/>
      </w:tblGrid>
      <w:tr>
        <w:trPr>
          <w:trHeight w:val="157" w:hRule="exact"/>
        </w:trPr>
        <w:tc>
          <w:tcPr>
            <w:tcW w:w="1089" w:type="dxa"/>
            <w:vMerge w:val="restart"/>
            <w:tcBorders>
              <w:top w:val="single" w:sz="6" w:space="0" w:color="000000"/>
              <w:left w:val="single" w:sz="6" w:space="0" w:color="000000"/>
              <w:right w:val="single" w:sz="6" w:space="0" w:color="000000"/>
            </w:tcBorders>
            <w:shd w:val="clear" w:color="auto" w:fill="D2D2D2"/>
          </w:tcPr>
          <w:p>
            <w:pPr/>
          </w:p>
        </w:tc>
        <w:tc>
          <w:tcPr>
            <w:tcW w:w="1100" w:type="dxa"/>
            <w:vMerge w:val="restart"/>
            <w:tcBorders>
              <w:top w:val="single" w:sz="6" w:space="0" w:color="000000"/>
              <w:left w:val="single" w:sz="6" w:space="0" w:color="000000"/>
              <w:right w:val="single" w:sz="6" w:space="0" w:color="000000"/>
            </w:tcBorders>
            <w:shd w:val="clear" w:color="auto" w:fill="D2D2D2"/>
          </w:tcPr>
          <w:p>
            <w:pPr/>
          </w:p>
        </w:tc>
        <w:tc>
          <w:tcPr>
            <w:tcW w:w="108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9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86" w:right="93"/>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093" w:type="dxa"/>
            <w:tcBorders>
              <w:top w:val="single" w:sz="6" w:space="0" w:color="000000"/>
              <w:left w:val="single" w:sz="6" w:space="0" w:color="000000"/>
              <w:bottom w:val="nil" w:sz="6" w:space="0" w:color="auto"/>
              <w:right w:val="single" w:sz="6" w:space="0" w:color="000000"/>
            </w:tcBorders>
            <w:shd w:val="clear" w:color="auto" w:fill="D2D2D2"/>
          </w:tcPr>
          <w:p>
            <w:pPr/>
          </w:p>
        </w:tc>
        <w:tc>
          <w:tcPr>
            <w:tcW w:w="1093" w:type="dxa"/>
            <w:tcBorders>
              <w:top w:val="single" w:sz="6" w:space="0" w:color="000000"/>
              <w:left w:val="single" w:sz="6" w:space="0" w:color="000000"/>
              <w:bottom w:val="nil" w:sz="6" w:space="0" w:color="auto"/>
              <w:right w:val="single" w:sz="6" w:space="0" w:color="000000"/>
            </w:tcBorders>
            <w:shd w:val="clear" w:color="auto" w:fill="D2D2D2"/>
          </w:tcPr>
          <w:p>
            <w:pPr/>
          </w:p>
        </w:tc>
        <w:tc>
          <w:tcPr>
            <w:tcW w:w="1081" w:type="dxa"/>
            <w:tcBorders>
              <w:top w:val="single" w:sz="6" w:space="0" w:color="000000"/>
              <w:left w:val="single" w:sz="6" w:space="0" w:color="000000"/>
              <w:bottom w:val="nil" w:sz="6" w:space="0" w:color="auto"/>
              <w:right w:val="single" w:sz="6" w:space="0" w:color="000000"/>
            </w:tcBorders>
            <w:shd w:val="clear" w:color="auto" w:fill="D2D2D2"/>
          </w:tcPr>
          <w:p>
            <w:pPr/>
          </w:p>
        </w:tc>
        <w:tc>
          <w:tcPr>
            <w:tcW w:w="980" w:type="dxa"/>
            <w:vMerge w:val="restart"/>
            <w:tcBorders>
              <w:top w:val="single" w:sz="6" w:space="0" w:color="000000"/>
              <w:left w:val="single" w:sz="6" w:space="0" w:color="000000"/>
              <w:right w:val="single" w:sz="6" w:space="0" w:color="000000"/>
            </w:tcBorders>
            <w:shd w:val="clear" w:color="auto" w:fill="D2D2D2"/>
          </w:tcPr>
          <w:p>
            <w:pPr/>
          </w:p>
        </w:tc>
        <w:tc>
          <w:tcPr>
            <w:tcW w:w="961" w:type="dxa"/>
            <w:vMerge w:val="restart"/>
            <w:tcBorders>
              <w:top w:val="single" w:sz="6" w:space="0" w:color="000000"/>
              <w:left w:val="single" w:sz="6" w:space="0" w:color="000000"/>
              <w:right w:val="single" w:sz="6" w:space="0" w:color="000000"/>
            </w:tcBorders>
            <w:shd w:val="clear" w:color="auto" w:fill="D2D2D2"/>
          </w:tcPr>
          <w:p>
            <w:pPr/>
          </w:p>
        </w:tc>
      </w:tr>
      <w:tr>
        <w:trPr>
          <w:trHeight w:val="165" w:hRule="exact"/>
        </w:trPr>
        <w:tc>
          <w:tcPr>
            <w:tcW w:w="1089" w:type="dxa"/>
            <w:vMerge/>
            <w:tcBorders>
              <w:left w:val="single" w:sz="6" w:space="0" w:color="000000"/>
              <w:bottom w:val="nil" w:sz="6" w:space="0" w:color="auto"/>
              <w:right w:val="single" w:sz="6" w:space="0" w:color="000000"/>
            </w:tcBorders>
            <w:shd w:val="clear" w:color="auto" w:fill="D2D2D2"/>
          </w:tcPr>
          <w:p>
            <w:pPr/>
          </w:p>
        </w:tc>
        <w:tc>
          <w:tcPr>
            <w:tcW w:w="1100" w:type="dxa"/>
            <w:vMerge/>
            <w:tcBorders>
              <w:left w:val="single" w:sz="6" w:space="0" w:color="000000"/>
              <w:bottom w:val="nil" w:sz="6" w:space="0" w:color="auto"/>
              <w:right w:val="single" w:sz="6" w:space="0" w:color="000000"/>
            </w:tcBorders>
            <w:shd w:val="clear" w:color="auto" w:fill="D2D2D2"/>
          </w:tcPr>
          <w:p>
            <w:pPr/>
          </w:p>
        </w:tc>
        <w:tc>
          <w:tcPr>
            <w:tcW w:w="1082"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71" w:right="92"/>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96" w:type="dxa"/>
            <w:vMerge/>
            <w:tcBorders>
              <w:left w:val="single" w:sz="6" w:space="0" w:color="000000"/>
              <w:right w:val="single" w:sz="6" w:space="0" w:color="000000"/>
            </w:tcBorders>
            <w:shd w:val="clear" w:color="auto" w:fill="D2D2D2"/>
          </w:tcPr>
          <w:p>
            <w:pPr/>
          </w:p>
        </w:tc>
        <w:tc>
          <w:tcPr>
            <w:tcW w:w="1093"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356" w:right="89" w:hanging="271"/>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1093"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435" w:right="100" w:hanging="361"/>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8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439" w:right="85" w:hanging="361"/>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80" w:type="dxa"/>
            <w:vMerge/>
            <w:tcBorders>
              <w:left w:val="single" w:sz="6" w:space="0" w:color="000000"/>
              <w:bottom w:val="nil" w:sz="6" w:space="0" w:color="auto"/>
              <w:right w:val="single" w:sz="6" w:space="0" w:color="000000"/>
            </w:tcBorders>
            <w:shd w:val="clear" w:color="auto" w:fill="D2D2D2"/>
          </w:tcPr>
          <w:p>
            <w:pPr/>
          </w:p>
        </w:tc>
        <w:tc>
          <w:tcPr>
            <w:tcW w:w="961" w:type="dxa"/>
            <w:vMerge/>
            <w:tcBorders>
              <w:left w:val="single" w:sz="6" w:space="0" w:color="000000"/>
              <w:bottom w:val="nil" w:sz="6" w:space="0" w:color="auto"/>
              <w:right w:val="single" w:sz="6" w:space="0" w:color="000000"/>
            </w:tcBorders>
            <w:shd w:val="clear" w:color="auto" w:fill="D2D2D2"/>
          </w:tcPr>
          <w:p>
            <w:pPr/>
          </w:p>
        </w:tc>
      </w:tr>
      <w:tr>
        <w:trPr>
          <w:trHeight w:val="390" w:hRule="exact"/>
        </w:trPr>
        <w:tc>
          <w:tcPr>
            <w:tcW w:w="108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3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3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082" w:type="dxa"/>
            <w:vMerge/>
            <w:tcBorders>
              <w:left w:val="single" w:sz="6" w:space="0" w:color="000000"/>
              <w:right w:val="single" w:sz="6" w:space="0" w:color="000000"/>
            </w:tcBorders>
            <w:shd w:val="clear" w:color="auto" w:fill="D2D2D2"/>
          </w:tcPr>
          <w:p>
            <w:pPr/>
          </w:p>
        </w:tc>
        <w:tc>
          <w:tcPr>
            <w:tcW w:w="1096" w:type="dxa"/>
            <w:vMerge/>
            <w:tcBorders>
              <w:left w:val="single" w:sz="6" w:space="0" w:color="000000"/>
              <w:right w:val="single" w:sz="6" w:space="0" w:color="000000"/>
            </w:tcBorders>
            <w:shd w:val="clear" w:color="auto" w:fill="D2D2D2"/>
          </w:tcPr>
          <w:p>
            <w:pPr/>
          </w:p>
        </w:tc>
        <w:tc>
          <w:tcPr>
            <w:tcW w:w="1093" w:type="dxa"/>
            <w:vMerge/>
            <w:tcBorders>
              <w:left w:val="single" w:sz="6" w:space="0" w:color="000000"/>
              <w:right w:val="single" w:sz="6" w:space="0" w:color="000000"/>
            </w:tcBorders>
            <w:shd w:val="clear" w:color="auto" w:fill="D2D2D2"/>
          </w:tcPr>
          <w:p>
            <w:pPr/>
          </w:p>
        </w:tc>
        <w:tc>
          <w:tcPr>
            <w:tcW w:w="1093" w:type="dxa"/>
            <w:vMerge/>
            <w:tcBorders>
              <w:left w:val="single" w:sz="6" w:space="0" w:color="000000"/>
              <w:right w:val="single" w:sz="6" w:space="0" w:color="000000"/>
            </w:tcBorders>
            <w:shd w:val="clear" w:color="auto" w:fill="D2D2D2"/>
          </w:tcPr>
          <w:p>
            <w:pPr/>
          </w:p>
        </w:tc>
        <w:tc>
          <w:tcPr>
            <w:tcW w:w="1081" w:type="dxa"/>
            <w:vMerge/>
            <w:tcBorders>
              <w:left w:val="single" w:sz="6" w:space="0" w:color="000000"/>
              <w:right w:val="single" w:sz="6" w:space="0" w:color="000000"/>
            </w:tcBorders>
            <w:shd w:val="clear" w:color="auto" w:fill="D2D2D2"/>
          </w:tcPr>
          <w:p>
            <w:pPr/>
          </w:p>
        </w:tc>
        <w:tc>
          <w:tcPr>
            <w:tcW w:w="98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2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96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0" w:hRule="exact"/>
        </w:trPr>
        <w:tc>
          <w:tcPr>
            <w:tcW w:w="1089" w:type="dxa"/>
            <w:vMerge/>
            <w:tcBorders>
              <w:left w:val="single" w:sz="6" w:space="0" w:color="000000"/>
              <w:right w:val="single" w:sz="6" w:space="0" w:color="000000"/>
            </w:tcBorders>
            <w:shd w:val="clear" w:color="auto" w:fill="D2D2D2"/>
          </w:tcPr>
          <w:p>
            <w:pPr/>
          </w:p>
        </w:tc>
        <w:tc>
          <w:tcPr>
            <w:tcW w:w="1100" w:type="dxa"/>
            <w:vMerge w:val="restart"/>
            <w:tcBorders>
              <w:top w:val="nil" w:sz="6" w:space="0" w:color="auto"/>
              <w:left w:val="single" w:sz="6" w:space="0" w:color="000000"/>
              <w:right w:val="single" w:sz="6" w:space="0" w:color="000000"/>
            </w:tcBorders>
            <w:shd w:val="clear" w:color="auto" w:fill="D2D2D2"/>
          </w:tcPr>
          <w:p>
            <w:pPr/>
          </w:p>
        </w:tc>
        <w:tc>
          <w:tcPr>
            <w:tcW w:w="1082" w:type="dxa"/>
            <w:vMerge/>
            <w:tcBorders>
              <w:left w:val="single" w:sz="6" w:space="0" w:color="000000"/>
              <w:bottom w:val="nil" w:sz="6" w:space="0" w:color="auto"/>
              <w:right w:val="single" w:sz="6" w:space="0" w:color="000000"/>
            </w:tcBorders>
            <w:shd w:val="clear" w:color="auto" w:fill="D2D2D2"/>
          </w:tcPr>
          <w:p>
            <w:pPr/>
          </w:p>
        </w:tc>
        <w:tc>
          <w:tcPr>
            <w:tcW w:w="1096" w:type="dxa"/>
            <w:vMerge/>
            <w:tcBorders>
              <w:left w:val="single" w:sz="6" w:space="0" w:color="000000"/>
              <w:right w:val="single" w:sz="6" w:space="0" w:color="000000"/>
            </w:tcBorders>
            <w:shd w:val="clear" w:color="auto" w:fill="D2D2D2"/>
          </w:tcPr>
          <w:p>
            <w:pPr/>
          </w:p>
        </w:tc>
        <w:tc>
          <w:tcPr>
            <w:tcW w:w="1093" w:type="dxa"/>
            <w:vMerge/>
            <w:tcBorders>
              <w:left w:val="single" w:sz="6" w:space="0" w:color="000000"/>
              <w:bottom w:val="nil" w:sz="6" w:space="0" w:color="auto"/>
              <w:right w:val="single" w:sz="6" w:space="0" w:color="000000"/>
            </w:tcBorders>
            <w:shd w:val="clear" w:color="auto" w:fill="D2D2D2"/>
          </w:tcPr>
          <w:p>
            <w:pPr/>
          </w:p>
        </w:tc>
        <w:tc>
          <w:tcPr>
            <w:tcW w:w="1093" w:type="dxa"/>
            <w:vMerge/>
            <w:tcBorders>
              <w:left w:val="single" w:sz="6" w:space="0" w:color="000000"/>
              <w:bottom w:val="nil" w:sz="6" w:space="0" w:color="auto"/>
              <w:right w:val="single" w:sz="6" w:space="0" w:color="000000"/>
            </w:tcBorders>
            <w:shd w:val="clear" w:color="auto" w:fill="D2D2D2"/>
          </w:tcPr>
          <w:p>
            <w:pPr/>
          </w:p>
        </w:tc>
        <w:tc>
          <w:tcPr>
            <w:tcW w:w="1081" w:type="dxa"/>
            <w:vMerge/>
            <w:tcBorders>
              <w:left w:val="single" w:sz="6" w:space="0" w:color="000000"/>
              <w:bottom w:val="nil" w:sz="6" w:space="0" w:color="auto"/>
              <w:right w:val="single" w:sz="6" w:space="0" w:color="000000"/>
            </w:tcBorders>
            <w:shd w:val="clear" w:color="auto" w:fill="D2D2D2"/>
          </w:tcPr>
          <w:p>
            <w:pPr/>
          </w:p>
        </w:tc>
        <w:tc>
          <w:tcPr>
            <w:tcW w:w="980" w:type="dxa"/>
            <w:vMerge w:val="restart"/>
            <w:tcBorders>
              <w:top w:val="nil" w:sz="6" w:space="0" w:color="auto"/>
              <w:left w:val="single" w:sz="6" w:space="0" w:color="000000"/>
              <w:right w:val="single" w:sz="6" w:space="0" w:color="000000"/>
            </w:tcBorders>
            <w:shd w:val="clear" w:color="auto" w:fill="D2D2D2"/>
          </w:tcPr>
          <w:p>
            <w:pPr/>
          </w:p>
        </w:tc>
        <w:tc>
          <w:tcPr>
            <w:tcW w:w="961" w:type="dxa"/>
            <w:vMerge/>
            <w:tcBorders>
              <w:left w:val="single" w:sz="6" w:space="0" w:color="000000"/>
              <w:right w:val="single" w:sz="6" w:space="0" w:color="000000"/>
            </w:tcBorders>
            <w:shd w:val="clear" w:color="auto" w:fill="D2D2D2"/>
          </w:tcPr>
          <w:p>
            <w:pPr/>
          </w:p>
        </w:tc>
      </w:tr>
      <w:tr>
        <w:trPr>
          <w:trHeight w:val="173" w:hRule="exact"/>
        </w:trPr>
        <w:tc>
          <w:tcPr>
            <w:tcW w:w="1089" w:type="dxa"/>
            <w:vMerge/>
            <w:tcBorders>
              <w:left w:val="single" w:sz="6" w:space="0" w:color="000000"/>
              <w:bottom w:val="single" w:sz="6" w:space="0" w:color="000000"/>
              <w:right w:val="single" w:sz="6" w:space="0" w:color="000000"/>
            </w:tcBorders>
            <w:shd w:val="clear" w:color="auto" w:fill="D2D2D2"/>
          </w:tcPr>
          <w:p>
            <w:pPr/>
          </w:p>
        </w:tc>
        <w:tc>
          <w:tcPr>
            <w:tcW w:w="1100" w:type="dxa"/>
            <w:vMerge/>
            <w:tcBorders>
              <w:left w:val="single" w:sz="6" w:space="0" w:color="000000"/>
              <w:bottom w:val="single" w:sz="6" w:space="0" w:color="000000"/>
              <w:right w:val="single" w:sz="6" w:space="0" w:color="000000"/>
            </w:tcBorders>
            <w:shd w:val="clear" w:color="auto" w:fill="D2D2D2"/>
          </w:tcPr>
          <w:p>
            <w:pPr/>
          </w:p>
        </w:tc>
        <w:tc>
          <w:tcPr>
            <w:tcW w:w="108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96" w:type="dxa"/>
            <w:vMerge/>
            <w:tcBorders>
              <w:left w:val="single" w:sz="6" w:space="0" w:color="000000"/>
              <w:bottom w:val="single" w:sz="6" w:space="0" w:color="000000"/>
              <w:right w:val="single" w:sz="6" w:space="0" w:color="000000"/>
            </w:tcBorders>
            <w:shd w:val="clear" w:color="auto" w:fill="D2D2D2"/>
          </w:tcPr>
          <w:p>
            <w:pPr/>
          </w:p>
        </w:tc>
        <w:tc>
          <w:tcPr>
            <w:tcW w:w="1093" w:type="dxa"/>
            <w:tcBorders>
              <w:top w:val="nil" w:sz="6" w:space="0" w:color="auto"/>
              <w:left w:val="single" w:sz="6" w:space="0" w:color="000000"/>
              <w:bottom w:val="single" w:sz="6" w:space="0" w:color="000000"/>
              <w:right w:val="single" w:sz="6" w:space="0" w:color="000000"/>
            </w:tcBorders>
            <w:shd w:val="clear" w:color="auto" w:fill="D2D2D2"/>
          </w:tcPr>
          <w:p>
            <w:pPr/>
          </w:p>
        </w:tc>
        <w:tc>
          <w:tcPr>
            <w:tcW w:w="1093" w:type="dxa"/>
            <w:tcBorders>
              <w:top w:val="nil" w:sz="6" w:space="0" w:color="auto"/>
              <w:left w:val="single" w:sz="6" w:space="0" w:color="000000"/>
              <w:bottom w:val="single" w:sz="6" w:space="0" w:color="000000"/>
              <w:right w:val="single" w:sz="6" w:space="0" w:color="000000"/>
            </w:tcBorders>
            <w:shd w:val="clear" w:color="auto" w:fill="D2D2D2"/>
          </w:tcPr>
          <w:p>
            <w:pPr/>
          </w:p>
        </w:tc>
        <w:tc>
          <w:tcPr>
            <w:tcW w:w="1081" w:type="dxa"/>
            <w:tcBorders>
              <w:top w:val="nil" w:sz="6" w:space="0" w:color="auto"/>
              <w:left w:val="single" w:sz="6" w:space="0" w:color="000000"/>
              <w:bottom w:val="single" w:sz="6" w:space="0" w:color="000000"/>
              <w:right w:val="single" w:sz="6" w:space="0" w:color="000000"/>
            </w:tcBorders>
            <w:shd w:val="clear" w:color="auto" w:fill="D2D2D2"/>
          </w:tcPr>
          <w:p>
            <w:pPr/>
          </w:p>
        </w:tc>
        <w:tc>
          <w:tcPr>
            <w:tcW w:w="980" w:type="dxa"/>
            <w:vMerge/>
            <w:tcBorders>
              <w:left w:val="single" w:sz="6" w:space="0" w:color="000000"/>
              <w:bottom w:val="single" w:sz="6" w:space="0" w:color="000000"/>
              <w:right w:val="single" w:sz="6" w:space="0" w:color="000000"/>
            </w:tcBorders>
            <w:shd w:val="clear" w:color="auto" w:fill="D2D2D2"/>
          </w:tcPr>
          <w:p>
            <w:pPr/>
          </w:p>
        </w:tc>
        <w:tc>
          <w:tcPr>
            <w:tcW w:w="961"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0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485" w:type="dxa"/>
            <w:gridSpan w:val="8"/>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1021" w:hRule="exact"/>
        </w:trPr>
        <w:tc>
          <w:tcPr>
            <w:tcW w:w="10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 </w:t>
            </w:r>
            <w:r>
              <w:rPr>
                <w:rFonts w:ascii="宋体" w:hAnsi="宋体" w:cs="宋体" w:eastAsia="宋体" w:hint="default"/>
                <w:spacing w:val="-8"/>
                <w:sz w:val="18"/>
                <w:szCs w:val="18"/>
              </w:rPr>
              <w:t>资产（不含衍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生金融资产）</w:t>
            </w:r>
          </w:p>
        </w:tc>
        <w:tc>
          <w:tcPr>
            <w:tcW w:w="110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5"/>
              <w:jc w:val="center"/>
              <w:rPr>
                <w:rFonts w:ascii="Times New Roman" w:hAnsi="Times New Roman" w:cs="Times New Roman" w:eastAsia="Times New Roman" w:hint="default"/>
                <w:sz w:val="18"/>
                <w:szCs w:val="18"/>
              </w:rPr>
            </w:pPr>
            <w:r>
              <w:rPr>
                <w:rFonts w:ascii="Times New Roman"/>
                <w:sz w:val="18"/>
              </w:rPr>
              <w:t>47,817,973.00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14,375,301.50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22,805,473.00</w:t>
            </w:r>
          </w:p>
        </w:tc>
        <w:tc>
          <w:tcPr>
            <w:tcW w:w="1093" w:type="dxa"/>
            <w:tcBorders>
              <w:top w:val="single" w:sz="6" w:space="0" w:color="000000"/>
              <w:left w:val="single" w:sz="6" w:space="0" w:color="000000"/>
              <w:bottom w:val="single" w:sz="6" w:space="0" w:color="000000"/>
              <w:right w:val="single" w:sz="6" w:space="0" w:color="000000"/>
            </w:tcBorders>
          </w:tcPr>
          <w:p>
            <w:pPr/>
          </w:p>
        </w:tc>
        <w:tc>
          <w:tcPr>
            <w:tcW w:w="1093"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80"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62,193,274.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097"/>
        <w:gridCol w:w="1096"/>
        <w:gridCol w:w="1082"/>
        <w:gridCol w:w="1096"/>
        <w:gridCol w:w="1096"/>
        <w:gridCol w:w="1096"/>
        <w:gridCol w:w="1081"/>
        <w:gridCol w:w="976"/>
        <w:gridCol w:w="961"/>
      </w:tblGrid>
      <w:tr>
        <w:trPr>
          <w:trHeight w:val="720" w:hRule="exact"/>
        </w:trPr>
        <w:tc>
          <w:tcPr>
            <w:tcW w:w="1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64"/>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47,817,973.00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14,375,301.50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22,805,473.00</w:t>
            </w:r>
          </w:p>
        </w:tc>
        <w:tc>
          <w:tcPr>
            <w:tcW w:w="109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62,193,274.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50</w:t>
            </w:r>
          </w:p>
        </w:tc>
      </w:tr>
      <w:tr>
        <w:trPr>
          <w:trHeight w:val="705" w:hRule="exact"/>
        </w:trPr>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64"/>
              <w:jc w:val="left"/>
              <w:rPr>
                <w:rFonts w:ascii="宋体" w:hAnsi="宋体" w:cs="宋体" w:eastAsia="宋体" w:hint="default"/>
                <w:sz w:val="18"/>
                <w:szCs w:val="18"/>
              </w:rPr>
            </w:pPr>
            <w:r>
              <w:rPr>
                <w:rFonts w:ascii="宋体" w:hAnsi="宋体" w:cs="宋体" w:eastAsia="宋体" w:hint="default"/>
                <w:sz w:val="18"/>
                <w:szCs w:val="18"/>
              </w:rPr>
              <w:t>其他非流动 金融资产</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90,533,438.60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2,420,832.22</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17,201,789.92</w:t>
            </w:r>
          </w:p>
        </w:tc>
        <w:tc>
          <w:tcPr>
            <w:tcW w:w="109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92,954,270.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82</w:t>
            </w:r>
          </w:p>
        </w:tc>
      </w:tr>
      <w:tr>
        <w:trPr>
          <w:trHeight w:val="721" w:hRule="exact"/>
        </w:trPr>
        <w:tc>
          <w:tcPr>
            <w:tcW w:w="1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138,351,411.6</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16,796,133.72</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40,007,262.92</w:t>
            </w:r>
          </w:p>
        </w:tc>
        <w:tc>
          <w:tcPr>
            <w:tcW w:w="109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155,147,545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.32</w:t>
            </w:r>
          </w:p>
        </w:tc>
      </w:tr>
      <w:tr>
        <w:trPr>
          <w:trHeight w:val="390" w:hRule="exact"/>
        </w:trPr>
        <w:tc>
          <w:tcPr>
            <w:tcW w:w="1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09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15"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52" w:lineRule="auto" w:before="44"/>
        <w:ind w:right="6789"/>
        <w:jc w:val="left"/>
      </w:pPr>
      <w:r>
        <w:rPr/>
        <w:t>其他变动的内容 报告期内公司主要资产计量属性是否发生重大变化</w:t>
      </w:r>
    </w:p>
    <w:p>
      <w:pPr>
        <w:pStyle w:val="BodyText"/>
        <w:spacing w:line="240" w:lineRule="auto" w:before="5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spacing w:val="5"/>
        </w:rPr>
        <w:t>3</w:t>
      </w:r>
      <w:r>
        <w:rPr>
          <w:spacing w:val="5"/>
        </w:rPr>
        <w:t>、截至报告期末的资产权利受限情况</w:t>
      </w:r>
      <w:r>
        <w:rPr>
          <w:b w:val="0"/>
          <w:bCs w:val="0"/>
          <w:spacing w:val="5"/>
        </w:rPr>
      </w:r>
    </w:p>
    <w:p>
      <w:pPr>
        <w:spacing w:line="240" w:lineRule="auto" w:before="9"/>
        <w:rPr>
          <w:rFonts w:ascii="宋体" w:hAnsi="宋体" w:cs="宋体" w:eastAsia="宋体" w:hint="default"/>
          <w:b/>
          <w:bCs/>
          <w:sz w:val="26"/>
          <w:szCs w:val="26"/>
        </w:rPr>
      </w:pPr>
    </w:p>
    <w:p>
      <w:pPr>
        <w:pStyle w:val="BodyText"/>
        <w:spacing w:line="321" w:lineRule="auto"/>
        <w:ind w:right="1089" w:firstLine="300"/>
        <w:jc w:val="left"/>
      </w:pPr>
      <w:r>
        <w:rPr/>
        <w:t>因与深圳市翼丰盛科技有限公司存在经济纠纷，深圳丰盛真空技术有限公司和杨北盈分别申请诉前财产保全，冻结我司 资金</w:t>
      </w:r>
      <w:r>
        <w:rPr>
          <w:rFonts w:ascii="Times New Roman" w:hAnsi="Times New Roman" w:cs="Times New Roman" w:eastAsia="Times New Roman" w:hint="default"/>
        </w:rPr>
        <w:t>6,387,651.02</w:t>
      </w:r>
      <w:r>
        <w:rPr/>
        <w:t>元和</w:t>
      </w:r>
      <w:r>
        <w:rPr>
          <w:rFonts w:ascii="Times New Roman" w:hAnsi="Times New Roman" w:cs="Times New Roman" w:eastAsia="Times New Roman" w:hint="default"/>
        </w:rPr>
        <w:t>1,136,194.18</w:t>
      </w:r>
      <w:r>
        <w:rPr/>
        <w:t>元。</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spacing w:val="5"/>
        </w:rPr>
        <w:t>1</w:t>
      </w:r>
      <w:r>
        <w:rPr>
          <w:spacing w:val="5"/>
        </w:rPr>
        <w:t>、总体情况</w:t>
      </w:r>
      <w:r>
        <w:rPr>
          <w:b w:val="0"/>
          <w:bCs w:val="0"/>
          <w:spacing w:val="5"/>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spacing w:val="5"/>
        </w:rPr>
        <w:t>2</w:t>
      </w:r>
      <w:r>
        <w:rPr>
          <w:spacing w:val="5"/>
        </w:rPr>
        <w:t>、报告期内获取的重大的股权投资情况</w:t>
      </w:r>
      <w:r>
        <w:rPr>
          <w:b w:val="0"/>
          <w:bCs w:val="0"/>
          <w:spacing w:val="5"/>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spacing w:val="5"/>
        </w:rPr>
        <w:t>3</w:t>
      </w:r>
      <w:r>
        <w:rPr>
          <w:spacing w:val="5"/>
        </w:rPr>
        <w:t>、报告期内正在进行的重大的非股权投资情况</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spacing w:val="5"/>
        </w:rPr>
        <w:t>4</w:t>
      </w:r>
      <w:r>
        <w:rPr>
          <w:spacing w:val="5"/>
        </w:rPr>
        <w:t>、以公允价值计量的金融资产</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991"/>
        <w:gridCol w:w="1142"/>
        <w:gridCol w:w="1247"/>
        <w:gridCol w:w="1171"/>
        <w:gridCol w:w="1202"/>
        <w:gridCol w:w="916"/>
        <w:gridCol w:w="706"/>
        <w:gridCol w:w="1247"/>
        <w:gridCol w:w="961"/>
      </w:tblGrid>
      <w:tr>
        <w:trPr>
          <w:trHeight w:val="1021" w:hRule="exact"/>
        </w:trPr>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81" w:right="105" w:hanging="361"/>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2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40" w:right="89" w:hanging="181"/>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29" w:right="44"/>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20" w:right="44" w:hanging="361"/>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89" w:right="89"/>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74" w:right="73"/>
              <w:jc w:val="left"/>
              <w:rPr>
                <w:rFonts w:ascii="宋体" w:hAnsi="宋体" w:cs="宋体" w:eastAsia="宋体" w:hint="default"/>
                <w:sz w:val="18"/>
                <w:szCs w:val="18"/>
              </w:rPr>
            </w:pPr>
            <w:r>
              <w:rPr>
                <w:rFonts w:ascii="宋体" w:hAnsi="宋体" w:cs="宋体" w:eastAsia="宋体" w:hint="default"/>
                <w:sz w:val="18"/>
                <w:szCs w:val="18"/>
              </w:rPr>
              <w:t>累计投 资收益</w:t>
            </w:r>
          </w:p>
        </w:tc>
        <w:tc>
          <w:tcPr>
            <w:tcW w:w="12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25,012,500.00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14,375,301.50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22,805,473.00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62,193,274.50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28,331,648.68</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3,150.00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15,374,601.32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43,709,400.00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40,000,000.00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2,417,682.22</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1,827,188.60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44,244,870.82</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390"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5,000,000.00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5,000,000.00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自有资金</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991"/>
        <w:gridCol w:w="1142"/>
        <w:gridCol w:w="1247"/>
        <w:gridCol w:w="1171"/>
        <w:gridCol w:w="1202"/>
        <w:gridCol w:w="916"/>
        <w:gridCol w:w="706"/>
        <w:gridCol w:w="1247"/>
        <w:gridCol w:w="961"/>
      </w:tblGrid>
      <w:tr>
        <w:trPr>
          <w:trHeight w:val="390" w:hRule="exact"/>
        </w:trPr>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98,344,148.68</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5" w:right="0"/>
              <w:jc w:val="left"/>
              <w:rPr>
                <w:rFonts w:ascii="Times New Roman" w:hAnsi="Times New Roman" w:cs="Times New Roman" w:eastAsia="Times New Roman" w:hint="default"/>
                <w:sz w:val="18"/>
                <w:szCs w:val="18"/>
              </w:rPr>
            </w:pPr>
            <w:r>
              <w:rPr>
                <w:rFonts w:ascii="Times New Roman"/>
                <w:sz w:val="18"/>
              </w:rPr>
              <w:t>16,796,133.72</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40,007,262.92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71" w:right="0"/>
              <w:jc w:val="left"/>
              <w:rPr>
                <w:rFonts w:ascii="Times New Roman" w:hAnsi="Times New Roman" w:cs="Times New Roman" w:eastAsia="Times New Roman" w:hint="default"/>
                <w:sz w:val="18"/>
                <w:szCs w:val="18"/>
              </w:rPr>
            </w:pPr>
            <w:r>
              <w:rPr>
                <w:rFonts w:ascii="Times New Roman"/>
                <w:sz w:val="18"/>
              </w:rPr>
              <w:t>0.00</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155,147,545.32</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spacing w:val="4"/>
        </w:rPr>
        <w:t>5</w:t>
      </w:r>
      <w:r>
        <w:rPr>
          <w:spacing w:val="4"/>
        </w:rPr>
        <w:t>、募集资金使用情况</w:t>
      </w:r>
      <w:r>
        <w:rPr>
          <w:b w:val="0"/>
          <w:bCs w:val="0"/>
          <w:spacing w:val="4"/>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1）募集资金总体使用情况" w:id="51"/>
      <w:bookmarkEnd w:id="51"/>
      <w:r>
        <w:rPr>
          <w:b w:val="0"/>
          <w:bCs w:val="0"/>
        </w:rPr>
      </w:r>
      <w:r>
        <w:rPr>
          <w:spacing w:val="4"/>
        </w:rPr>
        <w:t>（</w:t>
      </w:r>
      <w:r>
        <w:rPr>
          <w:rFonts w:ascii="Times New Roman" w:hAnsi="Times New Roman" w:cs="Times New Roman" w:eastAsia="Times New Roman" w:hint="default"/>
          <w:spacing w:val="4"/>
        </w:rPr>
        <w:t>1</w:t>
      </w:r>
      <w:r>
        <w:rPr>
          <w:spacing w:val="4"/>
        </w:rPr>
        <w:t>）募集资金总体使用情况</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before="44"/>
        <w:ind w:left="0" w:right="1126"/>
        <w:jc w:val="right"/>
      </w:pPr>
      <w:r>
        <w:rPr/>
        <w:pict>
          <v:shape style="position:absolute;margin-left:56.325001pt;margin-top:-364.885773pt;width:480.25pt;height:497.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1"/>
                    <w:gridCol w:w="856"/>
                    <w:gridCol w:w="886"/>
                    <w:gridCol w:w="871"/>
                    <w:gridCol w:w="871"/>
                    <w:gridCol w:w="871"/>
                    <w:gridCol w:w="871"/>
                    <w:gridCol w:w="871"/>
                    <w:gridCol w:w="871"/>
                    <w:gridCol w:w="872"/>
                    <w:gridCol w:w="871"/>
                  </w:tblGrid>
                  <w:tr>
                    <w:trPr>
                      <w:trHeight w:val="1337"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75" w:hanging="181"/>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60" w:right="75"/>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60" w:right="75"/>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60" w:right="75"/>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73"/>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3843"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21" w:lineRule="auto"/>
                          <w:ind w:left="14" w:right="104"/>
                          <w:jc w:val="both"/>
                          <w:rPr>
                            <w:rFonts w:ascii="宋体" w:hAnsi="宋体" w:cs="宋体" w:eastAsia="宋体" w:hint="default"/>
                            <w:sz w:val="18"/>
                            <w:szCs w:val="18"/>
                          </w:rPr>
                        </w:pPr>
                        <w:r>
                          <w:rPr>
                            <w:rFonts w:ascii="宋体" w:hAnsi="宋体" w:cs="宋体" w:eastAsia="宋体" w:hint="default"/>
                            <w:sz w:val="18"/>
                            <w:szCs w:val="18"/>
                          </w:rPr>
                          <w:t>非公开发 行人民币 普通股</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74,495.07</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4,570.39</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61,642.54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10.74%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13,947.5</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截止报告 期末，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19" w:lineRule="exact"/>
                          <w:ind w:left="15" w:right="0"/>
                          <w:jc w:val="left"/>
                          <w:rPr>
                            <w:rFonts w:ascii="宋体" w:hAnsi="宋体" w:cs="宋体" w:eastAsia="宋体" w:hint="default"/>
                            <w:sz w:val="18"/>
                            <w:szCs w:val="18"/>
                          </w:rPr>
                        </w:pPr>
                        <w:r>
                          <w:rPr>
                            <w:rFonts w:ascii="宋体" w:hAnsi="宋体" w:cs="宋体" w:eastAsia="宋体" w:hint="default"/>
                            <w:sz w:val="18"/>
                            <w:szCs w:val="18"/>
                          </w:rPr>
                          <w:t>元用于暂</w:t>
                        </w:r>
                      </w:p>
                      <w:p>
                        <w:pPr>
                          <w:pStyle w:val="TableParagraph"/>
                          <w:spacing w:line="316" w:lineRule="auto" w:before="79"/>
                          <w:ind w:left="15" w:right="29"/>
                          <w:jc w:val="left"/>
                          <w:rPr>
                            <w:rFonts w:ascii="宋体" w:hAnsi="宋体" w:cs="宋体" w:eastAsia="宋体" w:hint="default"/>
                            <w:sz w:val="18"/>
                            <w:szCs w:val="18"/>
                          </w:rPr>
                        </w:pPr>
                        <w:r>
                          <w:rPr>
                            <w:rFonts w:ascii="宋体" w:hAnsi="宋体" w:cs="宋体" w:eastAsia="宋体" w:hint="default"/>
                            <w:sz w:val="18"/>
                            <w:szCs w:val="18"/>
                          </w:rPr>
                          <w:t>时补充流 </w:t>
                        </w:r>
                        <w:r>
                          <w:rPr>
                            <w:rFonts w:ascii="宋体" w:hAnsi="宋体" w:cs="宋体" w:eastAsia="宋体" w:hint="default"/>
                            <w:spacing w:val="-18"/>
                            <w:sz w:val="18"/>
                            <w:szCs w:val="18"/>
                          </w:rPr>
                          <w:t>动资金，其</w:t>
                        </w:r>
                        <w:r>
                          <w:rPr>
                            <w:rFonts w:ascii="宋体" w:hAnsi="宋体" w:cs="宋体" w:eastAsia="宋体" w:hint="default"/>
                            <w:sz w:val="18"/>
                            <w:szCs w:val="18"/>
                          </w:rPr>
                          <w:t> 他尚未使 用的募集 资金存放 于公司募 集资金专 户</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12,000</w:t>
                        </w:r>
                      </w:p>
                    </w:tc>
                  </w:tr>
                  <w:tr>
                    <w:trPr>
                      <w:trHeight w:val="405"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88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74,495.07</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4,570.39</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4" w:right="0"/>
                          <w:jc w:val="center"/>
                          <w:rPr>
                            <w:rFonts w:ascii="Times New Roman" w:hAnsi="Times New Roman" w:cs="Times New Roman" w:eastAsia="Times New Roman" w:hint="default"/>
                            <w:sz w:val="18"/>
                            <w:szCs w:val="18"/>
                          </w:rPr>
                        </w:pPr>
                        <w:r>
                          <w:rPr>
                            <w:rFonts w:ascii="Times New Roman"/>
                            <w:sz w:val="18"/>
                          </w:rPr>
                          <w:t>61,642.54</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10.74%</w:t>
                        </w:r>
                      </w:p>
                    </w:tc>
                    <w:tc>
                      <w:tcPr>
                        <w:tcW w:w="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13,947.5</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12,000</w:t>
                        </w:r>
                      </w:p>
                    </w:tc>
                  </w:tr>
                  <w:tr>
                    <w:trPr>
                      <w:trHeight w:val="391"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15"/>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963" w:hRule="exact"/>
                    </w:trPr>
                    <w:tc>
                      <w:tcPr>
                        <w:tcW w:w="9582" w:type="dxa"/>
                        <w:gridSpan w:val="11"/>
                        <w:tcBorders>
                          <w:top w:val="single" w:sz="6" w:space="0" w:color="000000"/>
                          <w:left w:val="single" w:sz="6" w:space="0" w:color="000000"/>
                          <w:bottom w:val="single" w:sz="6" w:space="0" w:color="000000"/>
                          <w:right w:val="single" w:sz="6" w:space="0" w:color="000000"/>
                        </w:tcBorders>
                      </w:tcPr>
                      <w:p>
                        <w:pPr>
                          <w:pStyle w:val="TableParagraph"/>
                          <w:spacing w:line="314" w:lineRule="auto" w:before="59"/>
                          <w:ind w:left="15"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、募集资金金额及到位时间 经中国证券监督管理委员会《关于核准深圳市卓翼科技股份有限公司非公开发行股票的批复》</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[2016]3213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号文</w:t>
                        </w:r>
                        <w:r>
                          <w:rPr>
                            <w:rFonts w:ascii="Times New Roman" w:hAnsi="Times New Roman" w:cs="Times New Roman" w:eastAsia="Times New Roman" w:hint="default"/>
                            <w:sz w:val="18"/>
                            <w:szCs w:val="18"/>
                          </w:rPr>
                          <w:t>) </w:t>
                        </w:r>
                        <w:r>
                          <w:rPr>
                            <w:rFonts w:ascii="宋体" w:hAnsi="宋体" w:cs="宋体" w:eastAsia="宋体" w:hint="default"/>
                            <w:sz w:val="18"/>
                            <w:szCs w:val="18"/>
                          </w:rPr>
                          <w:t>核准，公司采用向特定对象非公开发行的方式发行人民币普通股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股票，每股面值为人民币</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元，发行数量</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96,769,204  </w:t>
                        </w:r>
                        <w:r>
                          <w:rPr>
                            <w:rFonts w:ascii="宋体" w:hAnsi="宋体" w:cs="宋体" w:eastAsia="宋体" w:hint="default"/>
                            <w:sz w:val="18"/>
                            <w:szCs w:val="18"/>
                          </w:rPr>
                          <w:t>股，发行价格为每股人民币 </w:t>
                        </w:r>
                        <w:r>
                          <w:rPr>
                            <w:rFonts w:ascii="Times New Roman" w:hAnsi="Times New Roman" w:cs="Times New Roman" w:eastAsia="Times New Roman" w:hint="default"/>
                            <w:sz w:val="18"/>
                            <w:szCs w:val="18"/>
                          </w:rPr>
                          <w:t>7.81  </w:t>
                        </w:r>
                        <w:r>
                          <w:rPr>
                            <w:rFonts w:ascii="宋体" w:hAnsi="宋体" w:cs="宋体" w:eastAsia="宋体" w:hint="default"/>
                            <w:sz w:val="18"/>
                            <w:szCs w:val="18"/>
                          </w:rPr>
                          <w:t>元，募集资金总额为人民币 </w:t>
                        </w:r>
                        <w:r>
                          <w:rPr>
                            <w:rFonts w:ascii="Times New Roman" w:hAnsi="Times New Roman" w:cs="Times New Roman" w:eastAsia="Times New Roman" w:hint="default"/>
                            <w:sz w:val="18"/>
                            <w:szCs w:val="18"/>
                          </w:rPr>
                          <w:t>755,767,483.24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元，已由主承销商东兴证券股份</w:t>
                        </w:r>
                      </w:p>
                      <w:p>
                        <w:pPr>
                          <w:pStyle w:val="TableParagraph"/>
                          <w:spacing w:line="240" w:lineRule="auto" w:before="4"/>
                          <w:ind w:left="15" w:right="0"/>
                          <w:jc w:val="left"/>
                          <w:rPr>
                            <w:rFonts w:ascii="宋体" w:hAnsi="宋体" w:cs="宋体" w:eastAsia="宋体" w:hint="default"/>
                            <w:sz w:val="18"/>
                            <w:szCs w:val="18"/>
                          </w:rPr>
                        </w:pPr>
                        <w:r>
                          <w:rPr>
                            <w:rFonts w:ascii="宋体" w:hAnsi="宋体" w:cs="宋体" w:eastAsia="宋体" w:hint="default"/>
                            <w:sz w:val="18"/>
                            <w:szCs w:val="18"/>
                          </w:rPr>
                          <w:t>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东兴证券</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日汇入公司募集资金监管账户，扣除本次发行费用</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10,816,769.20</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元</w:t>
                        </w:r>
                      </w:p>
                      <w:p>
                        <w:pPr>
                          <w:pStyle w:val="TableParagraph"/>
                          <w:spacing w:line="304" w:lineRule="auto" w:before="51"/>
                          <w:ind w:left="15" w:right="18"/>
                          <w:jc w:val="left"/>
                          <w:rPr>
                            <w:rFonts w:ascii="宋体" w:hAnsi="宋体" w:cs="宋体" w:eastAsia="宋体" w:hint="default"/>
                            <w:sz w:val="18"/>
                            <w:szCs w:val="18"/>
                          </w:rPr>
                        </w:pPr>
                        <w:r>
                          <w:rPr>
                            <w:rFonts w:ascii="宋体" w:hAnsi="宋体" w:cs="宋体" w:eastAsia="宋体" w:hint="default"/>
                            <w:sz w:val="18"/>
                            <w:szCs w:val="18"/>
                          </w:rPr>
                          <w:t>募集资金净额为人民币 </w:t>
                        </w:r>
                        <w:r>
                          <w:rPr>
                            <w:rFonts w:ascii="Times New Roman" w:hAnsi="Times New Roman" w:cs="Times New Roman" w:eastAsia="Times New Roman" w:hint="default"/>
                            <w:sz w:val="18"/>
                            <w:szCs w:val="18"/>
                          </w:rPr>
                          <w:t>744,950,714.04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元。上述募集资金已经大华会计师事务所（特殊普通合伙）出具的《深圳市卓翼科 技股份有限公司验资报告》（大华验字</w:t>
                        </w:r>
                        <w:r>
                          <w:rPr>
                            <w:rFonts w:ascii="Times New Roman" w:hAnsi="Times New Roman" w:cs="Times New Roman" w:eastAsia="Times New Roman" w:hint="default"/>
                            <w:sz w:val="18"/>
                            <w:szCs w:val="18"/>
                          </w:rPr>
                          <w:t>[2017]000120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号）予以验证确认。</w:t>
                        </w:r>
                      </w:p>
                      <w:p>
                        <w:pPr>
                          <w:pStyle w:val="TableParagraph"/>
                          <w:spacing w:line="240" w:lineRule="auto" w:before="57"/>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、募集资金的使用与结余情况</w:t>
                        </w:r>
                      </w:p>
                      <w:p>
                        <w:pPr>
                          <w:pStyle w:val="TableParagraph"/>
                          <w:spacing w:line="240" w:lineRule="auto" w:before="96"/>
                          <w:ind w:left="15" w:right="0"/>
                          <w:jc w:val="left"/>
                          <w:rPr>
                            <w:rFonts w:ascii="宋体" w:hAnsi="宋体" w:cs="宋体" w:eastAsia="宋体" w:hint="default"/>
                            <w:sz w:val="18"/>
                            <w:szCs w:val="18"/>
                          </w:rPr>
                        </w:pPr>
                        <w:r>
                          <w:rPr>
                            <w:rFonts w:ascii="宋体" w:hAnsi="宋体" w:cs="宋体" w:eastAsia="宋体" w:hint="default"/>
                            <w:sz w:val="18"/>
                            <w:szCs w:val="18"/>
                          </w:rPr>
                          <w:t>截至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日，本公司已累计使用募集资金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616,425,418.41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元，其中：公司置换于募集资金到位之前利用自有</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资金先期投入募集资金项目人民币 </w:t>
                        </w:r>
                        <w:r>
                          <w:rPr>
                            <w:rFonts w:ascii="Times New Roman" w:hAnsi="Times New Roman" w:cs="Times New Roman" w:eastAsia="Times New Roman" w:hint="default"/>
                            <w:sz w:val="18"/>
                            <w:szCs w:val="18"/>
                          </w:rPr>
                          <w:t>12,847,815.26  </w:t>
                        </w:r>
                        <w:r>
                          <w:rPr>
                            <w:rFonts w:ascii="宋体" w:hAnsi="宋体" w:cs="宋体" w:eastAsia="宋体" w:hint="default"/>
                            <w:sz w:val="18"/>
                            <w:szCs w:val="18"/>
                          </w:rPr>
                          <w:t>元，截止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日，非公开发行募集资金专用账户累计收</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到的银行存款利息扣除银行手续费等的净额为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10,949,742.43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元，募集资金余额为人民币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139,475,038.06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包含用于暂时</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补充流动资金的 </w:t>
                        </w:r>
                        <w:r>
                          <w:rPr>
                            <w:rFonts w:ascii="Times New Roman" w:hAnsi="Times New Roman" w:cs="Times New Roman" w:eastAsia="Times New Roman" w:hint="default"/>
                            <w:sz w:val="18"/>
                            <w:szCs w:val="18"/>
                          </w:rPr>
                          <w:t>120,000,000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
              </w:txbxContent>
            </v:textbox>
            <w10:wrap type="none"/>
          </v:shape>
        </w:pict>
      </w:r>
      <w:r>
        <w:rPr/>
        <w:t>，</w:t>
      </w:r>
    </w:p>
    <w:p>
      <w:pPr>
        <w:spacing w:after="0" w:line="240" w:lineRule="auto"/>
        <w:jc w:val="right"/>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2）募集资金承诺项目情况" w:id="52"/>
      <w:bookmarkEnd w:id="52"/>
      <w:r>
        <w:rPr>
          <w:b w:val="0"/>
          <w:bCs w:val="0"/>
        </w:rPr>
      </w:r>
      <w:r>
        <w:rPr>
          <w:spacing w:val="4"/>
        </w:rPr>
        <w:t>（</w:t>
      </w:r>
      <w:r>
        <w:rPr>
          <w:rFonts w:ascii="Times New Roman" w:hAnsi="Times New Roman" w:cs="Times New Roman" w:eastAsia="Times New Roman" w:hint="default"/>
          <w:spacing w:val="4"/>
        </w:rPr>
        <w:t>2</w:t>
      </w:r>
      <w:r>
        <w:rPr>
          <w:spacing w:val="4"/>
        </w:rPr>
        <w:t>）募集资金承诺项目情况</w:t>
      </w:r>
      <w:r>
        <w:rPr>
          <w:b w:val="0"/>
          <w:bCs w:val="0"/>
          <w:spacing w:val="4"/>
        </w:rPr>
      </w:r>
    </w:p>
    <w:p>
      <w:pPr>
        <w:spacing w:line="240" w:lineRule="auto" w:before="6"/>
        <w:rPr>
          <w:rFonts w:ascii="宋体" w:hAnsi="宋体" w:cs="宋体" w:eastAsia="宋体" w:hint="default"/>
          <w:b/>
          <w:bCs/>
          <w:sz w:val="24"/>
          <w:szCs w:val="24"/>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772"/>
        <w:gridCol w:w="781"/>
        <w:gridCol w:w="781"/>
        <w:gridCol w:w="781"/>
        <w:gridCol w:w="781"/>
        <w:gridCol w:w="781"/>
        <w:gridCol w:w="781"/>
        <w:gridCol w:w="781"/>
        <w:gridCol w:w="781"/>
        <w:gridCol w:w="781"/>
        <w:gridCol w:w="781"/>
      </w:tblGrid>
      <w:tr>
        <w:trPr>
          <w:trHeight w:val="1336"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510" w:right="75"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3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30"/>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4" w:right="29"/>
              <w:jc w:val="center"/>
              <w:rPr>
                <w:rFonts w:ascii="宋体" w:hAnsi="宋体" w:cs="宋体" w:eastAsia="宋体" w:hint="default"/>
                <w:sz w:val="18"/>
                <w:szCs w:val="18"/>
              </w:rPr>
            </w:pPr>
            <w:r>
              <w:rPr>
                <w:rFonts w:ascii="宋体" w:hAnsi="宋体" w:cs="宋体" w:eastAsia="宋体" w:hint="default"/>
                <w:sz w:val="18"/>
                <w:szCs w:val="18"/>
              </w:rPr>
              <w:t>调整后投 资总额</w:t>
            </w:r>
          </w:p>
          <w:p>
            <w:pPr>
              <w:pStyle w:val="TableParagraph"/>
              <w:spacing w:line="240" w:lineRule="auto" w:before="88"/>
              <w:ind w:right="13"/>
              <w:jc w:val="center"/>
              <w:rPr>
                <w:rFonts w:ascii="Times New Roman" w:hAnsi="Times New Roman" w:cs="Times New Roman" w:eastAsia="Times New Roman" w:hint="default"/>
                <w:sz w:val="18"/>
                <w:szCs w:val="18"/>
              </w:rPr>
            </w:pPr>
            <w:r>
              <w:rPr>
                <w:rFonts w:ascii="Times New Roman"/>
                <w:sz w:val="18"/>
              </w:rPr>
              <w:t>(1)</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3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3" w:lineRule="auto" w:before="29"/>
              <w:ind w:left="14"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28"/>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2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28"/>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6"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1"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．智能制造项目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35,000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35,000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2,604.31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35,368.69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101.05%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8,533.95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6"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创新支持平台项目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16,576.75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8,576.75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1,234.61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2,536.46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8" w:right="0"/>
              <w:jc w:val="center"/>
              <w:rPr>
                <w:rFonts w:ascii="Times New Roman" w:hAnsi="Times New Roman" w:cs="Times New Roman" w:eastAsia="Times New Roman" w:hint="default"/>
                <w:sz w:val="18"/>
                <w:szCs w:val="18"/>
              </w:rPr>
            </w:pPr>
            <w:r>
              <w:rPr>
                <w:rFonts w:ascii="Times New Roman"/>
                <w:sz w:val="18"/>
              </w:rPr>
              <w:t>29.57%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补充流动资金</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24,000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22,918.32</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22,918.22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8" w:right="0"/>
              <w:jc w:val="center"/>
              <w:rPr>
                <w:rFonts w:ascii="Times New Roman" w:hAnsi="Times New Roman" w:cs="Times New Roman" w:eastAsia="Times New Roman" w:hint="default"/>
                <w:sz w:val="18"/>
                <w:szCs w:val="18"/>
              </w:rPr>
            </w:pPr>
            <w:r>
              <w:rPr>
                <w:rFonts w:ascii="Times New Roman"/>
                <w:sz w:val="18"/>
              </w:rPr>
              <w:t>100.00%</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6"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、机器人项目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731.47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819.17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8" w:right="0"/>
              <w:jc w:val="center"/>
              <w:rPr>
                <w:rFonts w:ascii="Times New Roman" w:hAnsi="Times New Roman" w:cs="Times New Roman" w:eastAsia="Times New Roman" w:hint="default"/>
                <w:sz w:val="18"/>
                <w:szCs w:val="18"/>
              </w:rPr>
            </w:pPr>
            <w:r>
              <w:rPr>
                <w:rFonts w:ascii="Times New Roman"/>
                <w:sz w:val="18"/>
              </w:rPr>
              <w:t>10.24%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328"/>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75,576.75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74,495.07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4,570.39</w:t>
            </w:r>
          </w:p>
        </w:tc>
        <w:tc>
          <w:tcPr>
            <w:tcW w:w="7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61,642.54</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315"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7"/>
              <w:ind w:right="21"/>
              <w:jc w:val="right"/>
              <w:rPr>
                <w:rFonts w:ascii="Times New Roman" w:hAnsi="Times New Roman" w:cs="Times New Roman" w:eastAsia="Times New Roman" w:hint="default"/>
                <w:sz w:val="18"/>
                <w:szCs w:val="18"/>
              </w:rPr>
            </w:pPr>
            <w:r>
              <w:rPr>
                <w:rFonts w:ascii="Times New Roman"/>
                <w:sz w:val="18"/>
              </w:rPr>
              <w:t>8,533.95</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328"/>
              <w:jc w:val="right"/>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6" w:hRule="exact"/>
        </w:trPr>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328"/>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75,576.75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74,495.07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4,570.39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61,642.54</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315"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8,533.95</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328"/>
              <w:jc w:val="right"/>
              <w:rPr>
                <w:rFonts w:ascii="Times New Roman" w:hAnsi="Times New Roman" w:cs="Times New Roman" w:eastAsia="Times New Roman" w:hint="default"/>
                <w:sz w:val="18"/>
                <w:szCs w:val="18"/>
              </w:rPr>
            </w:pPr>
            <w:r>
              <w:rPr>
                <w:rFonts w:ascii="Times New Roman"/>
                <w:sz w:val="18"/>
              </w:rPr>
              <w:t>--</w:t>
            </w:r>
          </w:p>
        </w:tc>
      </w:tr>
      <w:tr>
        <w:trPr>
          <w:trHeight w:val="4188"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307" w:lineRule="auto"/>
              <w:ind w:left="15" w:right="120"/>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10" w:type="dxa"/>
            <w:gridSpan w:val="10"/>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15"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、创新支持平台项目主要是建设硬件开发实验室、材料和结构设计成型实验室、软件开发实验室、 测试实验室、</w:t>
            </w:r>
            <w:r>
              <w:rPr>
                <w:rFonts w:ascii="Times New Roman" w:hAnsi="Times New Roman" w:cs="Times New Roman" w:eastAsia="Times New Roman" w:hint="default"/>
                <w:sz w:val="18"/>
                <w:szCs w:val="18"/>
              </w:rPr>
              <w:t>IOT</w:t>
            </w:r>
            <w:r>
              <w:rPr>
                <w:rFonts w:ascii="宋体" w:hAnsi="宋体" w:cs="宋体" w:eastAsia="宋体" w:hint="default"/>
                <w:sz w:val="18"/>
                <w:szCs w:val="18"/>
              </w:rPr>
              <w:t>、智能医疗和智能家居体验模拟实验室、研发试产实验室六个实验室。目前，市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场环境变化较快，公司根据相关实验室研发方向与公司业务发展的匹配程度，按需对其进行投入， </w:t>
            </w:r>
            <w:r>
              <w:rPr>
                <w:rFonts w:ascii="宋体" w:hAnsi="宋体" w:cs="宋体" w:eastAsia="宋体" w:hint="default"/>
                <w:spacing w:val="-3"/>
                <w:sz w:val="18"/>
                <w:szCs w:val="18"/>
              </w:rPr>
              <w:t>本着合理、有效、节约的原则审慎使用募集资金，部分测试设备系对公司固有设备进行改造后使用，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未大批量的外购新的设备，合理降低项目建设成本，节约了部分募集资金，但也导致了募集资金投 资进度不达预期等问题。为加快此项目建设，公司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月，决定新增卓华联盛为创新支持平 台项目实施主体，加快建设相关研发实验室，提高公司技术储备，增强核心竞争力。</w:t>
            </w:r>
          </w:p>
          <w:p>
            <w:pPr>
              <w:pStyle w:val="TableParagraph"/>
              <w:spacing w:line="297" w:lineRule="auto" w:before="91"/>
              <w:ind w:left="15"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月，对创新支持平台项目投入进行调减，用于新增机器人项目。机器人项目 主要是进行高质量的工业机器人研发，可以应用于公司自动化生产线上，提高各产线的生产效率、 产成品的良品率及降低生产成本。机器人研发项目需要根据研发进度进行投入，之前公司拟根据此</w:t>
            </w:r>
          </w:p>
          <w:p>
            <w:pPr>
              <w:pStyle w:val="TableParagraph"/>
              <w:spacing w:line="321" w:lineRule="auto" w:before="37"/>
              <w:ind w:left="15" w:right="37"/>
              <w:jc w:val="both"/>
              <w:rPr>
                <w:rFonts w:ascii="宋体" w:hAnsi="宋体" w:cs="宋体" w:eastAsia="宋体" w:hint="default"/>
                <w:sz w:val="18"/>
                <w:szCs w:val="18"/>
              </w:rPr>
            </w:pPr>
            <w:r>
              <w:rPr>
                <w:rFonts w:ascii="宋体" w:hAnsi="宋体" w:cs="宋体" w:eastAsia="宋体" w:hint="default"/>
                <w:sz w:val="18"/>
                <w:szCs w:val="18"/>
              </w:rPr>
              <w:t>项目研发进度，打造外化平台，对外输出相关设备及成套解决方案。此项目的研发目前尚处于投入 第一阶段，得先保证公司内部自动化设备需求，未达到外化条件，导致项目建设进度不达预期等问 题。</w:t>
            </w:r>
          </w:p>
        </w:tc>
      </w:tr>
      <w:tr>
        <w:trPr>
          <w:trHeight w:val="1337"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15" w:right="12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10" w:type="dxa"/>
            <w:gridSpan w:val="10"/>
            <w:tcBorders>
              <w:top w:val="single" w:sz="6" w:space="0" w:color="000000"/>
              <w:left w:val="single" w:sz="12" w:space="0" w:color="000000"/>
              <w:bottom w:val="single" w:sz="6" w:space="0" w:color="000000"/>
              <w:right w:val="single" w:sz="6" w:space="0" w:color="000000"/>
            </w:tcBorders>
          </w:tcPr>
          <w:p>
            <w:pPr>
              <w:pStyle w:val="TableParagraph"/>
              <w:spacing w:line="314" w:lineRule="auto" w:before="45"/>
              <w:ind w:left="7" w:right="36"/>
              <w:jc w:val="both"/>
              <w:rPr>
                <w:rFonts w:ascii="宋体" w:hAnsi="宋体" w:cs="宋体" w:eastAsia="宋体" w:hint="default"/>
                <w:sz w:val="18"/>
                <w:szCs w:val="18"/>
              </w:rPr>
            </w:pPr>
            <w:r>
              <w:rPr>
                <w:rFonts w:ascii="宋体" w:hAnsi="宋体" w:cs="宋体" w:eastAsia="宋体" w:hint="default"/>
                <w:sz w:val="18"/>
                <w:szCs w:val="18"/>
              </w:rPr>
              <w:t>创新支持平台项目是公司基于当时的市场前景和战略发展计划制订的，公司考虑到与业务发展的匹 配程度，按需对其进行投入，部分测试设备系对公司固有设备进行改造后使用，未大批量的外购新 的设备，导致投资进度不及预期，资金使用效率较低。</w:t>
            </w:r>
          </w:p>
          <w:p>
            <w:pPr>
              <w:pStyle w:val="TableParagraph"/>
              <w:spacing w:line="240" w:lineRule="auto" w:before="53"/>
              <w:ind w:left="7" w:right="0"/>
              <w:jc w:val="both"/>
              <w:rPr>
                <w:rFonts w:ascii="宋体" w:hAnsi="宋体" w:cs="宋体" w:eastAsia="宋体" w:hint="default"/>
                <w:sz w:val="18"/>
                <w:szCs w:val="18"/>
              </w:rPr>
            </w:pPr>
            <w:r>
              <w:rPr>
                <w:rFonts w:ascii="宋体" w:hAnsi="宋体" w:cs="宋体" w:eastAsia="宋体" w:hint="default"/>
                <w:sz w:val="18"/>
                <w:szCs w:val="18"/>
              </w:rPr>
              <w:t>机器人项目需根据研发进度进行投入，之前公司拟根据此项目研发进度，打造外化平台，对外输出</w:t>
            </w:r>
          </w:p>
        </w:tc>
      </w:tr>
    </w:tbl>
    <w:p>
      <w:pPr>
        <w:spacing w:after="0" w:line="240" w:lineRule="auto"/>
        <w:jc w:val="both"/>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r>
        <w:rPr/>
        <w:pict>
          <v:shape style="position:absolute;margin-left:56.325001pt;margin-top:72.080002pt;width:480.25pt;height:685.3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810"/>
                  </w:tblGrid>
                  <w:tr>
                    <w:trPr>
                      <w:trHeight w:val="1651"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37"/>
                          <w:jc w:val="both"/>
                          <w:rPr>
                            <w:rFonts w:ascii="宋体" w:hAnsi="宋体" w:cs="宋体" w:eastAsia="宋体" w:hint="default"/>
                            <w:sz w:val="18"/>
                            <w:szCs w:val="18"/>
                          </w:rPr>
                        </w:pPr>
                        <w:r>
                          <w:rPr>
                            <w:rFonts w:ascii="宋体" w:hAnsi="宋体" w:cs="宋体" w:eastAsia="宋体" w:hint="default"/>
                            <w:sz w:val="18"/>
                            <w:szCs w:val="18"/>
                          </w:rPr>
                          <w:t>相关设备及成套解决方案。此项目的研发目前尚处于投入第一阶段，得先保证公司内部自动化设备 需求，未达到外化条件，导致项目建设进度不达预期等问题。</w:t>
                        </w:r>
                      </w:p>
                      <w:p>
                        <w:pPr>
                          <w:pStyle w:val="TableParagraph"/>
                          <w:spacing w:line="321" w:lineRule="auto" w:before="76"/>
                          <w:ind w:left="15" w:right="29"/>
                          <w:jc w:val="both"/>
                          <w:rPr>
                            <w:rFonts w:ascii="宋体" w:hAnsi="宋体" w:cs="宋体" w:eastAsia="宋体" w:hint="default"/>
                            <w:sz w:val="18"/>
                            <w:szCs w:val="18"/>
                          </w:rPr>
                        </w:pPr>
                        <w:r>
                          <w:rPr>
                            <w:rFonts w:ascii="宋体" w:hAnsi="宋体" w:cs="宋体" w:eastAsia="宋体" w:hint="default"/>
                            <w:sz w:val="18"/>
                            <w:szCs w:val="18"/>
                          </w:rPr>
                          <w:t>为了保障投资的稳健性及投入产出效果，提升资金的使用效率，综合考虑市场环境以及公司实际情 况，经审慎研究决定终止创新支持平台项目及机器人项目，并将此两个项目剩余募集资金永久补充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流动资金。</w:t>
                        </w:r>
                      </w:p>
                    </w:tc>
                  </w:tr>
                  <w:tr>
                    <w:trPr>
                      <w:trHeight w:val="406"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90"/>
                          <w:ind w:left="15" w:right="30"/>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z w:val="18"/>
                            <w:szCs w:val="18"/>
                          </w:rPr>
                          <w:t> 及使用进展情况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5"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321" w:lineRule="auto"/>
                          <w:ind w:left="15" w:right="12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5" w:hRule="exact"/>
                    </w:trPr>
                    <w:tc>
                      <w:tcPr>
                        <w:tcW w:w="1772" w:type="dxa"/>
                        <w:vMerge/>
                        <w:tcBorders>
                          <w:left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036"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37"/>
                          <w:jc w:val="both"/>
                          <w:rPr>
                            <w:rFonts w:ascii="宋体" w:hAnsi="宋体" w:cs="宋体" w:eastAsia="宋体" w:hint="default"/>
                            <w:sz w:val="18"/>
                            <w:szCs w:val="18"/>
                          </w:rPr>
                        </w:pPr>
                        <w:r>
                          <w:rPr>
                            <w:rFonts w:ascii="宋体" w:hAnsi="宋体" w:cs="宋体" w:eastAsia="宋体" w:hint="default"/>
                            <w:sz w:val="18"/>
                            <w:szCs w:val="18"/>
                          </w:rPr>
                          <w:t>根据公司实际情况及未来业务发展规划，为提高募集资金使用效率，加快推进创新支持平台项目的 建设进度，公司将创新支持平台项目的实施主体由公司变更为由公司及全资孙公司卓华联盛共同实 施，实施地点相应的新增西安市高新区。</w:t>
                        </w:r>
                      </w:p>
                    </w:tc>
                  </w:tr>
                  <w:tr>
                    <w:trPr>
                      <w:trHeight w:val="391"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07" w:lineRule="auto"/>
                          <w:ind w:left="15" w:right="12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5" w:hRule="exact"/>
                    </w:trPr>
                    <w:tc>
                      <w:tcPr>
                        <w:tcW w:w="1772" w:type="dxa"/>
                        <w:vMerge/>
                        <w:tcBorders>
                          <w:left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4189"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日，公司召开第四届董事会第十次会议审议通过了《关于部分募集资金投资项目实</w:t>
                        </w:r>
                        <w:r>
                          <w:rPr>
                            <w:rFonts w:ascii="宋体" w:hAnsi="宋体" w:cs="宋体" w:eastAsia="宋体" w:hint="default"/>
                            <w:sz w:val="18"/>
                            <w:szCs w:val="18"/>
                          </w:rPr>
                          <w:t> 施主体由公司变更为公司及全资子公司共同实施暨对全资子公司增资的议案》，同意公司将智能制</w:t>
                        </w:r>
                      </w:p>
                      <w:p>
                        <w:pPr>
                          <w:pStyle w:val="TableParagraph"/>
                          <w:spacing w:line="240" w:lineRule="auto" w:before="70"/>
                          <w:ind w:left="1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造项目实施主体由公司变更为公司及卓翼智造共同实施以及使用募集资金向卓翼智造增资</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15,000</w:t>
                        </w:r>
                      </w:p>
                      <w:p>
                        <w:pPr>
                          <w:pStyle w:val="TableParagraph"/>
                          <w:spacing w:line="240" w:lineRule="auto" w:before="51"/>
                          <w:ind w:left="15" w:right="0"/>
                          <w:jc w:val="both"/>
                          <w:rPr>
                            <w:rFonts w:ascii="宋体" w:hAnsi="宋体" w:cs="宋体" w:eastAsia="宋体" w:hint="default"/>
                            <w:sz w:val="18"/>
                            <w:szCs w:val="18"/>
                          </w:rPr>
                        </w:pPr>
                        <w:r>
                          <w:rPr>
                            <w:rFonts w:ascii="宋体" w:hAnsi="宋体" w:cs="宋体" w:eastAsia="宋体" w:hint="default"/>
                            <w:sz w:val="18"/>
                            <w:szCs w:val="18"/>
                          </w:rPr>
                          <w:t>万元，用于智能制造项目。</w:t>
                        </w:r>
                      </w:p>
                      <w:p>
                        <w:pPr>
                          <w:pStyle w:val="TableParagraph"/>
                          <w:spacing w:line="302" w:lineRule="auto" w:before="124"/>
                          <w:ind w:left="15" w:right="34"/>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日，公司召开第四届董事会第十八次会议审议通过了《关于部分变更募集资金用途</w:t>
                        </w:r>
                        <w:r>
                          <w:rPr>
                            <w:rFonts w:ascii="宋体" w:hAnsi="宋体" w:cs="宋体" w:eastAsia="宋体" w:hint="default"/>
                            <w:sz w:val="18"/>
                            <w:szCs w:val="18"/>
                          </w:rPr>
                          <w:t> </w:t>
                        </w:r>
                        <w:r>
                          <w:rPr>
                            <w:rFonts w:ascii="宋体" w:hAnsi="宋体" w:cs="宋体" w:eastAsia="宋体" w:hint="default"/>
                            <w:spacing w:val="-3"/>
                            <w:sz w:val="18"/>
                            <w:szCs w:val="18"/>
                          </w:rPr>
                          <w:t>的议案》，</w:t>
                        </w:r>
                        <w:r>
                          <w:rPr>
                            <w:rFonts w:ascii="宋体" w:hAnsi="宋体" w:cs="宋体" w:eastAsia="宋体" w:hint="default"/>
                            <w:spacing w:val="-19"/>
                            <w:sz w:val="18"/>
                            <w:szCs w:val="18"/>
                          </w:rPr>
                          <w:t> </w:t>
                        </w:r>
                        <w:r>
                          <w:rPr>
                            <w:rFonts w:ascii="宋体" w:hAnsi="宋体" w:cs="宋体" w:eastAsia="宋体" w:hint="default"/>
                            <w:sz w:val="18"/>
                            <w:szCs w:val="18"/>
                          </w:rPr>
                          <w:t>并经公司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年第二次临时股东大会审批通过，同意公司调减创新支持平台的募集资 金投入 </w:t>
                        </w:r>
                        <w:r>
                          <w:rPr>
                            <w:rFonts w:ascii="Times New Roman" w:hAnsi="Times New Roman" w:cs="Times New Roman" w:eastAsia="Times New Roman" w:hint="default"/>
                            <w:sz w:val="18"/>
                            <w:szCs w:val="18"/>
                          </w:rPr>
                          <w:t>8000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万元，用于新增</w:t>
                        </w:r>
                        <w:r>
                          <w:rPr>
                            <w:rFonts w:ascii="Times New Roman" w:hAnsi="Times New Roman" w:cs="Times New Roman" w:eastAsia="Times New Roman" w:hint="default"/>
                            <w:sz w:val="18"/>
                            <w:szCs w:val="18"/>
                          </w:rPr>
                          <w:t>“</w:t>
                        </w:r>
                        <w:r>
                          <w:rPr>
                            <w:rFonts w:ascii="宋体" w:hAnsi="宋体" w:cs="宋体" w:eastAsia="宋体" w:hint="default"/>
                            <w:sz w:val="18"/>
                            <w:szCs w:val="18"/>
                          </w:rPr>
                          <w:t>机器人项目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，具体由公司全资子公司深圳市卓博机器人有限公司负</w:t>
                        </w:r>
                      </w:p>
                      <w:p>
                        <w:pPr>
                          <w:pStyle w:val="TableParagraph"/>
                          <w:spacing w:line="240" w:lineRule="auto" w:before="14"/>
                          <w:ind w:left="15" w:right="0"/>
                          <w:jc w:val="both"/>
                          <w:rPr>
                            <w:rFonts w:ascii="宋体" w:hAnsi="宋体" w:cs="宋体" w:eastAsia="宋体" w:hint="default"/>
                            <w:sz w:val="18"/>
                            <w:szCs w:val="18"/>
                          </w:rPr>
                        </w:pPr>
                        <w:r>
                          <w:rPr>
                            <w:rFonts w:ascii="宋体" w:hAnsi="宋体" w:cs="宋体" w:eastAsia="宋体" w:hint="default"/>
                            <w:sz w:val="18"/>
                            <w:szCs w:val="18"/>
                          </w:rPr>
                          <w:t>责具体实施。</w:t>
                        </w:r>
                        <w:r>
                          <w:rPr>
                            <w:rFonts w:ascii="Times New Roman" w:hAnsi="Times New Roman" w:cs="Times New Roman" w:eastAsia="Times New Roman" w:hint="default"/>
                            <w:sz w:val="18"/>
                            <w:szCs w:val="18"/>
                          </w:rPr>
                          <w:t>“</w:t>
                        </w:r>
                        <w:r>
                          <w:rPr>
                            <w:rFonts w:ascii="宋体" w:hAnsi="宋体" w:cs="宋体" w:eastAsia="宋体" w:hint="default"/>
                            <w:sz w:val="18"/>
                            <w:szCs w:val="18"/>
                          </w:rPr>
                          <w:t>机器人项目</w:t>
                        </w:r>
                        <w:r>
                          <w:rPr>
                            <w:rFonts w:ascii="Times New Roman" w:hAnsi="Times New Roman" w:cs="Times New Roman" w:eastAsia="Times New Roman" w:hint="default"/>
                            <w:sz w:val="18"/>
                            <w:szCs w:val="18"/>
                          </w:rPr>
                          <w:t>”  </w:t>
                        </w:r>
                        <w:r>
                          <w:rPr>
                            <w:rFonts w:ascii="宋体" w:hAnsi="宋体" w:cs="宋体" w:eastAsia="宋体" w:hint="default"/>
                            <w:sz w:val="18"/>
                            <w:szCs w:val="18"/>
                          </w:rPr>
                          <w:t>总投资额为 </w:t>
                        </w:r>
                        <w:r>
                          <w:rPr>
                            <w:rFonts w:ascii="Times New Roman" w:hAnsi="Times New Roman" w:cs="Times New Roman" w:eastAsia="Times New Roman" w:hint="default"/>
                            <w:sz w:val="18"/>
                            <w:szCs w:val="18"/>
                          </w:rPr>
                          <w:t>15,000  </w:t>
                        </w:r>
                        <w:r>
                          <w:rPr>
                            <w:rFonts w:ascii="宋体" w:hAnsi="宋体" w:cs="宋体" w:eastAsia="宋体" w:hint="default"/>
                            <w:sz w:val="18"/>
                            <w:szCs w:val="18"/>
                          </w:rPr>
                          <w:t>万元，余下部分由公司以自有资金投入。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p>
                      <w:p>
                        <w:pPr>
                          <w:pStyle w:val="TableParagraph"/>
                          <w:spacing w:line="297" w:lineRule="auto" w:before="66"/>
                          <w:ind w:left="15"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日，公司召开第四届董事会第三十六次会议审议通过了《关于部分变更募集资金投资项目 实施主体暨对全资孙公司增资的议案》，同意公司将创新支持平台项目实施主体由公司变更为公司 及全资孙公</w:t>
                        </w:r>
                        <w:r>
                          <w:rPr>
                            <w:rFonts w:ascii="宋体" w:hAnsi="宋体" w:cs="宋体" w:eastAsia="宋体" w:hint="default"/>
                            <w:spacing w:val="1"/>
                            <w:sz w:val="18"/>
                            <w:szCs w:val="18"/>
                          </w:rPr>
                          <w:t> </w:t>
                        </w:r>
                        <w:r>
                          <w:rPr>
                            <w:rFonts w:ascii="宋体" w:hAnsi="宋体" w:cs="宋体" w:eastAsia="宋体" w:hint="default"/>
                            <w:sz w:val="18"/>
                            <w:szCs w:val="18"/>
                          </w:rPr>
                          <w:t>司共同实施以及使用募集资金通过全资子公司中广物联向全资孙公司卓华联盛增资</w:t>
                        </w:r>
                      </w:p>
                      <w:p>
                        <w:pPr>
                          <w:pStyle w:val="TableParagraph"/>
                          <w:spacing w:line="290" w:lineRule="auto" w:before="51"/>
                          <w:ind w:left="15" w:right="73"/>
                          <w:jc w:val="both"/>
                          <w:rPr>
                            <w:rFonts w:ascii="宋体" w:hAnsi="宋体" w:cs="宋体" w:eastAsia="宋体" w:hint="default"/>
                            <w:sz w:val="18"/>
                            <w:szCs w:val="18"/>
                          </w:rPr>
                        </w:pPr>
                        <w:r>
                          <w:rPr>
                            <w:rFonts w:ascii="Times New Roman" w:hAnsi="Times New Roman" w:cs="Times New Roman" w:eastAsia="Times New Roman" w:hint="default"/>
                            <w:sz w:val="18"/>
                            <w:szCs w:val="18"/>
                          </w:rPr>
                          <w:t>1,500 </w:t>
                        </w:r>
                        <w:r>
                          <w:rPr>
                            <w:rFonts w:ascii="宋体" w:hAnsi="宋体" w:cs="宋体" w:eastAsia="宋体" w:hint="default"/>
                            <w:sz w:val="18"/>
                            <w:szCs w:val="18"/>
                          </w:rPr>
                          <w:t>万元，用于创新支持平台项目，其中 </w:t>
                        </w:r>
                        <w:r>
                          <w:rPr>
                            <w:rFonts w:ascii="Times New Roman" w:hAnsi="Times New Roman" w:cs="Times New Roman" w:eastAsia="Times New Roman" w:hint="default"/>
                            <w:sz w:val="18"/>
                            <w:szCs w:val="18"/>
                          </w:rPr>
                          <w:t>900 </w:t>
                        </w:r>
                        <w:r>
                          <w:rPr>
                            <w:rFonts w:ascii="宋体" w:hAnsi="宋体" w:cs="宋体" w:eastAsia="宋体" w:hint="default"/>
                            <w:sz w:val="18"/>
                            <w:szCs w:val="18"/>
                          </w:rPr>
                          <w:t>万元用于向卓华联盛实缴出资，剩余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万元计 入卓华联盛资本公积。</w:t>
                        </w:r>
                      </w:p>
                    </w:tc>
                  </w:tr>
                  <w:tr>
                    <w:trPr>
                      <w:trHeight w:val="405"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21" w:lineRule="auto"/>
                          <w:ind w:left="15" w:right="12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6"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日，公司第四届董事会第九次会议审议通过了《关于使用募集资金置换预先投入募</w:t>
                        </w:r>
                      </w:p>
                      <w:p>
                        <w:pPr>
                          <w:pStyle w:val="TableParagraph"/>
                          <w:spacing w:line="304" w:lineRule="auto" w:before="51"/>
                          <w:ind w:left="15" w:right="19"/>
                          <w:jc w:val="both"/>
                          <w:rPr>
                            <w:rFonts w:ascii="宋体" w:hAnsi="宋体" w:cs="宋体" w:eastAsia="宋体" w:hint="default"/>
                            <w:sz w:val="18"/>
                            <w:szCs w:val="18"/>
                          </w:rPr>
                        </w:pPr>
                        <w:r>
                          <w:rPr>
                            <w:rFonts w:ascii="宋体" w:hAnsi="宋体" w:cs="宋体" w:eastAsia="宋体" w:hint="default"/>
                            <w:sz w:val="18"/>
                            <w:szCs w:val="18"/>
                          </w:rPr>
                          <w:t>投项目自筹资金的议案》，同意使用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12,847,815.26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元募集资金置换预先已投入募集资金投资项目的 自筹资金。大华会计师事务所（特殊普通合伙）出具了相关鉴证报告，独立董事、监事、保荐机构 发表了明确的同意意见。</w:t>
                        </w:r>
                      </w:p>
                    </w:tc>
                  </w:tr>
                  <w:tr>
                    <w:trPr>
                      <w:trHeight w:val="406"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4"/>
                            <w:szCs w:val="24"/>
                          </w:rPr>
                        </w:pPr>
                      </w:p>
                      <w:p>
                        <w:pPr>
                          <w:pStyle w:val="TableParagraph"/>
                          <w:spacing w:line="321" w:lineRule="auto"/>
                          <w:ind w:left="15" w:right="12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67"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日，公司召开第四届董事会第二十二次会议审议通过了《关于使用部分闲置募集 资金暂时补充流动资金的议案》，为提高募集资金的使用效率，降低公司财务费用，在保证募集资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金项目建设所需资金的前提下，结合公司财务状况及生产经营需求，公司决定使用不超过人民币</w:t>
                        </w:r>
                      </w:p>
                      <w:p>
                        <w:pPr>
                          <w:pStyle w:val="TableParagraph"/>
                          <w:spacing w:line="240" w:lineRule="auto" w:before="51"/>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12,000  </w:t>
                        </w:r>
                        <w:r>
                          <w:rPr>
                            <w:rFonts w:ascii="宋体" w:hAnsi="宋体" w:cs="宋体" w:eastAsia="宋体" w:hint="default"/>
                            <w:spacing w:val="-4"/>
                            <w:sz w:val="18"/>
                            <w:szCs w:val="18"/>
                          </w:rPr>
                          <w:t>万元闲置募集资金，暂时补充流动资金。使用期限自董事会审议通过之日起不超过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个月</w:t>
                        </w:r>
                      </w:p>
                      <w:p>
                        <w:pPr>
                          <w:pStyle w:val="TableParagraph"/>
                          <w:spacing w:line="240" w:lineRule="auto" w:before="66"/>
                          <w:ind w:left="15" w:right="0"/>
                          <w:jc w:val="both"/>
                          <w:rPr>
                            <w:rFonts w:ascii="宋体" w:hAnsi="宋体" w:cs="宋体" w:eastAsia="宋体" w:hint="default"/>
                            <w:sz w:val="18"/>
                            <w:szCs w:val="18"/>
                          </w:rPr>
                        </w:pPr>
                        <w:r>
                          <w:rPr>
                            <w:rFonts w:ascii="宋体" w:hAnsi="宋体" w:cs="宋体" w:eastAsia="宋体" w:hint="default"/>
                            <w:spacing w:val="-3"/>
                            <w:sz w:val="18"/>
                            <w:szCs w:val="18"/>
                          </w:rPr>
                          <w:t>到期归还至募集资金专用账户。截至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22 </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日，公司已将上述用于暂时补充流动资金的</w:t>
                        </w:r>
                      </w:p>
                      <w:p>
                        <w:pPr>
                          <w:pStyle w:val="TableParagraph"/>
                          <w:spacing w:line="240" w:lineRule="auto" w:before="51"/>
                          <w:ind w:left="15" w:right="0"/>
                          <w:jc w:val="both"/>
                          <w:rPr>
                            <w:rFonts w:ascii="宋体" w:hAnsi="宋体" w:cs="宋体" w:eastAsia="宋体" w:hint="default"/>
                            <w:sz w:val="18"/>
                            <w:szCs w:val="18"/>
                          </w:rPr>
                        </w:pPr>
                        <w:r>
                          <w:rPr>
                            <w:rFonts w:ascii="宋体" w:hAnsi="宋体" w:cs="宋体" w:eastAsia="宋体" w:hint="default"/>
                            <w:sz w:val="18"/>
                            <w:szCs w:val="18"/>
                          </w:rPr>
                          <w:t>募集资金人民币 </w:t>
                        </w:r>
                        <w:r>
                          <w:rPr>
                            <w:rFonts w:ascii="Times New Roman" w:hAnsi="Times New Roman" w:cs="Times New Roman" w:eastAsia="Times New Roman" w:hint="default"/>
                            <w:sz w:val="18"/>
                            <w:szCs w:val="18"/>
                          </w:rPr>
                          <w:t>12,000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万元全部归还并转入公司募集资金专用账户。</w:t>
                        </w:r>
                      </w:p>
                      <w:p>
                        <w:pPr>
                          <w:pStyle w:val="TableParagraph"/>
                          <w:spacing w:line="240" w:lineRule="auto" w:before="111"/>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日，公司召开第四届董事会第三十九次会议审议通过了《关于使用部分闲置募集</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left="0" w:right="1126"/>
        <w:jc w:val="right"/>
      </w:pPr>
      <w:r>
        <w:rPr/>
        <w:t>，</w:t>
      </w:r>
    </w:p>
    <w:p>
      <w:pPr>
        <w:spacing w:after="0" w:line="240" w:lineRule="auto"/>
        <w:jc w:val="righ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0" w:right="1126"/>
        <w:jc w:val="right"/>
      </w:pPr>
      <w:r>
        <w:rPr/>
        <w:pict>
          <v:shape style="position:absolute;margin-left:56.325001pt;margin-top:-16.488298pt;width:480.25pt;height:208.7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810"/>
                  </w:tblGrid>
                  <w:tr>
                    <w:trPr>
                      <w:trHeight w:val="1606"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35"/>
                          <w:jc w:val="left"/>
                          <w:rPr>
                            <w:rFonts w:ascii="宋体" w:hAnsi="宋体" w:cs="宋体" w:eastAsia="宋体" w:hint="default"/>
                            <w:sz w:val="18"/>
                            <w:szCs w:val="18"/>
                          </w:rPr>
                        </w:pPr>
                        <w:r>
                          <w:rPr>
                            <w:rFonts w:ascii="宋体" w:hAnsi="宋体" w:cs="宋体" w:eastAsia="宋体" w:hint="default"/>
                            <w:sz w:val="18"/>
                            <w:szCs w:val="18"/>
                          </w:rPr>
                          <w:t>资金暂时补充流动资金的议案》，鉴于公司发展需要和经营规模扩大，原材料采购及产品研发等资 金投入增加，为提高募集资金的使用效率，公司决定使用不超过人民币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万元闲置募集资金 暂时补充流动资金，用于公司主营业务相关的生产经营等，使用期限自董事会审议通过之日起不超</w:t>
                        </w:r>
                      </w:p>
                      <w:p>
                        <w:pPr>
                          <w:pStyle w:val="TableParagraph"/>
                          <w:spacing w:line="288" w:lineRule="auto" w:before="46"/>
                          <w:ind w:left="15" w:right="36"/>
                          <w:jc w:val="left"/>
                          <w:rPr>
                            <w:rFonts w:ascii="宋体" w:hAnsi="宋体" w:cs="宋体" w:eastAsia="宋体" w:hint="default"/>
                            <w:sz w:val="18"/>
                            <w:szCs w:val="18"/>
                          </w:rPr>
                        </w:pPr>
                        <w:r>
                          <w:rPr>
                            <w:rFonts w:ascii="宋体" w:hAnsi="宋体" w:cs="宋体" w:eastAsia="宋体" w:hint="default"/>
                            <w:sz w:val="18"/>
                            <w:szCs w:val="18"/>
                          </w:rPr>
                          <w:t>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个月，到期归还至募集资金专用账户。目前暂时补流的资金尚未归还，将于到期之前及时归 还。</w:t>
                        </w:r>
                      </w:p>
                    </w:tc>
                  </w:tr>
                  <w:tr>
                    <w:trPr>
                      <w:trHeight w:val="406" w:hRule="exact"/>
                    </w:trPr>
                    <w:tc>
                      <w:tcPr>
                        <w:tcW w:w="177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15" w:right="120"/>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5" w:hRule="exact"/>
                    </w:trPr>
                    <w:tc>
                      <w:tcPr>
                        <w:tcW w:w="1772" w:type="dxa"/>
                        <w:vMerge/>
                        <w:tcBorders>
                          <w:left w:val="single" w:sz="6" w:space="0" w:color="000000"/>
                          <w:bottom w:val="single" w:sz="6" w:space="0" w:color="000000"/>
                          <w:right w:val="single" w:sz="6" w:space="0" w:color="000000"/>
                        </w:tcBorders>
                        <w:shd w:val="clear" w:color="auto" w:fill="D2D2D2"/>
                      </w:tcPr>
                      <w:p>
                        <w:pPr/>
                      </w:p>
                    </w:tc>
                    <w:tc>
                      <w:tcPr>
                        <w:tcW w:w="7810"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73"/>
                          <w:jc w:val="left"/>
                          <w:rPr>
                            <w:rFonts w:ascii="宋体" w:hAnsi="宋体" w:cs="宋体" w:eastAsia="宋体" w:hint="default"/>
                            <w:sz w:val="18"/>
                            <w:szCs w:val="18"/>
                          </w:rPr>
                        </w:pPr>
                        <w:r>
                          <w:rPr>
                            <w:rFonts w:ascii="宋体" w:hAnsi="宋体" w:cs="宋体" w:eastAsia="宋体" w:hint="default"/>
                            <w:sz w:val="18"/>
                            <w:szCs w:val="18"/>
                          </w:rPr>
                          <w:t>截止报告期末，</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万元用于暂时补充流动资金，其他尚未使用的募集资金存放于公司募集资金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专户。</w:t>
                        </w:r>
                      </w:p>
                    </w:tc>
                  </w:tr>
                  <w:tr>
                    <w:trPr>
                      <w:trHeight w:val="1021" w:hRule="exact"/>
                    </w:trPr>
                    <w:tc>
                      <w:tcPr>
                        <w:tcW w:w="17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0"/>
                          <w:ind w:left="15" w:right="120"/>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5"/>
        <w:spacing w:line="240" w:lineRule="auto" w:before="45"/>
        <w:ind w:right="0"/>
        <w:jc w:val="left"/>
        <w:rPr>
          <w:b w:val="0"/>
          <w:bCs w:val="0"/>
        </w:rPr>
      </w:pPr>
      <w:bookmarkStart w:name="（3）募集资金变更项目情况" w:id="53"/>
      <w:bookmarkEnd w:id="53"/>
      <w:r>
        <w:rPr>
          <w:b w:val="0"/>
          <w:bCs w:val="0"/>
        </w:rPr>
      </w:r>
      <w:r>
        <w:rPr>
          <w:spacing w:val="4"/>
        </w:rPr>
        <w:t>（</w:t>
      </w:r>
      <w:r>
        <w:rPr>
          <w:rFonts w:ascii="Times New Roman" w:hAnsi="Times New Roman" w:cs="Times New Roman" w:eastAsia="Times New Roman" w:hint="default"/>
          <w:spacing w:val="4"/>
        </w:rPr>
        <w:t>3</w:t>
      </w:r>
      <w:r>
        <w:rPr>
          <w:spacing w:val="4"/>
        </w:rPr>
        <w:t>）募集资金变更项目情况</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40" w:lineRule="auto" w:before="44"/>
        <w:ind w:left="0" w:right="1131"/>
        <w:jc w:val="right"/>
      </w:pPr>
      <w:r>
        <w:rPr/>
        <w:pict>
          <v:shape style="position:absolute;margin-left:56.325001pt;margin-top:-275.538269pt;width:480.25pt;height:406.1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1"/>
                    <w:gridCol w:w="962"/>
                    <w:gridCol w:w="946"/>
                    <w:gridCol w:w="961"/>
                    <w:gridCol w:w="962"/>
                    <w:gridCol w:w="961"/>
                    <w:gridCol w:w="961"/>
                    <w:gridCol w:w="946"/>
                    <w:gridCol w:w="961"/>
                    <w:gridCol w:w="961"/>
                  </w:tblGrid>
                  <w:tr>
                    <w:trPr>
                      <w:trHeight w:val="1351"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375" w:right="28"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195" w:right="29" w:hanging="181"/>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4"/>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81"/>
                          <w:ind w:right="0"/>
                          <w:jc w:val="center"/>
                          <w:rPr>
                            <w:rFonts w:ascii="Times New Roman" w:hAnsi="Times New Roman" w:cs="Times New Roman" w:eastAsia="Times New Roman" w:hint="default"/>
                            <w:sz w:val="18"/>
                            <w:szCs w:val="18"/>
                          </w:rPr>
                        </w:pPr>
                        <w:r>
                          <w:rPr>
                            <w:rFonts w:ascii="Times New Roman"/>
                            <w:sz w:val="18"/>
                          </w:rPr>
                          <w:t>(1)</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9" w:right="15"/>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8" w:lineRule="auto"/>
                          <w:ind w:left="30" w:right="1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15"/>
                          <w:jc w:val="center"/>
                          <w:rPr>
                            <w:rFonts w:ascii="宋体" w:hAnsi="宋体" w:cs="宋体" w:eastAsia="宋体" w:hint="default"/>
                            <w:sz w:val="18"/>
                            <w:szCs w:val="18"/>
                          </w:rPr>
                        </w:pPr>
                        <w:r>
                          <w:rPr>
                            <w:rFonts w:ascii="宋体" w:hAnsi="宋体" w:cs="宋体" w:eastAsia="宋体" w:hint="default"/>
                            <w:sz w:val="18"/>
                            <w:szCs w:val="18"/>
                          </w:rPr>
                          <w:t>截至期末投 资进度</w:t>
                        </w:r>
                      </w:p>
                      <w:p>
                        <w:pPr>
                          <w:pStyle w:val="TableParagraph"/>
                          <w:spacing w:line="240" w:lineRule="auto" w:before="76"/>
                          <w:ind w:left="13" w:right="0"/>
                          <w:jc w:val="center"/>
                          <w:rPr>
                            <w:rFonts w:ascii="Times New Roman" w:hAnsi="Times New Roman" w:cs="Times New Roman" w:eastAsia="Times New Roman" w:hint="default"/>
                            <w:sz w:val="18"/>
                            <w:szCs w:val="18"/>
                          </w:rPr>
                        </w:pPr>
                        <w:r>
                          <w:rPr>
                            <w:rFonts w:ascii="Times New Roman"/>
                            <w:sz w:val="18"/>
                          </w:rPr>
                          <w:t>(3)=(2)/(1)</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4" w:right="29"/>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105" w:right="15"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10" w:right="15"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30" w:right="14"/>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06"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机器人项目</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29"/>
                          <w:jc w:val="left"/>
                          <w:rPr>
                            <w:rFonts w:ascii="宋体" w:hAnsi="宋体" w:cs="宋体" w:eastAsia="宋体" w:hint="default"/>
                            <w:sz w:val="18"/>
                            <w:szCs w:val="18"/>
                          </w:rPr>
                        </w:pPr>
                        <w:r>
                          <w:rPr>
                            <w:rFonts w:ascii="宋体" w:hAnsi="宋体" w:cs="宋体" w:eastAsia="宋体" w:hint="default"/>
                            <w:sz w:val="18"/>
                            <w:szCs w:val="18"/>
                          </w:rPr>
                          <w:t>创新支持平 台项目</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8,000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731.47</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819.17</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10.24%</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7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28"/>
                          <w:jc w:val="left"/>
                          <w:rPr>
                            <w:rFonts w:ascii="宋体" w:hAnsi="宋体" w:cs="宋体" w:eastAsia="宋体" w:hint="default"/>
                            <w:sz w:val="18"/>
                            <w:szCs w:val="18"/>
                          </w:rPr>
                        </w:pPr>
                        <w:r>
                          <w:rPr>
                            <w:rFonts w:ascii="宋体" w:hAnsi="宋体" w:cs="宋体" w:eastAsia="宋体" w:hint="default"/>
                            <w:sz w:val="18"/>
                            <w:szCs w:val="18"/>
                          </w:rPr>
                          <w:t>创新支持平 台项目</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29"/>
                          <w:jc w:val="left"/>
                          <w:rPr>
                            <w:rFonts w:ascii="宋体" w:hAnsi="宋体" w:cs="宋体" w:eastAsia="宋体" w:hint="default"/>
                            <w:sz w:val="18"/>
                            <w:szCs w:val="18"/>
                          </w:rPr>
                        </w:pPr>
                        <w:r>
                          <w:rPr>
                            <w:rFonts w:ascii="宋体" w:hAnsi="宋体" w:cs="宋体" w:eastAsia="宋体" w:hint="default"/>
                            <w:sz w:val="18"/>
                            <w:szCs w:val="18"/>
                          </w:rPr>
                          <w:t>创新支持平 台项目</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8,576.75</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1,234.61</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2,536.46</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29.57%</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75"/>
                          <w:jc w:val="right"/>
                          <w:rPr>
                            <w:rFonts w:ascii="宋体" w:hAnsi="宋体" w:cs="宋体" w:eastAsia="宋体" w:hint="default"/>
                            <w:sz w:val="18"/>
                            <w:szCs w:val="18"/>
                          </w:rPr>
                        </w:pPr>
                        <w:r>
                          <w:rPr>
                            <w:rFonts w:ascii="宋体" w:hAnsi="宋体" w:cs="宋体" w:eastAsia="宋体" w:hint="default"/>
                            <w:sz w:val="18"/>
                            <w:szCs w:val="18"/>
                          </w:rPr>
                          <w:t>不适用</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16,576.75</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1,966.08</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3,355.63</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420" w:right="0"/>
                          <w:jc w:val="left"/>
                          <w:rPr>
                            <w:rFonts w:ascii="Times New Roman" w:hAnsi="Times New Roman" w:cs="Times New Roman" w:eastAsia="Times New Roman" w:hint="default"/>
                            <w:sz w:val="18"/>
                            <w:szCs w:val="18"/>
                          </w:rPr>
                        </w:pPr>
                        <w:r>
                          <w:rPr>
                            <w:rFonts w:ascii="Times New Roman"/>
                            <w:sz w:val="18"/>
                          </w:rPr>
                          <w:t>--</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403"/>
                          <w:jc w:val="right"/>
                          <w:rPr>
                            <w:rFonts w:ascii="Times New Roman" w:hAnsi="Times New Roman" w:cs="Times New Roman" w:eastAsia="Times New Roman" w:hint="default"/>
                            <w:sz w:val="18"/>
                            <w:szCs w:val="18"/>
                          </w:rPr>
                        </w:pPr>
                        <w:r>
                          <w:rPr>
                            <w:rFonts w:ascii="Times New Roman"/>
                            <w:sz w:val="18"/>
                          </w:rPr>
                          <w:t>--</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925" w:hRule="exact"/>
                    </w:trPr>
                    <w:tc>
                      <w:tcPr>
                        <w:tcW w:w="286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21" w:lineRule="auto"/>
                          <w:ind w:left="15" w:right="16"/>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13" w:type="dxa"/>
                        <w:gridSpan w:val="7"/>
                        <w:tcBorders>
                          <w:top w:val="single" w:sz="6" w:space="0" w:color="000000"/>
                          <w:left w:val="single" w:sz="6" w:space="0" w:color="000000"/>
                          <w:bottom w:val="single" w:sz="6" w:space="0" w:color="000000"/>
                          <w:right w:val="single" w:sz="6" w:space="0" w:color="000000"/>
                        </w:tcBorders>
                      </w:tcPr>
                      <w:p>
                        <w:pPr>
                          <w:pStyle w:val="TableParagraph"/>
                          <w:spacing w:line="319" w:lineRule="auto" w:before="45"/>
                          <w:ind w:left="29"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、变更原因 市场环境日新月异，公司前期出于自身软硬件开发需求，已对创新支持平台项目进行 了投入，目前此项目建设已趋于稳定，如若按原计划进行投入可能造成资源闲置，募 集资金使用效率低等问题。为提高募集资金使用效率，保证股东利益最大化，公司从</w:t>
                        </w:r>
                      </w:p>
                      <w:p>
                        <w:pPr>
                          <w:pStyle w:val="TableParagraph"/>
                          <w:spacing w:line="290" w:lineRule="auto" w:before="35"/>
                          <w:ind w:left="29" w:right="88"/>
                          <w:jc w:val="left"/>
                          <w:rPr>
                            <w:rFonts w:ascii="宋体" w:hAnsi="宋体" w:cs="宋体" w:eastAsia="宋体" w:hint="default"/>
                            <w:sz w:val="18"/>
                            <w:szCs w:val="18"/>
                          </w:rPr>
                        </w:pPr>
                        <w:r>
                          <w:rPr>
                            <w:rFonts w:ascii="宋体" w:hAnsi="宋体" w:cs="宋体" w:eastAsia="宋体" w:hint="default"/>
                            <w:sz w:val="18"/>
                            <w:szCs w:val="18"/>
                          </w:rPr>
                          <w:t>实际情况出发，经审慎研究，决定调减创新支持平台的募集资金投入</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万元，用 于新增机器人项目。</w:t>
                        </w:r>
                      </w:p>
                      <w:p>
                        <w:pPr>
                          <w:pStyle w:val="TableParagraph"/>
                          <w:spacing w:line="240" w:lineRule="auto" w:before="86"/>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、决策程序</w:t>
                        </w:r>
                      </w:p>
                      <w:p>
                        <w:pPr>
                          <w:pStyle w:val="TableParagraph"/>
                          <w:spacing w:line="273" w:lineRule="auto" w:before="111"/>
                          <w:ind w:left="29" w:right="6"/>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pacing w:val="-5"/>
                            <w:sz w:val="18"/>
                            <w:szCs w:val="18"/>
                          </w:rPr>
                          <w:t>日，公司召开第四届董事会第十八次会议、第四届监事会第十三次会议</w:t>
                        </w:r>
                        <w:r>
                          <w:rPr>
                            <w:rFonts w:ascii="宋体" w:hAnsi="宋体" w:cs="宋体" w:eastAsia="宋体" w:hint="default"/>
                            <w:sz w:val="18"/>
                            <w:szCs w:val="18"/>
                          </w:rPr>
                          <w:t> 审议通过了《关于部分变更募集资金用途的议案》，独立董事就该事项发表了同意的</w:t>
                        </w:r>
                      </w:p>
                      <w:p>
                        <w:pPr>
                          <w:pStyle w:val="TableParagraph"/>
                          <w:spacing w:line="240" w:lineRule="auto" w:before="69"/>
                          <w:ind w:left="29" w:right="0"/>
                          <w:jc w:val="left"/>
                          <w:rPr>
                            <w:rFonts w:ascii="宋体" w:hAnsi="宋体" w:cs="宋体" w:eastAsia="宋体" w:hint="default"/>
                            <w:sz w:val="18"/>
                            <w:szCs w:val="18"/>
                          </w:rPr>
                        </w:pPr>
                        <w:r>
                          <w:rPr>
                            <w:rFonts w:ascii="宋体" w:hAnsi="宋体" w:cs="宋体" w:eastAsia="宋体" w:hint="default"/>
                            <w:spacing w:val="-2"/>
                            <w:sz w:val="18"/>
                            <w:szCs w:val="18"/>
                          </w:rPr>
                          <w:t>独立意见，保荐机构东兴证券对本次变更部分募集资金用途发表了核查意见。</w:t>
                        </w:r>
                        <w:r>
                          <w:rPr>
                            <w:rFonts w:ascii="Times New Roman" w:hAnsi="Times New Roman" w:cs="Times New Roman" w:eastAsia="Times New Roman" w:hint="default"/>
                            <w:spacing w:val="-2"/>
                            <w:sz w:val="18"/>
                            <w:szCs w:val="18"/>
                          </w:rPr>
                          <w:t>2018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p>
                      <w:p>
                        <w:pPr>
                          <w:pStyle w:val="TableParagraph"/>
                          <w:spacing w:line="240" w:lineRule="auto" w:before="66"/>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日，公司召开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年第二次临时股东大会，审议通过了此事项。</w:t>
                        </w:r>
                      </w:p>
                      <w:p>
                        <w:pPr>
                          <w:pStyle w:val="TableParagraph"/>
                          <w:spacing w:line="240" w:lineRule="auto" w:before="96"/>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、信息披露情况</w:t>
                        </w:r>
                      </w:p>
                      <w:p>
                        <w:pPr>
                          <w:pStyle w:val="TableParagraph"/>
                          <w:spacing w:line="297" w:lineRule="auto" w:before="111"/>
                          <w:ind w:left="29" w:right="-3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日在公司指定信息披露媒体刊登了《第四届董事会第十八次会 </w:t>
                        </w:r>
                        <w:r>
                          <w:rPr>
                            <w:rFonts w:ascii="宋体" w:hAnsi="宋体" w:cs="宋体" w:eastAsia="宋体" w:hint="default"/>
                            <w:spacing w:val="-4"/>
                            <w:sz w:val="18"/>
                            <w:szCs w:val="18"/>
                          </w:rPr>
                          <w:t>议决议公告》（公告编号：</w:t>
                        </w:r>
                        <w:r>
                          <w:rPr>
                            <w:rFonts w:ascii="Times New Roman" w:hAnsi="Times New Roman" w:cs="Times New Roman" w:eastAsia="Times New Roman" w:hint="default"/>
                            <w:spacing w:val="-4"/>
                            <w:sz w:val="18"/>
                            <w:szCs w:val="18"/>
                          </w:rPr>
                          <w:t>2018-021</w:t>
                        </w:r>
                        <w:r>
                          <w:rPr>
                            <w:rFonts w:ascii="宋体" w:hAnsi="宋体" w:cs="宋体" w:eastAsia="宋体" w:hint="default"/>
                            <w:spacing w:val="-4"/>
                            <w:sz w:val="18"/>
                            <w:szCs w:val="18"/>
                          </w:rPr>
                          <w:t>）、《第四届监事会第十三次会议决议公告》（公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6"/>
                            <w:sz w:val="18"/>
                            <w:szCs w:val="18"/>
                          </w:rPr>
                          <w:t>告编号：</w:t>
                        </w:r>
                        <w:r>
                          <w:rPr>
                            <w:rFonts w:ascii="Times New Roman" w:hAnsi="Times New Roman" w:cs="Times New Roman" w:eastAsia="Times New Roman" w:hint="default"/>
                            <w:spacing w:val="-6"/>
                            <w:sz w:val="18"/>
                            <w:szCs w:val="18"/>
                          </w:rPr>
                          <w:t>2018-022</w:t>
                        </w:r>
                        <w:r>
                          <w:rPr>
                            <w:rFonts w:ascii="宋体" w:hAnsi="宋体" w:cs="宋体" w:eastAsia="宋体" w:hint="default"/>
                            <w:spacing w:val="-6"/>
                            <w:sz w:val="18"/>
                            <w:szCs w:val="18"/>
                          </w:rPr>
                          <w:t>）、《关于部分变更募集资金用途的公告》（公告编号：</w:t>
                        </w:r>
                        <w:r>
                          <w:rPr>
                            <w:rFonts w:ascii="Times New Roman" w:hAnsi="Times New Roman" w:cs="Times New Roman" w:eastAsia="Times New Roman" w:hint="default"/>
                            <w:spacing w:val="-6"/>
                            <w:sz w:val="18"/>
                            <w:szCs w:val="18"/>
                          </w:rPr>
                          <w:t>2018-024</w:t>
                        </w:r>
                        <w:r>
                          <w:rPr>
                            <w:rFonts w:ascii="宋体" w:hAnsi="宋体" w:cs="宋体" w:eastAsia="宋体" w:hint="default"/>
                            <w:spacing w:val="-6"/>
                            <w:sz w:val="18"/>
                            <w:szCs w:val="18"/>
                          </w:rPr>
                          <w:t>）、</w:t>
                        </w:r>
                        <w:r>
                          <w:rPr>
                            <w:rFonts w:ascii="宋体" w:hAnsi="宋体" w:cs="宋体" w:eastAsia="宋体" w:hint="default"/>
                            <w:sz w:val="18"/>
                            <w:szCs w:val="18"/>
                          </w:rPr>
                        </w:r>
                      </w:p>
                    </w:tc>
                  </w:tr>
                </w:tbl>
                <w:p>
                  <w:pPr/>
                </w:p>
              </w:txbxContent>
            </v:textbox>
            <w10:wrap type="none"/>
          </v:shape>
        </w:pict>
      </w:r>
      <w:r>
        <w:rPr/>
        <w:t>，</w:t>
      </w:r>
    </w:p>
    <w:p>
      <w:pPr>
        <w:spacing w:after="0" w:line="240" w:lineRule="auto"/>
        <w:jc w:val="righ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44"/>
        <w:ind w:left="0" w:right="1113"/>
        <w:jc w:val="right"/>
      </w:pPr>
      <w:r>
        <w:rPr/>
        <w:pict>
          <v:shape style="position:absolute;margin-left:56.325001pt;margin-top:-161.428253pt;width:480.25pt;height:424.1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69"/>
                    <w:gridCol w:w="6713"/>
                  </w:tblGrid>
                  <w:tr>
                    <w:trPr>
                      <w:trHeight w:val="675"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9"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日刊登了《</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年第二次临时股东大会决议公告》（公告编号：</w:t>
                        </w:r>
                      </w:p>
                      <w:p>
                        <w:pPr>
                          <w:pStyle w:val="TableParagraph"/>
                          <w:spacing w:line="240" w:lineRule="auto" w:before="51"/>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2018-029</w:t>
                        </w:r>
                        <w:r>
                          <w:rPr>
                            <w:rFonts w:ascii="宋体" w:hAnsi="宋体" w:cs="宋体" w:eastAsia="宋体" w:hint="default"/>
                            <w:sz w:val="18"/>
                            <w:szCs w:val="18"/>
                          </w:rPr>
                          <w:t>）等公告。</w:t>
                        </w:r>
                      </w:p>
                    </w:tc>
                  </w:tr>
                  <w:tr>
                    <w:trPr>
                      <w:trHeight w:val="4504"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2"/>
                            <w:szCs w:val="22"/>
                          </w:rPr>
                        </w:pPr>
                      </w:p>
                      <w:p>
                        <w:pPr>
                          <w:pStyle w:val="TableParagraph"/>
                          <w:spacing w:line="321" w:lineRule="auto"/>
                          <w:ind w:left="15" w:right="136"/>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59"/>
                          <w:ind w:left="29"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、创新支持平台项目主要是建设硬件开发实验室、材料和结构设计成型实验室、软 件开发实验室、测试实验室、</w:t>
                        </w:r>
                        <w:r>
                          <w:rPr>
                            <w:rFonts w:ascii="Times New Roman" w:hAnsi="Times New Roman" w:cs="Times New Roman" w:eastAsia="Times New Roman" w:hint="default"/>
                            <w:sz w:val="18"/>
                            <w:szCs w:val="18"/>
                          </w:rPr>
                          <w:t>IOT</w:t>
                        </w:r>
                        <w:r>
                          <w:rPr>
                            <w:rFonts w:ascii="宋体" w:hAnsi="宋体" w:cs="宋体" w:eastAsia="宋体" w:hint="default"/>
                            <w:sz w:val="18"/>
                            <w:szCs w:val="18"/>
                          </w:rPr>
                          <w:t>、智能医疗和智能家居体验模拟实验室、研发试产</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实验室六个实验室。目前，市场环境变化较快，公司根据相关实验室研发方向与公司 业务发展的匹配程度，按需对其进行投入，本着合理、有效、节约的原则审慎使用募 </w:t>
                        </w:r>
                        <w:r>
                          <w:rPr>
                            <w:rFonts w:ascii="宋体" w:hAnsi="宋体" w:cs="宋体" w:eastAsia="宋体" w:hint="default"/>
                            <w:spacing w:val="-4"/>
                            <w:sz w:val="18"/>
                            <w:szCs w:val="18"/>
                          </w:rPr>
                          <w:t>集资金，部分测试设备系对公司固有设备进行改造后使用，未大批量的外购新的设备，</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合理降低项目建设成本，节约了部分募集资金，但也导致了募集资金投资进度不达预</w:t>
                        </w:r>
                      </w:p>
                      <w:p>
                        <w:pPr>
                          <w:pStyle w:val="TableParagraph"/>
                          <w:spacing w:line="288" w:lineRule="auto" w:before="46"/>
                          <w:ind w:left="29" w:right="6"/>
                          <w:jc w:val="left"/>
                          <w:rPr>
                            <w:rFonts w:ascii="宋体" w:hAnsi="宋体" w:cs="宋体" w:eastAsia="宋体" w:hint="default"/>
                            <w:sz w:val="18"/>
                            <w:szCs w:val="18"/>
                          </w:rPr>
                        </w:pPr>
                        <w:r>
                          <w:rPr>
                            <w:rFonts w:ascii="宋体" w:hAnsi="宋体" w:cs="宋体" w:eastAsia="宋体" w:hint="default"/>
                            <w:sz w:val="18"/>
                            <w:szCs w:val="18"/>
                          </w:rPr>
                          <w:t>期等问题。为加快此项目建设，公司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月，决定新增卓华联盛为创新支持平 台项目实施主体，加快建设相关研发实验室，提高公司技术储备，增强核心竞争力。</w:t>
                        </w:r>
                      </w:p>
                      <w:p>
                        <w:pPr>
                          <w:pStyle w:val="TableParagraph"/>
                          <w:spacing w:line="309" w:lineRule="auto" w:before="89"/>
                          <w:ind w:left="29" w:right="6"/>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、公司于</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月，对创新支持平台项目投入进行调减，用于新增机器人项目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机器人项目主要是进行高质量的工业机器人研发，可以应用于公司自动化生产线上， 提高各产线的生产效率、产成品的良品率及降低生产成本。机器人研发项目需要根据</w:t>
                        </w:r>
                        <w:r>
                          <w:rPr>
                            <w:rFonts w:ascii="宋体" w:hAnsi="宋体" w:cs="宋体" w:eastAsia="宋体" w:hint="default"/>
                            <w:sz w:val="18"/>
                            <w:szCs w:val="18"/>
                          </w:rPr>
                          <w:t> 研发进度去进行投入，之前公司拟根据此项目研发进度，打造外化平台，对外输出相</w:t>
                        </w:r>
                      </w:p>
                      <w:p>
                        <w:pPr>
                          <w:pStyle w:val="TableParagraph"/>
                          <w:spacing w:line="304" w:lineRule="auto" w:before="28"/>
                          <w:ind w:left="29" w:right="36"/>
                          <w:jc w:val="left"/>
                          <w:rPr>
                            <w:rFonts w:ascii="宋体" w:hAnsi="宋体" w:cs="宋体" w:eastAsia="宋体" w:hint="default"/>
                            <w:sz w:val="18"/>
                            <w:szCs w:val="18"/>
                          </w:rPr>
                        </w:pPr>
                        <w:r>
                          <w:rPr>
                            <w:rFonts w:ascii="宋体" w:hAnsi="宋体" w:cs="宋体" w:eastAsia="宋体" w:hint="default"/>
                            <w:spacing w:val="-1"/>
                            <w:sz w:val="18"/>
                            <w:szCs w:val="18"/>
                          </w:rPr>
                          <w:t>关设备及成套解决方案。此项目的研发目前尚处于投入第一阶段，得先保证公司内部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自动化设备需求，未达到外化条件，导致项目建设进度不达预期等问题。</w:t>
                        </w:r>
                      </w:p>
                    </w:tc>
                  </w:tr>
                  <w:tr>
                    <w:trPr>
                      <w:trHeight w:val="3288" w:hRule="exact"/>
                    </w:trPr>
                    <w:tc>
                      <w:tcPr>
                        <w:tcW w:w="28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43"/>
                          <w:ind w:left="15" w:right="136"/>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713"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29"/>
                          <w:ind w:left="29" w:right="6"/>
                          <w:jc w:val="left"/>
                          <w:rPr>
                            <w:rFonts w:ascii="宋体" w:hAnsi="宋体" w:cs="宋体" w:eastAsia="宋体" w:hint="default"/>
                            <w:sz w:val="18"/>
                            <w:szCs w:val="18"/>
                          </w:rPr>
                        </w:pPr>
                        <w:r>
                          <w:rPr>
                            <w:rFonts w:ascii="宋体" w:hAnsi="宋体" w:cs="宋体" w:eastAsia="宋体" w:hint="default"/>
                            <w:sz w:val="18"/>
                            <w:szCs w:val="18"/>
                          </w:rPr>
                          <w:t>创新支持平台项目是公司基于当时的市场前景和战略发展计划制订的，公司考虑到与 业务发展的匹配程度，按需对其进行投入，部分测试设备系对公司固有设备进行改造 后使用，未大批量的外购新的设备，导致投资进度不及预期，资金使用效率较低。 机器人项目需根据研发进度进行投入，之前公司拟根据此项目研发进度，打造外化平</w:t>
                        </w:r>
                      </w:p>
                      <w:p>
                        <w:pPr>
                          <w:pStyle w:val="TableParagraph"/>
                          <w:spacing w:line="331" w:lineRule="auto" w:before="11"/>
                          <w:ind w:left="29" w:right="6"/>
                          <w:jc w:val="left"/>
                          <w:rPr>
                            <w:rFonts w:ascii="宋体" w:hAnsi="宋体" w:cs="宋体" w:eastAsia="宋体" w:hint="default"/>
                            <w:sz w:val="18"/>
                            <w:szCs w:val="18"/>
                          </w:rPr>
                        </w:pPr>
                        <w:r>
                          <w:rPr>
                            <w:rFonts w:ascii="宋体" w:hAnsi="宋体" w:cs="宋体" w:eastAsia="宋体" w:hint="default"/>
                            <w:sz w:val="18"/>
                            <w:szCs w:val="18"/>
                          </w:rPr>
                          <w:t>台，对外输出相关设备及成套解决方案。此项目的研发目前尚处于投入第一阶段，得 先保证公司内部自动化设备需求，未达到外化条件，导致项目建设进度不达预期等问 题。 为了保障投资的稳健性及投入产出效果，提升资金的使用效率，综合考虑市场环境以</w:t>
                        </w:r>
                      </w:p>
                      <w:p>
                        <w:pPr>
                          <w:pStyle w:val="TableParagraph"/>
                          <w:spacing w:line="321" w:lineRule="auto" w:before="11"/>
                          <w:ind w:left="29" w:right="29"/>
                          <w:jc w:val="left"/>
                          <w:rPr>
                            <w:rFonts w:ascii="宋体" w:hAnsi="宋体" w:cs="宋体" w:eastAsia="宋体" w:hint="default"/>
                            <w:sz w:val="18"/>
                            <w:szCs w:val="18"/>
                          </w:rPr>
                        </w:pPr>
                        <w:r>
                          <w:rPr>
                            <w:rFonts w:ascii="宋体" w:hAnsi="宋体" w:cs="宋体" w:eastAsia="宋体" w:hint="default"/>
                            <w:spacing w:val="-1"/>
                            <w:sz w:val="18"/>
                            <w:szCs w:val="18"/>
                          </w:rPr>
                          <w:t>及公司实际情况，经审慎研究决定终止创新支持平台项目及机器人项目，并将此两个</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项目剩余募集资金永久补充流动资金。</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Heading2"/>
        <w:spacing w:line="240" w:lineRule="auto" w:before="26"/>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spacing w:val="4"/>
        </w:rPr>
        <w:t>1</w:t>
      </w:r>
      <w:r>
        <w:rPr>
          <w:spacing w:val="4"/>
        </w:rPr>
        <w:t>、出售重大资产情况</w:t>
      </w:r>
      <w:r>
        <w:rPr>
          <w:b w:val="0"/>
          <w:bCs w:val="0"/>
          <w:spacing w:val="4"/>
        </w:rPr>
      </w:r>
    </w:p>
    <w:p>
      <w:pPr>
        <w:spacing w:line="240" w:lineRule="auto" w:before="12"/>
        <w:rPr>
          <w:rFonts w:ascii="宋体" w:hAnsi="宋体" w:cs="宋体" w:eastAsia="宋体" w:hint="default"/>
          <w:b/>
          <w:bCs/>
          <w:sz w:val="27"/>
          <w:szCs w:val="27"/>
        </w:rPr>
      </w:pPr>
    </w:p>
    <w:p>
      <w:pPr>
        <w:pStyle w:val="BodyText"/>
        <w:spacing w:line="316"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公司报告期未出售重大资产。</w:t>
      </w:r>
    </w:p>
    <w:p>
      <w:pPr>
        <w:spacing w:line="240" w:lineRule="auto" w:before="0"/>
        <w:rPr>
          <w:rFonts w:ascii="宋体" w:hAnsi="宋体" w:cs="宋体" w:eastAsia="宋体" w:hint="default"/>
          <w:sz w:val="26"/>
          <w:szCs w:val="26"/>
        </w:rPr>
      </w:pPr>
    </w:p>
    <w:p>
      <w:pPr>
        <w:pStyle w:val="Heading5"/>
        <w:spacing w:line="240" w:lineRule="auto"/>
        <w:ind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spacing w:val="4"/>
        </w:rPr>
        <w:t>2</w:t>
      </w:r>
      <w:r>
        <w:rPr>
          <w:spacing w:val="4"/>
        </w:rPr>
        <w:t>、出售重大股权情况</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691"/>
        <w:gridCol w:w="676"/>
        <w:gridCol w:w="691"/>
        <w:gridCol w:w="676"/>
        <w:gridCol w:w="691"/>
        <w:gridCol w:w="676"/>
        <w:gridCol w:w="691"/>
        <w:gridCol w:w="676"/>
        <w:gridCol w:w="691"/>
        <w:gridCol w:w="676"/>
        <w:gridCol w:w="691"/>
        <w:gridCol w:w="691"/>
        <w:gridCol w:w="676"/>
        <w:gridCol w:w="691"/>
      </w:tblGrid>
      <w:tr>
        <w:trPr>
          <w:trHeight w:val="1922" w:hRule="exact"/>
        </w:trPr>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240" w:right="75"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150" w:right="58"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4" w:lineRule="auto"/>
              <w:ind w:left="60" w:right="60"/>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4"/>
              <w:ind w:left="75" w:right="58"/>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4" w:lineRule="auto"/>
              <w:ind w:left="60" w:right="58"/>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4"/>
              <w:ind w:left="75" w:right="60"/>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4" w:lineRule="auto"/>
              <w:ind w:left="60" w:right="58"/>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4" w:lineRule="auto"/>
              <w:ind w:left="74" w:right="58"/>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60" w:right="60"/>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75" w:right="60"/>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4"/>
              <w:ind w:left="60" w:right="73"/>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240" w:right="5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21" w:lineRule="auto"/>
              <w:ind w:left="255" w:right="58" w:hanging="181"/>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691"/>
        <w:gridCol w:w="676"/>
        <w:gridCol w:w="691"/>
        <w:gridCol w:w="676"/>
        <w:gridCol w:w="691"/>
        <w:gridCol w:w="676"/>
        <w:gridCol w:w="691"/>
        <w:gridCol w:w="676"/>
        <w:gridCol w:w="691"/>
        <w:gridCol w:w="676"/>
        <w:gridCol w:w="691"/>
        <w:gridCol w:w="691"/>
        <w:gridCol w:w="676"/>
        <w:gridCol w:w="691"/>
      </w:tblGrid>
      <w:tr>
        <w:trPr>
          <w:trHeight w:val="1921" w:hRule="exact"/>
        </w:trPr>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ind w:left="75" w:right="58"/>
              <w:jc w:val="both"/>
              <w:rPr>
                <w:rFonts w:ascii="宋体" w:hAnsi="宋体" w:cs="宋体" w:eastAsia="宋体" w:hint="default"/>
                <w:sz w:val="18"/>
                <w:szCs w:val="18"/>
              </w:rPr>
            </w:pPr>
            <w:r>
              <w:rPr>
                <w:rFonts w:ascii="宋体" w:hAnsi="宋体" w:cs="宋体" w:eastAsia="宋体" w:hint="default"/>
                <w:sz w:val="18"/>
                <w:szCs w:val="18"/>
              </w:rPr>
              <w:t>的净利 润（万 元）</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75" w:right="60"/>
              <w:jc w:val="left"/>
              <w:rPr>
                <w:rFonts w:ascii="宋体" w:hAnsi="宋体" w:cs="宋体" w:eastAsia="宋体" w:hint="default"/>
                <w:sz w:val="18"/>
                <w:szCs w:val="18"/>
              </w:rPr>
            </w:pPr>
            <w:r>
              <w:rPr>
                <w:rFonts w:ascii="宋体" w:hAnsi="宋体" w:cs="宋体" w:eastAsia="宋体" w:hint="default"/>
                <w:sz w:val="18"/>
                <w:szCs w:val="18"/>
              </w:rPr>
              <w:t>润总额 的比例</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ind w:left="60" w:right="73"/>
              <w:jc w:val="both"/>
              <w:rPr>
                <w:rFonts w:ascii="宋体" w:hAnsi="宋体" w:cs="宋体" w:eastAsia="宋体" w:hint="default"/>
                <w:sz w:val="18"/>
                <w:szCs w:val="18"/>
              </w:rPr>
            </w:pPr>
            <w:r>
              <w:rPr>
                <w:rFonts w:ascii="宋体" w:hAnsi="宋体" w:cs="宋体" w:eastAsia="宋体" w:hint="default"/>
                <w:sz w:val="18"/>
                <w:szCs w:val="18"/>
              </w:rPr>
              <w:t>施，应 当说明 原因及 公司已 采取的 措施</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459" w:hRule="exact"/>
        </w:trPr>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15" w:right="120"/>
              <w:jc w:val="both"/>
              <w:rPr>
                <w:rFonts w:ascii="宋体" w:hAnsi="宋体" w:cs="宋体" w:eastAsia="宋体" w:hint="default"/>
                <w:sz w:val="18"/>
                <w:szCs w:val="18"/>
              </w:rPr>
            </w:pPr>
            <w:r>
              <w:rPr>
                <w:rFonts w:ascii="宋体" w:hAnsi="宋体" w:cs="宋体" w:eastAsia="宋体" w:hint="default"/>
                <w:sz w:val="18"/>
                <w:szCs w:val="18"/>
              </w:rPr>
              <w:t>成都弘 道五号 创业投 资中心</w:t>
            </w:r>
          </w:p>
          <w:p>
            <w:pPr>
              <w:pStyle w:val="TableParagraph"/>
              <w:spacing w:line="321" w:lineRule="auto" w:before="22"/>
              <w:ind w:left="15" w:right="120"/>
              <w:jc w:val="both"/>
              <w:rPr>
                <w:rFonts w:ascii="宋体" w:hAnsi="宋体" w:cs="宋体" w:eastAsia="宋体" w:hint="default"/>
                <w:sz w:val="18"/>
                <w:szCs w:val="18"/>
              </w:rPr>
            </w:pPr>
            <w:r>
              <w:rPr>
                <w:rFonts w:ascii="宋体" w:hAnsi="宋体" w:cs="宋体" w:eastAsia="宋体" w:hint="default"/>
                <w:sz w:val="18"/>
                <w:szCs w:val="18"/>
              </w:rPr>
              <w:t>（有限 公司</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15" w:right="103"/>
              <w:jc w:val="both"/>
              <w:rPr>
                <w:rFonts w:ascii="宋体" w:hAnsi="宋体" w:cs="宋体" w:eastAsia="宋体" w:hint="default"/>
                <w:sz w:val="18"/>
                <w:szCs w:val="18"/>
              </w:rPr>
            </w:pPr>
            <w:r>
              <w:rPr>
                <w:rFonts w:ascii="宋体" w:hAnsi="宋体" w:cs="宋体" w:eastAsia="宋体" w:hint="default"/>
                <w:sz w:val="18"/>
                <w:szCs w:val="18"/>
              </w:rPr>
              <w:t>深圳市 深创谷 技术服 务有限 公司的</w:t>
            </w:r>
          </w:p>
          <w:p>
            <w:pPr>
              <w:pStyle w:val="TableParagraph"/>
              <w:spacing w:line="240" w:lineRule="auto" w:before="81"/>
              <w:ind w:left="15" w:right="0"/>
              <w:jc w:val="both"/>
              <w:rPr>
                <w:rFonts w:ascii="Times New Roman" w:hAnsi="Times New Roman" w:cs="Times New Roman" w:eastAsia="Times New Roman" w:hint="default"/>
                <w:sz w:val="18"/>
                <w:szCs w:val="18"/>
              </w:rPr>
            </w:pPr>
            <w:r>
              <w:rPr>
                <w:rFonts w:ascii="Times New Roman"/>
                <w:sz w:val="18"/>
              </w:rPr>
              <w:t>6.35%</w:t>
            </w:r>
          </w:p>
          <w:p>
            <w:pPr>
              <w:pStyle w:val="TableParagraph"/>
              <w:spacing w:line="240" w:lineRule="auto" w:before="51"/>
              <w:ind w:left="15" w:right="0"/>
              <w:jc w:val="both"/>
              <w:rPr>
                <w:rFonts w:ascii="宋体" w:hAnsi="宋体" w:cs="宋体" w:eastAsia="宋体" w:hint="default"/>
                <w:sz w:val="18"/>
                <w:szCs w:val="18"/>
              </w:rPr>
            </w:pPr>
            <w:r>
              <w:rPr>
                <w:rFonts w:ascii="宋体" w:hAnsi="宋体" w:cs="宋体" w:eastAsia="宋体" w:hint="default"/>
                <w:sz w:val="18"/>
                <w:szCs w:val="18"/>
              </w:rPr>
              <w:t>股份</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635</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509.27</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04" w:lineRule="auto"/>
              <w:ind w:left="14" w:right="104"/>
              <w:jc w:val="left"/>
              <w:rPr>
                <w:rFonts w:ascii="宋体" w:hAnsi="宋体" w:cs="宋体" w:eastAsia="宋体" w:hint="default"/>
                <w:sz w:val="18"/>
                <w:szCs w:val="18"/>
              </w:rPr>
            </w:pPr>
            <w:r>
              <w:rPr>
                <w:rFonts w:ascii="宋体" w:hAnsi="宋体" w:cs="宋体" w:eastAsia="宋体" w:hint="default"/>
                <w:sz w:val="18"/>
                <w:szCs w:val="18"/>
              </w:rPr>
              <w:t>增加净 利润</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10.14%</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03"/>
              <w:jc w:val="left"/>
              <w:rPr>
                <w:rFonts w:ascii="宋体" w:hAnsi="宋体" w:cs="宋体" w:eastAsia="宋体" w:hint="default"/>
                <w:sz w:val="18"/>
                <w:szCs w:val="18"/>
              </w:rPr>
            </w:pPr>
            <w:r>
              <w:rPr>
                <w:rFonts w:ascii="宋体" w:hAnsi="宋体" w:cs="宋体" w:eastAsia="宋体" w:hint="default"/>
                <w:sz w:val="18"/>
                <w:szCs w:val="18"/>
              </w:rPr>
              <w:t>根据本 次转让 股权的 账面价 值及标 的公司 最近一 次引进 投资者 的估 值，经 相关交 易方协 商确定</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04" w:lineRule="auto"/>
              <w:ind w:left="15" w:right="105"/>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5" w:right="118"/>
              <w:jc w:val="left"/>
              <w:rPr>
                <w:rFonts w:ascii="宋体" w:hAnsi="宋体" w:cs="宋体" w:eastAsia="宋体" w:hint="default"/>
                <w:sz w:val="18"/>
                <w:szCs w:val="18"/>
              </w:rPr>
            </w:pPr>
            <w:r>
              <w:rPr>
                <w:rFonts w:ascii="宋体" w:hAnsi="宋体" w:cs="宋体" w:eastAsia="宋体" w:hint="default"/>
                <w:sz w:val="18"/>
                <w:szCs w:val="18"/>
              </w:rPr>
              <w:t>已实 施，公 司已要 求目标 公司进 行变更 登记</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30" w:right="13"/>
              <w:jc w:val="left"/>
              <w:rPr>
                <w:rFonts w:ascii="宋体" w:hAnsi="宋体" w:cs="宋体" w:eastAsia="宋体" w:hint="default"/>
                <w:sz w:val="18"/>
                <w:szCs w:val="18"/>
              </w:rPr>
            </w:pPr>
            <w:r>
              <w:rPr>
                <w:rFonts w:ascii="宋体" w:hAnsi="宋体" w:cs="宋体" w:eastAsia="宋体" w:hint="default"/>
                <w:sz w:val="18"/>
                <w:szCs w:val="18"/>
              </w:rPr>
              <w:t>披露媒 </w:t>
            </w:r>
            <w:r>
              <w:rPr>
                <w:rFonts w:ascii="宋体" w:hAnsi="宋体" w:cs="宋体" w:eastAsia="宋体" w:hint="default"/>
                <w:spacing w:val="-23"/>
                <w:sz w:val="18"/>
                <w:szCs w:val="18"/>
              </w:rPr>
              <w:t>体：《证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券时 报》、</w:t>
            </w:r>
          </w:p>
          <w:p>
            <w:pPr>
              <w:pStyle w:val="TableParagraph"/>
              <w:spacing w:line="319" w:lineRule="auto" w:before="7"/>
              <w:ind w:left="30" w:right="43"/>
              <w:jc w:val="left"/>
              <w:rPr>
                <w:rFonts w:ascii="宋体" w:hAnsi="宋体" w:cs="宋体" w:eastAsia="宋体" w:hint="default"/>
                <w:sz w:val="18"/>
                <w:szCs w:val="18"/>
              </w:rPr>
            </w:pPr>
            <w:r>
              <w:rPr>
                <w:rFonts w:ascii="宋体" w:hAnsi="宋体" w:cs="宋体" w:eastAsia="宋体" w:hint="default"/>
                <w:sz w:val="18"/>
                <w:szCs w:val="18"/>
              </w:rPr>
              <w:t>《中国 证券 报》及 巨潮资 讯网公 告编 号：</w:t>
            </w:r>
          </w:p>
          <w:p>
            <w:pPr>
              <w:pStyle w:val="TableParagraph"/>
              <w:spacing w:line="240" w:lineRule="auto" w:before="78"/>
              <w:ind w:left="30" w:right="0"/>
              <w:jc w:val="left"/>
              <w:rPr>
                <w:rFonts w:ascii="Times New Roman" w:hAnsi="Times New Roman" w:cs="Times New Roman" w:eastAsia="Times New Roman" w:hint="default"/>
                <w:sz w:val="18"/>
                <w:szCs w:val="18"/>
              </w:rPr>
            </w:pPr>
            <w:r>
              <w:rPr>
                <w:rFonts w:ascii="Times New Roman"/>
                <w:sz w:val="18"/>
              </w:rPr>
              <w:t>2019-69</w:t>
            </w:r>
          </w:p>
        </w:tc>
      </w:tr>
      <w:tr>
        <w:trPr>
          <w:trHeight w:val="4474" w:hRule="exact"/>
        </w:trPr>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4" w:lineRule="auto"/>
              <w:ind w:left="15" w:right="120"/>
              <w:jc w:val="both"/>
              <w:rPr>
                <w:rFonts w:ascii="宋体" w:hAnsi="宋体" w:cs="宋体" w:eastAsia="宋体" w:hint="default"/>
                <w:sz w:val="18"/>
                <w:szCs w:val="18"/>
              </w:rPr>
            </w:pPr>
            <w:r>
              <w:rPr>
                <w:rFonts w:ascii="宋体" w:hAnsi="宋体" w:cs="宋体" w:eastAsia="宋体" w:hint="default"/>
                <w:sz w:val="18"/>
                <w:szCs w:val="18"/>
              </w:rPr>
              <w:t>深圳智 慧园区 运营服 务有限 公司</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5" w:right="103"/>
              <w:jc w:val="both"/>
              <w:rPr>
                <w:rFonts w:ascii="宋体" w:hAnsi="宋体" w:cs="宋体" w:eastAsia="宋体" w:hint="default"/>
                <w:sz w:val="18"/>
                <w:szCs w:val="18"/>
              </w:rPr>
            </w:pPr>
            <w:r>
              <w:rPr>
                <w:rFonts w:ascii="宋体" w:hAnsi="宋体" w:cs="宋体" w:eastAsia="宋体" w:hint="default"/>
                <w:sz w:val="18"/>
                <w:szCs w:val="18"/>
              </w:rPr>
              <w:t>深圳市 深创谷 技术服 务有限 公司的</w:t>
            </w:r>
          </w:p>
          <w:p>
            <w:pPr>
              <w:pStyle w:val="TableParagraph"/>
              <w:spacing w:line="240" w:lineRule="auto" w:before="64"/>
              <w:ind w:left="15" w:right="0"/>
              <w:jc w:val="both"/>
              <w:rPr>
                <w:rFonts w:ascii="Times New Roman" w:hAnsi="Times New Roman" w:cs="Times New Roman" w:eastAsia="Times New Roman" w:hint="default"/>
                <w:sz w:val="18"/>
                <w:szCs w:val="18"/>
              </w:rPr>
            </w:pPr>
            <w:r>
              <w:rPr>
                <w:rFonts w:ascii="Times New Roman"/>
                <w:sz w:val="18"/>
              </w:rPr>
              <w:t>1.59%</w:t>
            </w:r>
          </w:p>
          <w:p>
            <w:pPr>
              <w:pStyle w:val="TableParagraph"/>
              <w:spacing w:line="240" w:lineRule="auto" w:before="51"/>
              <w:ind w:left="15" w:right="0"/>
              <w:jc w:val="both"/>
              <w:rPr>
                <w:rFonts w:ascii="宋体" w:hAnsi="宋体" w:cs="宋体" w:eastAsia="宋体" w:hint="default"/>
                <w:sz w:val="18"/>
                <w:szCs w:val="18"/>
              </w:rPr>
            </w:pPr>
            <w:r>
              <w:rPr>
                <w:rFonts w:ascii="宋体" w:hAnsi="宋体" w:cs="宋体" w:eastAsia="宋体" w:hint="default"/>
                <w:sz w:val="18"/>
                <w:szCs w:val="18"/>
              </w:rPr>
              <w:t>股份</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159</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127.52</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04" w:lineRule="auto"/>
              <w:ind w:left="14" w:right="104"/>
              <w:jc w:val="left"/>
              <w:rPr>
                <w:rFonts w:ascii="宋体" w:hAnsi="宋体" w:cs="宋体" w:eastAsia="宋体" w:hint="default"/>
                <w:sz w:val="18"/>
                <w:szCs w:val="18"/>
              </w:rPr>
            </w:pPr>
            <w:r>
              <w:rPr>
                <w:rFonts w:ascii="宋体" w:hAnsi="宋体" w:cs="宋体" w:eastAsia="宋体" w:hint="default"/>
                <w:sz w:val="18"/>
                <w:szCs w:val="18"/>
              </w:rPr>
              <w:t>增加净 利润</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2.54%</w:t>
            </w:r>
            <w:r>
              <w:rPr>
                <w:rFonts w:ascii="Times New Roman"/>
                <w:sz w:val="18"/>
              </w:rPr>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03"/>
              <w:jc w:val="left"/>
              <w:rPr>
                <w:rFonts w:ascii="宋体" w:hAnsi="宋体" w:cs="宋体" w:eastAsia="宋体" w:hint="default"/>
                <w:sz w:val="18"/>
                <w:szCs w:val="18"/>
              </w:rPr>
            </w:pPr>
            <w:r>
              <w:rPr>
                <w:rFonts w:ascii="宋体" w:hAnsi="宋体" w:cs="宋体" w:eastAsia="宋体" w:hint="default"/>
                <w:sz w:val="18"/>
                <w:szCs w:val="18"/>
              </w:rPr>
              <w:t>根据本 次转让 股权的 账面价 值及标 的公司 最近一 次引进 投资者 的估 值，经 相关交 易方协 商确定</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04" w:lineRule="auto"/>
              <w:ind w:left="15" w:right="105"/>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5" w:right="118"/>
              <w:jc w:val="left"/>
              <w:rPr>
                <w:rFonts w:ascii="宋体" w:hAnsi="宋体" w:cs="宋体" w:eastAsia="宋体" w:hint="default"/>
                <w:sz w:val="18"/>
                <w:szCs w:val="18"/>
              </w:rPr>
            </w:pPr>
            <w:r>
              <w:rPr>
                <w:rFonts w:ascii="宋体" w:hAnsi="宋体" w:cs="宋体" w:eastAsia="宋体" w:hint="default"/>
                <w:sz w:val="18"/>
                <w:szCs w:val="18"/>
              </w:rPr>
              <w:t>已实 施，公 司已要 求目标 公司进 行变更 登记</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3"/>
              <w:ind w:left="30" w:right="13"/>
              <w:jc w:val="left"/>
              <w:rPr>
                <w:rFonts w:ascii="宋体" w:hAnsi="宋体" w:cs="宋体" w:eastAsia="宋体" w:hint="default"/>
                <w:sz w:val="18"/>
                <w:szCs w:val="18"/>
              </w:rPr>
            </w:pPr>
            <w:r>
              <w:rPr>
                <w:rFonts w:ascii="宋体" w:hAnsi="宋体" w:cs="宋体" w:eastAsia="宋体" w:hint="default"/>
                <w:sz w:val="18"/>
                <w:szCs w:val="18"/>
              </w:rPr>
              <w:t>披露媒 </w:t>
            </w:r>
            <w:r>
              <w:rPr>
                <w:rFonts w:ascii="宋体" w:hAnsi="宋体" w:cs="宋体" w:eastAsia="宋体" w:hint="default"/>
                <w:spacing w:val="-23"/>
                <w:sz w:val="18"/>
                <w:szCs w:val="18"/>
              </w:rPr>
              <w:t>体：《证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券时 报》、</w:t>
            </w:r>
          </w:p>
          <w:p>
            <w:pPr>
              <w:pStyle w:val="TableParagraph"/>
              <w:spacing w:line="316" w:lineRule="auto" w:before="22"/>
              <w:ind w:left="30" w:right="43"/>
              <w:jc w:val="left"/>
              <w:rPr>
                <w:rFonts w:ascii="宋体" w:hAnsi="宋体" w:cs="宋体" w:eastAsia="宋体" w:hint="default"/>
                <w:sz w:val="18"/>
                <w:szCs w:val="18"/>
              </w:rPr>
            </w:pPr>
            <w:r>
              <w:rPr>
                <w:rFonts w:ascii="宋体" w:hAnsi="宋体" w:cs="宋体" w:eastAsia="宋体" w:hint="default"/>
                <w:sz w:val="18"/>
                <w:szCs w:val="18"/>
              </w:rPr>
              <w:t>《中国 证券 报》及 巨潮资 讯网公 告编 号：</w:t>
            </w:r>
          </w:p>
          <w:p>
            <w:pPr>
              <w:pStyle w:val="TableParagraph"/>
              <w:spacing w:line="240" w:lineRule="auto" w:before="79"/>
              <w:ind w:left="30" w:right="0"/>
              <w:jc w:val="left"/>
              <w:rPr>
                <w:rFonts w:ascii="Times New Roman" w:hAnsi="Times New Roman" w:cs="Times New Roman" w:eastAsia="Times New Roman" w:hint="default"/>
                <w:sz w:val="18"/>
                <w:szCs w:val="18"/>
              </w:rPr>
            </w:pPr>
            <w:r>
              <w:rPr>
                <w:rFonts w:ascii="Times New Roman"/>
                <w:sz w:val="18"/>
              </w:rPr>
              <w:t>2019-69</w:t>
            </w:r>
          </w:p>
        </w:tc>
      </w:tr>
      <w:tr>
        <w:trPr>
          <w:trHeight w:val="2853" w:hRule="exact"/>
        </w:trPr>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王刚</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21" w:lineRule="auto"/>
              <w:ind w:left="15" w:right="43"/>
              <w:jc w:val="both"/>
              <w:rPr>
                <w:rFonts w:ascii="宋体" w:hAnsi="宋体" w:cs="宋体" w:eastAsia="宋体" w:hint="default"/>
                <w:sz w:val="18"/>
                <w:szCs w:val="18"/>
              </w:rPr>
            </w:pPr>
            <w:r>
              <w:rPr>
                <w:rFonts w:ascii="宋体" w:hAnsi="宋体" w:cs="宋体" w:eastAsia="宋体" w:hint="default"/>
                <w:sz w:val="18"/>
                <w:szCs w:val="18"/>
              </w:rPr>
              <w:t>深圳市 深创谷 技术服 务有限 公司的 </w:t>
            </w:r>
            <w:r>
              <w:rPr>
                <w:rFonts w:ascii="Times New Roman" w:hAnsi="Times New Roman" w:cs="Times New Roman" w:eastAsia="Times New Roman" w:hint="default"/>
                <w:sz w:val="18"/>
                <w:szCs w:val="18"/>
              </w:rPr>
              <w:t>5%</w:t>
            </w:r>
            <w:r>
              <w:rPr>
                <w:rFonts w:ascii="宋体" w:hAnsi="宋体" w:cs="宋体" w:eastAsia="宋体" w:hint="default"/>
                <w:sz w:val="18"/>
                <w:szCs w:val="18"/>
              </w:rPr>
              <w:t>股份</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401</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07" w:lineRule="auto"/>
              <w:ind w:left="14" w:right="104"/>
              <w:jc w:val="left"/>
              <w:rPr>
                <w:rFonts w:ascii="宋体" w:hAnsi="宋体" w:cs="宋体" w:eastAsia="宋体" w:hint="default"/>
                <w:sz w:val="18"/>
                <w:szCs w:val="18"/>
              </w:rPr>
            </w:pPr>
            <w:r>
              <w:rPr>
                <w:rFonts w:ascii="宋体" w:hAnsi="宋体" w:cs="宋体" w:eastAsia="宋体" w:hint="default"/>
                <w:sz w:val="18"/>
                <w:szCs w:val="18"/>
              </w:rPr>
              <w:t>增加净 利润</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7.98%</w:t>
            </w:r>
            <w:r>
              <w:rPr>
                <w:rFonts w:ascii="Times New Roman"/>
                <w:sz w:val="18"/>
              </w:rPr>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03"/>
              <w:jc w:val="both"/>
              <w:rPr>
                <w:rFonts w:ascii="宋体" w:hAnsi="宋体" w:cs="宋体" w:eastAsia="宋体" w:hint="default"/>
                <w:sz w:val="18"/>
                <w:szCs w:val="18"/>
              </w:rPr>
            </w:pPr>
            <w:r>
              <w:rPr>
                <w:rFonts w:ascii="宋体" w:hAnsi="宋体" w:cs="宋体" w:eastAsia="宋体" w:hint="default"/>
                <w:sz w:val="18"/>
                <w:szCs w:val="18"/>
              </w:rPr>
              <w:t>根据本 次转让 股权的 账面价 值及标 的公司 最近一 次引进 投资者</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07" w:lineRule="auto"/>
              <w:ind w:left="15" w:right="105"/>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3"/>
              <w:ind w:left="15" w:right="118"/>
              <w:jc w:val="both"/>
              <w:rPr>
                <w:rFonts w:ascii="宋体" w:hAnsi="宋体" w:cs="宋体" w:eastAsia="宋体" w:hint="default"/>
                <w:sz w:val="18"/>
                <w:szCs w:val="18"/>
              </w:rPr>
            </w:pPr>
            <w:r>
              <w:rPr>
                <w:rFonts w:ascii="宋体" w:hAnsi="宋体" w:cs="宋体" w:eastAsia="宋体" w:hint="default"/>
                <w:sz w:val="18"/>
                <w:szCs w:val="18"/>
              </w:rPr>
              <w:t>部分实 施，公 司已要 求目标 公司进 行变更 登记</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30" w:right="13"/>
              <w:jc w:val="left"/>
              <w:rPr>
                <w:rFonts w:ascii="宋体" w:hAnsi="宋体" w:cs="宋体" w:eastAsia="宋体" w:hint="default"/>
                <w:sz w:val="18"/>
                <w:szCs w:val="18"/>
              </w:rPr>
            </w:pPr>
            <w:r>
              <w:rPr>
                <w:rFonts w:ascii="宋体" w:hAnsi="宋体" w:cs="宋体" w:eastAsia="宋体" w:hint="default"/>
                <w:sz w:val="18"/>
                <w:szCs w:val="18"/>
              </w:rPr>
              <w:t>披露媒 </w:t>
            </w:r>
            <w:r>
              <w:rPr>
                <w:rFonts w:ascii="宋体" w:hAnsi="宋体" w:cs="宋体" w:eastAsia="宋体" w:hint="default"/>
                <w:spacing w:val="-23"/>
                <w:sz w:val="18"/>
                <w:szCs w:val="18"/>
              </w:rPr>
              <w:t>体：《证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券时 报》、</w:t>
            </w:r>
          </w:p>
          <w:p>
            <w:pPr>
              <w:pStyle w:val="TableParagraph"/>
              <w:spacing w:line="316" w:lineRule="auto" w:before="22"/>
              <w:ind w:left="30" w:right="103"/>
              <w:jc w:val="left"/>
              <w:rPr>
                <w:rFonts w:ascii="宋体" w:hAnsi="宋体" w:cs="宋体" w:eastAsia="宋体" w:hint="default"/>
                <w:sz w:val="18"/>
                <w:szCs w:val="18"/>
              </w:rPr>
            </w:pPr>
            <w:r>
              <w:rPr>
                <w:rFonts w:ascii="宋体" w:hAnsi="宋体" w:cs="宋体" w:eastAsia="宋体" w:hint="default"/>
                <w:sz w:val="18"/>
                <w:szCs w:val="18"/>
              </w:rPr>
              <w:t>《中国 证券 报》及 巨潮资 讯网公</w:t>
            </w:r>
          </w:p>
        </w:tc>
      </w:tr>
    </w:tbl>
    <w:p>
      <w:pPr>
        <w:spacing w:after="0" w:line="316"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691"/>
        <w:gridCol w:w="676"/>
        <w:gridCol w:w="691"/>
        <w:gridCol w:w="676"/>
        <w:gridCol w:w="691"/>
        <w:gridCol w:w="676"/>
        <w:gridCol w:w="691"/>
        <w:gridCol w:w="676"/>
        <w:gridCol w:w="691"/>
        <w:gridCol w:w="676"/>
        <w:gridCol w:w="691"/>
        <w:gridCol w:w="691"/>
        <w:gridCol w:w="676"/>
        <w:gridCol w:w="691"/>
      </w:tblGrid>
      <w:tr>
        <w:trPr>
          <w:trHeight w:val="1606" w:hRule="exact"/>
        </w:trPr>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5" w:right="103"/>
              <w:jc w:val="left"/>
              <w:rPr>
                <w:rFonts w:ascii="宋体" w:hAnsi="宋体" w:cs="宋体" w:eastAsia="宋体" w:hint="default"/>
                <w:sz w:val="18"/>
                <w:szCs w:val="18"/>
              </w:rPr>
            </w:pPr>
            <w:r>
              <w:rPr>
                <w:rFonts w:ascii="宋体" w:hAnsi="宋体" w:cs="宋体" w:eastAsia="宋体" w:hint="default"/>
                <w:sz w:val="18"/>
                <w:szCs w:val="18"/>
              </w:rPr>
              <w:t>的估 值，经 相关交 易方协 商确定</w:t>
            </w: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30" w:right="43"/>
              <w:jc w:val="left"/>
              <w:rPr>
                <w:rFonts w:ascii="宋体" w:hAnsi="宋体" w:cs="宋体" w:eastAsia="宋体" w:hint="default"/>
                <w:sz w:val="18"/>
                <w:szCs w:val="18"/>
              </w:rPr>
            </w:pPr>
            <w:r>
              <w:rPr>
                <w:rFonts w:ascii="宋体" w:hAnsi="宋体" w:cs="宋体" w:eastAsia="宋体" w:hint="default"/>
                <w:sz w:val="18"/>
                <w:szCs w:val="18"/>
              </w:rPr>
              <w:t>告编 号：</w:t>
            </w:r>
          </w:p>
          <w:p>
            <w:pPr>
              <w:pStyle w:val="TableParagraph"/>
              <w:spacing w:line="240" w:lineRule="auto" w:before="88"/>
              <w:ind w:left="30" w:right="0"/>
              <w:jc w:val="left"/>
              <w:rPr>
                <w:rFonts w:ascii="Times New Roman" w:hAnsi="Times New Roman" w:cs="Times New Roman" w:eastAsia="Times New Roman" w:hint="default"/>
                <w:sz w:val="18"/>
                <w:szCs w:val="18"/>
              </w:rPr>
            </w:pPr>
            <w:r>
              <w:rPr>
                <w:rFonts w:ascii="Times New Roman"/>
                <w:sz w:val="18"/>
              </w:rPr>
              <w:t>2019-69</w:t>
            </w:r>
          </w:p>
        </w:tc>
      </w:tr>
    </w:tbl>
    <w:p>
      <w:pPr>
        <w:spacing w:line="240" w:lineRule="auto" w:before="4"/>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1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50"/>
          <w:pgMar w:header="731" w:footer="981" w:top="1040" w:bottom="1180" w:left="100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right="-19"/>
        <w:jc w:val="left"/>
      </w:pPr>
      <w:r>
        <w:rPr/>
        <w:t>主要子公司及对公司净利润影响达</w:t>
      </w:r>
      <w:r>
        <w:rPr>
          <w:spacing w:val="-42"/>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4841" w:space="4095"/>
            <w:col w:w="197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51"/>
        <w:gridCol w:w="1202"/>
        <w:gridCol w:w="1052"/>
        <w:gridCol w:w="1036"/>
        <w:gridCol w:w="1051"/>
        <w:gridCol w:w="1052"/>
        <w:gridCol w:w="1036"/>
        <w:gridCol w:w="1051"/>
        <w:gridCol w:w="1051"/>
      </w:tblGrid>
      <w:tr>
        <w:trPr>
          <w:trHeight w:val="406"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6"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卓翼智造</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20"/>
              <w:jc w:val="both"/>
              <w:rPr>
                <w:rFonts w:ascii="宋体" w:hAnsi="宋体" w:cs="宋体" w:eastAsia="宋体" w:hint="default"/>
                <w:sz w:val="18"/>
                <w:szCs w:val="18"/>
              </w:rPr>
            </w:pPr>
            <w:r>
              <w:rPr>
                <w:rFonts w:ascii="宋体" w:hAnsi="宋体" w:cs="宋体" w:eastAsia="宋体" w:hint="default"/>
                <w:sz w:val="18"/>
                <w:szCs w:val="18"/>
              </w:rPr>
              <w:t>生产、销售 网通、移动 终端、消费 电子产品</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250,000,000.</w:t>
            </w:r>
          </w:p>
          <w:p>
            <w:pPr>
              <w:pStyle w:val="TableParagraph"/>
              <w:spacing w:line="240" w:lineRule="auto" w:before="93"/>
              <w:ind w:left="14" w:right="0"/>
              <w:jc w:val="left"/>
              <w:rPr>
                <w:rFonts w:ascii="Times New Roman" w:hAnsi="Times New Roman" w:cs="Times New Roman" w:eastAsia="Times New Roman" w:hint="default"/>
                <w:sz w:val="18"/>
                <w:szCs w:val="18"/>
              </w:rPr>
            </w:pPr>
            <w:r>
              <w:rPr>
                <w:rFonts w:ascii="Times New Roman"/>
                <w:sz w:val="18"/>
              </w:rPr>
              <w:t>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1,519,881,78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1.34</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226,293,259.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99</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2,136,220,53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9.62</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34,492,457.5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28,622,350.7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w:t>
            </w:r>
          </w:p>
        </w:tc>
      </w:tr>
      <w:tr>
        <w:trPr>
          <w:trHeight w:val="1036"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20"/>
              <w:jc w:val="both"/>
              <w:rPr>
                <w:rFonts w:ascii="宋体" w:hAnsi="宋体" w:cs="宋体" w:eastAsia="宋体" w:hint="default"/>
                <w:sz w:val="18"/>
                <w:szCs w:val="18"/>
              </w:rPr>
            </w:pPr>
            <w:r>
              <w:rPr>
                <w:rFonts w:ascii="宋体" w:hAnsi="宋体" w:cs="宋体" w:eastAsia="宋体" w:hint="default"/>
                <w:sz w:val="18"/>
                <w:szCs w:val="18"/>
              </w:rPr>
              <w:t>生产、销售 网通、移动 终端</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8"/>
              <w:ind w:left="14" w:right="0"/>
              <w:jc w:val="left"/>
              <w:rPr>
                <w:rFonts w:ascii="Times New Roman" w:hAnsi="Times New Roman" w:cs="Times New Roman" w:eastAsia="Times New Roman" w:hint="default"/>
                <w:sz w:val="18"/>
                <w:szCs w:val="18"/>
              </w:rPr>
            </w:pPr>
            <w:r>
              <w:rPr>
                <w:rFonts w:ascii="Times New Roman"/>
                <w:sz w:val="18"/>
              </w:rPr>
              <w:t>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1,422,750,62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6.56</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409,134,062.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76</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961,484,690.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-10,862,496.</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09</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-5,558,269.7</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w:t>
            </w:r>
          </w:p>
        </w:tc>
      </w:tr>
      <w:tr>
        <w:trPr>
          <w:trHeight w:val="705"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卓翼香港</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20"/>
              <w:jc w:val="left"/>
              <w:rPr>
                <w:rFonts w:ascii="宋体" w:hAnsi="宋体" w:cs="宋体" w:eastAsia="宋体" w:hint="default"/>
                <w:sz w:val="18"/>
                <w:szCs w:val="18"/>
              </w:rPr>
            </w:pPr>
            <w:r>
              <w:rPr>
                <w:rFonts w:ascii="宋体" w:hAnsi="宋体" w:cs="宋体" w:eastAsia="宋体" w:hint="default"/>
                <w:sz w:val="18"/>
                <w:szCs w:val="18"/>
              </w:rPr>
              <w:t>一般商品贸 易</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万美元</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268,303,408.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49</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-50,720,519.</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73</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794,407,194.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5,340,560.16</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5,287,052.38</w:t>
            </w:r>
          </w:p>
        </w:tc>
      </w:tr>
      <w:tr>
        <w:trPr>
          <w:trHeight w:val="1652"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卓大精密</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20"/>
              <w:jc w:val="both"/>
              <w:rPr>
                <w:rFonts w:ascii="宋体" w:hAnsi="宋体" w:cs="宋体" w:eastAsia="宋体" w:hint="default"/>
                <w:sz w:val="18"/>
                <w:szCs w:val="18"/>
              </w:rPr>
            </w:pPr>
            <w:r>
              <w:rPr>
                <w:rFonts w:ascii="宋体" w:hAnsi="宋体" w:cs="宋体" w:eastAsia="宋体" w:hint="default"/>
                <w:sz w:val="18"/>
                <w:szCs w:val="18"/>
              </w:rPr>
              <w:t>生产、销售 塑胶五金制 品、模具、 自动化产品 及设备</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8"/>
              <w:ind w:left="14" w:right="0"/>
              <w:jc w:val="lef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31,365,441.6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-86,755,093.</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42</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40,564,945.8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-4,323,955.7</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-12,071,965.</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88</w:t>
            </w:r>
          </w:p>
        </w:tc>
      </w:tr>
      <w:tr>
        <w:trPr>
          <w:trHeight w:val="72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翼丰盛</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塑胶五金制 品</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93"/>
              <w:ind w:left="14" w:right="0"/>
              <w:jc w:val="lef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8,270,071.45</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-5,858,820.7</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-5,397.25</w:t>
            </w:r>
            <w:r>
              <w:rPr>
                <w:rFonts w:ascii="Times New Roman"/>
                <w:sz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-4,336,918.5</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-5,616,402.9</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w:t>
            </w:r>
          </w:p>
        </w:tc>
      </w:tr>
      <w:tr>
        <w:trPr>
          <w:trHeight w:val="705"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中广物联</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93"/>
              <w:ind w:left="14" w:right="0"/>
              <w:jc w:val="lef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125,595,220.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35</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18,390,179.4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204,717.24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-298,238.50</w:t>
            </w:r>
            <w:r>
              <w:rPr>
                <w:rFonts w:ascii="Times New Roman"/>
                <w:sz w:val="18"/>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-297,814.71</w:t>
            </w:r>
            <w:r>
              <w:rPr>
                <w:rFonts w:ascii="Times New Roman"/>
                <w:sz w:val="18"/>
              </w:rPr>
            </w:r>
          </w:p>
        </w:tc>
      </w:tr>
      <w:tr>
        <w:trPr>
          <w:trHeight w:val="72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中广互联</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8"/>
              <w:ind w:left="14" w:right="0"/>
              <w:jc w:val="left"/>
              <w:rPr>
                <w:rFonts w:ascii="Times New Roman" w:hAnsi="Times New Roman" w:cs="Times New Roman" w:eastAsia="Times New Roman" w:hint="default"/>
                <w:sz w:val="18"/>
                <w:szCs w:val="18"/>
              </w:rPr>
            </w:pPr>
            <w:r>
              <w:rPr>
                <w:rFonts w:ascii="Times New Roman"/>
                <w:sz w:val="18"/>
              </w:rPr>
              <w:t>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407,957,276.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15</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100,427,536.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49</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655,210,243.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86</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3,428,160.69</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2,567,895.29</w:t>
            </w:r>
          </w:p>
        </w:tc>
      </w:tr>
      <w:tr>
        <w:trPr>
          <w:trHeight w:val="72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卓翼营销</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一般商品贸 易</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万美元</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9,258,490.68</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-36,988,804.</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55</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-2,981,348.4</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-2,981,348.4</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w:t>
            </w:r>
          </w:p>
        </w:tc>
      </w:tr>
      <w:tr>
        <w:trPr>
          <w:trHeight w:val="705"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翼飞投资</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战略投资</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8"/>
              <w:ind w:left="14" w:right="0"/>
              <w:jc w:val="left"/>
              <w:rPr>
                <w:rFonts w:ascii="Times New Roman" w:hAnsi="Times New Roman" w:cs="Times New Roman" w:eastAsia="Times New Roman" w:hint="default"/>
                <w:sz w:val="18"/>
                <w:szCs w:val="18"/>
              </w:rPr>
            </w:pPr>
            <w:r>
              <w:rPr>
                <w:rFonts w:ascii="Times New Roman"/>
                <w:sz w:val="18"/>
              </w:rPr>
              <w:t>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129,596,187.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31</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101,277,433.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09</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24,287,628.2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19,393,757.2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w:t>
            </w:r>
          </w:p>
        </w:tc>
      </w:tr>
      <w:tr>
        <w:trPr>
          <w:trHeight w:val="72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卓博机器人</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机器人</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93"/>
              <w:ind w:left="14" w:right="0"/>
              <w:jc w:val="left"/>
              <w:rPr>
                <w:rFonts w:ascii="Times New Roman" w:hAnsi="Times New Roman" w:cs="Times New Roman" w:eastAsia="Times New Roman" w:hint="default"/>
                <w:sz w:val="18"/>
                <w:szCs w:val="18"/>
              </w:rPr>
            </w:pPr>
            <w:r>
              <w:rPr>
                <w:rFonts w:ascii="Times New Roman"/>
                <w:sz w:val="18"/>
              </w:rPr>
              <w:t>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76,405,876.9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75,041,287.4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464,602.00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-3,864,258.5</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-3,868,458.5</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w:t>
            </w:r>
          </w:p>
        </w:tc>
      </w:tr>
      <w:tr>
        <w:trPr>
          <w:trHeight w:val="706"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卓华联盛</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93"/>
              <w:ind w:left="14" w:right="0"/>
              <w:jc w:val="lef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29,920,370.8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5,762,026.50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3,206,931.54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-16,160,544.</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-10,237,973.</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50</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报告期内取得和处置子公司的情况</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33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西安卓华联盛科技有限公司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91"/>
              <w:jc w:val="both"/>
              <w:rPr>
                <w:rFonts w:ascii="宋体" w:hAnsi="宋体" w:cs="宋体" w:eastAsia="宋体" w:hint="default"/>
                <w:sz w:val="18"/>
                <w:szCs w:val="18"/>
              </w:rPr>
            </w:pPr>
            <w:r>
              <w:rPr>
                <w:rFonts w:ascii="宋体" w:hAnsi="宋体" w:cs="宋体" w:eastAsia="宋体" w:hint="default"/>
                <w:sz w:val="18"/>
                <w:szCs w:val="18"/>
              </w:rPr>
              <w:t>设立卓华联盛主要系为华为提供配套研 发支持，前期以投入为主，故对公司整 体生产和业绩的影响金额为</w:t>
            </w:r>
          </w:p>
          <w:p>
            <w:pPr>
              <w:pStyle w:val="TableParagraph"/>
              <w:spacing w:line="240" w:lineRule="auto" w:before="18"/>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-10,237,973.50 </w:t>
            </w:r>
            <w:r>
              <w:rPr>
                <w:rFonts w:ascii="宋体" w:hAnsi="宋体" w:cs="宋体" w:eastAsia="宋体" w:hint="default"/>
                <w:sz w:val="18"/>
                <w:szCs w:val="18"/>
              </w:rPr>
              <w:t>元。</w:t>
            </w:r>
          </w:p>
        </w:tc>
      </w:tr>
      <w:tr>
        <w:trPr>
          <w:trHeight w:val="1652"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武汉市卓翼智造科技有限公司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新设成立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3"/>
              <w:jc w:val="both"/>
              <w:rPr>
                <w:rFonts w:ascii="宋体" w:hAnsi="宋体" w:cs="宋体" w:eastAsia="宋体" w:hint="default"/>
                <w:sz w:val="18"/>
                <w:szCs w:val="18"/>
              </w:rPr>
            </w:pPr>
            <w:r>
              <w:rPr>
                <w:rFonts w:ascii="宋体" w:hAnsi="宋体" w:cs="宋体" w:eastAsia="宋体" w:hint="default"/>
                <w:sz w:val="18"/>
                <w:szCs w:val="18"/>
              </w:rPr>
              <w:t>设立武汉卓翼用于投资建设智能制造项 目。主要进行网络通讯、消费电子及智 </w:t>
            </w:r>
            <w:r>
              <w:rPr>
                <w:rFonts w:ascii="宋体" w:hAnsi="宋体" w:cs="宋体" w:eastAsia="宋体" w:hint="default"/>
                <w:spacing w:val="-4"/>
                <w:sz w:val="18"/>
                <w:szCs w:val="18"/>
              </w:rPr>
              <w:t>能硬件等产品制造业务。</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月新</w:t>
            </w:r>
          </w:p>
          <w:p>
            <w:pPr>
              <w:pStyle w:val="TableParagraph"/>
              <w:spacing w:line="273" w:lineRule="auto"/>
              <w:ind w:left="30" w:right="15"/>
              <w:jc w:val="both"/>
              <w:rPr>
                <w:rFonts w:ascii="宋体" w:hAnsi="宋体" w:cs="宋体" w:eastAsia="宋体" w:hint="default"/>
                <w:sz w:val="18"/>
                <w:szCs w:val="18"/>
              </w:rPr>
            </w:pPr>
            <w:r>
              <w:rPr>
                <w:rFonts w:ascii="宋体" w:hAnsi="宋体" w:cs="宋体" w:eastAsia="宋体" w:hint="default"/>
                <w:spacing w:val="-4"/>
                <w:sz w:val="18"/>
                <w:szCs w:val="18"/>
              </w:rPr>
              <w:t>设立，对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年公司整体生产和业绩无 影响。</w:t>
            </w:r>
          </w:p>
        </w:tc>
      </w:tr>
    </w:tbl>
    <w:p>
      <w:pPr>
        <w:pStyle w:val="BodyText"/>
        <w:spacing w:line="352" w:lineRule="auto" w:before="44"/>
        <w:ind w:right="8589"/>
        <w:jc w:val="left"/>
      </w:pPr>
      <w:r>
        <w:rPr/>
        <w:t>主要控股参股公司情况说明 无</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621" w:right="0"/>
        <w:jc w:val="left"/>
      </w:pPr>
      <w:r>
        <w:rPr/>
        <w:t>（一）公司现处的行业格局和发展趋势</w:t>
      </w:r>
    </w:p>
    <w:p>
      <w:pPr>
        <w:pStyle w:val="BodyText"/>
        <w:spacing w:line="297" w:lineRule="auto" w:before="95"/>
        <w:ind w:right="1037" w:firstLine="48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5G</w:t>
      </w:r>
      <w:r>
        <w:rPr/>
        <w:t>正式商用。截至</w:t>
      </w:r>
      <w:r>
        <w:rPr>
          <w:rFonts w:ascii="Times New Roman" w:hAnsi="Times New Roman" w:cs="Times New Roman" w:eastAsia="Times New Roman" w:hint="default"/>
        </w:rPr>
        <w:t>2019</w:t>
      </w:r>
      <w:r>
        <w:rPr/>
        <w:t>年年底，我国</w:t>
      </w:r>
      <w:r>
        <w:rPr>
          <w:rFonts w:ascii="Times New Roman" w:hAnsi="Times New Roman" w:cs="Times New Roman" w:eastAsia="Times New Roman" w:hint="default"/>
        </w:rPr>
        <w:t>5G</w:t>
      </w:r>
      <w:r>
        <w:rPr/>
        <w:t>基站超</w:t>
      </w:r>
      <w:r>
        <w:rPr>
          <w:rFonts w:ascii="Times New Roman" w:hAnsi="Times New Roman" w:cs="Times New Roman" w:eastAsia="Times New Roman" w:hint="default"/>
        </w:rPr>
        <w:t>13</w:t>
      </w:r>
      <w:r>
        <w:rPr/>
        <w:t>万个，用户规模以每月新增百万用户的速度扩张，我 国</w:t>
      </w:r>
      <w:r>
        <w:rPr>
          <w:rFonts w:ascii="Times New Roman" w:hAnsi="Times New Roman" w:cs="Times New Roman" w:eastAsia="Times New Roman" w:hint="default"/>
        </w:rPr>
        <w:t>5G</w:t>
      </w:r>
      <w:r>
        <w:rPr/>
        <w:t>用户规模与网络覆盖范围同步快速扩大。新一轮技术变革成果的到来，加速了产业革新的演进，为经济发展注入新的</w:t>
      </w:r>
      <w:r>
        <w:rPr>
          <w:spacing w:val="-44"/>
        </w:rPr>
        <w:t> </w:t>
      </w:r>
      <w:r>
        <w:rPr>
          <w:spacing w:val="-44"/>
        </w:rPr>
      </w:r>
      <w:r>
        <w:rPr/>
        <w:t>动能。</w:t>
      </w:r>
      <w:r>
        <w:rPr>
          <w:rFonts w:ascii="Times New Roman" w:hAnsi="Times New Roman" w:cs="Times New Roman" w:eastAsia="Times New Roman" w:hint="default"/>
        </w:rPr>
        <w:t>5G</w:t>
      </w:r>
      <w:r>
        <w:rPr/>
        <w:t>作为新一代信息技术，其技术优势明显、应用场景丰富，将深刻影响经济发展进程及社会大众的生活娱乐方式。</w:t>
      </w:r>
      <w:r>
        <w:rPr>
          <w:spacing w:val="-44"/>
        </w:rPr>
        <w:t> </w:t>
      </w:r>
      <w:r>
        <w:rPr>
          <w:spacing w:val="-44"/>
        </w:rPr>
      </w:r>
      <w:r>
        <w:rPr/>
        <w:t>据中国信息通信研究院测算，</w:t>
      </w:r>
      <w:r>
        <w:rPr>
          <w:rFonts w:ascii="Times New Roman" w:hAnsi="Times New Roman" w:cs="Times New Roman" w:eastAsia="Times New Roman" w:hint="default"/>
        </w:rPr>
        <w:t>2020-2025</w:t>
      </w:r>
      <w:r>
        <w:rPr/>
        <w:t>年，</w:t>
      </w:r>
      <w:r>
        <w:rPr>
          <w:rFonts w:ascii="Times New Roman" w:hAnsi="Times New Roman" w:cs="Times New Roman" w:eastAsia="Times New Roman" w:hint="default"/>
        </w:rPr>
        <w:t>5G</w:t>
      </w:r>
      <w:r>
        <w:rPr/>
        <w:t>商用将带动超过</w:t>
      </w:r>
      <w:r>
        <w:rPr>
          <w:rFonts w:ascii="Times New Roman" w:hAnsi="Times New Roman" w:cs="Times New Roman" w:eastAsia="Times New Roman" w:hint="default"/>
        </w:rPr>
        <w:t>8</w:t>
      </w:r>
      <w:r>
        <w:rPr/>
        <w:t>万亿元的新兴消费。基于</w:t>
      </w:r>
      <w:r>
        <w:rPr>
          <w:rFonts w:ascii="Times New Roman" w:hAnsi="Times New Roman" w:cs="Times New Roman" w:eastAsia="Times New Roman" w:hint="default"/>
        </w:rPr>
        <w:t>5G</w:t>
      </w:r>
      <w:r>
        <w:rPr/>
        <w:t>技术应用逐渐普及的背景，电</w:t>
      </w:r>
      <w:r>
        <w:rPr>
          <w:spacing w:val="-46"/>
        </w:rPr>
        <w:t> </w:t>
      </w:r>
      <w:r>
        <w:rPr>
          <w:spacing w:val="-46"/>
        </w:rPr>
      </w:r>
      <w:r>
        <w:rPr>
          <w:spacing w:val="-2"/>
        </w:rPr>
        <w:t>子制造业处于新旧动能转换，行业竞争维度切换的关键时期，发展主要推动力逐渐从规模红利转向产业创新和转型增值，产</w:t>
      </w:r>
    </w:p>
    <w:p>
      <w:pPr>
        <w:pStyle w:val="BodyText"/>
        <w:spacing w:line="297" w:lineRule="auto" w:before="51"/>
        <w:ind w:right="0"/>
        <w:jc w:val="left"/>
      </w:pPr>
      <w:r>
        <w:rPr>
          <w:spacing w:val="-3"/>
        </w:rPr>
        <w:t>业发展进入</w:t>
      </w:r>
      <w:r>
        <w:rPr>
          <w:rFonts w:ascii="Times New Roman" w:hAnsi="Times New Roman" w:cs="Times New Roman" w:eastAsia="Times New Roman" w:hint="default"/>
          <w:spacing w:val="-3"/>
        </w:rPr>
        <w:t>“</w:t>
      </w:r>
      <w:r>
        <w:rPr>
          <w:spacing w:val="-3"/>
        </w:rPr>
        <w:t>通过重研发，从低价值环节向高价值环节实质突破</w:t>
      </w:r>
      <w:r>
        <w:rPr>
          <w:rFonts w:ascii="Times New Roman" w:hAnsi="Times New Roman" w:cs="Times New Roman" w:eastAsia="Times New Roman" w:hint="default"/>
          <w:spacing w:val="-3"/>
        </w:rPr>
        <w:t>”</w:t>
      </w:r>
      <w:r>
        <w:rPr>
          <w:spacing w:val="-3"/>
        </w:rPr>
        <w:t>的新阶段。根据工业部《</w:t>
      </w:r>
      <w:r>
        <w:rPr>
          <w:rFonts w:ascii="Times New Roman" w:hAnsi="Times New Roman" w:cs="Times New Roman" w:eastAsia="Times New Roman" w:hint="default"/>
          <w:spacing w:val="-3"/>
        </w:rPr>
        <w:t>2019</w:t>
      </w:r>
      <w:r>
        <w:rPr>
          <w:spacing w:val="-3"/>
        </w:rPr>
        <w:t>年电子信息制造业运行情况》，</w:t>
      </w:r>
      <w:r>
        <w:rPr>
          <w:spacing w:val="-70"/>
        </w:rPr>
        <w:t> </w:t>
      </w:r>
      <w:r>
        <w:rPr>
          <w:spacing w:val="-70"/>
        </w:rPr>
      </w:r>
      <w:r>
        <w:rPr>
          <w:rFonts w:ascii="Times New Roman" w:hAnsi="Times New Roman" w:cs="Times New Roman" w:eastAsia="Times New Roman" w:hint="default"/>
        </w:rPr>
        <w:t>2019</w:t>
      </w:r>
      <w:r>
        <w:rPr/>
        <w:t>年，规模以上电子信息制造业营业收入同比增长</w:t>
      </w:r>
      <w:r>
        <w:rPr>
          <w:rFonts w:ascii="Times New Roman" w:hAnsi="Times New Roman" w:cs="Times New Roman" w:eastAsia="Times New Roman" w:hint="default"/>
        </w:rPr>
        <w:t>4.5%</w:t>
      </w:r>
      <w:r>
        <w:rPr/>
        <w:t>，利润总额同比增长</w:t>
      </w:r>
      <w:r>
        <w:rPr>
          <w:rFonts w:ascii="Times New Roman" w:hAnsi="Times New Roman" w:cs="Times New Roman" w:eastAsia="Times New Roman" w:hint="default"/>
        </w:rPr>
        <w:t>3.1%</w:t>
      </w:r>
      <w:r>
        <w:rPr/>
        <w:t>，电子信息制造业盈利情况在</w:t>
      </w:r>
      <w:r>
        <w:rPr>
          <w:rFonts w:ascii="Times New Roman" w:hAnsi="Times New Roman" w:cs="Times New Roman" w:eastAsia="Times New Roman" w:hint="default"/>
        </w:rPr>
        <w:t>2019</w:t>
      </w:r>
      <w:r>
        <w:rPr/>
        <w:t>年第</w:t>
      </w:r>
      <w:r>
        <w:rPr>
          <w:spacing w:val="-26"/>
        </w:rPr>
        <w:t> </w:t>
      </w:r>
      <w:r>
        <w:rPr/>
        <w:t>三季度开始改善显著。</w:t>
      </w:r>
    </w:p>
    <w:p>
      <w:pPr>
        <w:spacing w:line="240" w:lineRule="auto" w:before="8"/>
        <w:rPr>
          <w:rFonts w:ascii="宋体" w:hAnsi="宋体" w:cs="宋体" w:eastAsia="宋体" w:hint="default"/>
          <w:sz w:val="6"/>
          <w:szCs w:val="6"/>
        </w:rPr>
      </w:pPr>
    </w:p>
    <w:p>
      <w:pPr>
        <w:spacing w:line="3897" w:lineRule="exact"/>
        <w:ind w:left="140"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5235929" cy="2475166"/>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15" cstate="print"/>
                    <a:stretch>
                      <a:fillRect/>
                    </a:stretch>
                  </pic:blipFill>
                  <pic:spPr>
                    <a:xfrm>
                      <a:off x="0" y="0"/>
                      <a:ext cx="5235929" cy="2475166"/>
                    </a:xfrm>
                    <a:prstGeom prst="rect">
                      <a:avLst/>
                    </a:prstGeom>
                  </pic:spPr>
                </pic:pic>
              </a:graphicData>
            </a:graphic>
          </wp:inline>
        </w:drawing>
      </w:r>
      <w:r>
        <w:rPr>
          <w:rFonts w:ascii="宋体" w:hAnsi="宋体" w:cs="宋体" w:eastAsia="宋体" w:hint="default"/>
          <w:position w:val="-77"/>
          <w:sz w:val="20"/>
          <w:szCs w:val="20"/>
        </w:rPr>
      </w:r>
    </w:p>
    <w:p>
      <w:pPr>
        <w:spacing w:after="0" w:line="3897" w:lineRule="exact"/>
        <w:rPr>
          <w:rFonts w:ascii="宋体" w:hAnsi="宋体" w:cs="宋体" w:eastAsia="宋体" w:hint="default"/>
          <w:sz w:val="20"/>
          <w:szCs w:val="20"/>
        </w:rPr>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0"/>
        <w:jc w:val="both"/>
      </w:pPr>
      <w:r>
        <w:rPr/>
        <w:t>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月以来电子信息制造业营业收入、利润增速变动情况（％）</w:t>
      </w:r>
    </w:p>
    <w:p>
      <w:pPr>
        <w:pStyle w:val="BodyText"/>
        <w:spacing w:line="304" w:lineRule="auto" w:before="66"/>
        <w:ind w:left="501" w:right="0"/>
        <w:jc w:val="left"/>
      </w:pPr>
      <w:r>
        <w:rPr>
          <w:rFonts w:ascii="Times New Roman" w:hAnsi="Times New Roman" w:cs="Times New Roman" w:eastAsia="Times New Roman" w:hint="default"/>
        </w:rPr>
        <w:t>1</w:t>
      </w:r>
      <w:r>
        <w:rPr/>
        <w:t>、网络通讯市场 随着通讯技术的发展，</w:t>
      </w:r>
      <w:r>
        <w:rPr>
          <w:rFonts w:ascii="Times New Roman" w:hAnsi="Times New Roman" w:cs="Times New Roman" w:eastAsia="Times New Roman" w:hint="default"/>
        </w:rPr>
        <w:t>5G</w:t>
      </w:r>
      <w:r>
        <w:rPr/>
        <w:t>技术逐步落地商用，带来了通信网络、系统和终端设备的升级需求，同时</w:t>
      </w:r>
      <w:r>
        <w:rPr>
          <w:rFonts w:ascii="Times New Roman" w:hAnsi="Times New Roman" w:cs="Times New Roman" w:eastAsia="Times New Roman" w:hint="default"/>
        </w:rPr>
        <w:t>5G</w:t>
      </w:r>
      <w:r>
        <w:rPr/>
        <w:t>与医疗、汽车等</w:t>
      </w:r>
    </w:p>
    <w:p>
      <w:pPr>
        <w:pStyle w:val="BodyText"/>
        <w:spacing w:line="288" w:lineRule="auto"/>
        <w:ind w:right="1127"/>
        <w:jc w:val="both"/>
      </w:pPr>
      <w:r>
        <w:rPr/>
        <w:t>其他行业的融合应用场景，也促进了传统网络通讯设备的智能化升级，网络通讯市场对适用于</w:t>
      </w:r>
      <w:r>
        <w:rPr>
          <w:rFonts w:ascii="Times New Roman" w:hAnsi="Times New Roman" w:cs="Times New Roman" w:eastAsia="Times New Roman" w:hint="default"/>
        </w:rPr>
        <w:t>5G</w:t>
      </w:r>
      <w:r>
        <w:rPr/>
        <w:t>技术的新产品、新设备的</w:t>
      </w:r>
      <w:r>
        <w:rPr>
          <w:spacing w:val="-35"/>
        </w:rPr>
        <w:t> </w:t>
      </w:r>
      <w:r>
        <w:rPr>
          <w:spacing w:val="-35"/>
        </w:rPr>
      </w:r>
      <w:r>
        <w:rPr/>
        <w:t>需求旺盛。</w:t>
      </w:r>
    </w:p>
    <w:p>
      <w:pPr>
        <w:pStyle w:val="BodyText"/>
        <w:spacing w:line="297" w:lineRule="auto" w:before="59"/>
        <w:ind w:right="1096" w:firstLine="360"/>
        <w:jc w:val="both"/>
      </w:pPr>
      <w:r>
        <w:rPr>
          <w:spacing w:val="-2"/>
        </w:rPr>
        <w:t>根据《</w:t>
      </w:r>
      <w:r>
        <w:rPr>
          <w:rFonts w:ascii="Times New Roman" w:hAnsi="Times New Roman" w:cs="Times New Roman" w:eastAsia="Times New Roman" w:hint="default"/>
          <w:spacing w:val="-2"/>
        </w:rPr>
        <w:t>2019</w:t>
      </w:r>
      <w:r>
        <w:rPr>
          <w:spacing w:val="-2"/>
        </w:rPr>
        <w:t>年通讯业统计公报》，</w:t>
      </w:r>
      <w:r>
        <w:rPr>
          <w:rFonts w:ascii="Times New Roman" w:hAnsi="Times New Roman" w:cs="Times New Roman" w:eastAsia="Times New Roman" w:hint="default"/>
          <w:spacing w:val="-2"/>
        </w:rPr>
        <w:t>2019</w:t>
      </w:r>
      <w:r>
        <w:rPr>
          <w:spacing w:val="-2"/>
        </w:rPr>
        <w:t>年，我国互联网宽带接入端口</w:t>
      </w:r>
      <w:r>
        <w:rPr>
          <w:rFonts w:ascii="Times New Roman" w:hAnsi="Times New Roman" w:cs="Times New Roman" w:eastAsia="Times New Roman" w:hint="default"/>
          <w:spacing w:val="-2"/>
        </w:rPr>
        <w:t>“</w:t>
      </w:r>
      <w:r>
        <w:rPr>
          <w:spacing w:val="-2"/>
        </w:rPr>
        <w:t>光进铜退</w:t>
      </w:r>
      <w:r>
        <w:rPr>
          <w:rFonts w:ascii="Times New Roman" w:hAnsi="Times New Roman" w:cs="Times New Roman" w:eastAsia="Times New Roman" w:hint="default"/>
          <w:spacing w:val="-2"/>
        </w:rPr>
        <w:t>”</w:t>
      </w:r>
      <w:r>
        <w:rPr>
          <w:spacing w:val="-2"/>
        </w:rPr>
        <w:t>趋势更加明显，截至</w:t>
      </w:r>
      <w:r>
        <w:rPr>
          <w:rFonts w:ascii="Times New Roman" w:hAnsi="Times New Roman" w:cs="Times New Roman" w:eastAsia="Times New Roman" w:hint="default"/>
          <w:spacing w:val="-2"/>
        </w:rPr>
        <w:t>12</w:t>
      </w:r>
      <w:r>
        <w:rPr>
          <w:spacing w:val="-2"/>
        </w:rPr>
        <w:t>月底，互联网宽</w:t>
      </w:r>
      <w:r>
        <w:rPr/>
        <w:t> </w:t>
      </w:r>
      <w:r>
        <w:rPr>
          <w:spacing w:val="-1"/>
        </w:rPr>
        <w:t>带接入端口数量达到</w:t>
      </w:r>
      <w:r>
        <w:rPr>
          <w:rFonts w:ascii="Times New Roman" w:hAnsi="Times New Roman" w:cs="Times New Roman" w:eastAsia="Times New Roman" w:hint="default"/>
          <w:spacing w:val="-1"/>
        </w:rPr>
        <w:t>9.16</w:t>
      </w:r>
      <w:r>
        <w:rPr>
          <w:spacing w:val="-1"/>
        </w:rPr>
        <w:t>亿个，比上年末净增</w:t>
      </w:r>
      <w:r>
        <w:rPr>
          <w:rFonts w:ascii="Times New Roman" w:hAnsi="Times New Roman" w:cs="Times New Roman" w:eastAsia="Times New Roman" w:hint="default"/>
          <w:spacing w:val="-1"/>
        </w:rPr>
        <w:t>4826</w:t>
      </w:r>
      <w:r>
        <w:rPr>
          <w:spacing w:val="-1"/>
        </w:rPr>
        <w:t>万个。其中，光纤接入（</w:t>
      </w:r>
      <w:r>
        <w:rPr>
          <w:rFonts w:ascii="Times New Roman" w:hAnsi="Times New Roman" w:cs="Times New Roman" w:eastAsia="Times New Roman" w:hint="default"/>
          <w:spacing w:val="-1"/>
        </w:rPr>
        <w:t>FTTH/0</w:t>
      </w:r>
      <w:r>
        <w:rPr>
          <w:spacing w:val="-1"/>
        </w:rPr>
        <w:t>）端口比上年末净增</w:t>
      </w:r>
      <w:r>
        <w:rPr>
          <w:rFonts w:ascii="Times New Roman" w:hAnsi="Times New Roman" w:cs="Times New Roman" w:eastAsia="Times New Roman" w:hint="default"/>
          <w:spacing w:val="-1"/>
        </w:rPr>
        <w:t>6479</w:t>
      </w:r>
      <w:r>
        <w:rPr>
          <w:spacing w:val="-1"/>
        </w:rPr>
        <w:t>万个，达到</w:t>
      </w:r>
      <w:r>
        <w:rPr>
          <w:rFonts w:ascii="Times New Roman" w:hAnsi="Times New Roman" w:cs="Times New Roman" w:eastAsia="Times New Roman" w:hint="default"/>
          <w:spacing w:val="-1"/>
        </w:rPr>
        <w:t>8.36</w:t>
      </w:r>
      <w:r>
        <w:rPr>
          <w:rFonts w:ascii="Times New Roman" w:hAnsi="Times New Roman" w:cs="Times New Roman" w:eastAsia="Times New Roman" w:hint="default"/>
          <w:spacing w:val="5"/>
        </w:rPr>
        <w:t> </w:t>
      </w:r>
      <w:r>
        <w:rPr/>
        <w:t>亿个，占互联网接入端口的比重由上年末的</w:t>
      </w:r>
      <w:r>
        <w:rPr>
          <w:rFonts w:ascii="Times New Roman" w:hAnsi="Times New Roman" w:cs="Times New Roman" w:eastAsia="Times New Roman" w:hint="default"/>
        </w:rPr>
        <w:t>88.9%</w:t>
      </w:r>
      <w:r>
        <w:rPr/>
        <w:t>提升至</w:t>
      </w:r>
      <w:r>
        <w:rPr>
          <w:rFonts w:ascii="Times New Roman" w:hAnsi="Times New Roman" w:cs="Times New Roman" w:eastAsia="Times New Roman" w:hint="default"/>
        </w:rPr>
        <w:t>91.3%</w:t>
      </w:r>
      <w:r>
        <w:rPr/>
        <w:t>。</w:t>
      </w:r>
      <w:r>
        <w:rPr>
          <w:rFonts w:ascii="Times New Roman" w:hAnsi="Times New Roman" w:cs="Times New Roman" w:eastAsia="Times New Roman" w:hint="default"/>
        </w:rPr>
        <w:t>xDSL</w:t>
      </w:r>
      <w:r>
        <w:rPr/>
        <w:t>端口比上年末减少</w:t>
      </w:r>
      <w:r>
        <w:rPr>
          <w:rFonts w:ascii="Times New Roman" w:hAnsi="Times New Roman" w:cs="Times New Roman" w:eastAsia="Times New Roman" w:hint="default"/>
        </w:rPr>
        <w:t>261</w:t>
      </w:r>
      <w:r>
        <w:rPr/>
        <w:t>万个，总数降至</w:t>
      </w:r>
      <w:r>
        <w:rPr>
          <w:rFonts w:ascii="Times New Roman" w:hAnsi="Times New Roman" w:cs="Times New Roman" w:eastAsia="Times New Roman" w:hint="default"/>
        </w:rPr>
        <w:t>820</w:t>
      </w:r>
      <w:r>
        <w:rPr/>
        <w:t>万个，占互 联网接入端口的比重由上年末的</w:t>
      </w:r>
      <w:r>
        <w:rPr>
          <w:rFonts w:ascii="Times New Roman" w:hAnsi="Times New Roman" w:cs="Times New Roman" w:eastAsia="Times New Roman" w:hint="default"/>
        </w:rPr>
        <w:t>1.2%</w:t>
      </w:r>
      <w:r>
        <w:rPr/>
        <w:t>下降至</w:t>
      </w:r>
      <w:r>
        <w:rPr>
          <w:rFonts w:ascii="Times New Roman" w:hAnsi="Times New Roman" w:cs="Times New Roman" w:eastAsia="Times New Roman" w:hint="default"/>
        </w:rPr>
        <w:t>0.9%</w:t>
      </w:r>
      <w:r>
        <w:rPr/>
        <w:t>。随着</w:t>
      </w:r>
      <w:r>
        <w:rPr>
          <w:rFonts w:ascii="Times New Roman" w:hAnsi="Times New Roman" w:cs="Times New Roman" w:eastAsia="Times New Roman" w:hint="default"/>
        </w:rPr>
        <w:t>“</w:t>
      </w:r>
      <w:r>
        <w:rPr/>
        <w:t>双</w:t>
      </w:r>
      <w:r>
        <w:rPr>
          <w:rFonts w:ascii="Times New Roman" w:hAnsi="Times New Roman" w:cs="Times New Roman" w:eastAsia="Times New Roman" w:hint="default"/>
        </w:rPr>
        <w:t>G</w:t>
      </w:r>
      <w:r>
        <w:rPr/>
        <w:t>双提</w:t>
      </w:r>
      <w:r>
        <w:rPr>
          <w:rFonts w:ascii="Times New Roman" w:hAnsi="Times New Roman" w:cs="Times New Roman" w:eastAsia="Times New Roman" w:hint="default"/>
        </w:rPr>
        <w:t>”</w:t>
      </w:r>
      <w:r>
        <w:rPr/>
        <w:t>工作的加快落实，固定宽带迈入千兆时代。</w:t>
      </w:r>
    </w:p>
    <w:p>
      <w:pPr>
        <w:spacing w:line="4950" w:lineRule="exact"/>
        <w:ind w:left="140"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5086350" cy="3143250"/>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6" cstate="print"/>
                    <a:stretch>
                      <a:fillRect/>
                    </a:stretch>
                  </pic:blipFill>
                  <pic:spPr>
                    <a:xfrm>
                      <a:off x="0" y="0"/>
                      <a:ext cx="5086350" cy="3143250"/>
                    </a:xfrm>
                    <a:prstGeom prst="rect">
                      <a:avLst/>
                    </a:prstGeom>
                  </pic:spPr>
                </pic:pic>
              </a:graphicData>
            </a:graphic>
          </wp:inline>
        </w:drawing>
      </w:r>
      <w:r>
        <w:rPr>
          <w:rFonts w:ascii="宋体" w:hAnsi="宋体" w:cs="宋体" w:eastAsia="宋体" w:hint="default"/>
          <w:position w:val="-98"/>
          <w:sz w:val="20"/>
          <w:szCs w:val="20"/>
        </w:rPr>
      </w:r>
    </w:p>
    <w:p>
      <w:pPr>
        <w:pStyle w:val="BodyText"/>
        <w:spacing w:line="302" w:lineRule="auto" w:before="68"/>
        <w:ind w:left="561" w:right="0" w:hanging="421"/>
        <w:jc w:val="left"/>
      </w:pPr>
      <w:r>
        <w:rPr/>
        <w:t>注：</w:t>
      </w:r>
      <w:r>
        <w:rPr>
          <w:rFonts w:ascii="Times New Roman" w:hAnsi="Times New Roman" w:cs="Times New Roman" w:eastAsia="Times New Roman" w:hint="default"/>
        </w:rPr>
        <w:t>2014-2019</w:t>
      </w:r>
      <w:r>
        <w:rPr/>
        <w:t>年互联网宽带接入端口发展情况 </w:t>
      </w:r>
      <w:r>
        <w:rPr>
          <w:spacing w:val="2"/>
        </w:rPr>
        <w:t>移动网络方面，我国移动数据流量消费规模稳步扩大。</w:t>
      </w:r>
      <w:r>
        <w:rPr>
          <w:rFonts w:ascii="Times New Roman" w:hAnsi="Times New Roman" w:cs="Times New Roman" w:eastAsia="Times New Roman" w:hint="default"/>
          <w:spacing w:val="2"/>
        </w:rPr>
        <w:t>2019</w:t>
      </w:r>
      <w:r>
        <w:rPr>
          <w:spacing w:val="2"/>
        </w:rPr>
        <w:t>年，移动互联网接入流量消费达</w:t>
      </w:r>
      <w:r>
        <w:rPr>
          <w:rFonts w:ascii="Times New Roman" w:hAnsi="Times New Roman" w:cs="Times New Roman" w:eastAsia="Times New Roman" w:hint="default"/>
          <w:spacing w:val="2"/>
        </w:rPr>
        <w:t>1220</w:t>
      </w:r>
      <w:r>
        <w:rPr>
          <w:spacing w:val="2"/>
        </w:rPr>
        <w:t>亿</w:t>
      </w:r>
      <w:r>
        <w:rPr>
          <w:rFonts w:ascii="Times New Roman" w:hAnsi="Times New Roman" w:cs="Times New Roman" w:eastAsia="Times New Roman" w:hint="default"/>
          <w:spacing w:val="2"/>
        </w:rPr>
        <w:t>GB</w:t>
      </w:r>
      <w:r>
        <w:rPr>
          <w:spacing w:val="2"/>
        </w:rPr>
        <w:t>，比上年增长</w:t>
      </w:r>
    </w:p>
    <w:p>
      <w:pPr>
        <w:pStyle w:val="BodyText"/>
        <w:spacing w:line="300" w:lineRule="auto" w:before="14"/>
        <w:ind w:right="1096"/>
        <w:jc w:val="both"/>
      </w:pPr>
      <w:r>
        <w:rPr>
          <w:rFonts w:ascii="Times New Roman" w:hAnsi="Times New Roman" w:cs="Times New Roman" w:eastAsia="Times New Roman" w:hint="default"/>
        </w:rPr>
        <w:t>71.6%</w:t>
      </w:r>
      <w:r>
        <w:rPr/>
        <w:t>。全年移动互联网月户均流量（</w:t>
      </w:r>
      <w:r>
        <w:rPr>
          <w:rFonts w:ascii="Times New Roman" w:hAnsi="Times New Roman" w:cs="Times New Roman" w:eastAsia="Times New Roman" w:hint="default"/>
        </w:rPr>
        <w:t>DOU</w:t>
      </w:r>
      <w:r>
        <w:rPr/>
        <w:t>）达</w:t>
      </w:r>
      <w:r>
        <w:rPr>
          <w:rFonts w:ascii="Times New Roman" w:hAnsi="Times New Roman" w:cs="Times New Roman" w:eastAsia="Times New Roman" w:hint="default"/>
        </w:rPr>
        <w:t>7.82GB/</w:t>
      </w:r>
      <w:r>
        <w:rPr/>
        <w:t>户</w:t>
      </w:r>
      <w:r>
        <w:rPr>
          <w:rFonts w:ascii="Times New Roman" w:hAnsi="Times New Roman" w:cs="Times New Roman" w:eastAsia="Times New Roman" w:hint="default"/>
        </w:rPr>
        <w:t>/</w:t>
      </w:r>
      <w:r>
        <w:rPr/>
        <w:t>月，是上年的</w:t>
      </w:r>
      <w:r>
        <w:rPr>
          <w:rFonts w:ascii="Times New Roman" w:hAnsi="Times New Roman" w:cs="Times New Roman" w:eastAsia="Times New Roman" w:hint="default"/>
        </w:rPr>
        <w:t>1.69</w:t>
      </w:r>
      <w:r>
        <w:rPr/>
        <w:t>倍。其中，手机上网流量达到</w:t>
      </w:r>
      <w:r>
        <w:rPr>
          <w:rFonts w:ascii="Times New Roman" w:hAnsi="Times New Roman" w:cs="Times New Roman" w:eastAsia="Times New Roman" w:hint="default"/>
        </w:rPr>
        <w:t>1210</w:t>
      </w:r>
      <w:r>
        <w:rPr/>
        <w:t>亿</w:t>
      </w:r>
      <w:r>
        <w:rPr>
          <w:rFonts w:ascii="Times New Roman" w:hAnsi="Times New Roman" w:cs="Times New Roman" w:eastAsia="Times New Roman" w:hint="default"/>
        </w:rPr>
        <w:t>GB</w:t>
      </w:r>
      <w:r>
        <w:rPr/>
        <w:t>，比上</w:t>
      </w:r>
      <w:r>
        <w:rPr>
          <w:spacing w:val="-69"/>
        </w:rPr>
        <w:t> </w:t>
      </w:r>
      <w:r>
        <w:rPr/>
        <w:t>年增长</w:t>
      </w:r>
      <w:r>
        <w:rPr>
          <w:rFonts w:ascii="Times New Roman" w:hAnsi="Times New Roman" w:cs="Times New Roman" w:eastAsia="Times New Roman" w:hint="default"/>
        </w:rPr>
        <w:t>72.4%</w:t>
      </w:r>
      <w:r>
        <w:rPr/>
        <w:t>，在总流量中占</w:t>
      </w:r>
      <w:r>
        <w:rPr>
          <w:rFonts w:ascii="Times New Roman" w:hAnsi="Times New Roman" w:cs="Times New Roman" w:eastAsia="Times New Roman" w:hint="default"/>
        </w:rPr>
        <w:t>99.2%</w:t>
      </w:r>
      <w:r>
        <w:rPr/>
        <w:t>。移动数据流量使用的持续攀升以及</w:t>
      </w:r>
      <w:r>
        <w:rPr>
          <w:rFonts w:ascii="Times New Roman" w:hAnsi="Times New Roman" w:cs="Times New Roman" w:eastAsia="Times New Roman" w:hint="default"/>
        </w:rPr>
        <w:t>5G</w:t>
      </w:r>
      <w:r>
        <w:rPr/>
        <w:t>商用带来的产品更迭，将极大的刺激移动网络通</w:t>
      </w:r>
      <w:r>
        <w:rPr>
          <w:spacing w:val="-67"/>
        </w:rPr>
        <w:t> </w:t>
      </w:r>
      <w:r>
        <w:rPr>
          <w:spacing w:val="-67"/>
        </w:rPr>
      </w:r>
      <w:r>
        <w:rPr>
          <w:spacing w:val="-2"/>
        </w:rPr>
        <w:t>信终端的市场需求。公司作为具备网络通讯终端强大制造实力和技术的厂商，将紧跟通讯技术发展方向，提高公司产品的市</w:t>
      </w:r>
      <w:r>
        <w:rPr>
          <w:spacing w:val="-75"/>
        </w:rPr>
        <w:t> </w:t>
      </w:r>
      <w:r>
        <w:rPr>
          <w:spacing w:val="-75"/>
        </w:rPr>
      </w:r>
      <w:r>
        <w:rPr/>
        <w:t>场竞争力。</w:t>
      </w:r>
    </w:p>
    <w:p>
      <w:pPr>
        <w:pStyle w:val="BodyText"/>
        <w:spacing w:line="304" w:lineRule="auto" w:before="50"/>
        <w:ind w:left="561" w:right="0"/>
        <w:jc w:val="left"/>
      </w:pPr>
      <w:r>
        <w:rPr>
          <w:rFonts w:ascii="Times New Roman" w:hAnsi="Times New Roman" w:cs="Times New Roman" w:eastAsia="Times New Roman" w:hint="default"/>
        </w:rPr>
        <w:t>2</w:t>
      </w:r>
      <w:r>
        <w:rPr/>
        <w:t>、消费电子市场 随着</w:t>
      </w:r>
      <w:r>
        <w:rPr>
          <w:rFonts w:ascii="Times New Roman" w:hAnsi="Times New Roman" w:cs="Times New Roman" w:eastAsia="Times New Roman" w:hint="default"/>
        </w:rPr>
        <w:t>5G</w:t>
      </w:r>
      <w:r>
        <w:rPr/>
        <w:t>、物联网、人工智能等新一代信息技术的发展，消费电子进入快速发展期。</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月国家发展改革委员会同</w:t>
      </w:r>
    </w:p>
    <w:p>
      <w:pPr>
        <w:pStyle w:val="BodyText"/>
        <w:spacing w:line="290" w:lineRule="auto"/>
        <w:ind w:right="1013"/>
        <w:jc w:val="both"/>
      </w:pPr>
      <w:r>
        <w:rPr/>
        <w:t>有关部门共同研究制定了《推动重点消费品更新升级畅通资源循环利用实施方案（</w:t>
      </w:r>
      <w:r>
        <w:rPr>
          <w:rFonts w:ascii="Times New Roman" w:hAnsi="Times New Roman" w:cs="Times New Roman" w:eastAsia="Times New Roman" w:hint="default"/>
        </w:rPr>
        <w:t>2019</w:t>
      </w:r>
      <w:r>
        <w:rPr>
          <w:rFonts w:ascii="Times New Roman" w:hAnsi="Times New Roman" w:cs="Times New Roman" w:eastAsia="Times New Roman" w:hint="default"/>
        </w:rPr>
        <w:t>—</w:t>
      </w:r>
      <w:r>
        <w:rPr>
          <w:rFonts w:ascii="Times New Roman" w:hAnsi="Times New Roman" w:cs="Times New Roman" w:eastAsia="Times New Roman" w:hint="default"/>
        </w:rPr>
        <w:t>2020</w:t>
      </w:r>
      <w:r>
        <w:rPr/>
        <w:t>年）》。文件的出台有助于夯 </w:t>
      </w:r>
      <w:r>
        <w:rPr>
          <w:spacing w:val="-3"/>
        </w:rPr>
        <w:t>实消费电子产业基础，完善网络基础设施建设，推动产品创新，优化产品服务，进而促进产业升级，加速构建绿色产业生态。</w:t>
      </w:r>
    </w:p>
    <w:p>
      <w:pPr>
        <w:pStyle w:val="BodyText"/>
        <w:spacing w:line="300" w:lineRule="auto" w:before="56"/>
        <w:ind w:right="1111" w:firstLine="420"/>
        <w:jc w:val="both"/>
      </w:pPr>
      <w:r>
        <w:rPr/>
        <w:t>根据</w:t>
      </w:r>
      <w:r>
        <w:rPr>
          <w:rFonts w:ascii="Times New Roman" w:hAnsi="Times New Roman" w:cs="Times New Roman" w:eastAsia="Times New Roman" w:hint="default"/>
        </w:rPr>
        <w:t>IDC</w:t>
      </w:r>
      <w:r>
        <w:rPr/>
        <w:t>发布数据显示，</w:t>
      </w:r>
      <w:r>
        <w:rPr>
          <w:rFonts w:ascii="Times New Roman" w:hAnsi="Times New Roman" w:cs="Times New Roman" w:eastAsia="Times New Roman" w:hint="default"/>
        </w:rPr>
        <w:t>2019</w:t>
      </w:r>
      <w:r>
        <w:rPr/>
        <w:t>年全球智能手机出货量为</w:t>
      </w:r>
      <w:r>
        <w:rPr>
          <w:rFonts w:ascii="Times New Roman" w:hAnsi="Times New Roman" w:cs="Times New Roman" w:eastAsia="Times New Roman" w:hint="default"/>
        </w:rPr>
        <w:t>13.71</w:t>
      </w:r>
      <w:r>
        <w:rPr/>
        <w:t>亿部，同比下降</w:t>
      </w:r>
      <w:r>
        <w:rPr>
          <w:rFonts w:ascii="Times New Roman" w:hAnsi="Times New Roman" w:cs="Times New Roman" w:eastAsia="Times New Roman" w:hint="default"/>
        </w:rPr>
        <w:t>2.3%</w:t>
      </w:r>
      <w:r>
        <w:rPr/>
        <w:t>，</w:t>
      </w:r>
      <w:r>
        <w:rPr>
          <w:rFonts w:ascii="Times New Roman" w:hAnsi="Times New Roman" w:cs="Times New Roman" w:eastAsia="Times New Roman" w:hint="default"/>
        </w:rPr>
        <w:t>2019</w:t>
      </w:r>
      <w:r>
        <w:rPr/>
        <w:t>年已是全球智能手机出货量连 续第三年下滑。从手机品牌商看，出货量排名前五的手机品牌商市场份额占全球智能手机市场份额的</w:t>
      </w:r>
      <w:r>
        <w:rPr>
          <w:rFonts w:ascii="Times New Roman" w:hAnsi="Times New Roman" w:cs="Times New Roman" w:eastAsia="Times New Roman" w:hint="default"/>
        </w:rPr>
        <w:t>70.6%</w:t>
      </w:r>
      <w:r>
        <w:rPr/>
        <w:t>，智能手机头部</w:t>
      </w:r>
      <w:r>
        <w:rPr>
          <w:spacing w:val="-80"/>
        </w:rPr>
        <w:t> </w:t>
      </w:r>
      <w:r>
        <w:rPr>
          <w:spacing w:val="-1"/>
        </w:rPr>
        <w:t>品牌商优势扩大，市场集中度进一步提高。中国信通院发布数据显示，</w:t>
      </w:r>
      <w:r>
        <w:rPr>
          <w:rFonts w:ascii="Times New Roman" w:hAnsi="Times New Roman" w:cs="Times New Roman" w:eastAsia="Times New Roman" w:hint="default"/>
          <w:spacing w:val="-1"/>
        </w:rPr>
        <w:t>2019</w:t>
      </w:r>
      <w:r>
        <w:rPr>
          <w:spacing w:val="-1"/>
        </w:rPr>
        <w:t>年国内市场手机出货量达到了</w:t>
      </w:r>
      <w:r>
        <w:rPr>
          <w:rFonts w:ascii="Times New Roman" w:hAnsi="Times New Roman" w:cs="Times New Roman" w:eastAsia="Times New Roman" w:hint="default"/>
          <w:spacing w:val="-1"/>
        </w:rPr>
        <w:t>3.89</w:t>
      </w:r>
      <w:r>
        <w:rPr>
          <w:spacing w:val="-1"/>
        </w:rPr>
        <w:t>亿部，同比下</w:t>
      </w:r>
      <w:r>
        <w:rPr>
          <w:spacing w:val="-70"/>
        </w:rPr>
        <w:t> </w:t>
      </w:r>
      <w:r>
        <w:rPr>
          <w:spacing w:val="-70"/>
        </w:rPr>
      </w:r>
      <w:r>
        <w:rPr/>
        <w:t>降</w:t>
      </w:r>
      <w:r>
        <w:rPr>
          <w:rFonts w:ascii="Times New Roman" w:hAnsi="Times New Roman" w:cs="Times New Roman" w:eastAsia="Times New Roman" w:hint="default"/>
        </w:rPr>
        <w:t>6.2%</w:t>
      </w:r>
      <w:r>
        <w:rPr/>
        <w:t>，其中</w:t>
      </w:r>
      <w:r>
        <w:rPr>
          <w:rFonts w:ascii="Times New Roman" w:hAnsi="Times New Roman" w:cs="Times New Roman" w:eastAsia="Times New Roman" w:hint="default"/>
        </w:rPr>
        <w:t>4G</w:t>
      </w:r>
      <w:r>
        <w:rPr/>
        <w:t>手机</w:t>
      </w:r>
      <w:r>
        <w:rPr>
          <w:rFonts w:ascii="Times New Roman" w:hAnsi="Times New Roman" w:cs="Times New Roman" w:eastAsia="Times New Roman" w:hint="default"/>
        </w:rPr>
        <w:t>3.59</w:t>
      </w:r>
      <w:r>
        <w:rPr/>
        <w:t>亿部，</w:t>
      </w:r>
      <w:r>
        <w:rPr>
          <w:rFonts w:ascii="Times New Roman" w:hAnsi="Times New Roman" w:cs="Times New Roman" w:eastAsia="Times New Roman" w:hint="default"/>
        </w:rPr>
        <w:t>5G</w:t>
      </w:r>
      <w:r>
        <w:rPr/>
        <w:t>手机</w:t>
      </w:r>
      <w:r>
        <w:rPr>
          <w:rFonts w:ascii="Times New Roman" w:hAnsi="Times New Roman" w:cs="Times New Roman" w:eastAsia="Times New Roman" w:hint="default"/>
        </w:rPr>
        <w:t>1376.9</w:t>
      </w:r>
      <w:r>
        <w:rPr/>
        <w:t>万部。</w:t>
      </w:r>
      <w:r>
        <w:rPr>
          <w:rFonts w:ascii="Times New Roman" w:hAnsi="Times New Roman" w:cs="Times New Roman" w:eastAsia="Times New Roman" w:hint="default"/>
        </w:rPr>
        <w:t>2019</w:t>
      </w:r>
      <w:r>
        <w:rPr/>
        <w:t>年，智能手机市场收缩明显，其主要原因是当前处于</w:t>
      </w:r>
      <w:r>
        <w:rPr>
          <w:rFonts w:ascii="Times New Roman" w:hAnsi="Times New Roman" w:cs="Times New Roman" w:eastAsia="Times New Roman" w:hint="default"/>
        </w:rPr>
        <w:t>4G</w:t>
      </w:r>
      <w:r>
        <w:rPr/>
        <w:t>向</w:t>
      </w:r>
      <w:r>
        <w:rPr>
          <w:rFonts w:ascii="Times New Roman" w:hAnsi="Times New Roman" w:cs="Times New Roman" w:eastAsia="Times New Roman" w:hint="default"/>
        </w:rPr>
        <w:t>5G</w:t>
      </w:r>
      <w:r>
        <w:rPr/>
        <w:t>的切</w:t>
      </w:r>
      <w:r>
        <w:rPr>
          <w:spacing w:val="-65"/>
        </w:rPr>
        <w:t> </w:t>
      </w:r>
      <w:r>
        <w:rPr/>
        <w:t>换期，</w:t>
      </w:r>
      <w:r>
        <w:rPr>
          <w:rFonts w:ascii="Times New Roman" w:hAnsi="Times New Roman" w:cs="Times New Roman" w:eastAsia="Times New Roman" w:hint="default"/>
        </w:rPr>
        <w:t>5G</w:t>
      </w:r>
      <w:r>
        <w:rPr/>
        <w:t>应用尚未规模化发展，消费者换机观望期拉长。</w:t>
      </w:r>
    </w:p>
    <w:p>
      <w:pPr>
        <w:pStyle w:val="BodyText"/>
        <w:spacing w:line="295" w:lineRule="auto" w:before="16"/>
        <w:ind w:right="1038" w:firstLine="420"/>
        <w:jc w:val="both"/>
      </w:pPr>
      <w:r>
        <w:rPr/>
        <w:t>随着</w:t>
      </w:r>
      <w:r>
        <w:rPr>
          <w:rFonts w:ascii="Times New Roman" w:hAnsi="Times New Roman" w:cs="Times New Roman" w:eastAsia="Times New Roman" w:hint="default"/>
        </w:rPr>
        <w:t>5G</w:t>
      </w:r>
      <w:r>
        <w:rPr/>
        <w:t>技术的深入发展，消费电子市场特别是智能手机市场将迎来增量发展机会。工信部提出，将鼓励基础电信企业 通过套餐升级优惠、信用购机等举措，促进</w:t>
      </w:r>
      <w:r>
        <w:rPr>
          <w:rFonts w:ascii="Times New Roman" w:hAnsi="Times New Roman" w:cs="Times New Roman" w:eastAsia="Times New Roman" w:hint="default"/>
        </w:rPr>
        <w:t>5G</w:t>
      </w:r>
      <w:r>
        <w:rPr/>
        <w:t>终端消费，加快用户向</w:t>
      </w:r>
      <w:r>
        <w:rPr>
          <w:rFonts w:ascii="Times New Roman" w:hAnsi="Times New Roman" w:cs="Times New Roman" w:eastAsia="Times New Roman" w:hint="default"/>
        </w:rPr>
        <w:t>5G</w:t>
      </w:r>
      <w:r>
        <w:rPr/>
        <w:t>迁移。</w:t>
      </w:r>
      <w:r>
        <w:rPr>
          <w:rFonts w:ascii="Times New Roman" w:hAnsi="Times New Roman" w:cs="Times New Roman" w:eastAsia="Times New Roman" w:hint="default"/>
        </w:rPr>
        <w:t>IDC</w:t>
      </w:r>
      <w:r>
        <w:rPr/>
        <w:t>认为，随着中端智能手机逐渐进入</w:t>
      </w:r>
      <w:r>
        <w:rPr>
          <w:rFonts w:ascii="Times New Roman" w:hAnsi="Times New Roman" w:cs="Times New Roman" w:eastAsia="Times New Roman" w:hint="default"/>
        </w:rPr>
        <w:t>5G</w:t>
      </w:r>
      <w:r>
        <w:rPr/>
        <w:t>领</w:t>
      </w:r>
      <w:r>
        <w:rPr>
          <w:spacing w:val="-64"/>
        </w:rPr>
        <w:t> </w:t>
      </w:r>
      <w:r>
        <w:rPr/>
        <w:t>域后，</w:t>
      </w:r>
      <w:r>
        <w:rPr>
          <w:rFonts w:ascii="Times New Roman" w:hAnsi="Times New Roman" w:cs="Times New Roman" w:eastAsia="Times New Roman" w:hint="default"/>
        </w:rPr>
        <w:t>5G</w:t>
      </w:r>
      <w:r>
        <w:rPr/>
        <w:t>对智能手机的影响会进一步发挥作用，预计到</w:t>
      </w:r>
      <w:r>
        <w:rPr>
          <w:rFonts w:ascii="Times New Roman" w:hAnsi="Times New Roman" w:cs="Times New Roman" w:eastAsia="Times New Roman" w:hint="default"/>
        </w:rPr>
        <w:t>2023</w:t>
      </w:r>
      <w:r>
        <w:rPr/>
        <w:t>年，全球智能手机出货量将会增加至</w:t>
      </w:r>
      <w:r>
        <w:rPr>
          <w:rFonts w:ascii="Times New Roman" w:hAnsi="Times New Roman" w:cs="Times New Roman" w:eastAsia="Times New Roman" w:hint="default"/>
        </w:rPr>
        <w:t>14.84</w:t>
      </w:r>
      <w:r>
        <w:rPr/>
        <w:t>亿台。公司智能手机</w:t>
      </w:r>
      <w:r>
        <w:rPr>
          <w:spacing w:val="-79"/>
        </w:rPr>
        <w:t> </w:t>
      </w:r>
      <w:r>
        <w:rPr/>
        <w:t>的主要客户为世界知名的品牌商，出货量排名在世界前五名之列，未来公司将通过加大核心技术研发力度，提高生产技艺，</w:t>
      </w:r>
    </w:p>
    <w:p>
      <w:pPr>
        <w:spacing w:after="0" w:line="295" w:lineRule="auto"/>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88" w:lineRule="auto" w:before="44"/>
        <w:ind w:right="1097"/>
        <w:jc w:val="both"/>
      </w:pPr>
      <w:r>
        <w:rPr/>
        <w:t>进一步满足客户需求，巩固核心客户的合作关系，并提高公司</w:t>
      </w:r>
      <w:r>
        <w:rPr>
          <w:rFonts w:ascii="Times New Roman" w:hAnsi="Times New Roman" w:cs="Times New Roman" w:eastAsia="Times New Roman" w:hint="default"/>
        </w:rPr>
        <w:t>ODM</w:t>
      </w:r>
      <w:r>
        <w:rPr/>
        <w:t>模式业务比重。同时，</w:t>
      </w:r>
      <w:r>
        <w:rPr>
          <w:rFonts w:ascii="Times New Roman" w:hAnsi="Times New Roman" w:cs="Times New Roman" w:eastAsia="Times New Roman" w:hint="default"/>
        </w:rPr>
        <w:t>5G</w:t>
      </w:r>
      <w:r>
        <w:rPr/>
        <w:t>技术的发展会增加其他消费电</w:t>
      </w:r>
      <w:r>
        <w:rPr>
          <w:spacing w:val="-64"/>
        </w:rPr>
        <w:t> </w:t>
      </w:r>
      <w:r>
        <w:rPr/>
        <w:t>子类产品的需求，公司将会充分关注市场情况，把握市场机会。</w:t>
      </w:r>
    </w:p>
    <w:p>
      <w:pPr>
        <w:pStyle w:val="BodyText"/>
        <w:spacing w:line="276" w:lineRule="auto" w:before="59"/>
        <w:ind w:left="561" w:right="1149"/>
        <w:jc w:val="left"/>
      </w:pPr>
      <w:r>
        <w:rPr>
          <w:rFonts w:ascii="Times New Roman" w:hAnsi="Times New Roman" w:cs="Times New Roman" w:eastAsia="Times New Roman" w:hint="default"/>
          <w:color w:val="181818"/>
        </w:rPr>
        <w:t>3</w:t>
      </w:r>
      <w:r>
        <w:rPr>
          <w:color w:val="181818"/>
        </w:rPr>
        <w:t>、智能硬件产品市场 </w:t>
      </w:r>
      <w:r>
        <w:rPr/>
        <w:t>伴随网络通讯技术的进步，智能化浪潮进一步袭来，智能家居、移动办公、智慧出行、运动健康等各类场景将实现万</w:t>
      </w:r>
    </w:p>
    <w:p>
      <w:pPr>
        <w:pStyle w:val="BodyText"/>
        <w:spacing w:line="319" w:lineRule="auto" w:before="52"/>
        <w:ind w:right="1064"/>
        <w:jc w:val="both"/>
      </w:pPr>
      <w:r>
        <w:rPr>
          <w:spacing w:val="-2"/>
        </w:rPr>
        <w:t>物互联、万物智联，智能可穿戴设备则是实现万物智联的重要接口，可穿戴设备不仅仅是一种硬件设备，更是通过软件支持</w:t>
      </w:r>
      <w:r>
        <w:rPr>
          <w:spacing w:val="-42"/>
        </w:rPr>
        <w:t> </w:t>
      </w:r>
      <w:r>
        <w:rPr>
          <w:spacing w:val="-42"/>
        </w:rPr>
      </w:r>
      <w:r>
        <w:rPr>
          <w:spacing w:val="-1"/>
        </w:rPr>
        <w:t>以及数据交互、云端交互来实现强大的功能。据</w:t>
      </w:r>
      <w:r>
        <w:rPr>
          <w:rFonts w:ascii="Times New Roman" w:hAnsi="Times New Roman" w:cs="Times New Roman" w:eastAsia="Times New Roman" w:hint="default"/>
          <w:spacing w:val="-1"/>
        </w:rPr>
        <w:t>IDC</w:t>
      </w:r>
      <w:r>
        <w:rPr>
          <w:spacing w:val="-1"/>
        </w:rPr>
        <w:t>发布数据，</w:t>
      </w:r>
      <w:r>
        <w:rPr>
          <w:rFonts w:ascii="Times New Roman" w:hAnsi="Times New Roman" w:cs="Times New Roman" w:eastAsia="Times New Roman" w:hint="default"/>
          <w:spacing w:val="-1"/>
        </w:rPr>
        <w:t>2019</w:t>
      </w:r>
      <w:r>
        <w:rPr>
          <w:spacing w:val="-1"/>
        </w:rPr>
        <w:t>年全球可穿戴设备出货量达到</w:t>
      </w:r>
      <w:r>
        <w:rPr>
          <w:rFonts w:ascii="Times New Roman" w:hAnsi="Times New Roman" w:cs="Times New Roman" w:eastAsia="Times New Roman" w:hint="default"/>
          <w:spacing w:val="-1"/>
        </w:rPr>
        <w:t>3.365</w:t>
      </w:r>
      <w:r>
        <w:rPr>
          <w:spacing w:val="-1"/>
        </w:rPr>
        <w:t>亿台。这一增长受益</w:t>
      </w:r>
      <w:r>
        <w:rPr>
          <w:spacing w:val="-79"/>
        </w:rPr>
        <w:t> </w:t>
      </w:r>
      <w:r>
        <w:rPr>
          <w:spacing w:val="-79"/>
        </w:rPr>
      </w:r>
      <w:r>
        <w:rPr/>
        <w:t>于智能手表、智能手环等可穿戴设备的增长。根据</w:t>
      </w:r>
      <w:r>
        <w:rPr>
          <w:rFonts w:ascii="Times New Roman" w:hAnsi="Times New Roman" w:cs="Times New Roman" w:eastAsia="Times New Roman" w:hint="default"/>
        </w:rPr>
        <w:t>Trendfore</w:t>
      </w:r>
      <w:r>
        <w:rPr/>
        <w:t>数据，</w:t>
      </w:r>
      <w:r>
        <w:rPr>
          <w:rFonts w:ascii="Times New Roman" w:hAnsi="Times New Roman" w:cs="Times New Roman" w:eastAsia="Times New Roman" w:hint="default"/>
        </w:rPr>
        <w:t>2019</w:t>
      </w:r>
      <w:r>
        <w:rPr/>
        <w:t>年全球智能手表出货量为</w:t>
      </w:r>
      <w:r>
        <w:rPr>
          <w:rFonts w:ascii="Times New Roman" w:hAnsi="Times New Roman" w:cs="Times New Roman" w:eastAsia="Times New Roman" w:hint="default"/>
        </w:rPr>
        <w:t>6263</w:t>
      </w:r>
      <w:r>
        <w:rPr/>
        <w:t>万块，同比增长</w:t>
      </w:r>
      <w:r>
        <w:rPr>
          <w:rFonts w:ascii="Times New Roman" w:hAnsi="Times New Roman" w:cs="Times New Roman" w:eastAsia="Times New Roman" w:hint="default"/>
        </w:rPr>
        <w:t>43%</w:t>
      </w:r>
      <w:r>
        <w:rPr/>
        <w:t>。</w:t>
      </w:r>
    </w:p>
    <w:p>
      <w:pPr>
        <w:pStyle w:val="BodyText"/>
        <w:spacing w:line="297" w:lineRule="auto"/>
        <w:ind w:right="1089"/>
        <w:jc w:val="both"/>
      </w:pPr>
      <w:r>
        <w:rPr/>
        <w:t>在</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IDC</w:t>
      </w:r>
      <w:r>
        <w:rPr/>
        <w:t>预测全球可穿戴设备市场将增长</w:t>
      </w:r>
      <w:r>
        <w:rPr>
          <w:rFonts w:ascii="Times New Roman" w:hAnsi="Times New Roman" w:cs="Times New Roman" w:eastAsia="Times New Roman" w:hint="default"/>
        </w:rPr>
        <w:t>9.4%</w:t>
      </w:r>
      <w:r>
        <w:rPr/>
        <w:t>，出货量将达到</w:t>
      </w:r>
      <w:r>
        <w:rPr>
          <w:rFonts w:ascii="Times New Roman" w:hAnsi="Times New Roman" w:cs="Times New Roman" w:eastAsia="Times New Roman" w:hint="default"/>
        </w:rPr>
        <w:t>3.682</w:t>
      </w:r>
      <w:r>
        <w:rPr/>
        <w:t>亿件。根据</w:t>
      </w:r>
      <w:r>
        <w:rPr>
          <w:rFonts w:ascii="Times New Roman" w:hAnsi="Times New Roman" w:cs="Times New Roman" w:eastAsia="Times New Roman" w:hint="default"/>
        </w:rPr>
        <w:t>Gartner</w:t>
      </w:r>
      <w:r>
        <w:rPr/>
        <w:t>的数据，预计到</w:t>
      </w:r>
      <w:r>
        <w:rPr>
          <w:rFonts w:ascii="Times New Roman" w:hAnsi="Times New Roman" w:cs="Times New Roman" w:eastAsia="Times New Roman" w:hint="default"/>
        </w:rPr>
        <w:t>2021</w:t>
      </w:r>
      <w:r>
        <w:rPr/>
        <w:t>年，全球</w:t>
      </w:r>
      <w:r>
        <w:rPr>
          <w:spacing w:val="-21"/>
        </w:rPr>
        <w:t> </w:t>
      </w:r>
      <w:r>
        <w:rPr/>
        <w:t>将卖出</w:t>
      </w:r>
      <w:r>
        <w:rPr>
          <w:rFonts w:ascii="Times New Roman" w:hAnsi="Times New Roman" w:cs="Times New Roman" w:eastAsia="Times New Roman" w:hint="default"/>
        </w:rPr>
        <w:t>5.05</w:t>
      </w:r>
      <w:r>
        <w:rPr/>
        <w:t>亿台可穿戴设备（包含蓝牙耳机），其中智能手表销售量将接近</w:t>
      </w:r>
      <w:r>
        <w:rPr>
          <w:rFonts w:ascii="Times New Roman" w:hAnsi="Times New Roman" w:cs="Times New Roman" w:eastAsia="Times New Roman" w:hint="default"/>
        </w:rPr>
        <w:t>8100</w:t>
      </w:r>
      <w:r>
        <w:rPr/>
        <w:t>万支，占整体可穿戴设备销售量的</w:t>
      </w:r>
      <w:r>
        <w:rPr>
          <w:rFonts w:ascii="Times New Roman" w:hAnsi="Times New Roman" w:cs="Times New Roman" w:eastAsia="Times New Roman" w:hint="default"/>
        </w:rPr>
        <w:t>16%</w:t>
      </w:r>
      <w:r>
        <w:rPr/>
        <w:t>。在</w:t>
      </w:r>
      <w:r>
        <w:rPr>
          <w:spacing w:val="-81"/>
        </w:rPr>
        <w:t> </w:t>
      </w:r>
      <w:r>
        <w:rPr/>
        <w:t>国内市场，可穿戴设备发展势头同样迅猛，根据</w:t>
      </w:r>
      <w:r>
        <w:rPr>
          <w:rFonts w:ascii="Times New Roman" w:hAnsi="Times New Roman" w:cs="Times New Roman" w:eastAsia="Times New Roman" w:hint="default"/>
        </w:rPr>
        <w:t>IDC</w:t>
      </w:r>
      <w:r>
        <w:rPr/>
        <w:t>《中国可穿戴设备市场季度跟踪报告》显示，</w:t>
      </w:r>
      <w:r>
        <w:rPr>
          <w:rFonts w:ascii="Times New Roman" w:hAnsi="Times New Roman" w:cs="Times New Roman" w:eastAsia="Times New Roman" w:hint="default"/>
        </w:rPr>
        <w:t>2019</w:t>
      </w:r>
      <w:r>
        <w:rPr/>
        <w:t>年中国可穿戴设备市 场出货量</w:t>
      </w:r>
      <w:r>
        <w:rPr>
          <w:rFonts w:ascii="Times New Roman" w:hAnsi="Times New Roman" w:cs="Times New Roman" w:eastAsia="Times New Roman" w:hint="default"/>
        </w:rPr>
        <w:t>9924</w:t>
      </w:r>
      <w:r>
        <w:rPr/>
        <w:t>万台，同比增长</w:t>
      </w:r>
      <w:r>
        <w:rPr>
          <w:rFonts w:ascii="Times New Roman" w:hAnsi="Times New Roman" w:cs="Times New Roman" w:eastAsia="Times New Roman" w:hint="default"/>
        </w:rPr>
        <w:t>37.1%</w:t>
      </w:r>
      <w:r>
        <w:rPr/>
        <w:t>。可穿戴产品市场发展空间广阔，公司将充分利用自身在智能手表、智能手环等可穿戴 </w:t>
      </w:r>
      <w:r>
        <w:rPr>
          <w:spacing w:val="-1"/>
        </w:rPr>
        <w:t>设备智能硬件领域的技术积累和行业口碑，继续深入的技术创新和提升垂直整合能力，驱动未来发展，继续维持与</w:t>
      </w:r>
      <w:r>
        <w:rPr>
          <w:rFonts w:ascii="Times New Roman" w:hAnsi="Times New Roman" w:cs="Times New Roman" w:eastAsia="Times New Roman" w:hint="default"/>
          <w:spacing w:val="-1"/>
        </w:rPr>
        <w:t>“</w:t>
      </w:r>
      <w:r>
        <w:rPr>
          <w:spacing w:val="-1"/>
        </w:rPr>
        <w:t>大客户</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5"/>
        </w:rPr>
        <w:t> </w:t>
      </w:r>
      <w:r>
        <w:rPr/>
        <w:t>的合作伙伴关系，提供优质的产品服务，并积极开拓新客户扩大公司可穿戴设备的市场份额。</w:t>
      </w:r>
    </w:p>
    <w:p>
      <w:pPr>
        <w:pStyle w:val="BodyText"/>
        <w:spacing w:line="304" w:lineRule="auto" w:before="36"/>
        <w:ind w:left="561" w:right="1118"/>
        <w:jc w:val="left"/>
      </w:pPr>
      <w:r>
        <w:rPr>
          <w:rFonts w:ascii="Times New Roman" w:hAnsi="Times New Roman" w:cs="Times New Roman" w:eastAsia="Times New Roman" w:hint="default"/>
        </w:rPr>
        <w:t>4</w:t>
      </w:r>
      <w:r>
        <w:rPr/>
        <w:t>、智能制造 近年来，我国先后出台了《中国制造</w:t>
      </w:r>
      <w:r>
        <w:rPr>
          <w:rFonts w:ascii="Times New Roman" w:hAnsi="Times New Roman" w:cs="Times New Roman" w:eastAsia="Times New Roman" w:hint="default"/>
        </w:rPr>
        <w:t>2025</w:t>
      </w:r>
      <w:r>
        <w:rPr/>
        <w:t>》、《关于深化制造业与互联网融合发展的指导意见》、《智能制造发展规</w:t>
      </w:r>
    </w:p>
    <w:p>
      <w:pPr>
        <w:pStyle w:val="BodyText"/>
        <w:spacing w:line="297" w:lineRule="auto" w:before="12"/>
        <w:ind w:right="0"/>
        <w:jc w:val="left"/>
      </w:pPr>
      <w:r>
        <w:rPr/>
        <w:t>划</w:t>
      </w:r>
      <w:r>
        <w:rPr>
          <w:rFonts w:ascii="Times New Roman" w:hAnsi="Times New Roman" w:cs="Times New Roman" w:eastAsia="Times New Roman" w:hint="default"/>
        </w:rPr>
        <w:t>(2016-2020)</w:t>
      </w:r>
      <w:r>
        <w:rPr/>
        <w:t>》以及《关于深化</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先进制造业</w:t>
      </w:r>
      <w:r>
        <w:rPr>
          <w:rFonts w:ascii="Times New Roman" w:hAnsi="Times New Roman" w:cs="Times New Roman" w:eastAsia="Times New Roman" w:hint="default"/>
        </w:rPr>
        <w:t>”</w:t>
      </w:r>
      <w:r>
        <w:rPr/>
        <w:t>发展工业互联网的指导意见》等重大战略文件，有力地促进了智能制</w:t>
      </w:r>
      <w:r>
        <w:rPr>
          <w:spacing w:val="-81"/>
        </w:rPr>
        <w:t> </w:t>
      </w:r>
      <w:r>
        <w:rPr/>
        <w:t>造在工业中的应用，对行业效率的提升和制造业的可持续发展带来产生全方位、深层次、革命性的影响。</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月，全国</w:t>
      </w:r>
      <w:r>
        <w:rPr>
          <w:spacing w:val="-80"/>
        </w:rPr>
        <w:t> </w:t>
      </w:r>
      <w:r>
        <w:rPr>
          <w:spacing w:val="-4"/>
        </w:rPr>
        <w:t>工业和信息化工作会议对</w:t>
      </w:r>
      <w:r>
        <w:rPr>
          <w:rFonts w:ascii="Times New Roman" w:hAnsi="Times New Roman" w:cs="Times New Roman" w:eastAsia="Times New Roman" w:hint="default"/>
          <w:spacing w:val="-4"/>
        </w:rPr>
        <w:t>2020</w:t>
      </w:r>
      <w:r>
        <w:rPr>
          <w:spacing w:val="-4"/>
        </w:rPr>
        <w:t>年重点工作进行了部署，指出要坚持智能制造主攻方向，持续深化人工智能、区块链、物联网、</w:t>
      </w:r>
      <w:r>
        <w:rPr>
          <w:spacing w:val="-40"/>
        </w:rPr>
        <w:t> </w:t>
      </w:r>
      <w:r>
        <w:rPr>
          <w:spacing w:val="-40"/>
        </w:rPr>
      </w:r>
      <w:r>
        <w:rPr/>
        <w:t>大数据等技术创新与产业应用，推动工业化和信息化在更广范围、更深程度、更高水平上实现融合发展；实施</w:t>
      </w:r>
      <w:r>
        <w:rPr>
          <w:rFonts w:ascii="Times New Roman" w:hAnsi="Times New Roman" w:cs="Times New Roman" w:eastAsia="Times New Roman" w:hint="default"/>
        </w:rPr>
        <w:t>“5G+</w:t>
      </w:r>
      <w:r>
        <w:rPr/>
        <w:t>工业互</w:t>
      </w:r>
      <w:r>
        <w:rPr>
          <w:spacing w:val="-21"/>
        </w:rPr>
        <w:t> </w:t>
      </w:r>
      <w:r>
        <w:rPr>
          <w:spacing w:val="-1"/>
        </w:rPr>
        <w:t>联网</w:t>
      </w:r>
      <w:r>
        <w:rPr>
          <w:rFonts w:ascii="Times New Roman" w:hAnsi="Times New Roman" w:cs="Times New Roman" w:eastAsia="Times New Roman" w:hint="default"/>
          <w:spacing w:val="-1"/>
        </w:rPr>
        <w:t>”512</w:t>
      </w:r>
      <w:r>
        <w:rPr>
          <w:spacing w:val="-1"/>
        </w:rPr>
        <w:t>工程；加快制造业数字化网络化智能化转型，持续推进车联网、工业互联网及人工智能创新应用先导区建设；高度</w:t>
      </w:r>
      <w:r>
        <w:rPr/>
        <w:t> 重视中小企业智能化改造。</w:t>
      </w:r>
    </w:p>
    <w:p>
      <w:pPr>
        <w:pStyle w:val="BodyText"/>
        <w:spacing w:line="312" w:lineRule="auto" w:before="36"/>
        <w:ind w:right="1120" w:firstLine="300"/>
        <w:jc w:val="both"/>
      </w:pPr>
      <w:r>
        <w:rPr>
          <w:spacing w:val="-1"/>
        </w:rPr>
        <w:t>上述文件及工作部署为智能制造行业的发展提供了明确的目标指导及有力的政策保障。随着互联网与制造业融合创新步</w:t>
      </w:r>
      <w:r>
        <w:rPr/>
        <w:t> 伐的进一步加快，研发设计、生产制造和营销服务模式不断演变，</w:t>
      </w:r>
      <w:r>
        <w:rPr>
          <w:rFonts w:ascii="Times New Roman" w:hAnsi="Times New Roman" w:cs="Times New Roman" w:eastAsia="Times New Roman" w:hint="default"/>
        </w:rPr>
        <w:t>“</w:t>
      </w:r>
      <w:r>
        <w:rPr/>
        <w:t>智能</w:t>
      </w:r>
      <w:r>
        <w:rPr>
          <w:rFonts w:ascii="Times New Roman" w:hAnsi="Times New Roman" w:cs="Times New Roman" w:eastAsia="Times New Roman" w:hint="default"/>
        </w:rPr>
        <w:t>+”</w:t>
      </w:r>
      <w:r>
        <w:rPr/>
        <w:t>与制造业融合创新应用模式不断涌现，将成为制</w:t>
      </w:r>
      <w:r>
        <w:rPr>
          <w:spacing w:val="-76"/>
        </w:rPr>
        <w:t> </w:t>
      </w:r>
      <w:r>
        <w:rPr/>
        <w:t>造业转型升级的新引擎。</w:t>
      </w:r>
      <w:r>
        <w:rPr>
          <w:rFonts w:ascii="Times New Roman" w:hAnsi="Times New Roman" w:cs="Times New Roman" w:eastAsia="Times New Roman" w:hint="default"/>
        </w:rPr>
        <w:t>5G</w:t>
      </w:r>
      <w:r>
        <w:rPr/>
        <w:t>的应用将极大的促进工业互联网的形成，由此带来的制造业升级也将刺激对先进自动化装备的</w:t>
      </w:r>
    </w:p>
    <w:p>
      <w:pPr>
        <w:pStyle w:val="BodyText"/>
        <w:spacing w:line="321" w:lineRule="auto"/>
        <w:ind w:right="1136"/>
        <w:jc w:val="both"/>
      </w:pPr>
      <w:r>
        <w:rPr>
          <w:spacing w:val="-2"/>
        </w:rPr>
        <w:t>需求，公司在工业机器人集成应用及自动化装备制造方面优势明显，在满足自身发展需求的情况下未来有望进一步开拓市场</w:t>
      </w:r>
      <w:r>
        <w:rPr>
          <w:spacing w:val="-72"/>
        </w:rPr>
        <w:t> </w:t>
      </w:r>
      <w:r>
        <w:rPr>
          <w:spacing w:val="-72"/>
        </w:rPr>
      </w:r>
      <w:r>
        <w:rPr/>
        <w:t>空间。</w:t>
      </w:r>
    </w:p>
    <w:p>
      <w:pPr>
        <w:pStyle w:val="BodyText"/>
        <w:spacing w:line="240" w:lineRule="auto" w:before="18"/>
        <w:ind w:left="501" w:right="0"/>
        <w:jc w:val="left"/>
      </w:pPr>
      <w:r>
        <w:rPr/>
        <w:t>（二）公司的发展战略</w:t>
      </w:r>
    </w:p>
    <w:p>
      <w:pPr>
        <w:pStyle w:val="BodyText"/>
        <w:spacing w:line="297" w:lineRule="auto" w:before="95"/>
        <w:ind w:right="1106" w:firstLine="360"/>
        <w:jc w:val="both"/>
      </w:pPr>
      <w:r>
        <w:rPr>
          <w:spacing w:val="-1"/>
        </w:rPr>
        <w:t>公司将坚持以</w:t>
      </w:r>
      <w:r>
        <w:rPr>
          <w:rFonts w:ascii="Times New Roman" w:hAnsi="Times New Roman" w:cs="Times New Roman" w:eastAsia="Times New Roman" w:hint="default"/>
          <w:spacing w:val="-1"/>
        </w:rPr>
        <w:t>“</w:t>
      </w:r>
      <w:r>
        <w:rPr>
          <w:spacing w:val="-1"/>
        </w:rPr>
        <w:t>大制造、大客户、大创新</w:t>
      </w:r>
      <w:r>
        <w:rPr>
          <w:rFonts w:ascii="Times New Roman" w:hAnsi="Times New Roman" w:cs="Times New Roman" w:eastAsia="Times New Roman" w:hint="default"/>
          <w:spacing w:val="-1"/>
        </w:rPr>
        <w:t>”</w:t>
      </w:r>
      <w:r>
        <w:rPr>
          <w:spacing w:val="-1"/>
        </w:rPr>
        <w:t>为核心的经营战略及既定的</w:t>
      </w:r>
      <w:r>
        <w:rPr>
          <w:rFonts w:ascii="Times New Roman" w:hAnsi="Times New Roman" w:cs="Times New Roman" w:eastAsia="Times New Roman" w:hint="default"/>
          <w:spacing w:val="-1"/>
        </w:rPr>
        <w:t>“1+N+X”</w:t>
      </w:r>
      <w:r>
        <w:rPr>
          <w:spacing w:val="-1"/>
        </w:rPr>
        <w:t>产品战略，聚焦主业，提升自动化水平及</w:t>
      </w:r>
      <w:r>
        <w:rPr/>
        <w:t> </w:t>
      </w:r>
      <w:r>
        <w:rPr>
          <w:spacing w:val="-2"/>
        </w:rPr>
        <w:t>智能制造能力，切实做好大客户服务工作，同时增强技术储备，顺应时代发展新趋势及新要求，抓住新兴技术带来的发展机</w:t>
      </w:r>
      <w:r>
        <w:rPr>
          <w:spacing w:val="-42"/>
        </w:rPr>
        <w:t> </w:t>
      </w:r>
      <w:r>
        <w:rPr>
          <w:spacing w:val="-42"/>
        </w:rPr>
      </w:r>
      <w:r>
        <w:rPr/>
        <w:t>遇及市场红利。</w:t>
      </w:r>
    </w:p>
    <w:p>
      <w:pPr>
        <w:pStyle w:val="BodyText"/>
        <w:spacing w:line="240" w:lineRule="auto" w:before="51"/>
        <w:ind w:left="501" w:right="0"/>
        <w:jc w:val="left"/>
      </w:pPr>
      <w:r>
        <w:rPr/>
        <w:t>（三）公司</w:t>
      </w:r>
      <w:r>
        <w:rPr>
          <w:rFonts w:ascii="Times New Roman" w:hAnsi="Times New Roman" w:cs="Times New Roman" w:eastAsia="Times New Roman" w:hint="default"/>
        </w:rPr>
        <w:t>2020</w:t>
      </w:r>
      <w:r>
        <w:rPr/>
        <w:t>年经营计划</w:t>
      </w:r>
    </w:p>
    <w:p>
      <w:pPr>
        <w:pStyle w:val="BodyText"/>
        <w:spacing w:line="240" w:lineRule="auto" w:before="66"/>
        <w:ind w:left="501" w:right="0"/>
        <w:jc w:val="left"/>
      </w:pPr>
      <w:r>
        <w:rPr>
          <w:rFonts w:ascii="Times New Roman" w:hAnsi="Times New Roman" w:cs="Times New Roman" w:eastAsia="Times New Roman" w:hint="default"/>
        </w:rPr>
        <w:t>1</w:t>
      </w:r>
      <w:r>
        <w:rPr/>
        <w:t>、公司的总体目标</w:t>
      </w:r>
    </w:p>
    <w:p>
      <w:pPr>
        <w:pStyle w:val="BodyText"/>
        <w:spacing w:line="297" w:lineRule="auto" w:before="66"/>
        <w:ind w:right="1121" w:firstLine="360"/>
        <w:jc w:val="both"/>
      </w:pPr>
      <w:r>
        <w:rPr>
          <w:rFonts w:ascii="Times New Roman" w:hAnsi="Times New Roman" w:cs="Times New Roman" w:eastAsia="Times New Roman" w:hint="default"/>
        </w:rPr>
        <w:t>2020</w:t>
      </w:r>
      <w:r>
        <w:rPr/>
        <w:t>年度，公司将进一步聚焦主业，回归制造，持续提升管理水平，深化与战略客户合作，并重点布局</w:t>
      </w:r>
      <w:r>
        <w:rPr>
          <w:rFonts w:ascii="Times New Roman" w:hAnsi="Times New Roman" w:cs="Times New Roman" w:eastAsia="Times New Roman" w:hint="default"/>
        </w:rPr>
        <w:t>5G</w:t>
      </w:r>
      <w:r>
        <w:rPr/>
        <w:t>周边产品、 </w:t>
      </w:r>
      <w:r>
        <w:rPr>
          <w:spacing w:val="-2"/>
        </w:rPr>
        <w:t>智能穿戴产品等，积极导入新产品、新客户，优化产品结构及业务结构，深挖潜在利润空间，致力于在各个环节给客户创造</w:t>
      </w:r>
      <w:r>
        <w:rPr>
          <w:spacing w:val="-57"/>
        </w:rPr>
        <w:t> </w:t>
      </w:r>
      <w:r>
        <w:rPr>
          <w:spacing w:val="-57"/>
        </w:rPr>
      </w:r>
      <w:r>
        <w:rPr/>
        <w:t>价值。</w:t>
      </w:r>
    </w:p>
    <w:p>
      <w:pPr>
        <w:pStyle w:val="BodyText"/>
        <w:spacing w:line="240" w:lineRule="auto" w:before="51"/>
        <w:ind w:left="501"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2020</w:t>
      </w:r>
      <w:r>
        <w:rPr/>
        <w:t>年具体发展计划</w:t>
      </w:r>
    </w:p>
    <w:p>
      <w:pPr>
        <w:pStyle w:val="BodyText"/>
        <w:spacing w:line="302" w:lineRule="auto" w:before="66"/>
        <w:ind w:left="501" w:right="0"/>
        <w:jc w:val="left"/>
      </w:pPr>
      <w:r>
        <w:rPr/>
        <w:t>（</w:t>
      </w:r>
      <w:r>
        <w:rPr>
          <w:rFonts w:ascii="Times New Roman" w:hAnsi="Times New Roman" w:cs="Times New Roman" w:eastAsia="Times New Roman" w:hint="default"/>
        </w:rPr>
        <w:t>1</w:t>
      </w:r>
      <w:r>
        <w:rPr/>
        <w:t>）持续推进智能制造建设，挖掘内生增长新动力 公司将依托强大的自主研发能力，积极推进自动化产线升级，同时搭载公司自研的</w:t>
      </w:r>
      <w:r>
        <w:rPr>
          <w:rFonts w:ascii="Times New Roman" w:hAnsi="Times New Roman" w:cs="Times New Roman" w:eastAsia="Times New Roman" w:hint="default"/>
        </w:rPr>
        <w:t>MES</w:t>
      </w:r>
      <w:r>
        <w:rPr/>
        <w:t>智慧工厂系统，将科学合理的</w:t>
      </w:r>
    </w:p>
    <w:p>
      <w:pPr>
        <w:pStyle w:val="BodyText"/>
        <w:spacing w:line="220" w:lineRule="exact"/>
        <w:ind w:right="0"/>
        <w:jc w:val="both"/>
      </w:pPr>
      <w:r>
        <w:rPr/>
        <w:t>生产指令直接下达给全自动生产线，在深厚工业制造技艺的基础上，不断进行自我革新，挖掘内生增长动力，推动公司高速</w:t>
      </w:r>
    </w:p>
    <w:p>
      <w:pPr>
        <w:pStyle w:val="BodyText"/>
        <w:spacing w:line="240" w:lineRule="auto" w:before="79"/>
        <w:ind w:right="0"/>
        <w:jc w:val="both"/>
      </w:pPr>
      <w:r>
        <w:rPr/>
        <w:t>高质增长，进一步优化公司运营效率及成本管理。</w:t>
      </w:r>
    </w:p>
    <w:p>
      <w:pPr>
        <w:pStyle w:val="BodyText"/>
        <w:spacing w:line="240" w:lineRule="auto" w:before="95"/>
        <w:ind w:left="501" w:right="0"/>
        <w:jc w:val="left"/>
      </w:pPr>
      <w:r>
        <w:rPr/>
        <w:t>（</w:t>
      </w:r>
      <w:r>
        <w:rPr>
          <w:rFonts w:ascii="Times New Roman" w:hAnsi="Times New Roman" w:cs="Times New Roman" w:eastAsia="Times New Roman" w:hint="default"/>
        </w:rPr>
        <w:t>2</w:t>
      </w:r>
      <w:r>
        <w:rPr/>
        <w:t>）深入开拓新产品新客户，寻求外延突破新驱动</w:t>
      </w:r>
    </w:p>
    <w:p>
      <w:pPr>
        <w:pStyle w:val="BodyText"/>
        <w:spacing w:line="290" w:lineRule="auto" w:before="66"/>
        <w:ind w:right="1130" w:firstLine="360"/>
        <w:jc w:val="both"/>
      </w:pPr>
      <w:r>
        <w:rPr>
          <w:rFonts w:ascii="Times New Roman" w:hAnsi="Times New Roman" w:cs="Times New Roman" w:eastAsia="Times New Roman" w:hint="default"/>
        </w:rPr>
        <w:t>2020</w:t>
      </w:r>
      <w:r>
        <w:rPr/>
        <w:t>年一季度，公司已经导入了核心客户的</w:t>
      </w:r>
      <w:r>
        <w:rPr>
          <w:rFonts w:ascii="Times New Roman" w:hAnsi="Times New Roman" w:cs="Times New Roman" w:eastAsia="Times New Roman" w:hint="default"/>
        </w:rPr>
        <w:t>wifi6</w:t>
      </w:r>
      <w:r>
        <w:rPr/>
        <w:t>路由器、</w:t>
      </w:r>
      <w:r>
        <w:rPr>
          <w:rFonts w:ascii="Times New Roman" w:hAnsi="Times New Roman" w:cs="Times New Roman" w:eastAsia="Times New Roman" w:hint="default"/>
        </w:rPr>
        <w:t>5G</w:t>
      </w:r>
      <w:r>
        <w:rPr/>
        <w:t>手机等业务。公司将以此为契机，不断寻求新客户，并根 据客户需求进行相关产品迭代研发生产。</w:t>
      </w:r>
      <w:r>
        <w:rPr>
          <w:rFonts w:ascii="Times New Roman" w:hAnsi="Times New Roman" w:cs="Times New Roman" w:eastAsia="Times New Roman" w:hint="default"/>
        </w:rPr>
        <w:t>5G</w:t>
      </w:r>
      <w:r>
        <w:rPr/>
        <w:t>周边产品（包含网络通讯终端产品、消费电子产品等）及智能穿戴产品将成为</w:t>
      </w:r>
      <w:r>
        <w:rPr>
          <w:spacing w:val="-41"/>
        </w:rPr>
        <w:t> </w:t>
      </w:r>
      <w:r>
        <w:rPr>
          <w:spacing w:val="-41"/>
        </w:rPr>
      </w:r>
      <w:r>
        <w:rPr/>
        <w:t>公司本年度产品拓展的主要方向。</w:t>
      </w:r>
    </w:p>
    <w:p>
      <w:pPr>
        <w:spacing w:after="0" w:line="290" w:lineRule="auto"/>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2" w:lineRule="auto" w:before="44"/>
        <w:ind w:left="501" w:right="0"/>
        <w:jc w:val="left"/>
      </w:pPr>
      <w:r>
        <w:rPr/>
        <w:t>（</w:t>
      </w:r>
      <w:r>
        <w:rPr>
          <w:rFonts w:ascii="Times New Roman" w:hAnsi="Times New Roman" w:cs="Times New Roman" w:eastAsia="Times New Roman" w:hint="default"/>
        </w:rPr>
        <w:t>3</w:t>
      </w:r>
      <w:r>
        <w:rPr/>
        <w:t>）不断优化公司管理水平，完善员工激励体系建设 </w:t>
      </w:r>
      <w:r>
        <w:rPr>
          <w:spacing w:val="-2"/>
        </w:rPr>
        <w:t>随着公司业务规模的扩大，与之匹配的管理水平要求持续提升。公司将在</w:t>
      </w:r>
      <w:r>
        <w:rPr>
          <w:rFonts w:ascii="Times New Roman" w:hAnsi="Times New Roman" w:cs="Times New Roman" w:eastAsia="Times New Roman" w:hint="default"/>
          <w:spacing w:val="-2"/>
        </w:rPr>
        <w:t>2019</w:t>
      </w:r>
      <w:r>
        <w:rPr>
          <w:spacing w:val="-2"/>
        </w:rPr>
        <w:t>年度制定的各项优化措施基础上，狠抓落</w:t>
      </w:r>
    </w:p>
    <w:p>
      <w:pPr>
        <w:pStyle w:val="BodyText"/>
        <w:spacing w:line="307" w:lineRule="auto"/>
        <w:ind w:right="1029"/>
        <w:jc w:val="left"/>
      </w:pPr>
      <w:r>
        <w:rPr/>
        <w:t>实，确保执行到位，切实提升公司管理水平。同时，公司也将积极推出员工激励计划，健全完善员工绩效考核和激励体制， 科学合理地配置和优化人才结构，充分发挥员工的主观能动性，增强集团凝聚力。</w:t>
      </w:r>
    </w:p>
    <w:p>
      <w:pPr>
        <w:pStyle w:val="BodyText"/>
        <w:spacing w:line="240" w:lineRule="auto" w:before="29"/>
        <w:ind w:left="501" w:right="0"/>
        <w:jc w:val="left"/>
      </w:pPr>
      <w:r>
        <w:rPr/>
        <w:t>（四）可能面对的风险</w:t>
      </w:r>
    </w:p>
    <w:p>
      <w:pPr>
        <w:pStyle w:val="BodyText"/>
        <w:spacing w:line="302" w:lineRule="auto" w:before="95"/>
        <w:ind w:left="501" w:right="0"/>
        <w:jc w:val="left"/>
      </w:pPr>
      <w:r>
        <w:rPr>
          <w:rFonts w:ascii="Times New Roman" w:hAnsi="Times New Roman" w:cs="Times New Roman" w:eastAsia="Times New Roman" w:hint="default"/>
        </w:rPr>
        <w:t>1</w:t>
      </w:r>
      <w:r>
        <w:rPr/>
        <w:t>、宏观经济波动风险 </w:t>
      </w:r>
      <w:r>
        <w:rPr>
          <w:spacing w:val="-2"/>
        </w:rPr>
        <w:t>电子产品行业与宏观经济息息相关，</w:t>
      </w:r>
      <w:r>
        <w:rPr>
          <w:rFonts w:ascii="Times New Roman" w:hAnsi="Times New Roman" w:cs="Times New Roman" w:eastAsia="Times New Roman" w:hint="default"/>
          <w:spacing w:val="-2"/>
        </w:rPr>
        <w:t>2020</w:t>
      </w:r>
      <w:r>
        <w:rPr>
          <w:spacing w:val="-2"/>
        </w:rPr>
        <w:t>年初新型冠状病毒肺炎疫情在国内、国际多个地区蔓延，对行业生产、供应链</w:t>
      </w:r>
    </w:p>
    <w:p>
      <w:pPr>
        <w:pStyle w:val="BodyText"/>
        <w:spacing w:line="304" w:lineRule="auto"/>
        <w:ind w:right="0"/>
        <w:jc w:val="left"/>
      </w:pPr>
      <w:r>
        <w:rPr>
          <w:spacing w:val="-2"/>
        </w:rPr>
        <w:t>及终端需求产生诸多影响，如果因此导致国内、国际宏观环境发生较大变化，将直接影响终端消费水平，进而影响客户端需</w:t>
      </w:r>
      <w:r>
        <w:rPr>
          <w:spacing w:val="-42"/>
        </w:rPr>
        <w:t> </w:t>
      </w:r>
      <w:r>
        <w:rPr>
          <w:spacing w:val="-42"/>
        </w:rPr>
      </w:r>
      <w:r>
        <w:rPr/>
        <w:t>求，导致公司营业收入等水平降低。</w:t>
      </w:r>
    </w:p>
    <w:p>
      <w:pPr>
        <w:pStyle w:val="BodyText"/>
        <w:spacing w:line="321" w:lineRule="auto" w:before="31"/>
        <w:ind w:right="0" w:firstLine="360"/>
        <w:jc w:val="left"/>
      </w:pPr>
      <w:r>
        <w:rPr>
          <w:spacing w:val="-2"/>
        </w:rPr>
        <w:t>公司在各级政府、战略合作伙伴的帮助下，已实现全面复工复产。未来在做好员工防疫工作的同时，稳步开拓市场，扩</w:t>
      </w:r>
      <w:r>
        <w:rPr/>
        <w:t> 大收入，同时保证公司现金流充裕，以增强风险抵御能力。</w:t>
      </w:r>
    </w:p>
    <w:p>
      <w:pPr>
        <w:pStyle w:val="BodyText"/>
        <w:spacing w:line="290" w:lineRule="auto" w:before="33"/>
        <w:ind w:left="501" w:right="1088"/>
        <w:jc w:val="left"/>
      </w:pPr>
      <w:r>
        <w:rPr>
          <w:rFonts w:ascii="Times New Roman" w:hAnsi="Times New Roman" w:cs="Times New Roman" w:eastAsia="Times New Roman" w:hint="default"/>
        </w:rPr>
        <w:t>2</w:t>
      </w:r>
      <w:r>
        <w:rPr/>
        <w:t>、市场风险 </w:t>
      </w:r>
      <w:r>
        <w:rPr>
          <w:spacing w:val="-2"/>
        </w:rPr>
        <w:t>公司处于电子信息制造服务行业，市场化程度高，业务呈多元化发展态势，面临着国内外众多知名厂商的激烈竞争，技</w:t>
      </w:r>
    </w:p>
    <w:p>
      <w:pPr>
        <w:pStyle w:val="BodyText"/>
        <w:spacing w:line="321" w:lineRule="auto" w:before="26"/>
        <w:ind w:left="621" w:right="1089" w:hanging="481"/>
        <w:jc w:val="left"/>
      </w:pPr>
      <w:r>
        <w:rPr/>
        <w:t>术上稍有落后，就可能导致市场份额占比下降等风险。 为此，公司积极加强技术储备，紧跟市场发展趋势，前瞻布局与主营相关的新兴产品及技术，及时响应客户需求，优</w:t>
      </w:r>
    </w:p>
    <w:p>
      <w:pPr>
        <w:pStyle w:val="BodyText"/>
        <w:spacing w:line="240" w:lineRule="auto" w:before="18"/>
        <w:ind w:right="0"/>
        <w:jc w:val="left"/>
      </w:pPr>
      <w:r>
        <w:rPr/>
        <w:t>化产品结构，持续扩大市场份额，推动公司经营业务的可持续健康发展。</w:t>
      </w:r>
    </w:p>
    <w:p>
      <w:pPr>
        <w:pStyle w:val="BodyText"/>
        <w:spacing w:line="288" w:lineRule="auto" w:before="95"/>
        <w:ind w:left="501" w:right="1133"/>
        <w:jc w:val="left"/>
      </w:pPr>
      <w:r>
        <w:rPr>
          <w:rFonts w:ascii="Times New Roman" w:hAnsi="Times New Roman" w:cs="Times New Roman" w:eastAsia="Times New Roman" w:hint="default"/>
        </w:rPr>
        <w:t>3</w:t>
      </w:r>
      <w:r>
        <w:rPr/>
        <w:t>、原材料价格波动风险 </w:t>
      </w:r>
      <w:r>
        <w:rPr>
          <w:spacing w:val="-2"/>
        </w:rPr>
        <w:t>作为制造型企业，如果主要原材料价格出现大幅上涨，而公司无法将增加的成本及时向下游传递，则公司的成本控制和</w:t>
      </w:r>
    </w:p>
    <w:p>
      <w:pPr>
        <w:pStyle w:val="BodyText"/>
        <w:spacing w:line="321" w:lineRule="auto" w:before="29"/>
        <w:ind w:right="1118"/>
        <w:jc w:val="left"/>
      </w:pPr>
      <w:r>
        <w:rPr>
          <w:spacing w:val="-2"/>
        </w:rPr>
        <w:t>生产预算安排将受到较大影响，公司将面临营业成本上升、毛利率水平下降的风险，进而可能对公司的盈利能力造成不利影</w:t>
      </w:r>
      <w:r>
        <w:rPr>
          <w:spacing w:val="-75"/>
        </w:rPr>
        <w:t> </w:t>
      </w:r>
      <w:r>
        <w:rPr>
          <w:spacing w:val="-75"/>
        </w:rPr>
      </w:r>
      <w:r>
        <w:rPr/>
        <w:t>响。</w:t>
      </w:r>
    </w:p>
    <w:p>
      <w:pPr>
        <w:pStyle w:val="BodyText"/>
        <w:spacing w:line="321" w:lineRule="auto" w:before="18"/>
        <w:ind w:right="0" w:firstLine="360"/>
        <w:jc w:val="left"/>
      </w:pPr>
      <w:r>
        <w:rPr>
          <w:spacing w:val="-2"/>
        </w:rPr>
        <w:t>公司将持续关注主要原材料价格的波动，建立供应商战略合作机制，优化升级供应链管理体系，同时根据实际情况，严</w:t>
      </w:r>
      <w:r>
        <w:rPr/>
        <w:t> 格执行风险备料。</w:t>
      </w:r>
    </w:p>
    <w:p>
      <w:pPr>
        <w:pStyle w:val="BodyText"/>
        <w:spacing w:line="290" w:lineRule="auto" w:before="33"/>
        <w:ind w:left="501" w:right="0"/>
        <w:jc w:val="left"/>
      </w:pPr>
      <w:r>
        <w:rPr>
          <w:rFonts w:ascii="Times New Roman" w:hAnsi="Times New Roman" w:cs="Times New Roman" w:eastAsia="Times New Roman" w:hint="default"/>
        </w:rPr>
        <w:t>4</w:t>
      </w:r>
      <w:r>
        <w:rPr/>
        <w:t>、人力资源风险 随着公司业务规模的扩大以及技术更新换代的加速，对技术研发及生产人才需求加剧，同时受疫情影响，公司面临</w:t>
      </w:r>
      <w:r>
        <w:rPr>
          <w:rFonts w:ascii="Times New Roman" w:hAnsi="Times New Roman" w:cs="Times New Roman" w:eastAsia="Times New Roman" w:hint="default"/>
        </w:rPr>
        <w:t>“</w:t>
      </w:r>
      <w:r>
        <w:rPr/>
        <w:t>用</w:t>
      </w:r>
    </w:p>
    <w:p>
      <w:pPr>
        <w:pStyle w:val="BodyText"/>
        <w:spacing w:line="290" w:lineRule="auto" w:before="24"/>
        <w:ind w:left="501" w:right="1133" w:hanging="361"/>
        <w:jc w:val="left"/>
      </w:pPr>
      <w:r>
        <w:rPr/>
        <w:t>工难</w:t>
      </w:r>
      <w:r>
        <w:rPr>
          <w:rFonts w:ascii="Times New Roman" w:hAnsi="Times New Roman" w:cs="Times New Roman" w:eastAsia="Times New Roman" w:hint="default"/>
        </w:rPr>
        <w:t>”</w:t>
      </w:r>
      <w:r>
        <w:rPr/>
        <w:t>等问题，导致人力成本有所上升。 </w:t>
      </w:r>
      <w:r>
        <w:rPr>
          <w:spacing w:val="-2"/>
        </w:rPr>
        <w:t>在万物互联的智能时代背景下，公司需要不断创新以此提升核心竞争力，人才强企是必要的手段。公司一方面与各大高</w:t>
      </w:r>
    </w:p>
    <w:p>
      <w:pPr>
        <w:pStyle w:val="BodyText"/>
        <w:spacing w:line="336" w:lineRule="auto" w:before="41"/>
        <w:ind w:right="1049"/>
        <w:jc w:val="left"/>
      </w:pPr>
      <w:r>
        <w:rPr>
          <w:spacing w:val="-2"/>
        </w:rPr>
        <w:t>校合作，广泛纳贤，同时完善激励和约束机制来留住和吸引高端人才；另一方面借助政府力量，加大招聘力度，并实施有奖</w:t>
      </w:r>
      <w:r>
        <w:rPr>
          <w:spacing w:val="-57"/>
        </w:rPr>
        <w:t> </w:t>
      </w:r>
      <w:r>
        <w:rPr>
          <w:spacing w:val="-57"/>
        </w:rPr>
      </w:r>
      <w:r>
        <w:rPr/>
        <w:t>推荐制度，缓解</w:t>
      </w:r>
      <w:r>
        <w:rPr>
          <w:rFonts w:ascii="Times New Roman" w:hAnsi="Times New Roman" w:cs="Times New Roman" w:eastAsia="Times New Roman" w:hint="default"/>
        </w:rPr>
        <w:t>“</w:t>
      </w:r>
      <w:r>
        <w:rPr/>
        <w:t>用工难</w:t>
      </w:r>
      <w:r>
        <w:rPr>
          <w:rFonts w:ascii="Times New Roman" w:hAnsi="Times New Roman" w:cs="Times New Roman" w:eastAsia="Times New Roman" w:hint="default"/>
        </w:rPr>
        <w:t>”</w:t>
      </w:r>
      <w:r>
        <w:rPr/>
        <w:t>问题。同时，公司加快推进智慧工厂建设，提高自动化水平，降低对人力需求，并提高生产效率。</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spacing w:val="5"/>
        </w:rPr>
        <w:t>1</w:t>
      </w:r>
      <w:r>
        <w:rPr>
          <w:spacing w:val="5"/>
        </w:rPr>
        <w:t>、报告期内接待调研、沟通、采访等活动登记表</w:t>
      </w:r>
      <w:r>
        <w:rPr>
          <w:b w:val="0"/>
          <w:bCs w:val="0"/>
          <w:spacing w:val="5"/>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177"/>
        <w:gridCol w:w="2178"/>
        <w:gridCol w:w="2178"/>
        <w:gridCol w:w="3049"/>
      </w:tblGrid>
      <w:tr>
        <w:trPr>
          <w:trHeight w:val="405" w:hRule="exact"/>
        </w:trPr>
        <w:tc>
          <w:tcPr>
            <w:tcW w:w="2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06"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21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0"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05"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1"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详见公司披露于深交所互动易平台</w:t>
            </w:r>
          </w:p>
          <w:p>
            <w:pPr>
              <w:pStyle w:val="TableParagraph"/>
              <w:spacing w:line="316" w:lineRule="auto" w:before="122"/>
              <w:ind w:left="30" w:right="93"/>
              <w:jc w:val="left"/>
              <w:rPr>
                <w:rFonts w:ascii="宋体" w:hAnsi="宋体" w:cs="宋体" w:eastAsia="宋体" w:hint="default"/>
                <w:sz w:val="18"/>
                <w:szCs w:val="18"/>
              </w:rPr>
            </w:pPr>
            <w:hyperlink r:id="rId17">
              <w:r>
                <w:rPr>
                  <w:rFonts w:ascii="Times New Roman" w:hAnsi="Times New Roman" w:cs="Times New Roman" w:eastAsia="Times New Roman" w:hint="default"/>
                  <w:spacing w:val="-1"/>
                  <w:sz w:val="18"/>
                  <w:szCs w:val="18"/>
                </w:rPr>
                <w:t>http://irm.cninfo.com.cn/ssessgs/S00236</w:t>
              </w:r>
            </w:hyperlink>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pacing w:val="-32"/>
                <w:sz w:val="18"/>
                <w:szCs w:val="18"/>
              </w:rPr>
            </w:r>
            <w:r>
              <w:rPr>
                <w:rFonts w:ascii="Times New Roman" w:hAnsi="Times New Roman" w:cs="Times New Roman" w:eastAsia="Times New Roman" w:hint="default"/>
                <w:sz w:val="18"/>
                <w:szCs w:val="18"/>
              </w:rPr>
              <w:t>9/</w:t>
            </w:r>
            <w:r>
              <w:rPr>
                <w:rFonts w:ascii="宋体" w:hAnsi="宋体" w:cs="宋体" w:eastAsia="宋体" w:hint="default"/>
                <w:sz w:val="18"/>
                <w:szCs w:val="18"/>
              </w:rPr>
              <w:t>投资者关系活动记录表</w:t>
            </w:r>
          </w:p>
        </w:tc>
      </w:tr>
    </w:tbl>
    <w:p>
      <w:pPr>
        <w:spacing w:after="0" w:line="316"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2780"/>
        <w:jc w:val="center"/>
        <w:rPr>
          <w:b w:val="0"/>
          <w:bCs w:val="0"/>
        </w:rPr>
      </w:pPr>
      <w:bookmarkStart w:name="第五节重要事项" w:id="62"/>
      <w:bookmarkEnd w:id="62"/>
      <w:r>
        <w:rPr>
          <w:b w:val="0"/>
          <w:bCs w:val="0"/>
        </w:rPr>
      </w:r>
      <w:bookmarkStart w:name="_bookmark4" w:id="63"/>
      <w:bookmarkEnd w:id="63"/>
      <w:r>
        <w:rPr>
          <w:b w:val="0"/>
          <w:bCs w:val="0"/>
        </w:rPr>
      </w:r>
      <w:r>
        <w:rPr>
          <w:spacing w:val="5"/>
        </w:rPr>
        <w:t>第五节重要事项</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48" w:lineRule="auto" w:before="125"/>
        <w:ind w:left="501" w:right="99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5"/>
        </w:rPr>
        <w:t>公司严格按照《关于进一步落实上市公司现金分红有关事项的通知》、《上市公司监管指引第</w:t>
      </w:r>
      <w:r>
        <w:rPr>
          <w:rFonts w:ascii="Times New Roman" w:hAnsi="Times New Roman" w:cs="Times New Roman" w:eastAsia="Times New Roman" w:hint="default"/>
          <w:spacing w:val="-5"/>
        </w:rPr>
        <w:t>3</w:t>
      </w:r>
      <w:r>
        <w:rPr>
          <w:spacing w:val="-5"/>
        </w:rPr>
        <w:t>号</w:t>
      </w:r>
      <w:r>
        <w:rPr>
          <w:rFonts w:ascii="Times New Roman" w:hAnsi="Times New Roman" w:cs="Times New Roman" w:eastAsia="Times New Roman" w:hint="default"/>
          <w:spacing w:val="-5"/>
        </w:rPr>
        <w:t>—</w:t>
      </w:r>
      <w:r>
        <w:rPr>
          <w:spacing w:val="-5"/>
        </w:rPr>
        <w:t>上市公司现金分红》、</w:t>
      </w:r>
    </w:p>
    <w:p>
      <w:pPr>
        <w:pStyle w:val="BodyText"/>
        <w:spacing w:line="197" w:lineRule="exact"/>
        <w:ind w:right="0"/>
        <w:jc w:val="left"/>
      </w:pPr>
      <w:r>
        <w:rPr/>
        <w:t>公司《章程》等相关文件的要求，并结合公司盈利情况及公司未来发展需要制定公司年度利润分配方案，分红标准和比例明</w:t>
      </w:r>
    </w:p>
    <w:p>
      <w:pPr>
        <w:pStyle w:val="BodyText"/>
        <w:spacing w:line="290" w:lineRule="auto" w:before="95"/>
        <w:ind w:right="1023"/>
        <w:jc w:val="left"/>
      </w:pPr>
      <w:r>
        <w:rPr/>
        <w:t>确、清晰，相关的决策程序和机制完备。</w:t>
      </w:r>
      <w:r>
        <w:rPr>
          <w:rFonts w:ascii="Times New Roman" w:hAnsi="Times New Roman" w:cs="Times New Roman" w:eastAsia="Times New Roman" w:hint="default"/>
        </w:rPr>
        <w:t>2018</w:t>
      </w:r>
      <w:r>
        <w:rPr/>
        <w:t>年，公司制定了《未来三年（</w:t>
      </w:r>
      <w:r>
        <w:rPr>
          <w:rFonts w:ascii="Times New Roman" w:hAnsi="Times New Roman" w:cs="Times New Roman" w:eastAsia="Times New Roman" w:hint="default"/>
        </w:rPr>
        <w:t>2018-2020</w:t>
      </w:r>
      <w:r>
        <w:rPr/>
        <w:t>年）股东回报规划》，并经公司第四</w:t>
      </w:r>
      <w:r>
        <w:rPr>
          <w:spacing w:val="-85"/>
        </w:rPr>
        <w:t> </w:t>
      </w:r>
      <w:r>
        <w:rPr>
          <w:spacing w:val="-1"/>
        </w:rPr>
        <w:t>届董事会第二十次会议及</w:t>
      </w:r>
      <w:r>
        <w:rPr>
          <w:rFonts w:ascii="Times New Roman" w:hAnsi="Times New Roman" w:cs="Times New Roman" w:eastAsia="Times New Roman" w:hint="default"/>
          <w:spacing w:val="-1"/>
        </w:rPr>
        <w:t>2017</w:t>
      </w:r>
      <w:r>
        <w:rPr>
          <w:spacing w:val="-1"/>
        </w:rPr>
        <w:t>年度股东大会审议通过，明确了公司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-2020</w:t>
      </w:r>
      <w:r>
        <w:rPr>
          <w:spacing w:val="-1"/>
        </w:rPr>
        <w:t>年利润分配的具体条件、比例、分配形式等，</w:t>
      </w:r>
      <w:r>
        <w:rPr>
          <w:spacing w:val="-69"/>
        </w:rPr>
        <w:t> </w:t>
      </w:r>
      <w:r>
        <w:rPr>
          <w:spacing w:val="-69"/>
        </w:rPr>
      </w:r>
      <w:r>
        <w:rPr/>
        <w:t>健全了有效的股东回报机制。</w:t>
      </w:r>
    </w:p>
    <w:p>
      <w:pPr>
        <w:spacing w:line="240" w:lineRule="auto" w:before="3"/>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6"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22"/>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0"/>
        <w:ind w:right="0"/>
        <w:jc w:val="left"/>
      </w:pPr>
      <w:r>
        <w:rPr/>
        <w:t>公司近</w:t>
      </w:r>
      <w:r>
        <w:rPr>
          <w:spacing w:val="-45"/>
        </w:rPr>
        <w:t> </w:t>
      </w:r>
      <w:r>
        <w:rPr>
          <w:rFonts w:ascii="Times New Roman" w:hAnsi="Times New Roman" w:cs="Times New Roman" w:eastAsia="Times New Roman" w:hint="default"/>
        </w:rPr>
        <w:t>3 </w:t>
      </w:r>
      <w:r>
        <w:rPr/>
        <w:t>年（包括本报告期）的普通股股利分配方案（预案）、资本公积金转增股本方案（预案）情况</w:t>
      </w:r>
    </w:p>
    <w:p>
      <w:pPr>
        <w:pStyle w:val="BodyText"/>
        <w:spacing w:line="297" w:lineRule="auto" w:before="96"/>
        <w:ind w:right="1125" w:firstLine="360"/>
        <w:jc w:val="both"/>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2017</w:t>
      </w:r>
      <w:r>
        <w:rPr/>
        <w:t>年度利润分配预案：拟以公司截至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581,039,204</w:t>
      </w:r>
      <w:r>
        <w:rPr/>
        <w:t>股为基数，向全体股东每</w:t>
      </w:r>
      <w:r>
        <w:rPr>
          <w:rFonts w:ascii="Times New Roman" w:hAnsi="Times New Roman" w:cs="Times New Roman" w:eastAsia="Times New Roman" w:hint="default"/>
        </w:rPr>
        <w:t>10</w:t>
      </w:r>
      <w:r>
        <w:rPr/>
        <w:t>股派发现 </w:t>
      </w:r>
      <w:r>
        <w:rPr>
          <w:spacing w:val="-2"/>
        </w:rPr>
        <w:t>金股利</w:t>
      </w:r>
      <w:r>
        <w:rPr>
          <w:rFonts w:ascii="Times New Roman" w:hAnsi="Times New Roman" w:cs="Times New Roman" w:eastAsia="Times New Roman" w:hint="default"/>
          <w:spacing w:val="-2"/>
        </w:rPr>
        <w:t>0.6</w:t>
      </w:r>
      <w:r>
        <w:rPr>
          <w:spacing w:val="-2"/>
        </w:rPr>
        <w:t>元（含税），共计派发现金</w:t>
      </w:r>
      <w:r>
        <w:rPr>
          <w:rFonts w:ascii="Times New Roman" w:hAnsi="Times New Roman" w:cs="Times New Roman" w:eastAsia="Times New Roman" w:hint="default"/>
          <w:spacing w:val="-2"/>
        </w:rPr>
        <w:t>34,862,352.24</w:t>
      </w:r>
      <w:r>
        <w:rPr>
          <w:spacing w:val="-2"/>
        </w:rPr>
        <w:t>元；不送红股，也不以资本公积金转增股本，剩余未分配利润结转以后年</w:t>
      </w:r>
      <w:r>
        <w:rPr>
          <w:spacing w:val="-51"/>
        </w:rPr>
        <w:t> </w:t>
      </w:r>
      <w:r>
        <w:rPr>
          <w:spacing w:val="-51"/>
        </w:rPr>
      </w:r>
      <w:r>
        <w:rPr/>
        <w:t>度分配。</w:t>
      </w:r>
    </w:p>
    <w:p>
      <w:pPr>
        <w:pStyle w:val="BodyText"/>
        <w:spacing w:line="297" w:lineRule="auto" w:before="36"/>
        <w:ind w:right="1126" w:firstLine="360"/>
        <w:jc w:val="both"/>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2018</w:t>
      </w:r>
      <w:r>
        <w:rPr/>
        <w:t>年度利润分配预案：经亚太（集团）会计师事务所（特殊普通合伙）审计，公司</w:t>
      </w:r>
      <w:r>
        <w:rPr>
          <w:rFonts w:ascii="Times New Roman" w:hAnsi="Times New Roman" w:cs="Times New Roman" w:eastAsia="Times New Roman" w:hint="default"/>
        </w:rPr>
        <w:t>2018</w:t>
      </w:r>
      <w:r>
        <w:rPr/>
        <w:t>年度实现的可分配利 润为</w:t>
      </w:r>
      <w:r>
        <w:rPr>
          <w:rFonts w:ascii="Times New Roman" w:hAnsi="Times New Roman" w:cs="Times New Roman" w:eastAsia="Times New Roman" w:hint="default"/>
        </w:rPr>
        <w:t>-10,280.47</w:t>
      </w:r>
      <w:r>
        <w:rPr/>
        <w:t>万元，不满足公司《章程》规定的现金分红条件，同时结合公司未来资金规划，公司董事会拟定</w:t>
      </w:r>
      <w:r>
        <w:rPr>
          <w:rFonts w:ascii="Times New Roman" w:hAnsi="Times New Roman" w:cs="Times New Roman" w:eastAsia="Times New Roman" w:hint="default"/>
        </w:rPr>
        <w:t>2018</w:t>
      </w:r>
      <w:r>
        <w:rPr/>
        <w:t>年度不</w:t>
      </w:r>
      <w:r>
        <w:rPr>
          <w:spacing w:val="-80"/>
        </w:rPr>
        <w:t> </w:t>
      </w:r>
      <w:r>
        <w:rPr/>
        <w:t>进行利润分配，也不进行资本公积金转增股本。</w:t>
      </w:r>
    </w:p>
    <w:p>
      <w:pPr>
        <w:pStyle w:val="BodyText"/>
        <w:spacing w:line="295" w:lineRule="auto" w:before="52"/>
        <w:ind w:right="1119" w:firstLine="36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2019</w:t>
      </w:r>
      <w:r>
        <w:rPr/>
        <w:t>年度利润分配预案：经亚太（集团）会计师事务所（特殊普通合伙）审计，公司</w:t>
      </w:r>
      <w:r>
        <w:rPr>
          <w:rFonts w:ascii="Times New Roman" w:hAnsi="Times New Roman" w:cs="Times New Roman" w:eastAsia="Times New Roman" w:hint="default"/>
        </w:rPr>
        <w:t>2019</w:t>
      </w:r>
      <w:r>
        <w:rPr/>
        <w:t>年度实现的可分配利 润为</w:t>
      </w:r>
      <w:r>
        <w:rPr>
          <w:rFonts w:ascii="Times New Roman" w:hAnsi="Times New Roman" w:cs="Times New Roman" w:eastAsia="Times New Roman" w:hint="default"/>
        </w:rPr>
        <w:t>5,024.58</w:t>
      </w:r>
      <w:r>
        <w:rPr/>
        <w:t>万元，</w:t>
      </w:r>
      <w:r>
        <w:rPr>
          <w:rFonts w:ascii="Times New Roman" w:hAnsi="Times New Roman" w:cs="Times New Roman" w:eastAsia="Times New Roman" w:hint="default"/>
        </w:rPr>
        <w:t>2019</w:t>
      </w:r>
      <w:r>
        <w:rPr/>
        <w:t>年度，公司以集中竞价方式回购股份</w:t>
      </w:r>
      <w:r>
        <w:rPr>
          <w:rFonts w:ascii="Times New Roman" w:hAnsi="Times New Roman" w:cs="Times New Roman" w:eastAsia="Times New Roman" w:hint="default"/>
        </w:rPr>
        <w:t>9,812,924</w:t>
      </w:r>
      <w:r>
        <w:rPr/>
        <w:t>股，回购总金额为</w:t>
      </w:r>
      <w:r>
        <w:rPr>
          <w:rFonts w:ascii="Times New Roman" w:hAnsi="Times New Roman" w:cs="Times New Roman" w:eastAsia="Times New Roman" w:hint="default"/>
        </w:rPr>
        <w:t>75,252,122.95</w:t>
      </w:r>
      <w:r>
        <w:rPr/>
        <w:t>元，视同现金分红</w:t>
      </w:r>
      <w:r>
        <w:rPr>
          <w:spacing w:val="-85"/>
        </w:rPr>
        <w:t> </w:t>
      </w:r>
      <w:r>
        <w:rPr>
          <w:rFonts w:ascii="Times New Roman" w:hAnsi="Times New Roman" w:cs="Times New Roman" w:eastAsia="Times New Roman" w:hint="default"/>
        </w:rPr>
        <w:t>75,252,122.95</w:t>
      </w:r>
      <w:r>
        <w:rPr/>
        <w:t>元，结合公司未来资金规划，公司董事会拟定</w:t>
      </w:r>
      <w:r>
        <w:rPr>
          <w:rFonts w:ascii="Times New Roman" w:hAnsi="Times New Roman" w:cs="Times New Roman" w:eastAsia="Times New Roman" w:hint="default"/>
        </w:rPr>
        <w:t>2019</w:t>
      </w:r>
      <w:r>
        <w:rPr/>
        <w:t>年度不进行利润分配，也不进行资本公积金转增股本。</w:t>
      </w:r>
    </w:p>
    <w:p>
      <w:pPr>
        <w:spacing w:line="240" w:lineRule="auto" w:before="7"/>
        <w:rPr>
          <w:rFonts w:ascii="宋体" w:hAnsi="宋体" w:cs="宋体" w:eastAsia="宋体" w:hint="default"/>
          <w:sz w:val="24"/>
          <w:szCs w:val="24"/>
        </w:rPr>
      </w:pPr>
    </w:p>
    <w:p>
      <w:pPr>
        <w:pStyle w:val="BodyText"/>
        <w:spacing w:line="240" w:lineRule="auto" w:before="44"/>
        <w:ind w:right="0"/>
        <w:jc w:val="left"/>
      </w:pPr>
      <w:r>
        <w:rPr/>
        <w:t>公司近三年（包括本报告期）普通股现金分红情况表</w:t>
      </w:r>
    </w:p>
    <w:p>
      <w:pPr>
        <w:pStyle w:val="BodyText"/>
        <w:spacing w:line="240" w:lineRule="auto" w:before="109"/>
        <w:ind w:left="0" w:right="1110"/>
        <w:jc w:val="right"/>
      </w:pPr>
      <w:r>
        <w:rPr/>
        <w:pict>
          <v:group style="position:absolute;margin-left:57.075001pt;margin-top:22.731716pt;width:478.35pt;height:99.1pt;mso-position-horizontal-relative:page;mso-position-vertical-relative:paragraph;z-index:-1269280" coordorigin="1142,455" coordsize="9567,1982">
            <v:group style="position:absolute;left:1142;top:470;width:1187;height:781" coordorigin="1142,470" coordsize="1187,781">
              <v:shape style="position:absolute;left:1142;top:470;width:1187;height:781" coordorigin="1142,470" coordsize="1187,781" path="m1142,1250l2328,1250,2328,470,1142,470,1142,1250xe" filled="true" fillcolor="#d2d2d2" stroked="false">
                <v:path arrowok="t"/>
                <v:fill type="solid"/>
              </v:shape>
            </v:group>
            <v:group style="position:absolute;left:1149;top:1250;width:2;height:391" coordorigin="1149,1250" coordsize="2,391">
              <v:shape style="position:absolute;left:1149;top:1250;width:2;height:391" coordorigin="1149,1250" coordsize="0,391" path="m1149,1250l1149,1641e" filled="false" stroked="true" strokeweight=".75pt" strokecolor="#d2d2d2">
                <v:path arrowok="t"/>
              </v:shape>
            </v:group>
            <v:group style="position:absolute;left:2321;top:1250;width:2;height:391" coordorigin="2321,1250" coordsize="2,391">
              <v:shape style="position:absolute;left:2321;top:1250;width:2;height:391" coordorigin="2321,1250" coordsize="0,391" path="m2321,1250l2321,1641e" filled="false" stroked="true" strokeweight=".75pt" strokecolor="#d2d2d2">
                <v:path arrowok="t"/>
              </v:shape>
            </v:group>
            <v:group style="position:absolute;left:1142;top:1641;width:1187;height:781" coordorigin="1142,1641" coordsize="1187,781">
              <v:shape style="position:absolute;left:1142;top:1641;width:1187;height:781" coordorigin="1142,1641" coordsize="1187,781" path="m1142,2421l2328,2421,2328,1641,1142,1641,1142,2421xe" filled="true" fillcolor="#d2d2d2" stroked="false">
                <v:path arrowok="t"/>
                <v:fill type="solid"/>
              </v:shape>
            </v:group>
            <v:group style="position:absolute;left:1157;top:1250;width:1157;height:391" coordorigin="1157,1250" coordsize="1157,391">
              <v:shape style="position:absolute;left:1157;top:1250;width:1157;height:391" coordorigin="1157,1250" coordsize="1157,391" path="m1157,1641l2313,1641,2313,1250,1157,1250,1157,1641xe" filled="true" fillcolor="#d2d2d2" stroked="false">
                <v:path arrowok="t"/>
                <v:fill type="solid"/>
              </v:shape>
            </v:group>
            <v:group style="position:absolute;left:2343;top:470;width:1187;height:631" coordorigin="2343,470" coordsize="1187,631">
              <v:shape style="position:absolute;left:2343;top:470;width:1187;height:631" coordorigin="2343,470" coordsize="1187,631" path="m2343,1100l3530,1100,3530,470,2343,470,2343,1100xe" filled="true" fillcolor="#d2d2d2" stroked="false">
                <v:path arrowok="t"/>
                <v:fill type="solid"/>
              </v:shape>
            </v:group>
            <v:group style="position:absolute;left:2351;top:1100;width:2;height:706" coordorigin="2351,1100" coordsize="2,706">
              <v:shape style="position:absolute;left:2351;top:1100;width:2;height:706" coordorigin="2351,1100" coordsize="0,706" path="m2351,1100l2351,1806e" filled="false" stroked="true" strokeweight=".75pt" strokecolor="#d2d2d2">
                <v:path arrowok="t"/>
              </v:shape>
            </v:group>
            <v:group style="position:absolute;left:3515;top:1100;width:2;height:706" coordorigin="3515,1100" coordsize="2,706">
              <v:shape style="position:absolute;left:3515;top:1100;width:2;height:706" coordorigin="3515,1100" coordsize="0,706" path="m3515,1100l3515,1806e" filled="false" stroked="true" strokeweight="1.5pt" strokecolor="#d2d2d2">
                <v:path arrowok="t"/>
              </v:shape>
            </v:group>
            <v:group style="position:absolute;left:2343;top:1806;width:1187;height:616" coordorigin="2343,1806" coordsize="1187,616">
              <v:shape style="position:absolute;left:2343;top:1806;width:1187;height:616" coordorigin="2343,1806" coordsize="1187,616" path="m2343,2421l3530,2421,3530,1806,2343,1806,2343,2421xe" filled="true" fillcolor="#d2d2d2" stroked="false">
                <v:path arrowok="t"/>
                <v:fill type="solid"/>
              </v:shape>
            </v:group>
            <v:group style="position:absolute;left:2358;top:1100;width:1142;height:345" coordorigin="2358,1100" coordsize="1142,345">
              <v:shape style="position:absolute;left:2358;top:1100;width:1142;height:345" coordorigin="2358,1100" coordsize="1142,345" path="m2358,1445l3500,1445,3500,1100,2358,1100,2358,1445xe" filled="true" fillcolor="#d2d2d2" stroked="false">
                <v:path arrowok="t"/>
                <v:fill type="solid"/>
              </v:shape>
            </v:group>
            <v:group style="position:absolute;left:2358;top:1445;width:1142;height:361" coordorigin="2358,1445" coordsize="1142,361">
              <v:shape style="position:absolute;left:2358;top:1445;width:1142;height:361" coordorigin="2358,1445" coordsize="1142,361" path="m2358,1806l3500,1806,3500,1445,2358,1445,2358,1806xe" filled="true" fillcolor="#d2d2d2" stroked="false">
                <v:path arrowok="t"/>
                <v:fill type="solid"/>
              </v:shape>
            </v:group>
            <v:group style="position:absolute;left:3530;top:470;width:1187;height:165" coordorigin="3530,470" coordsize="1187,165">
              <v:shape style="position:absolute;left:3530;top:470;width:1187;height:165" coordorigin="3530,470" coordsize="1187,165" path="m3530,635l4716,635,4716,470,3530,470,3530,635xe" filled="true" fillcolor="#d2d2d2" stroked="false">
                <v:path arrowok="t"/>
                <v:fill type="solid"/>
              </v:shape>
            </v:group>
            <v:group style="position:absolute;left:3545;top:635;width:2;height:1637" coordorigin="3545,635" coordsize="2,1637">
              <v:shape style="position:absolute;left:3545;top:635;width:2;height:1637" coordorigin="3545,635" coordsize="0,1637" path="m3545,635l3545,2271e" filled="false" stroked="true" strokeweight="1.5pt" strokecolor="#d2d2d2">
                <v:path arrowok="t"/>
              </v:shape>
            </v:group>
            <v:group style="position:absolute;left:4709;top:635;width:2;height:1637" coordorigin="4709,635" coordsize="2,1637">
              <v:shape style="position:absolute;left:4709;top:635;width:2;height:1637" coordorigin="4709,635" coordsize="0,1637" path="m4709,635l4709,2271e" filled="false" stroked="true" strokeweight=".75pt" strokecolor="#d2d2d2">
                <v:path arrowok="t"/>
              </v:shape>
            </v:group>
            <v:group style="position:absolute;left:3530;top:2271;width:1187;height:150" coordorigin="3530,2271" coordsize="1187,150">
              <v:shape style="position:absolute;left:3530;top:2271;width:1187;height:150" coordorigin="3530,2271" coordsize="1187,150" path="m3530,2421l4716,2421,4716,2271,3530,2271,3530,2421xe" filled="true" fillcolor="#d2d2d2" stroked="false">
                <v:path arrowok="t"/>
                <v:fill type="solid"/>
              </v:shape>
            </v:group>
            <v:group style="position:absolute;left:3560;top:635;width:1142;height:346" coordorigin="3560,635" coordsize="1142,346">
              <v:shape style="position:absolute;left:3560;top:635;width:1142;height:346" coordorigin="3560,635" coordsize="1142,346" path="m3560,980l4701,980,4701,635,3560,635,3560,980xe" filled="true" fillcolor="#d2d2d2" stroked="false">
                <v:path arrowok="t"/>
                <v:fill type="solid"/>
              </v:shape>
            </v:group>
            <v:group style="position:absolute;left:3560;top:980;width:1142;height:315" coordorigin="3560,980" coordsize="1142,315">
              <v:shape style="position:absolute;left:3560;top:980;width:1142;height:315" coordorigin="3560,980" coordsize="1142,315" path="m3560,1295l4701,1295,4701,980,3560,980,3560,1295xe" filled="true" fillcolor="#d2d2d2" stroked="false">
                <v:path arrowok="t"/>
                <v:fill type="solid"/>
              </v:shape>
            </v:group>
            <v:group style="position:absolute;left:3560;top:1295;width:1142;height:316" coordorigin="3560,1295" coordsize="1142,316">
              <v:shape style="position:absolute;left:3560;top:1295;width:1142;height:316" coordorigin="3560,1295" coordsize="1142,316" path="m3560,1611l4701,1611,4701,1295,3560,1295,3560,1611xe" filled="true" fillcolor="#d2d2d2" stroked="false">
                <v:path arrowok="t"/>
                <v:fill type="solid"/>
              </v:shape>
            </v:group>
            <v:group style="position:absolute;left:3560;top:1611;width:1142;height:300" coordorigin="3560,1611" coordsize="1142,300">
              <v:shape style="position:absolute;left:3560;top:1611;width:1142;height:300" coordorigin="3560,1611" coordsize="1142,300" path="m3560,1911l4701,1911,4701,1611,3560,1611,3560,1911xe" filled="true" fillcolor="#d2d2d2" stroked="false">
                <v:path arrowok="t"/>
                <v:fill type="solid"/>
              </v:shape>
            </v:group>
            <v:group style="position:absolute;left:3560;top:1911;width:1142;height:361" coordorigin="3560,1911" coordsize="1142,361">
              <v:shape style="position:absolute;left:3560;top:1911;width:1142;height:361" coordorigin="3560,1911" coordsize="1142,361" path="m3560,2271l4701,2271,4701,1911,3560,1911,3560,2271xe" filled="true" fillcolor="#d2d2d2" stroked="false">
                <v:path arrowok="t"/>
                <v:fill type="solid"/>
              </v:shape>
            </v:group>
            <v:group style="position:absolute;left:4746;top:470;width:2;height:1952" coordorigin="4746,470" coordsize="2,1952">
              <v:shape style="position:absolute;left:4746;top:470;width:2;height:1952" coordorigin="4746,470" coordsize="0,1952" path="m4746,470l4746,2421e" filled="false" stroked="true" strokeweight="1.5pt" strokecolor="#d2d2d2">
                <v:path arrowok="t"/>
              </v:shape>
            </v:group>
            <v:group style="position:absolute;left:5910;top:470;width:2;height:1952" coordorigin="5910,470" coordsize="2,1952">
              <v:shape style="position:absolute;left:5910;top:470;width:2;height:1952" coordorigin="5910,470" coordsize="0,1952" path="m5910,470l5910,2421e" filled="false" stroked="true" strokeweight=".75pt" strokecolor="#d2d2d2">
                <v:path arrowok="t"/>
              </v:shape>
            </v:group>
            <v:group style="position:absolute;left:4761;top:470;width:1142;height:360" coordorigin="4761,470" coordsize="1142,360">
              <v:shape style="position:absolute;left:4761;top:470;width:1142;height:360" coordorigin="4761,470" coordsize="1142,360" path="m4761,830l5903,830,5903,470,4761,470,4761,830xe" filled="true" fillcolor="#d2d2d2" stroked="false">
                <v:path arrowok="t"/>
                <v:fill type="solid"/>
              </v:shape>
            </v:group>
            <v:group style="position:absolute;left:4761;top:830;width:1142;height:301" coordorigin="4761,830" coordsize="1142,301">
              <v:shape style="position:absolute;left:4761;top:830;width:1142;height:301" coordorigin="4761,830" coordsize="1142,301" path="m4761,1130l5903,1130,5903,830,4761,830,4761,1130xe" filled="true" fillcolor="#d2d2d2" stroked="false">
                <v:path arrowok="t"/>
                <v:fill type="solid"/>
              </v:shape>
            </v:group>
            <v:group style="position:absolute;left:4761;top:1130;width:1142;height:315" coordorigin="4761,1130" coordsize="1142,315">
              <v:shape style="position:absolute;left:4761;top:1130;width:1142;height:315" coordorigin="4761,1130" coordsize="1142,315" path="m4761,1445l5903,1445,5903,1130,4761,1130,4761,1445xe" filled="true" fillcolor="#d2d2d2" stroked="false">
                <v:path arrowok="t"/>
                <v:fill type="solid"/>
              </v:shape>
            </v:group>
            <v:group style="position:absolute;left:4761;top:1445;width:1142;height:316" coordorigin="4761,1445" coordsize="1142,316">
              <v:shape style="position:absolute;left:4761;top:1445;width:1142;height:316" coordorigin="4761,1445" coordsize="1142,316" path="m4761,1761l5903,1761,5903,1445,4761,1445,4761,1761xe" filled="true" fillcolor="#d2d2d2" stroked="false">
                <v:path arrowok="t"/>
                <v:fill type="solid"/>
              </v:shape>
            </v:group>
            <v:group style="position:absolute;left:4761;top:1761;width:1142;height:315" coordorigin="4761,1761" coordsize="1142,315">
              <v:shape style="position:absolute;left:4761;top:1761;width:1142;height:315" coordorigin="4761,1761" coordsize="1142,315" path="m4761,2076l5903,2076,5903,1761,4761,1761,4761,2076xe" filled="true" fillcolor="#d2d2d2" stroked="false">
                <v:path arrowok="t"/>
                <v:fill type="solid"/>
              </v:shape>
            </v:group>
            <v:group style="position:absolute;left:4761;top:2076;width:1142;height:346" coordorigin="4761,2076" coordsize="1142,346">
              <v:shape style="position:absolute;left:4761;top:2076;width:1142;height:346" coordorigin="4761,2076" coordsize="1142,346" path="m4761,2421l5903,2421,5903,2076,4761,2076,4761,2421xe" filled="true" fillcolor="#d2d2d2" stroked="false">
                <v:path arrowok="t"/>
                <v:fill type="solid"/>
              </v:shape>
            </v:group>
            <v:group style="position:absolute;left:5933;top:470;width:1187;height:315" coordorigin="5933,470" coordsize="1187,315">
              <v:shape style="position:absolute;left:5933;top:470;width:1187;height:315" coordorigin="5933,470" coordsize="1187,315" path="m5933,785l7119,785,7119,470,5933,470,5933,785xe" filled="true" fillcolor="#d2d2d2" stroked="false">
                <v:path arrowok="t"/>
                <v:fill type="solid"/>
              </v:shape>
            </v:group>
            <v:group style="position:absolute;left:5940;top:785;width:2;height:1337" coordorigin="5940,785" coordsize="2,1337">
              <v:shape style="position:absolute;left:5940;top:785;width:2;height:1337" coordorigin="5940,785" coordsize="0,1337" path="m5940,785l5940,2121e" filled="false" stroked="true" strokeweight=".75pt" strokecolor="#d2d2d2">
                <v:path arrowok="t"/>
              </v:shape>
            </v:group>
            <v:group style="position:absolute;left:7104;top:785;width:2;height:1337" coordorigin="7104,785" coordsize="2,1337">
              <v:shape style="position:absolute;left:7104;top:785;width:2;height:1337" coordorigin="7104,785" coordsize="0,1337" path="m7104,785l7104,2121e" filled="false" stroked="true" strokeweight="1.5pt" strokecolor="#d2d2d2">
                <v:path arrowok="t"/>
              </v:shape>
            </v:group>
            <v:group style="position:absolute;left:5933;top:2121;width:1187;height:300" coordorigin="5933,2121" coordsize="1187,300">
              <v:shape style="position:absolute;left:5933;top:2121;width:1187;height:300" coordorigin="5933,2121" coordsize="1187,300" path="m5933,2421l7119,2421,7119,2121,5933,2121,5933,2421xe" filled="true" fillcolor="#d2d2d2" stroked="false">
                <v:path arrowok="t"/>
                <v:fill type="solid"/>
              </v:shape>
            </v:group>
            <v:group style="position:absolute;left:5948;top:785;width:1142;height:346" coordorigin="5948,785" coordsize="1142,346">
              <v:shape style="position:absolute;left:5948;top:785;width:1142;height:346" coordorigin="5948,785" coordsize="1142,346" path="m5948,1130l7089,1130,7089,785,5948,785,5948,1130xe" filled="true" fillcolor="#d2d2d2" stroked="false">
                <v:path arrowok="t"/>
                <v:fill type="solid"/>
              </v:shape>
            </v:group>
            <v:group style="position:absolute;left:5948;top:1130;width:1142;height:315" coordorigin="5948,1130" coordsize="1142,315">
              <v:shape style="position:absolute;left:5948;top:1130;width:1142;height:315" coordorigin="5948,1130" coordsize="1142,315" path="m5948,1445l7089,1445,7089,1130,5948,1130,5948,1445xe" filled="true" fillcolor="#d2d2d2" stroked="false">
                <v:path arrowok="t"/>
                <v:fill type="solid"/>
              </v:shape>
            </v:group>
            <v:group style="position:absolute;left:5948;top:1445;width:1142;height:316" coordorigin="5948,1445" coordsize="1142,316">
              <v:shape style="position:absolute;left:5948;top:1445;width:1142;height:316" coordorigin="5948,1445" coordsize="1142,316" path="m5948,1761l7089,1761,7089,1445,5948,1445,5948,1761xe" filled="true" fillcolor="#d2d2d2" stroked="false">
                <v:path arrowok="t"/>
                <v:fill type="solid"/>
              </v:shape>
            </v:group>
            <v:group style="position:absolute;left:5948;top:1761;width:1142;height:361" coordorigin="5948,1761" coordsize="1142,361">
              <v:shape style="position:absolute;left:5948;top:1761;width:1142;height:361" coordorigin="5948,1761" coordsize="1142,361" path="m5948,2121l7089,2121,7089,1761,5948,1761,5948,2121xe" filled="true" fillcolor="#d2d2d2" stroked="false">
                <v:path arrowok="t"/>
                <v:fill type="solid"/>
              </v:shape>
            </v:group>
            <v:group style="position:absolute;left:7142;top:470;width:2;height:1952" coordorigin="7142,470" coordsize="2,1952">
              <v:shape style="position:absolute;left:7142;top:470;width:2;height:1952" coordorigin="7142,470" coordsize="0,1952" path="m7142,470l7142,2421e" filled="false" stroked="true" strokeweight=".75pt" strokecolor="#d2d2d2">
                <v:path arrowok="t"/>
              </v:shape>
            </v:group>
            <v:group style="position:absolute;left:8305;top:470;width:2;height:1952" coordorigin="8305,470" coordsize="2,1952">
              <v:shape style="position:absolute;left:8305;top:470;width:2;height:1952" coordorigin="8305,470" coordsize="0,1952" path="m8305,470l8305,2421e" filled="false" stroked="true" strokeweight="1.5pt" strokecolor="#d2d2d2">
                <v:path arrowok="t"/>
              </v:shape>
            </v:group>
            <v:group style="position:absolute;left:7149;top:470;width:1142;height:360" coordorigin="7149,470" coordsize="1142,360">
              <v:shape style="position:absolute;left:7149;top:470;width:1142;height:360" coordorigin="7149,470" coordsize="1142,360" path="m7149,830l8291,830,8291,470,7149,470,7149,830xe" filled="true" fillcolor="#d2d2d2" stroked="false">
                <v:path arrowok="t"/>
                <v:fill type="solid"/>
              </v:shape>
            </v:group>
            <v:group style="position:absolute;left:7149;top:830;width:1142;height:301" coordorigin="7149,830" coordsize="1142,301">
              <v:shape style="position:absolute;left:7149;top:830;width:1142;height:301" coordorigin="7149,830" coordsize="1142,301" path="m7149,1130l8291,1130,8291,830,7149,830,7149,1130xe" filled="true" fillcolor="#d2d2d2" stroked="false">
                <v:path arrowok="t"/>
                <v:fill type="solid"/>
              </v:shape>
            </v:group>
            <v:group style="position:absolute;left:7149;top:1130;width:1142;height:315" coordorigin="7149,1130" coordsize="1142,315">
              <v:shape style="position:absolute;left:7149;top:1130;width:1142;height:315" coordorigin="7149,1130" coordsize="1142,315" path="m7149,1445l8291,1445,8291,1130,7149,1130,7149,1445xe" filled="true" fillcolor="#d2d2d2" stroked="false">
                <v:path arrowok="t"/>
                <v:fill type="solid"/>
              </v:shape>
            </v:group>
            <v:group style="position:absolute;left:7149;top:1445;width:1142;height:316" coordorigin="7149,1445" coordsize="1142,316">
              <v:shape style="position:absolute;left:7149;top:1445;width:1142;height:316" coordorigin="7149,1445" coordsize="1142,316" path="m7149,1761l8291,1761,8291,1445,7149,1445,7149,1761xe" filled="true" fillcolor="#d2d2d2" stroked="false">
                <v:path arrowok="t"/>
                <v:fill type="solid"/>
              </v:shape>
            </v:group>
            <v:group style="position:absolute;left:7149;top:1761;width:1142;height:315" coordorigin="7149,1761" coordsize="1142,315">
              <v:shape style="position:absolute;left:7149;top:1761;width:1142;height:315" coordorigin="7149,1761" coordsize="1142,315" path="m7149,2076l8291,2076,8291,1761,7149,1761,7149,2076xe" filled="true" fillcolor="#d2d2d2" stroked="false">
                <v:path arrowok="t"/>
                <v:fill type="solid"/>
              </v:shape>
            </v:group>
            <v:group style="position:absolute;left:7149;top:2076;width:1142;height:346" coordorigin="7149,2076" coordsize="1142,346">
              <v:shape style="position:absolute;left:7149;top:2076;width:1142;height:346" coordorigin="7149,2076" coordsize="1142,346" path="m7149,2421l8291,2421,8291,2076,7149,2076,7149,2421xe" filled="true" fillcolor="#d2d2d2" stroked="false">
                <v:path arrowok="t"/>
                <v:fill type="solid"/>
              </v:shape>
            </v:group>
            <v:group style="position:absolute;left:8320;top:470;width:1187;height:465" coordorigin="8320,470" coordsize="1187,465">
              <v:shape style="position:absolute;left:8320;top:470;width:1187;height:465" coordorigin="8320,470" coordsize="1187,465" path="m8320,935l9507,935,9507,470,8320,470,8320,935xe" filled="true" fillcolor="#d2d2d2" stroked="false">
                <v:path arrowok="t"/>
                <v:fill type="solid"/>
              </v:shape>
            </v:group>
            <v:group style="position:absolute;left:8335;top:935;width:2;height:1021" coordorigin="8335,935" coordsize="2,1021">
              <v:shape style="position:absolute;left:8335;top:935;width:2;height:1021" coordorigin="8335,935" coordsize="0,1021" path="m8335,935l8335,1956e" filled="false" stroked="true" strokeweight="1.5pt" strokecolor="#d2d2d2">
                <v:path arrowok="t"/>
              </v:shape>
            </v:group>
            <v:group style="position:absolute;left:9499;top:935;width:2;height:1021" coordorigin="9499,935" coordsize="2,1021">
              <v:shape style="position:absolute;left:9499;top:935;width:2;height:1021" coordorigin="9499,935" coordsize="0,1021" path="m9499,935l9499,1956e" filled="false" stroked="true" strokeweight=".75pt" strokecolor="#d2d2d2">
                <v:path arrowok="t"/>
              </v:shape>
            </v:group>
            <v:group style="position:absolute;left:8320;top:1956;width:1187;height:466" coordorigin="8320,1956" coordsize="1187,466">
              <v:shape style="position:absolute;left:8320;top:1956;width:1187;height:466" coordorigin="8320,1956" coordsize="1187,466" path="m8320,2421l9507,2421,9507,1956,8320,1956,8320,2421xe" filled="true" fillcolor="#d2d2d2" stroked="false">
                <v:path arrowok="t"/>
                <v:fill type="solid"/>
              </v:shape>
            </v:group>
            <v:group style="position:absolute;left:8350;top:935;width:1142;height:361" coordorigin="8350,935" coordsize="1142,361">
              <v:shape style="position:absolute;left:8350;top:935;width:1142;height:361" coordorigin="8350,935" coordsize="1142,361" path="m8350,1295l9492,1295,9492,935,8350,935,8350,1295xe" filled="true" fillcolor="#d2d2d2" stroked="false">
                <v:path arrowok="t"/>
                <v:fill type="solid"/>
              </v:shape>
            </v:group>
            <v:group style="position:absolute;left:8350;top:1295;width:1142;height:316" coordorigin="8350,1295" coordsize="1142,316">
              <v:shape style="position:absolute;left:8350;top:1295;width:1142;height:316" coordorigin="8350,1295" coordsize="1142,316" path="m8350,1611l9492,1611,9492,1295,8350,1295,8350,1611xe" filled="true" fillcolor="#d2d2d2" stroked="false">
                <v:path arrowok="t"/>
                <v:fill type="solid"/>
              </v:shape>
            </v:group>
            <v:group style="position:absolute;left:8350;top:1611;width:1142;height:345" coordorigin="8350,1611" coordsize="1142,345">
              <v:shape style="position:absolute;left:8350;top:1611;width:1142;height:345" coordorigin="8350,1611" coordsize="1142,345" path="m8350,1956l9492,1956,9492,1611,8350,1611,8350,1956xe" filled="true" fillcolor="#d2d2d2" stroked="false">
                <v:path arrowok="t"/>
                <v:fill type="solid"/>
              </v:shape>
            </v:group>
            <v:group style="position:absolute;left:9537;top:500;width:2;height:1907" coordorigin="9537,500" coordsize="2,1907">
              <v:shape style="position:absolute;left:9537;top:500;width:2;height:1907" coordorigin="9537,500" coordsize="0,1907" path="m9537,500l9537,2406e" filled="false" stroked="true" strokeweight="1.5pt" strokecolor="#d2d2d2">
                <v:path arrowok="t"/>
              </v:shape>
            </v:group>
            <v:group style="position:absolute;left:10701;top:500;width:2;height:1907" coordorigin="10701,500" coordsize="2,1907">
              <v:shape style="position:absolute;left:10701;top:500;width:2;height:1907" coordorigin="10701,500" coordsize="0,1907" path="m10701,500l10701,2406e" filled="false" stroked="true" strokeweight=".75pt" strokecolor="#d2d2d2">
                <v:path arrowok="t"/>
              </v:shape>
            </v:group>
            <v:group style="position:absolute;left:9552;top:500;width:1142;height:345" coordorigin="9552,500" coordsize="1142,345">
              <v:shape style="position:absolute;left:9552;top:500;width:1142;height:345" coordorigin="9552,500" coordsize="1142,345" path="m9552,845l10693,845,10693,500,9552,500,9552,845xe" filled="true" fillcolor="#d2d2d2" stroked="false">
                <v:path arrowok="t"/>
                <v:fill type="solid"/>
              </v:shape>
            </v:group>
            <v:group style="position:absolute;left:9552;top:845;width:1142;height:316" coordorigin="9552,845" coordsize="1142,316">
              <v:shape style="position:absolute;left:9552;top:845;width:1142;height:316" coordorigin="9552,845" coordsize="1142,316" path="m9552,1160l10693,1160,10693,845,9552,845,9552,1160xe" filled="true" fillcolor="#d2d2d2" stroked="false">
                <v:path arrowok="t"/>
                <v:fill type="solid"/>
              </v:shape>
            </v:group>
            <v:group style="position:absolute;left:9552;top:1160;width:1142;height:315" coordorigin="9552,1160" coordsize="1142,315">
              <v:shape style="position:absolute;left:9552;top:1160;width:1142;height:315" coordorigin="9552,1160" coordsize="1142,315" path="m9552,1475l10693,1475,10693,1160,9552,1160,9552,1475xe" filled="true" fillcolor="#d2d2d2" stroked="false">
                <v:path arrowok="t"/>
                <v:fill type="solid"/>
              </v:shape>
            </v:group>
            <v:group style="position:absolute;left:9552;top:1475;width:1142;height:301" coordorigin="9552,1475" coordsize="1142,301">
              <v:shape style="position:absolute;left:9552;top:1475;width:1142;height:301" coordorigin="9552,1475" coordsize="1142,301" path="m9552,1776l10693,1776,10693,1475,9552,1475,9552,1776xe" filled="true" fillcolor="#d2d2d2" stroked="false">
                <v:path arrowok="t"/>
                <v:fill type="solid"/>
              </v:shape>
            </v:group>
            <v:group style="position:absolute;left:9552;top:1776;width:1142;height:315" coordorigin="9552,1776" coordsize="1142,315">
              <v:shape style="position:absolute;left:9552;top:1776;width:1142;height:315" coordorigin="9552,1776" coordsize="1142,315" path="m9552,2091l10693,2091,10693,1776,9552,1776,9552,2091xe" filled="true" fillcolor="#d2d2d2" stroked="false">
                <v:path arrowok="t"/>
                <v:fill type="solid"/>
              </v:shape>
            </v:group>
            <v:group style="position:absolute;left:9552;top:2091;width:1142;height:316" coordorigin="9552,2091" coordsize="1142,316">
              <v:shape style="position:absolute;left:9552;top:2091;width:1142;height:316" coordorigin="9552,2091" coordsize="1142,316" path="m9552,2406l10693,2406,10693,2091,9552,2091,9552,2406xe" filled="true" fillcolor="#d2d2d2" stroked="false">
                <v:path arrowok="t"/>
                <v:fill type="solid"/>
              </v:shape>
            </v:group>
            <w10:wrap type="none"/>
          </v:group>
        </w:pict>
      </w: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202"/>
        <w:gridCol w:w="1201"/>
      </w:tblGrid>
      <w:tr>
        <w:trPr>
          <w:trHeight w:val="1952"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44"/>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29"/>
              <w:ind w:left="60" w:right="43" w:hanging="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64"/>
              <w:ind w:left="45" w:right="59"/>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29"/>
              <w:ind w:left="45" w:right="44"/>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9"/>
              <w:ind w:left="420" w:right="134" w:hanging="271"/>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60"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65"/>
              <w:ind w:left="60" w:right="44" w:firstLine="90"/>
              <w:jc w:val="left"/>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w:t>
            </w:r>
          </w:p>
        </w:tc>
      </w:tr>
    </w:tbl>
    <w:p>
      <w:pPr>
        <w:spacing w:after="0" w:line="316"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194"/>
        <w:gridCol w:w="1187"/>
        <w:gridCol w:w="1201"/>
        <w:gridCol w:w="1202"/>
        <w:gridCol w:w="1201"/>
        <w:gridCol w:w="1186"/>
        <w:gridCol w:w="1202"/>
        <w:gridCol w:w="1201"/>
      </w:tblGrid>
      <w:tr>
        <w:trPr>
          <w:trHeight w:val="360"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330" w:right="0"/>
              <w:jc w:val="left"/>
              <w:rPr>
                <w:rFonts w:ascii="宋体" w:hAnsi="宋体" w:cs="宋体" w:eastAsia="宋体" w:hint="default"/>
                <w:sz w:val="18"/>
                <w:szCs w:val="18"/>
              </w:rPr>
            </w:pPr>
            <w:r>
              <w:rPr>
                <w:rFonts w:ascii="宋体" w:hAnsi="宋体" w:cs="宋体" w:eastAsia="宋体" w:hint="default"/>
                <w:sz w:val="18"/>
                <w:szCs w:val="18"/>
              </w:rPr>
              <w:t>的比率</w:t>
            </w:r>
          </w:p>
        </w:tc>
      </w:tr>
      <w:tr>
        <w:trPr>
          <w:trHeight w:val="405"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50,245,772.33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75,252,122.95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149.77%</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75,252,122.95</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149.77%</w:t>
            </w:r>
            <w:r>
              <w:rPr>
                <w:rFonts w:ascii="Times New Roman"/>
                <w:sz w:val="18"/>
              </w:rPr>
            </w:r>
          </w:p>
        </w:tc>
      </w:tr>
      <w:tr>
        <w:trPr>
          <w:trHeight w:val="720"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-102,804,664.0</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1"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34,862,352.24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20,490,737.56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170.14%</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34,862,352.24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170.14%</w:t>
            </w:r>
            <w:r>
              <w:rPr>
                <w:rFonts w:ascii="Times New Roman"/>
                <w:sz w:val="18"/>
              </w:rPr>
            </w:r>
          </w:p>
        </w:tc>
      </w:tr>
    </w:tbl>
    <w:p>
      <w:pPr>
        <w:pStyle w:val="BodyText"/>
        <w:spacing w:line="240" w:lineRule="auto" w:before="44"/>
        <w:ind w:right="0"/>
        <w:jc w:val="left"/>
      </w:pPr>
      <w:r>
        <w:rPr/>
        <w:t>公司报告期内盈利且母公司可供普通股股东分配利润为正但未提出普通股现金红利分配预案</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7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020" w:right="64"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20"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678"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60"/>
              <w:ind w:left="15" w:right="18"/>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、根据《深圳证券交易所上市公司回购股份实施细则》第七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条</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上市公司以现金为对价，采用要约方式、集中竞价方式回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购股份的，当年已实施的回购股份金额视同现金分红金额，</w:t>
            </w:r>
          </w:p>
          <w:p>
            <w:pPr>
              <w:pStyle w:val="TableParagraph"/>
              <w:spacing w:line="240" w:lineRule="auto" w:before="57"/>
              <w:ind w:left="15" w:right="0"/>
              <w:jc w:val="both"/>
              <w:rPr>
                <w:rFonts w:ascii="宋体" w:hAnsi="宋体" w:cs="宋体" w:eastAsia="宋体" w:hint="default"/>
                <w:sz w:val="18"/>
                <w:szCs w:val="18"/>
              </w:rPr>
            </w:pPr>
            <w:r>
              <w:rPr>
                <w:rFonts w:ascii="宋体" w:hAnsi="宋体" w:cs="宋体" w:eastAsia="宋体" w:hint="default"/>
                <w:sz w:val="18"/>
                <w:szCs w:val="18"/>
              </w:rPr>
              <w:t>纳入该年度现金分红的相关比例计算</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96"/>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年度，公司以集中竞价方式回购股份</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9,812,924</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股，回购</w:t>
            </w:r>
          </w:p>
          <w:p>
            <w:pPr>
              <w:pStyle w:val="TableParagraph"/>
              <w:spacing w:line="240" w:lineRule="auto" w:before="66"/>
              <w:ind w:left="15" w:right="0"/>
              <w:jc w:val="both"/>
              <w:rPr>
                <w:rFonts w:ascii="宋体" w:hAnsi="宋体" w:cs="宋体" w:eastAsia="宋体" w:hint="default"/>
                <w:sz w:val="18"/>
                <w:szCs w:val="18"/>
              </w:rPr>
            </w:pPr>
            <w:r>
              <w:rPr>
                <w:rFonts w:ascii="宋体" w:hAnsi="宋体" w:cs="宋体" w:eastAsia="宋体" w:hint="default"/>
                <w:sz w:val="18"/>
                <w:szCs w:val="18"/>
              </w:rPr>
              <w:t>总金额为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75,252,122.95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元，视同现金分红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75,252,122.95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76" w:lineRule="auto" w:before="111"/>
              <w:ind w:left="15" w:right="34"/>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、需综合考虑当前疫情对公司经营管理可能产生的影响及对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制造业的冲击，预留资金提升公司抗风险能力；</w:t>
            </w:r>
          </w:p>
          <w:p>
            <w:pPr>
              <w:pStyle w:val="TableParagraph"/>
              <w:spacing w:line="288" w:lineRule="auto" w:before="113"/>
              <w:ind w:left="15"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年度，公司产生较大亏损，目前经营情况好转，需弥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补之前亏损对公司的影响；</w:t>
            </w:r>
          </w:p>
          <w:p>
            <w:pPr>
              <w:pStyle w:val="TableParagraph"/>
              <w:spacing w:line="240" w:lineRule="auto" w:before="89"/>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、目前公司正处于规模扩张的关键时期，产能亟需扩充。</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年度日常经营；</w:t>
            </w:r>
          </w:p>
          <w:p>
            <w:pPr>
              <w:pStyle w:val="TableParagraph"/>
              <w:spacing w:line="240" w:lineRule="auto" w:before="11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、公司生产制造规模扩张所需要的投入。</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3"/>
        <w:rPr>
          <w:rFonts w:ascii="宋体" w:hAnsi="宋体" w:cs="宋体" w:eastAsia="宋体" w:hint="default"/>
          <w:b/>
          <w:bCs/>
          <w:sz w:val="27"/>
          <w:szCs w:val="27"/>
        </w:rPr>
      </w:pPr>
    </w:p>
    <w:p>
      <w:pPr>
        <w:pStyle w:val="BodyText"/>
        <w:spacing w:line="333" w:lineRule="auto"/>
        <w:ind w:right="55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公司计划年度不派发现金红利，不送红股，不以公积金转增股本。</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3"/>
        <w:rPr>
          <w:rFonts w:ascii="宋体" w:hAnsi="宋体" w:cs="宋体" w:eastAsia="宋体" w:hint="default"/>
          <w:b/>
          <w:bCs/>
          <w:sz w:val="25"/>
          <w:szCs w:val="25"/>
        </w:rPr>
      </w:pPr>
    </w:p>
    <w:p>
      <w:pPr>
        <w:pStyle w:val="Heading5"/>
        <w:spacing w:line="288" w:lineRule="auto"/>
        <w:ind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spacing w:val="3"/>
        </w:rPr>
        <w:t>1</w:t>
      </w:r>
      <w:r>
        <w:rPr>
          <w:spacing w:val="3"/>
        </w:rPr>
        <w:t>、公司实际控制人、股东、关联方、收购人以及公司等承诺相关方在报告期内履行完毕及截至报告期末尚未履</w:t>
      </w:r>
      <w:r>
        <w:rPr>
          <w:spacing w:val="51"/>
        </w:rPr>
        <w:t> </w:t>
      </w:r>
      <w:r>
        <w:rPr>
          <w:spacing w:val="51"/>
        </w:rPr>
      </w:r>
      <w:r>
        <w:rPr>
          <w:spacing w:val="5"/>
        </w:rPr>
        <w:t>行完毕的承诺事项</w:t>
      </w:r>
      <w:r>
        <w:rPr>
          <w:b w:val="0"/>
          <w:bCs w:val="0"/>
          <w:spacing w:val="5"/>
        </w:rPr>
      </w:r>
    </w:p>
    <w:p>
      <w:pPr>
        <w:spacing w:line="240" w:lineRule="auto" w:before="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824"/>
        <w:gridCol w:w="1134"/>
        <w:gridCol w:w="1126"/>
        <w:gridCol w:w="1126"/>
        <w:gridCol w:w="1126"/>
        <w:gridCol w:w="1127"/>
        <w:gridCol w:w="1111"/>
      </w:tblGrid>
      <w:tr>
        <w:trPr>
          <w:trHeight w:val="390"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4"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6"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34" w:type="dxa"/>
            <w:tcBorders>
              <w:top w:val="single" w:sz="6" w:space="0" w:color="000000"/>
              <w:left w:val="single" w:sz="12"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00"/>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34" w:type="dxa"/>
            <w:tcBorders>
              <w:top w:val="single" w:sz="6" w:space="0" w:color="000000"/>
              <w:left w:val="single" w:sz="12"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4" w:type="dxa"/>
            <w:tcBorders>
              <w:top w:val="single" w:sz="6" w:space="0" w:color="000000"/>
              <w:left w:val="single" w:sz="12"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976"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34" w:type="dxa"/>
            <w:tcBorders>
              <w:top w:val="single" w:sz="6" w:space="0" w:color="000000"/>
              <w:left w:val="single" w:sz="12" w:space="0" w:color="000000"/>
              <w:bottom w:val="single" w:sz="6" w:space="0" w:color="000000"/>
              <w:right w:val="single" w:sz="6" w:space="0" w:color="000000"/>
            </w:tcBorders>
          </w:tcPr>
          <w:p>
            <w:pPr>
              <w:pStyle w:val="TableParagraph"/>
              <w:spacing w:line="304" w:lineRule="auto" w:before="45"/>
              <w:ind w:left="30" w:right="14"/>
              <w:jc w:val="left"/>
              <w:rPr>
                <w:rFonts w:ascii="宋体" w:hAnsi="宋体" w:cs="宋体" w:eastAsia="宋体" w:hint="default"/>
                <w:sz w:val="18"/>
                <w:szCs w:val="18"/>
              </w:rPr>
            </w:pPr>
            <w:r>
              <w:rPr>
                <w:rFonts w:ascii="宋体" w:hAnsi="宋体" w:cs="宋体" w:eastAsia="宋体" w:hint="default"/>
                <w:sz w:val="18"/>
                <w:szCs w:val="18"/>
              </w:rPr>
              <w:t>李超</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 聚睿投资管 </w:t>
            </w:r>
            <w:r>
              <w:rPr>
                <w:rFonts w:ascii="宋体" w:hAnsi="宋体" w:cs="宋体" w:eastAsia="宋体" w:hint="default"/>
                <w:spacing w:val="-3"/>
                <w:sz w:val="18"/>
                <w:szCs w:val="18"/>
              </w:rPr>
              <w:t>理企业（有限</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21" w:lineRule="auto"/>
              <w:ind w:left="29" w:right="17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80"/>
              <w:jc w:val="both"/>
              <w:rPr>
                <w:rFonts w:ascii="宋体" w:hAnsi="宋体" w:cs="宋体" w:eastAsia="宋体" w:hint="default"/>
                <w:sz w:val="18"/>
                <w:szCs w:val="18"/>
              </w:rPr>
            </w:pPr>
            <w:r>
              <w:rPr>
                <w:rFonts w:ascii="宋体" w:hAnsi="宋体" w:cs="宋体" w:eastAsia="宋体" w:hint="default"/>
                <w:sz w:val="18"/>
                <w:szCs w:val="18"/>
              </w:rPr>
              <w:t>自深圳市卓 翼科技股份 有限公司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29"/>
              <w:jc w:val="left"/>
              <w:rPr>
                <w:rFonts w:ascii="宋体" w:hAnsi="宋体" w:cs="宋体" w:eastAsia="宋体" w:hint="default"/>
                <w:sz w:val="18"/>
                <w:szCs w:val="18"/>
              </w:rPr>
            </w:pPr>
            <w:r>
              <w:rPr>
                <w:rFonts w:ascii="宋体" w:hAnsi="宋体" w:cs="宋体" w:eastAsia="宋体" w:hint="default"/>
                <w:sz w:val="18"/>
                <w:szCs w:val="18"/>
              </w:rPr>
              <w:t>承诺人未有 违反承诺的 </w:t>
            </w:r>
            <w:r>
              <w:rPr>
                <w:rFonts w:ascii="宋体" w:hAnsi="宋体" w:cs="宋体" w:eastAsia="宋体" w:hint="default"/>
                <w:spacing w:val="-6"/>
                <w:sz w:val="18"/>
                <w:szCs w:val="18"/>
              </w:rPr>
              <w:t>情况，该承诺</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5"/>
      </w:tblGrid>
      <w:tr>
        <w:trPr>
          <w:trHeight w:val="3483"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4"/>
              <w:ind w:left="30" w:right="14"/>
              <w:jc w:val="left"/>
              <w:rPr>
                <w:rFonts w:ascii="宋体" w:hAnsi="宋体" w:cs="宋体" w:eastAsia="宋体" w:hint="default"/>
                <w:sz w:val="18"/>
                <w:szCs w:val="18"/>
              </w:rPr>
            </w:pPr>
            <w:r>
              <w:rPr>
                <w:rFonts w:ascii="宋体" w:hAnsi="宋体" w:cs="宋体" w:eastAsia="宋体" w:hint="default"/>
                <w:spacing w:val="-10"/>
                <w:sz w:val="18"/>
                <w:szCs w:val="18"/>
              </w:rPr>
              <w:t>合伙）</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深圳市</w:t>
            </w:r>
            <w:r>
              <w:rPr>
                <w:rFonts w:ascii="宋体" w:hAnsi="宋体" w:cs="宋体" w:eastAsia="宋体" w:hint="default"/>
                <w:spacing w:val="-85"/>
                <w:sz w:val="18"/>
                <w:szCs w:val="18"/>
              </w:rPr>
              <w:t> </w:t>
            </w:r>
            <w:r>
              <w:rPr>
                <w:rFonts w:ascii="宋体" w:hAnsi="宋体" w:cs="宋体" w:eastAsia="宋体" w:hint="default"/>
                <w:sz w:val="18"/>
                <w:szCs w:val="18"/>
              </w:rPr>
              <w:t>上元星晖电 子产业股权</w:t>
            </w:r>
          </w:p>
          <w:p>
            <w:pPr>
              <w:pStyle w:val="TableParagraph"/>
              <w:spacing w:line="321" w:lineRule="auto" w:before="36"/>
              <w:ind w:left="30" w:right="14"/>
              <w:jc w:val="left"/>
              <w:rPr>
                <w:rFonts w:ascii="宋体" w:hAnsi="宋体" w:cs="宋体" w:eastAsia="宋体" w:hint="default"/>
                <w:sz w:val="18"/>
                <w:szCs w:val="18"/>
              </w:rPr>
            </w:pPr>
            <w:r>
              <w:rPr>
                <w:rFonts w:ascii="宋体" w:hAnsi="宋体" w:cs="宋体" w:eastAsia="宋体" w:hint="default"/>
                <w:sz w:val="18"/>
                <w:szCs w:val="18"/>
              </w:rPr>
              <w:t>投资基金企 业（有限合</w:t>
            </w:r>
          </w:p>
          <w:p>
            <w:pPr>
              <w:pStyle w:val="TableParagraph"/>
              <w:spacing w:line="297" w:lineRule="auto" w:before="34"/>
              <w:ind w:left="30" w:right="14"/>
              <w:jc w:val="left"/>
              <w:rPr>
                <w:rFonts w:ascii="宋体" w:hAnsi="宋体" w:cs="宋体" w:eastAsia="宋体" w:hint="default"/>
                <w:sz w:val="18"/>
                <w:szCs w:val="18"/>
              </w:rPr>
            </w:pPr>
            <w:r>
              <w:rPr>
                <w:rFonts w:ascii="宋体" w:hAnsi="宋体" w:cs="宋体" w:eastAsia="宋体" w:hint="default"/>
                <w:spacing w:val="-10"/>
                <w:sz w:val="18"/>
                <w:szCs w:val="18"/>
              </w:rPr>
              <w:t>伙）</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深圳市中</w:t>
            </w:r>
            <w:r>
              <w:rPr>
                <w:rFonts w:ascii="宋体" w:hAnsi="宋体" w:cs="宋体" w:eastAsia="宋体" w:hint="default"/>
                <w:spacing w:val="-85"/>
                <w:sz w:val="18"/>
                <w:szCs w:val="18"/>
              </w:rPr>
              <w:t> </w:t>
            </w:r>
            <w:r>
              <w:rPr>
                <w:rFonts w:ascii="宋体" w:hAnsi="宋体" w:cs="宋体" w:eastAsia="宋体" w:hint="default"/>
                <w:sz w:val="18"/>
                <w:szCs w:val="18"/>
              </w:rPr>
              <w:t>科祥瑞资本 管理合伙企</w:t>
            </w:r>
          </w:p>
          <w:p>
            <w:pPr>
              <w:pStyle w:val="TableParagraph"/>
              <w:spacing w:line="319" w:lineRule="auto" w:before="36"/>
              <w:ind w:left="30" w:right="88"/>
              <w:jc w:val="left"/>
              <w:rPr>
                <w:rFonts w:ascii="宋体" w:hAnsi="宋体" w:cs="宋体" w:eastAsia="宋体" w:hint="default"/>
                <w:sz w:val="18"/>
                <w:szCs w:val="18"/>
              </w:rPr>
            </w:pPr>
            <w:r>
              <w:rPr>
                <w:rFonts w:ascii="宋体" w:hAnsi="宋体" w:cs="宋体" w:eastAsia="宋体" w:hint="default"/>
                <w:sz w:val="18"/>
                <w:szCs w:val="18"/>
              </w:rPr>
              <w:t>业（有限合 伙）</w:t>
            </w:r>
            <w:r>
              <w:rPr>
                <w:rFonts w:ascii="Times New Roman" w:hAnsi="Times New Roman" w:cs="Times New Roman" w:eastAsia="Times New Roman" w:hint="default"/>
                <w:sz w:val="18"/>
                <w:szCs w:val="18"/>
              </w:rPr>
              <w:t>;</w:t>
            </w:r>
            <w:r>
              <w:rPr>
                <w:rFonts w:ascii="宋体" w:hAnsi="宋体" w:cs="宋体" w:eastAsia="宋体" w:hint="default"/>
                <w:sz w:val="18"/>
                <w:szCs w:val="18"/>
              </w:rPr>
              <w:t>王卫</w:t>
            </w:r>
            <w:r>
              <w:rPr>
                <w:rFonts w:ascii="Times New Roman" w:hAnsi="Times New Roman" w:cs="Times New Roman" w:eastAsia="Times New Roman" w:hint="default"/>
                <w:sz w:val="18"/>
                <w:szCs w:val="18"/>
              </w:rPr>
              <w:t>;</w:t>
            </w:r>
            <w:r>
              <w:rPr>
                <w:rFonts w:ascii="宋体" w:hAnsi="宋体" w:cs="宋体" w:eastAsia="宋体" w:hint="default"/>
                <w:sz w:val="18"/>
                <w:szCs w:val="18"/>
              </w:rPr>
              <w:t>王 杏才</w:t>
            </w:r>
            <w:r>
              <w:rPr>
                <w:rFonts w:ascii="Times New Roman" w:hAnsi="Times New Roman" w:cs="Times New Roman" w:eastAsia="Times New Roman" w:hint="default"/>
                <w:sz w:val="18"/>
                <w:szCs w:val="18"/>
              </w:rPr>
              <w:t>;</w:t>
            </w:r>
            <w:r>
              <w:rPr>
                <w:rFonts w:ascii="宋体" w:hAnsi="宋体" w:cs="宋体" w:eastAsia="宋体" w:hint="default"/>
                <w:sz w:val="18"/>
                <w:szCs w:val="18"/>
              </w:rPr>
              <w:t>夏传武</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4"/>
              <w:ind w:left="30" w:right="133"/>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年度非 公开发行股 份上市之日</w:t>
            </w:r>
          </w:p>
          <w:p>
            <w:pPr>
              <w:pStyle w:val="TableParagraph"/>
              <w:spacing w:line="312" w:lineRule="auto" w:before="36"/>
              <w:ind w:left="30" w:right="134"/>
              <w:jc w:val="both"/>
              <w:rPr>
                <w:rFonts w:ascii="宋体" w:hAnsi="宋体" w:cs="宋体" w:eastAsia="宋体" w:hint="default"/>
                <w:sz w:val="18"/>
                <w:szCs w:val="18"/>
              </w:rPr>
            </w:pPr>
            <w:r>
              <w:rPr>
                <w:rFonts w:ascii="宋体" w:hAnsi="宋体" w:cs="宋体" w:eastAsia="宋体" w:hint="default"/>
                <w:sz w:val="18"/>
                <w:szCs w:val="18"/>
              </w:rPr>
              <w:t>起三十六个 月内本人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公司承诺不</w:t>
            </w:r>
          </w:p>
          <w:p>
            <w:pPr>
              <w:pStyle w:val="TableParagraph"/>
              <w:spacing w:line="321"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转让本次非 公开发行所 认购的股份。</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90" w:lineRule="auto" w:before="51"/>
              <w:ind w:left="15"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日履 行完毕。</w:t>
            </w:r>
          </w:p>
        </w:tc>
      </w:tr>
      <w:tr>
        <w:trPr>
          <w:trHeight w:val="7281" w:hRule="exact"/>
        </w:trPr>
        <w:tc>
          <w:tcPr>
            <w:tcW w:w="2839" w:type="dxa"/>
            <w:vMerge/>
            <w:tcBorders>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88" w:lineRule="auto"/>
              <w:ind w:left="30" w:right="134"/>
              <w:jc w:val="left"/>
              <w:rPr>
                <w:rFonts w:ascii="宋体" w:hAnsi="宋体" w:cs="宋体" w:eastAsia="宋体" w:hint="default"/>
                <w:sz w:val="18"/>
                <w:szCs w:val="18"/>
              </w:rPr>
            </w:pPr>
            <w:r>
              <w:rPr>
                <w:rFonts w:ascii="宋体" w:hAnsi="宋体" w:cs="宋体" w:eastAsia="宋体" w:hint="default"/>
                <w:sz w:val="18"/>
                <w:szCs w:val="18"/>
              </w:rPr>
              <w:t>夏传武</w:t>
            </w:r>
            <w:r>
              <w:rPr>
                <w:rFonts w:ascii="Times New Roman" w:hAnsi="Times New Roman" w:cs="Times New Roman" w:eastAsia="Times New Roman" w:hint="default"/>
                <w:sz w:val="18"/>
                <w:szCs w:val="18"/>
              </w:rPr>
              <w:t>;</w:t>
            </w:r>
            <w:r>
              <w:rPr>
                <w:rFonts w:ascii="宋体" w:hAnsi="宋体" w:cs="宋体" w:eastAsia="宋体" w:hint="default"/>
                <w:sz w:val="18"/>
                <w:szCs w:val="18"/>
              </w:rPr>
              <w:t>魏代 英</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21" w:lineRule="auto"/>
              <w:ind w:left="29" w:right="17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3"/>
              <w:jc w:val="left"/>
              <w:rPr>
                <w:rFonts w:ascii="宋体" w:hAnsi="宋体" w:cs="宋体" w:eastAsia="宋体" w:hint="default"/>
                <w:sz w:val="18"/>
                <w:szCs w:val="18"/>
              </w:rPr>
            </w:pPr>
            <w:r>
              <w:rPr>
                <w:rFonts w:ascii="宋体" w:hAnsi="宋体" w:cs="宋体" w:eastAsia="宋体" w:hint="default"/>
                <w:sz w:val="18"/>
                <w:szCs w:val="18"/>
              </w:rPr>
              <w:t>自股票上市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 </w:t>
            </w:r>
            <w:r>
              <w:rPr>
                <w:rFonts w:ascii="宋体" w:hAnsi="宋体" w:cs="宋体" w:eastAsia="宋体" w:hint="default"/>
                <w:spacing w:val="-3"/>
                <w:sz w:val="18"/>
                <w:szCs w:val="18"/>
              </w:rPr>
              <w:t>月内，不转让</w:t>
            </w:r>
          </w:p>
          <w:p>
            <w:pPr>
              <w:pStyle w:val="TableParagraph"/>
              <w:spacing w:line="316" w:lineRule="auto" w:before="31"/>
              <w:ind w:left="30" w:right="0"/>
              <w:jc w:val="left"/>
              <w:rPr>
                <w:rFonts w:ascii="宋体" w:hAnsi="宋体" w:cs="宋体" w:eastAsia="宋体" w:hint="default"/>
                <w:sz w:val="18"/>
                <w:szCs w:val="18"/>
              </w:rPr>
            </w:pPr>
            <w:r>
              <w:rPr>
                <w:rFonts w:ascii="宋体" w:hAnsi="宋体" w:cs="宋体" w:eastAsia="宋体" w:hint="default"/>
                <w:sz w:val="18"/>
                <w:szCs w:val="18"/>
              </w:rPr>
              <w:t>或者委托他 人管理其直 接和间接持 有的公司股 </w:t>
            </w:r>
            <w:r>
              <w:rPr>
                <w:rFonts w:ascii="宋体" w:hAnsi="宋体" w:cs="宋体" w:eastAsia="宋体" w:hint="default"/>
                <w:spacing w:val="-3"/>
                <w:sz w:val="18"/>
                <w:szCs w:val="18"/>
              </w:rPr>
              <w:t>份，也不由公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司收购该部 </w:t>
            </w:r>
            <w:r>
              <w:rPr>
                <w:rFonts w:ascii="宋体" w:hAnsi="宋体" w:cs="宋体" w:eastAsia="宋体" w:hint="default"/>
                <w:spacing w:val="-3"/>
                <w:sz w:val="18"/>
                <w:szCs w:val="18"/>
              </w:rPr>
              <w:t>分股份。前述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限售期满后， 其所持发行 人股份在其 任职期间每 年转让的比 例不超过所 持股份总数</w:t>
            </w:r>
          </w:p>
          <w:p>
            <w:pPr>
              <w:pStyle w:val="TableParagraph"/>
              <w:spacing w:line="312" w:lineRule="auto" w:before="37"/>
              <w:ind w:left="30" w:right="13"/>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25%</w:t>
            </w:r>
            <w:r>
              <w:rPr>
                <w:rFonts w:ascii="宋体" w:hAnsi="宋体" w:cs="宋体" w:eastAsia="宋体" w:hint="default"/>
                <w:spacing w:val="-6"/>
                <w:sz w:val="18"/>
                <w:szCs w:val="18"/>
              </w:rPr>
              <w:t>；其所</w:t>
            </w:r>
            <w:r>
              <w:rPr>
                <w:rFonts w:ascii="宋体" w:hAnsi="宋体" w:cs="宋体" w:eastAsia="宋体" w:hint="default"/>
                <w:sz w:val="18"/>
                <w:szCs w:val="18"/>
              </w:rPr>
              <w:t> 持发行人股 份在其离职 后法规规定 的限售期内 不转让。</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4" w:lineRule="auto"/>
              <w:ind w:left="30" w:right="14"/>
              <w:jc w:val="left"/>
              <w:rPr>
                <w:rFonts w:ascii="宋体" w:hAnsi="宋体" w:cs="宋体" w:eastAsia="宋体" w:hint="default"/>
                <w:sz w:val="18"/>
                <w:szCs w:val="18"/>
              </w:rPr>
            </w:pPr>
            <w:r>
              <w:rPr>
                <w:rFonts w:ascii="宋体" w:hAnsi="宋体" w:cs="宋体" w:eastAsia="宋体" w:hint="default"/>
                <w:sz w:val="18"/>
                <w:szCs w:val="18"/>
              </w:rPr>
              <w:t>在其任职期 间及离职后 法规规定的 </w:t>
            </w:r>
            <w:r>
              <w:rPr>
                <w:rFonts w:ascii="宋体" w:hAnsi="宋体" w:cs="宋体" w:eastAsia="宋体" w:hint="default"/>
                <w:spacing w:val="-3"/>
                <w:sz w:val="18"/>
                <w:szCs w:val="18"/>
              </w:rPr>
              <w:t>限售期内，该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承诺持续有 效。</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4" w:lineRule="auto"/>
              <w:ind w:left="15" w:right="33"/>
              <w:jc w:val="left"/>
              <w:rPr>
                <w:rFonts w:ascii="宋体" w:hAnsi="宋体" w:cs="宋体" w:eastAsia="宋体" w:hint="default"/>
                <w:sz w:val="18"/>
                <w:szCs w:val="18"/>
              </w:rPr>
            </w:pPr>
            <w:r>
              <w:rPr>
                <w:rFonts w:ascii="宋体" w:hAnsi="宋体" w:cs="宋体" w:eastAsia="宋体" w:hint="default"/>
                <w:spacing w:val="-6"/>
                <w:sz w:val="18"/>
                <w:szCs w:val="18"/>
              </w:rPr>
              <w:t>报告期内，承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诺人未有违 反承诺的情 </w:t>
            </w:r>
            <w:r>
              <w:rPr>
                <w:rFonts w:ascii="宋体" w:hAnsi="宋体" w:cs="宋体" w:eastAsia="宋体" w:hint="default"/>
                <w:spacing w:val="-6"/>
                <w:sz w:val="18"/>
                <w:szCs w:val="18"/>
              </w:rPr>
              <w:t>况，该承诺事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项正在履行 中。</w:t>
            </w:r>
          </w:p>
        </w:tc>
      </w:tr>
      <w:tr>
        <w:trPr>
          <w:trHeight w:val="3168"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90" w:lineRule="auto"/>
              <w:ind w:left="30" w:right="134"/>
              <w:jc w:val="left"/>
              <w:rPr>
                <w:rFonts w:ascii="宋体" w:hAnsi="宋体" w:cs="宋体" w:eastAsia="宋体" w:hint="default"/>
                <w:sz w:val="18"/>
                <w:szCs w:val="18"/>
              </w:rPr>
            </w:pPr>
            <w:r>
              <w:rPr>
                <w:rFonts w:ascii="宋体" w:hAnsi="宋体" w:cs="宋体" w:eastAsia="宋体" w:hint="default"/>
                <w:sz w:val="18"/>
                <w:szCs w:val="18"/>
              </w:rPr>
              <w:t>胡爱武</w:t>
            </w:r>
            <w:r>
              <w:rPr>
                <w:rFonts w:ascii="Times New Roman" w:hAnsi="Times New Roman" w:cs="Times New Roman" w:eastAsia="Times New Roman" w:hint="default"/>
                <w:sz w:val="18"/>
                <w:szCs w:val="18"/>
              </w:rPr>
              <w:t>;</w:t>
            </w:r>
            <w:r>
              <w:rPr>
                <w:rFonts w:ascii="宋体" w:hAnsi="宋体" w:cs="宋体" w:eastAsia="宋体" w:hint="default"/>
                <w:sz w:val="18"/>
                <w:szCs w:val="18"/>
              </w:rPr>
              <w:t>魏代 英</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9" w:right="14"/>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3"/>
                <w:sz w:val="18"/>
                <w:szCs w:val="18"/>
              </w:rPr>
              <w:t>易、资金占用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方面的承诺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30" w:right="13"/>
              <w:jc w:val="left"/>
              <w:rPr>
                <w:rFonts w:ascii="宋体" w:hAnsi="宋体" w:cs="宋体" w:eastAsia="宋体" w:hint="default"/>
                <w:sz w:val="18"/>
                <w:szCs w:val="18"/>
              </w:rPr>
            </w:pPr>
            <w:r>
              <w:rPr>
                <w:rFonts w:ascii="宋体" w:hAnsi="宋体" w:cs="宋体" w:eastAsia="宋体" w:hint="default"/>
                <w:sz w:val="18"/>
                <w:szCs w:val="18"/>
              </w:rPr>
              <w:t>本人及本人 近亲属在本 人任职期间 及离职后半 </w:t>
            </w:r>
            <w:r>
              <w:rPr>
                <w:rFonts w:ascii="宋体" w:hAnsi="宋体" w:cs="宋体" w:eastAsia="宋体" w:hint="default"/>
                <w:spacing w:val="-3"/>
                <w:sz w:val="18"/>
                <w:szCs w:val="18"/>
              </w:rPr>
              <w:t>年内，不从事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自营或为他 人经营与公 司同类的业 </w:t>
            </w:r>
            <w:r>
              <w:rPr>
                <w:rFonts w:ascii="宋体" w:hAnsi="宋体" w:cs="宋体" w:eastAsia="宋体" w:hint="default"/>
                <w:spacing w:val="-3"/>
                <w:sz w:val="18"/>
                <w:szCs w:val="18"/>
              </w:rPr>
              <w:t>务，也不从事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与公司利益</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4" w:lineRule="auto"/>
              <w:ind w:left="30" w:right="1"/>
              <w:jc w:val="left"/>
              <w:rPr>
                <w:rFonts w:ascii="宋体" w:hAnsi="宋体" w:cs="宋体" w:eastAsia="宋体" w:hint="default"/>
                <w:sz w:val="18"/>
                <w:szCs w:val="18"/>
              </w:rPr>
            </w:pPr>
            <w:r>
              <w:rPr>
                <w:rFonts w:ascii="宋体" w:hAnsi="宋体" w:cs="宋体" w:eastAsia="宋体" w:hint="default"/>
                <w:sz w:val="18"/>
                <w:szCs w:val="18"/>
              </w:rPr>
              <w:t>在其任职期 间及离职后 半年内有效。</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15" w:right="33"/>
              <w:jc w:val="left"/>
              <w:rPr>
                <w:rFonts w:ascii="宋体" w:hAnsi="宋体" w:cs="宋体" w:eastAsia="宋体" w:hint="default"/>
                <w:sz w:val="18"/>
                <w:szCs w:val="18"/>
              </w:rPr>
            </w:pPr>
            <w:r>
              <w:rPr>
                <w:rFonts w:ascii="宋体" w:hAnsi="宋体" w:cs="宋体" w:eastAsia="宋体" w:hint="default"/>
                <w:spacing w:val="-6"/>
                <w:sz w:val="18"/>
                <w:szCs w:val="18"/>
              </w:rPr>
              <w:t>报告期内。承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诺人未有违 反承诺的情 </w:t>
            </w:r>
            <w:r>
              <w:rPr>
                <w:rFonts w:ascii="宋体" w:hAnsi="宋体" w:cs="宋体" w:eastAsia="宋体" w:hint="default"/>
                <w:spacing w:val="-6"/>
                <w:sz w:val="18"/>
                <w:szCs w:val="18"/>
              </w:rPr>
              <w:t>况，该承诺正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在履行中。</w:t>
            </w:r>
          </w:p>
        </w:tc>
      </w:tr>
    </w:tbl>
    <w:p>
      <w:pPr>
        <w:spacing w:after="0" w:line="316"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361.950012pt;margin-top:422.619995pt;width:62.35pt;height:280.75pt;mso-position-horizontal-relative:page;mso-position-vertical-relative:page;z-index:-12692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6"/>
                      <w:szCs w:val="26"/>
                    </w:rPr>
                  </w:pPr>
                </w:p>
                <w:p>
                  <w:pPr>
                    <w:pStyle w:val="BodyText"/>
                    <w:spacing w:line="240" w:lineRule="auto"/>
                    <w:ind w:left="0" w:right="0"/>
                    <w:jc w:val="left"/>
                  </w:pPr>
                  <w:r>
                    <w:rPr/>
                    <w:t>、</w:t>
                  </w:r>
                </w:p>
              </w:txbxContent>
            </v:textbox>
            <w10:wrap type="none"/>
          </v:shape>
        </w:pict>
      </w:r>
      <w:r>
        <w:rPr/>
        <w:pict>
          <v:group style="position:absolute;margin-left:367.950012pt;margin-top:422.619995pt;width:56.35pt;height:280.75pt;mso-position-horizontal-relative:page;mso-position-vertical-relative:page;z-index:-1269232" coordorigin="7359,8452" coordsize="1127,5615">
            <v:shape style="position:absolute;left:7359;top:8452;width:1127;height:5615" coordorigin="7359,8452" coordsize="1127,5615" path="m7359,14067l8486,14067,8486,8452,7359,8452,7359,14067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675"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30" w:right="178"/>
              <w:jc w:val="left"/>
              <w:rPr>
                <w:rFonts w:ascii="宋体" w:hAnsi="宋体" w:cs="宋体" w:eastAsia="宋体" w:hint="default"/>
                <w:sz w:val="18"/>
                <w:szCs w:val="18"/>
              </w:rPr>
            </w:pPr>
            <w:r>
              <w:rPr>
                <w:rFonts w:ascii="宋体" w:hAnsi="宋体" w:cs="宋体" w:eastAsia="宋体" w:hint="default"/>
                <w:sz w:val="18"/>
                <w:szCs w:val="18"/>
              </w:rPr>
              <w:t>发生冲突的 对外投资。</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11950" w:hRule="exact"/>
        </w:trPr>
        <w:tc>
          <w:tcPr>
            <w:tcW w:w="2839" w:type="dxa"/>
            <w:vMerge/>
            <w:tcBorders>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9" w:right="14"/>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3"/>
                <w:sz w:val="18"/>
                <w:szCs w:val="18"/>
              </w:rPr>
              <w:t>易、资金占用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方面的承诺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30"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、本人将不 在中国境内 外以任何方</w:t>
            </w:r>
          </w:p>
          <w:p>
            <w:pPr>
              <w:pStyle w:val="TableParagraph"/>
              <w:spacing w:line="319"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式直接或间 接从事或参 与任何与公 </w:t>
            </w:r>
            <w:r>
              <w:rPr>
                <w:rFonts w:ascii="宋体" w:hAnsi="宋体" w:cs="宋体" w:eastAsia="宋体" w:hint="default"/>
                <w:spacing w:val="-3"/>
                <w:sz w:val="18"/>
                <w:szCs w:val="18"/>
              </w:rPr>
              <w:t>司相同、相似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或在商业上 构成任何竞 争的业务及 </w:t>
            </w:r>
            <w:r>
              <w:rPr>
                <w:rFonts w:ascii="宋体" w:hAnsi="宋体" w:cs="宋体" w:eastAsia="宋体" w:hint="default"/>
                <w:spacing w:val="-3"/>
                <w:sz w:val="18"/>
                <w:szCs w:val="18"/>
              </w:rPr>
              <w:t>活动，或拥有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与公司存在 竞争关系的 任何经济实 体、机构、经 济组织的权 </w:t>
            </w:r>
            <w:r>
              <w:rPr>
                <w:rFonts w:ascii="宋体" w:hAnsi="宋体" w:cs="宋体" w:eastAsia="宋体" w:hint="default"/>
                <w:spacing w:val="-3"/>
                <w:sz w:val="18"/>
                <w:szCs w:val="18"/>
              </w:rPr>
              <w:t>益，或以其他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任何形式取 得该经济实 体、机构、经 济组织的控 </w:t>
            </w:r>
            <w:r>
              <w:rPr>
                <w:rFonts w:ascii="宋体" w:hAnsi="宋体" w:cs="宋体" w:eastAsia="宋体" w:hint="default"/>
                <w:spacing w:val="-3"/>
                <w:sz w:val="18"/>
                <w:szCs w:val="18"/>
              </w:rPr>
              <w:t>制权，或在该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经济实体、机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构、经济组织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中担任高级 管理人员或 核心技术人 员。</w:t>
            </w:r>
            <w:r>
              <w:rPr>
                <w:rFonts w:ascii="Times New Roman" w:hAnsi="Times New Roman" w:cs="Times New Roman" w:eastAsia="Times New Roman" w:hint="default"/>
                <w:sz w:val="18"/>
                <w:szCs w:val="18"/>
              </w:rPr>
              <w:t>2</w:t>
            </w:r>
            <w:r>
              <w:rPr>
                <w:rFonts w:ascii="宋体" w:hAnsi="宋体" w:cs="宋体" w:eastAsia="宋体" w:hint="default"/>
                <w:sz w:val="18"/>
                <w:szCs w:val="18"/>
              </w:rPr>
              <w:t>、本人</w:t>
            </w:r>
          </w:p>
          <w:p>
            <w:pPr>
              <w:pStyle w:val="TableParagraph"/>
              <w:spacing w:line="221" w:lineRule="exact"/>
              <w:ind w:left="30" w:right="0"/>
              <w:jc w:val="left"/>
              <w:rPr>
                <w:rFonts w:ascii="宋体" w:hAnsi="宋体" w:cs="宋体" w:eastAsia="宋体" w:hint="default"/>
                <w:sz w:val="18"/>
                <w:szCs w:val="18"/>
              </w:rPr>
            </w:pPr>
            <w:r>
              <w:rPr>
                <w:rFonts w:ascii="宋体" w:hAnsi="宋体" w:cs="宋体" w:eastAsia="宋体" w:hint="default"/>
                <w:sz w:val="18"/>
                <w:szCs w:val="18"/>
              </w:rPr>
              <w:t>在作为公司</w:t>
            </w:r>
          </w:p>
          <w:p>
            <w:pPr>
              <w:pStyle w:val="TableParagraph"/>
              <w:spacing w:line="321" w:lineRule="auto" w:before="64"/>
              <w:ind w:left="30" w:right="13"/>
              <w:jc w:val="left"/>
              <w:rPr>
                <w:rFonts w:ascii="宋体" w:hAnsi="宋体" w:cs="宋体" w:eastAsia="宋体" w:hint="default"/>
                <w:sz w:val="18"/>
                <w:szCs w:val="18"/>
              </w:rPr>
            </w:pPr>
            <w:r>
              <w:rPr>
                <w:rFonts w:ascii="宋体" w:hAnsi="宋体" w:cs="宋体" w:eastAsia="宋体" w:hint="default"/>
                <w:sz w:val="18"/>
                <w:szCs w:val="18"/>
              </w:rPr>
              <w:t>实际控制人 </w:t>
            </w:r>
            <w:r>
              <w:rPr>
                <w:rFonts w:ascii="宋体" w:hAnsi="宋体" w:cs="宋体" w:eastAsia="宋体" w:hint="default"/>
                <w:spacing w:val="-3"/>
                <w:sz w:val="18"/>
                <w:szCs w:val="18"/>
              </w:rPr>
              <w:t>期间，本承诺</w:t>
            </w:r>
          </w:p>
          <w:p>
            <w:pPr>
              <w:pStyle w:val="TableParagraph"/>
              <w:spacing w:line="312" w:lineRule="auto" w:before="33"/>
              <w:ind w:left="30" w:right="104"/>
              <w:jc w:val="left"/>
              <w:rPr>
                <w:rFonts w:ascii="宋体" w:hAnsi="宋体" w:cs="宋体" w:eastAsia="宋体" w:hint="default"/>
                <w:sz w:val="18"/>
                <w:szCs w:val="18"/>
              </w:rPr>
            </w:pPr>
            <w:r>
              <w:rPr>
                <w:rFonts w:ascii="宋体" w:hAnsi="宋体" w:cs="宋体" w:eastAsia="宋体" w:hint="default"/>
                <w:spacing w:val="-3"/>
                <w:sz w:val="18"/>
                <w:szCs w:val="18"/>
              </w:rPr>
              <w:t>持续有效。</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本人愿意承 担因违反上 述承诺而给 公司造成的 全部经济损</w:t>
            </w:r>
          </w:p>
          <w:p>
            <w:pPr>
              <w:pStyle w:val="TableParagraph"/>
              <w:spacing w:line="240" w:lineRule="auto" w:before="26"/>
              <w:ind w:left="30" w:right="0"/>
              <w:jc w:val="left"/>
              <w:rPr>
                <w:rFonts w:ascii="宋体" w:hAnsi="宋体" w:cs="宋体" w:eastAsia="宋体" w:hint="default"/>
                <w:sz w:val="18"/>
                <w:szCs w:val="18"/>
              </w:rPr>
            </w:pPr>
            <w:r>
              <w:rPr>
                <w:rFonts w:ascii="宋体" w:hAnsi="宋体" w:cs="宋体" w:eastAsia="宋体" w:hint="default"/>
                <w:sz w:val="18"/>
                <w:szCs w:val="18"/>
              </w:rPr>
              <w:t>失。</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30" w:right="14"/>
              <w:jc w:val="left"/>
              <w:rPr>
                <w:rFonts w:ascii="宋体" w:hAnsi="宋体" w:cs="宋体" w:eastAsia="宋体" w:hint="default"/>
                <w:sz w:val="18"/>
                <w:szCs w:val="18"/>
              </w:rPr>
            </w:pPr>
            <w:r>
              <w:rPr>
                <w:rFonts w:ascii="宋体" w:hAnsi="宋体" w:cs="宋体" w:eastAsia="宋体" w:hint="default"/>
                <w:sz w:val="18"/>
                <w:szCs w:val="18"/>
              </w:rPr>
              <w:t>在作为公司 实际控制人 </w:t>
            </w:r>
            <w:r>
              <w:rPr>
                <w:rFonts w:ascii="宋体" w:hAnsi="宋体" w:cs="宋体" w:eastAsia="宋体" w:hint="default"/>
                <w:spacing w:val="-3"/>
                <w:sz w:val="18"/>
                <w:szCs w:val="18"/>
              </w:rPr>
              <w:t>期间，该承诺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持续有效。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15" w:right="29"/>
              <w:jc w:val="left"/>
              <w:rPr>
                <w:rFonts w:ascii="宋体" w:hAnsi="宋体" w:cs="宋体" w:eastAsia="宋体" w:hint="default"/>
                <w:sz w:val="18"/>
                <w:szCs w:val="18"/>
              </w:rPr>
            </w:pPr>
            <w:r>
              <w:rPr>
                <w:rFonts w:ascii="宋体" w:hAnsi="宋体" w:cs="宋体" w:eastAsia="宋体" w:hint="default"/>
                <w:spacing w:val="-6"/>
                <w:sz w:val="18"/>
                <w:szCs w:val="18"/>
              </w:rPr>
              <w:t>报告期内，承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诺人未有违 反承诺的情 </w:t>
            </w:r>
            <w:r>
              <w:rPr>
                <w:rFonts w:ascii="宋体" w:hAnsi="宋体" w:cs="宋体" w:eastAsia="宋体" w:hint="default"/>
                <w:spacing w:val="-6"/>
                <w:sz w:val="18"/>
                <w:szCs w:val="18"/>
              </w:rPr>
              <w:t>况，该承诺正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在履行中。</w:t>
            </w:r>
          </w:p>
        </w:tc>
      </w:tr>
      <w:tr>
        <w:trPr>
          <w:trHeight w:val="1306"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刘宇宽</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29" w:right="14"/>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3"/>
                <w:sz w:val="18"/>
                <w:szCs w:val="18"/>
              </w:rPr>
              <w:t>易、资金占用</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180"/>
              <w:jc w:val="both"/>
              <w:rPr>
                <w:rFonts w:ascii="宋体" w:hAnsi="宋体" w:cs="宋体" w:eastAsia="宋体" w:hint="default"/>
                <w:sz w:val="18"/>
                <w:szCs w:val="18"/>
              </w:rPr>
            </w:pPr>
            <w:r>
              <w:rPr>
                <w:rFonts w:ascii="宋体" w:hAnsi="宋体" w:cs="宋体" w:eastAsia="宋体" w:hint="default"/>
                <w:sz w:val="18"/>
                <w:szCs w:val="18"/>
              </w:rPr>
              <w:t>本人及本人 近亲属在本 人任职期间 及离职后半</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4" w:lineRule="auto"/>
              <w:ind w:left="30" w:right="1"/>
              <w:jc w:val="left"/>
              <w:rPr>
                <w:rFonts w:ascii="宋体" w:hAnsi="宋体" w:cs="宋体" w:eastAsia="宋体" w:hint="default"/>
                <w:sz w:val="18"/>
                <w:szCs w:val="18"/>
              </w:rPr>
            </w:pPr>
            <w:r>
              <w:rPr>
                <w:rFonts w:ascii="宋体" w:hAnsi="宋体" w:cs="宋体" w:eastAsia="宋体" w:hint="default"/>
                <w:sz w:val="18"/>
                <w:szCs w:val="18"/>
              </w:rPr>
              <w:t>在其任职期 间及离职后 半年内有效。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29"/>
              <w:jc w:val="left"/>
              <w:rPr>
                <w:rFonts w:ascii="宋体" w:hAnsi="宋体" w:cs="宋体" w:eastAsia="宋体" w:hint="default"/>
                <w:sz w:val="18"/>
                <w:szCs w:val="18"/>
              </w:rPr>
            </w:pPr>
            <w:r>
              <w:rPr>
                <w:rFonts w:ascii="宋体" w:hAnsi="宋体" w:cs="宋体" w:eastAsia="宋体" w:hint="default"/>
                <w:spacing w:val="-6"/>
                <w:sz w:val="18"/>
                <w:szCs w:val="18"/>
              </w:rPr>
              <w:t>报告期内，承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诺人未有违 反承诺的情 </w:t>
            </w:r>
            <w:r>
              <w:rPr>
                <w:rFonts w:ascii="宋体" w:hAnsi="宋体" w:cs="宋体" w:eastAsia="宋体" w:hint="default"/>
                <w:spacing w:val="-6"/>
                <w:sz w:val="18"/>
                <w:szCs w:val="18"/>
              </w:rPr>
              <w:t>况，该承诺正</w:t>
            </w:r>
          </w:p>
        </w:tc>
      </w:tr>
    </w:tbl>
    <w:p>
      <w:pPr>
        <w:spacing w:after="0" w:line="316"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839"/>
        <w:gridCol w:w="1127"/>
        <w:gridCol w:w="1126"/>
        <w:gridCol w:w="1126"/>
        <w:gridCol w:w="1126"/>
        <w:gridCol w:w="1127"/>
        <w:gridCol w:w="1111"/>
      </w:tblGrid>
      <w:tr>
        <w:trPr>
          <w:trHeight w:val="2552" w:hRule="exact"/>
        </w:trPr>
        <w:tc>
          <w:tcPr>
            <w:tcW w:w="2839" w:type="dxa"/>
            <w:vMerge w:val="restart"/>
            <w:tcBorders>
              <w:top w:val="single" w:sz="6" w:space="0" w:color="000000"/>
              <w:left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9"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30" w:right="13"/>
              <w:jc w:val="left"/>
              <w:rPr>
                <w:rFonts w:ascii="宋体" w:hAnsi="宋体" w:cs="宋体" w:eastAsia="宋体" w:hint="default"/>
                <w:sz w:val="18"/>
                <w:szCs w:val="18"/>
              </w:rPr>
            </w:pPr>
            <w:r>
              <w:rPr>
                <w:rFonts w:ascii="宋体" w:hAnsi="宋体" w:cs="宋体" w:eastAsia="宋体" w:hint="default"/>
                <w:spacing w:val="-3"/>
                <w:sz w:val="18"/>
                <w:szCs w:val="18"/>
              </w:rPr>
              <w:t>年内，不从事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自营或为他 人经营与公 司同类的业 </w:t>
            </w:r>
            <w:r>
              <w:rPr>
                <w:rFonts w:ascii="宋体" w:hAnsi="宋体" w:cs="宋体" w:eastAsia="宋体" w:hint="default"/>
                <w:spacing w:val="-3"/>
                <w:sz w:val="18"/>
                <w:szCs w:val="18"/>
              </w:rPr>
              <w:t>务，也不从事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与公司利益 发生冲突的 对外投资。</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在履行中。</w:t>
            </w:r>
          </w:p>
        </w:tc>
      </w:tr>
      <w:tr>
        <w:trPr>
          <w:trHeight w:val="6651" w:hRule="exact"/>
        </w:trPr>
        <w:tc>
          <w:tcPr>
            <w:tcW w:w="2839" w:type="dxa"/>
            <w:vMerge/>
            <w:tcBorders>
              <w:left w:val="single" w:sz="6" w:space="0" w:color="000000"/>
              <w:bottom w:val="single" w:sz="6" w:space="0" w:color="000000"/>
              <w:right w:val="single" w:sz="6" w:space="0" w:color="000000"/>
            </w:tcBorders>
            <w:shd w:val="clear" w:color="auto" w:fill="D2D2D2"/>
          </w:tcPr>
          <w:p>
            <w:pP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6" w:lineRule="auto"/>
              <w:ind w:left="30" w:right="1"/>
              <w:jc w:val="left"/>
              <w:rPr>
                <w:rFonts w:ascii="宋体" w:hAnsi="宋体" w:cs="宋体" w:eastAsia="宋体" w:hint="default"/>
                <w:sz w:val="18"/>
                <w:szCs w:val="18"/>
              </w:rPr>
            </w:pPr>
            <w:r>
              <w:rPr>
                <w:rFonts w:ascii="宋体" w:hAnsi="宋体" w:cs="宋体" w:eastAsia="宋体" w:hint="default"/>
                <w:sz w:val="18"/>
                <w:szCs w:val="18"/>
              </w:rPr>
              <w:t>陈新民、程 利、程文、董 海军、冯健、 李超、李彤 彤、田昱、王 杏才、魏代 英、魏敢、夏 传武、袁军、 </w:t>
            </w:r>
            <w:r>
              <w:rPr>
                <w:rFonts w:ascii="宋体" w:hAnsi="宋体" w:cs="宋体" w:eastAsia="宋体" w:hint="default"/>
                <w:spacing w:val="-3"/>
                <w:sz w:val="18"/>
                <w:szCs w:val="18"/>
              </w:rPr>
              <w:t>周鲁平、周诗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红</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29"/>
              <w:ind w:left="30"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若税收主管 部门对股份 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p>
          <w:p>
            <w:pPr>
              <w:pStyle w:val="TableParagraph"/>
              <w:spacing w:line="226" w:lineRule="exact"/>
              <w:ind w:left="3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日至本次</w:t>
            </w:r>
          </w:p>
          <w:p>
            <w:pPr>
              <w:pStyle w:val="TableParagraph"/>
              <w:spacing w:line="321" w:lineRule="auto" w:before="51"/>
              <w:ind w:left="30"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公开发行完 成之日期间 已经享受的 企业所得税 减免款进行 </w:t>
            </w:r>
            <w:r>
              <w:rPr>
                <w:rFonts w:ascii="宋体" w:hAnsi="宋体" w:cs="宋体" w:eastAsia="宋体" w:hint="default"/>
                <w:spacing w:val="-3"/>
                <w:sz w:val="18"/>
                <w:szCs w:val="18"/>
              </w:rPr>
              <w:t>追缴，将以现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金方式，按股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份公司本次 公开发行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p>
            <w:pPr>
              <w:pStyle w:val="TableParagraph"/>
              <w:spacing w:line="204" w:lineRule="exact"/>
              <w:ind w:left="30" w:right="0"/>
              <w:jc w:val="left"/>
              <w:rPr>
                <w:rFonts w:ascii="宋体" w:hAnsi="宋体" w:cs="宋体" w:eastAsia="宋体" w:hint="default"/>
                <w:sz w:val="18"/>
                <w:szCs w:val="18"/>
              </w:rPr>
            </w:pPr>
            <w:r>
              <w:rPr>
                <w:rFonts w:ascii="宋体" w:hAnsi="宋体" w:cs="宋体" w:eastAsia="宋体" w:hint="default"/>
                <w:sz w:val="18"/>
                <w:szCs w:val="18"/>
              </w:rPr>
              <w:t>股前的持股</w:t>
            </w:r>
          </w:p>
          <w:p>
            <w:pPr>
              <w:pStyle w:val="TableParagraph"/>
              <w:spacing w:line="319" w:lineRule="auto" w:before="79"/>
              <w:ind w:left="30" w:right="13"/>
              <w:jc w:val="left"/>
              <w:rPr>
                <w:rFonts w:ascii="宋体" w:hAnsi="宋体" w:cs="宋体" w:eastAsia="宋体" w:hint="default"/>
                <w:sz w:val="18"/>
                <w:szCs w:val="18"/>
              </w:rPr>
            </w:pPr>
            <w:r>
              <w:rPr>
                <w:rFonts w:ascii="宋体" w:hAnsi="宋体" w:cs="宋体" w:eastAsia="宋体" w:hint="default"/>
                <w:spacing w:val="-3"/>
                <w:sz w:val="18"/>
                <w:szCs w:val="18"/>
              </w:rPr>
              <w:t>比例，全额承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担股份上述 期间应补交 的税款及因 此所产生的 所有相关费 用。</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51"/>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15" w:right="29"/>
              <w:jc w:val="left"/>
              <w:rPr>
                <w:rFonts w:ascii="宋体" w:hAnsi="宋体" w:cs="宋体" w:eastAsia="宋体" w:hint="default"/>
                <w:sz w:val="18"/>
                <w:szCs w:val="18"/>
              </w:rPr>
            </w:pPr>
            <w:r>
              <w:rPr>
                <w:rFonts w:ascii="宋体" w:hAnsi="宋体" w:cs="宋体" w:eastAsia="宋体" w:hint="default"/>
                <w:spacing w:val="-6"/>
                <w:sz w:val="18"/>
                <w:szCs w:val="18"/>
              </w:rPr>
              <w:t>报告期内，承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诺人未有违 反承诺的情 </w:t>
            </w:r>
            <w:r>
              <w:rPr>
                <w:rFonts w:ascii="宋体" w:hAnsi="宋体" w:cs="宋体" w:eastAsia="宋体" w:hint="default"/>
                <w:spacing w:val="-6"/>
                <w:sz w:val="18"/>
                <w:szCs w:val="18"/>
              </w:rPr>
              <w:t>况，该承诺正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在履行中。</w:t>
            </w:r>
          </w:p>
        </w:tc>
      </w:tr>
      <w:tr>
        <w:trPr>
          <w:trHeight w:val="390"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7"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single" w:sz="6" w:space="0" w:color="000000"/>
            </w:tcBorders>
          </w:tcPr>
          <w:p>
            <w:pPr/>
          </w:p>
        </w:tc>
        <w:tc>
          <w:tcPr>
            <w:tcW w:w="111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1" w:hRule="exact"/>
        </w:trPr>
        <w:tc>
          <w:tcPr>
            <w:tcW w:w="283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06"/>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43"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Times New Roman" w:hAnsi="Times New Roman" w:cs="Times New Roman" w:eastAsia="Times New Roman" w:hint="default"/>
          <w:sz w:val="22"/>
          <w:szCs w:val="22"/>
        </w:rPr>
      </w:pPr>
    </w:p>
    <w:p>
      <w:pPr>
        <w:pStyle w:val="Heading5"/>
        <w:spacing w:line="288" w:lineRule="auto" w:before="45"/>
        <w:ind w:right="1118"/>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spacing w:val="3"/>
        </w:rPr>
        <w:t>2</w:t>
      </w:r>
      <w:r>
        <w:rPr>
          <w:spacing w:val="3"/>
        </w:rPr>
        <w:t>、公司资产或项目存在盈利预测，且报告期仍处在盈利预测期间，公司就资产或项目达到原盈利预测及其原因</w:t>
      </w:r>
      <w:r>
        <w:rPr>
          <w:spacing w:val="51"/>
        </w:rPr>
        <w:t> </w:t>
      </w:r>
      <w:r>
        <w:rPr>
          <w:spacing w:val="51"/>
        </w:rPr>
      </w:r>
      <w:r>
        <w:rPr>
          <w:spacing w:val="7"/>
        </w:rPr>
        <w:t>做出说明</w:t>
      </w:r>
      <w:r>
        <w:rPr>
          <w:b w:val="0"/>
          <w:bCs w:val="0"/>
          <w:spacing w:val="7"/>
        </w:rPr>
      </w:r>
    </w:p>
    <w:p>
      <w:pPr>
        <w:spacing w:line="240" w:lineRule="auto" w:before="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1"/>
        <w:rPr>
          <w:rFonts w:ascii="宋体" w:hAnsi="宋体" w:cs="宋体" w:eastAsia="宋体" w:hint="default"/>
          <w:b/>
          <w:bCs/>
          <w:sz w:val="26"/>
          <w:szCs w:val="26"/>
        </w:rPr>
      </w:pPr>
    </w:p>
    <w:p>
      <w:pPr>
        <w:pStyle w:val="BodyText"/>
        <w:spacing w:line="319" w:lineRule="auto"/>
        <w:ind w:right="49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公司报告期不存在控股股东及其关联方对上市公司的非经营性占用资金。</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tabs>
          <w:tab w:pos="3565" w:val="left" w:leader="none"/>
        </w:tabs>
        <w:spacing w:line="240" w:lineRule="auto" w:before="111"/>
        <w:ind w:left="726" w:right="-20"/>
        <w:jc w:val="left"/>
      </w:pPr>
      <w:r>
        <w:rPr/>
        <w:pict>
          <v:group style="position:absolute;margin-left:56.325001pt;margin-top:3.656719pt;width:444.6pt;height:508.25pt;mso-position-horizontal-relative:page;mso-position-vertical-relative:paragraph;z-index:-1269208" coordorigin="1127,73" coordsize="8892,10165">
            <v:group style="position:absolute;left:1142;top:88;width:3349;height:2" coordorigin="1142,88" coordsize="3349,2">
              <v:shape style="position:absolute;left:1142;top:88;width:3349;height:2" coordorigin="1142,88" coordsize="3349,0" path="m1142,88l4491,88e" filled="false" stroked="true" strokeweight=".75pt" strokecolor="#000000">
                <v:path arrowok="t"/>
              </v:shape>
            </v:group>
            <v:group style="position:absolute;left:4506;top:88;width:1743;height:2" coordorigin="4506,88" coordsize="1743,2">
              <v:shape style="position:absolute;left:4506;top:88;width:1743;height:2" coordorigin="4506,88" coordsize="1743,0" path="m4506,88l6248,88e" filled="false" stroked="true" strokeweight=".75pt" strokecolor="#000000">
                <v:path arrowok="t"/>
              </v:shape>
            </v:group>
            <v:group style="position:absolute;left:6263;top:88;width:3740;height:2" coordorigin="6263,88" coordsize="3740,2">
              <v:shape style="position:absolute;left:6263;top:88;width:3740;height:2" coordorigin="6263,88" coordsize="3740,0" path="m6263,88l10003,88e" filled="false" stroked="true" strokeweight=".75pt" strokecolor="#000000">
                <v:path arrowok="t"/>
              </v:shape>
            </v:group>
            <v:group style="position:absolute;left:1142;top:749;width:3349;height:2" coordorigin="1142,749" coordsize="3349,2">
              <v:shape style="position:absolute;left:1142;top:749;width:3349;height:2" coordorigin="1142,749" coordsize="3349,0" path="m1142,749l4491,749e" filled="false" stroked="true" strokeweight=".75pt" strokecolor="#000000">
                <v:path arrowok="t"/>
              </v:shape>
            </v:group>
            <v:group style="position:absolute;left:4506;top:749;width:1743;height:2" coordorigin="4506,749" coordsize="1743,2">
              <v:shape style="position:absolute;left:4506;top:749;width:1743;height:2" coordorigin="4506,749" coordsize="1743,0" path="m4506,749l6248,749e" filled="false" stroked="true" strokeweight=".75pt" strokecolor="#000000">
                <v:path arrowok="t"/>
              </v:shape>
            </v:group>
            <v:group style="position:absolute;left:6263;top:749;width:3740;height:2" coordorigin="6263,749" coordsize="3740,2">
              <v:shape style="position:absolute;left:6263;top:749;width:3740;height:2" coordorigin="6263,749" coordsize="3740,0" path="m6263,749l10003,749e" filled="false" stroked="true" strokeweight=".75pt" strokecolor="#000000">
                <v:path arrowok="t"/>
              </v:shape>
            </v:group>
            <v:group style="position:absolute;left:1142;top:2956;width:3349;height:2" coordorigin="1142,2956" coordsize="3349,2">
              <v:shape style="position:absolute;left:1142;top:2956;width:3349;height:2" coordorigin="1142,2956" coordsize="3349,0" path="m1142,2956l4491,2956e" filled="false" stroked="true" strokeweight=".75pt" strokecolor="#000000">
                <v:path arrowok="t"/>
              </v:shape>
            </v:group>
            <v:group style="position:absolute;left:4506;top:2956;width:1743;height:2" coordorigin="4506,2956" coordsize="1743,2">
              <v:shape style="position:absolute;left:4506;top:2956;width:1743;height:2" coordorigin="4506,2956" coordsize="1743,0" path="m4506,2956l6248,2956e" filled="false" stroked="true" strokeweight=".75pt" strokecolor="#000000">
                <v:path arrowok="t"/>
              </v:shape>
            </v:group>
            <v:group style="position:absolute;left:6263;top:2956;width:3740;height:2" coordorigin="6263,2956" coordsize="3740,2">
              <v:shape style="position:absolute;left:6263;top:2956;width:3740;height:2" coordorigin="6263,2956" coordsize="3740,0" path="m6263,2956l10003,2956e" filled="false" stroked="true" strokeweight=".75pt" strokecolor="#000000">
                <v:path arrowok="t"/>
              </v:shape>
            </v:group>
            <v:group style="position:absolute;left:1142;top:5178;width:3349;height:2" coordorigin="1142,5178" coordsize="3349,2">
              <v:shape style="position:absolute;left:1142;top:5178;width:3349;height:2" coordorigin="1142,5178" coordsize="3349,0" path="m1142,5178l4491,5178e" filled="false" stroked="true" strokeweight=".75pt" strokecolor="#000000">
                <v:path arrowok="t"/>
              </v:shape>
            </v:group>
            <v:group style="position:absolute;left:4506;top:5178;width:1743;height:2" coordorigin="4506,5178" coordsize="1743,2">
              <v:shape style="position:absolute;left:4506;top:5178;width:1743;height:2" coordorigin="4506,5178" coordsize="1743,0" path="m4506,5178l6248,5178e" filled="false" stroked="true" strokeweight=".75pt" strokecolor="#000000">
                <v:path arrowok="t"/>
              </v:shape>
            </v:group>
            <v:group style="position:absolute;left:6263;top:5178;width:3740;height:2" coordorigin="6263,5178" coordsize="3740,2">
              <v:shape style="position:absolute;left:6263;top:5178;width:3740;height:2" coordorigin="6263,5178" coordsize="3740,0" path="m6263,5178l10003,5178e" filled="false" stroked="true" strokeweight=".75pt" strokecolor="#000000">
                <v:path arrowok="t"/>
              </v:shape>
            </v:group>
            <v:group style="position:absolute;left:1142;top:7084;width:3349;height:2" coordorigin="1142,7084" coordsize="3349,2">
              <v:shape style="position:absolute;left:1142;top:7084;width:3349;height:2" coordorigin="1142,7084" coordsize="3349,0" path="m1142,7084l4491,7084e" filled="false" stroked="true" strokeweight=".77496pt" strokecolor="#000000">
                <v:path arrowok="t"/>
              </v:shape>
            </v:group>
            <v:group style="position:absolute;left:4506;top:7084;width:1743;height:2" coordorigin="4506,7084" coordsize="1743,2">
              <v:shape style="position:absolute;left:4506;top:7084;width:1743;height:2" coordorigin="4506,7084" coordsize="1743,0" path="m4506,7084l6248,7084e" filled="false" stroked="true" strokeweight=".77496pt" strokecolor="#000000">
                <v:path arrowok="t"/>
              </v:shape>
            </v:group>
            <v:group style="position:absolute;left:6263;top:7084;width:3740;height:2" coordorigin="6263,7084" coordsize="3740,2">
              <v:shape style="position:absolute;left:6263;top:7084;width:3740;height:2" coordorigin="6263,7084" coordsize="3740,0" path="m6263,7084l10003,7084e" filled="false" stroked="true" strokeweight=".77496pt" strokecolor="#000000">
                <v:path arrowok="t"/>
              </v:shape>
            </v:group>
            <v:group style="position:absolute;left:1134;top:81;width:2;height:10150" coordorigin="1134,81" coordsize="2,10150">
              <v:shape style="position:absolute;left:1134;top:81;width:2;height:10150" coordorigin="1134,81" coordsize="0,10150" path="m1134,81l1134,10230e" filled="false" stroked="true" strokeweight=".75pt" strokecolor="#000000">
                <v:path arrowok="t"/>
              </v:shape>
            </v:group>
            <v:group style="position:absolute;left:1142;top:10222;width:3349;height:2" coordorigin="1142,10222" coordsize="3349,2">
              <v:shape style="position:absolute;left:1142;top:10222;width:3349;height:2" coordorigin="1142,10222" coordsize="3349,0" path="m1142,10222l4491,10222e" filled="false" stroked="true" strokeweight=".75pt" strokecolor="#000000">
                <v:path arrowok="t"/>
              </v:shape>
            </v:group>
            <v:group style="position:absolute;left:4506;top:1394;width:1743;height:2" coordorigin="4506,1394" coordsize="1743,2">
              <v:shape style="position:absolute;left:4506;top:1394;width:1743;height:2" coordorigin="4506,1394" coordsize="1743,0" path="m4506,1394l6248,1394e" filled="false" stroked="true" strokeweight=".75pt" strokecolor="#000000">
                <v:path arrowok="t"/>
              </v:shape>
            </v:group>
            <v:group style="position:absolute;left:6263;top:1394;width:3740;height:2" coordorigin="6263,1394" coordsize="3740,2">
              <v:shape style="position:absolute;left:6263;top:1394;width:3740;height:2" coordorigin="6263,1394" coordsize="3740,0" path="m6263,1394l10003,1394e" filled="false" stroked="true" strokeweight=".75pt" strokecolor="#000000">
                <v:path arrowok="t"/>
              </v:shape>
            </v:group>
            <v:group style="position:absolute;left:4506;top:2055;width:1743;height:2" coordorigin="4506,2055" coordsize="1743,2">
              <v:shape style="position:absolute;left:4506;top:2055;width:1743;height:2" coordorigin="4506,2055" coordsize="1743,0" path="m4506,2055l6248,2055e" filled="false" stroked="true" strokeweight=".75pt" strokecolor="#000000">
                <v:path arrowok="t"/>
              </v:shape>
            </v:group>
            <v:group style="position:absolute;left:6263;top:2055;width:3740;height:2" coordorigin="6263,2055" coordsize="3740,2">
              <v:shape style="position:absolute;left:6263;top:2055;width:3740;height:2" coordorigin="6263,2055" coordsize="3740,0" path="m6263,2055l10003,2055e" filled="false" stroked="true" strokeweight=".75pt" strokecolor="#000000">
                <v:path arrowok="t"/>
              </v:shape>
            </v:group>
            <v:group style="position:absolute;left:4506;top:3616;width:1743;height:2" coordorigin="4506,3616" coordsize="1743,2">
              <v:shape style="position:absolute;left:4506;top:3616;width:1743;height:2" coordorigin="4506,3616" coordsize="1743,0" path="m4506,3616l6248,3616e" filled="false" stroked="true" strokeweight=".75pt" strokecolor="#000000">
                <v:path arrowok="t"/>
              </v:shape>
            </v:group>
            <v:group style="position:absolute;left:6263;top:3616;width:3740;height:2" coordorigin="6263,3616" coordsize="3740,2">
              <v:shape style="position:absolute;left:6263;top:3616;width:3740;height:2" coordorigin="6263,3616" coordsize="3740,0" path="m6263,3616l10003,3616e" filled="false" stroked="true" strokeweight=".75pt" strokecolor="#000000">
                <v:path arrowok="t"/>
              </v:shape>
            </v:group>
            <v:group style="position:absolute;left:4506;top:4277;width:1743;height:2" coordorigin="4506,4277" coordsize="1743,2">
              <v:shape style="position:absolute;left:4506;top:4277;width:1743;height:2" coordorigin="4506,4277" coordsize="1743,0" path="m4506,4277l6248,4277e" filled="false" stroked="true" strokeweight=".75pt" strokecolor="#000000">
                <v:path arrowok="t"/>
              </v:shape>
            </v:group>
            <v:group style="position:absolute;left:6263;top:4277;width:3740;height:2" coordorigin="6263,4277" coordsize="3740,2">
              <v:shape style="position:absolute;left:6263;top:4277;width:3740;height:2" coordorigin="6263,4277" coordsize="3740,0" path="m6263,4277l10003,4277e" filled="false" stroked="true" strokeweight=".75pt" strokecolor="#000000">
                <v:path arrowok="t"/>
              </v:shape>
            </v:group>
            <v:group style="position:absolute;left:4506;top:8045;width:1743;height:2" coordorigin="4506,8045" coordsize="1743,2">
              <v:shape style="position:absolute;left:4506;top:8045;width:1743;height:2" coordorigin="4506,8045" coordsize="1743,0" path="m4506,8045l6248,8045e" filled="false" stroked="true" strokeweight=".75pt" strokecolor="#000000">
                <v:path arrowok="t"/>
              </v:shape>
            </v:group>
            <v:group style="position:absolute;left:6263;top:8045;width:3740;height:2" coordorigin="6263,8045" coordsize="3740,2">
              <v:shape style="position:absolute;left:6263;top:8045;width:3740;height:2" coordorigin="6263,8045" coordsize="3740,0" path="m6263,8045l10003,8045e" filled="false" stroked="true" strokeweight=".75pt" strokecolor="#000000">
                <v:path arrowok="t"/>
              </v:shape>
            </v:group>
            <v:group style="position:absolute;left:4498;top:81;width:2;height:10150" coordorigin="4498,81" coordsize="2,10150">
              <v:shape style="position:absolute;left:4498;top:81;width:2;height:10150" coordorigin="4498,81" coordsize="0,10150" path="m4498,81l4498,10230e" filled="false" stroked="true" strokeweight=".75pt" strokecolor="#000000">
                <v:path arrowok="t"/>
              </v:shape>
            </v:group>
            <v:group style="position:absolute;left:4506;top:10222;width:1743;height:2" coordorigin="4506,10222" coordsize="1743,2">
              <v:shape style="position:absolute;left:4506;top:10222;width:1743;height:2" coordorigin="4506,10222" coordsize="1743,0" path="m4506,10222l6248,10222e" filled="false" stroked="true" strokeweight=".75pt" strokecolor="#000000">
                <v:path arrowok="t"/>
              </v:shape>
            </v:group>
            <v:group style="position:absolute;left:6256;top:81;width:2;height:10150" coordorigin="6256,81" coordsize="2,10150">
              <v:shape style="position:absolute;left:6256;top:81;width:2;height:10150" coordorigin="6256,81" coordsize="0,10150" path="m6256,81l6256,10230e" filled="false" stroked="true" strokeweight=".75pt" strokecolor="#000000">
                <v:path arrowok="t"/>
              </v:shape>
            </v:group>
            <v:group style="position:absolute;left:6263;top:10222;width:3740;height:2" coordorigin="6263,10222" coordsize="3740,2">
              <v:shape style="position:absolute;left:6263;top:10222;width:3740;height:2" coordorigin="6263,10222" coordsize="3740,0" path="m6263,10222l10003,10222e" filled="false" stroked="true" strokeweight=".75pt" strokecolor="#000000">
                <v:path arrowok="t"/>
              </v:shape>
            </v:group>
            <v:group style="position:absolute;left:10010;top:81;width:2;height:10150" coordorigin="10010,81" coordsize="2,10150">
              <v:shape style="position:absolute;left:10010;top:81;width:2;height:10150" coordorigin="10010,81" coordsize="0,10150" path="m10010,81l10010,10230e" filled="false" stroked="true" strokeweight=".75pt" strokecolor="#000000">
                <v:path arrowok="t"/>
              </v:shape>
            </v:group>
            <w10:wrap type="none"/>
          </v:group>
        </w:pict>
      </w:r>
      <w:r>
        <w:rPr/>
        <w:t>会计政策变更的内容和原因</w:t>
        <w:tab/>
        <w:t>受重要影响的报表项</w:t>
      </w:r>
    </w:p>
    <w:p>
      <w:pPr>
        <w:pStyle w:val="BodyText"/>
        <w:spacing w:line="240" w:lineRule="auto" w:before="64"/>
        <w:ind w:left="0" w:right="536"/>
        <w:jc w:val="right"/>
      </w:pPr>
      <w:r>
        <w:rPr/>
        <w:t>目名称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2"/>
          <w:szCs w:val="12"/>
        </w:rPr>
      </w:pPr>
    </w:p>
    <w:p>
      <w:pPr>
        <w:pStyle w:val="BodyText"/>
        <w:spacing w:line="240" w:lineRule="auto"/>
        <w:ind w:right="0"/>
        <w:jc w:val="left"/>
      </w:pPr>
      <w:r>
        <w:rPr/>
        <w:t>影响金额</w:t>
      </w:r>
    </w:p>
    <w:p>
      <w:pPr>
        <w:spacing w:after="0" w:line="240" w:lineRule="auto"/>
        <w:jc w:val="left"/>
        <w:sectPr>
          <w:type w:val="continuous"/>
          <w:pgSz w:w="11910" w:h="16850"/>
          <w:pgMar w:top="1040" w:bottom="1180" w:left="1000" w:right="0"/>
          <w:cols w:num="2" w:equalWidth="0">
            <w:col w:w="5186" w:space="1452"/>
            <w:col w:w="4272"/>
          </w:cols>
        </w:sectPr>
      </w:pPr>
    </w:p>
    <w:p>
      <w:pPr>
        <w:pStyle w:val="BodyText"/>
        <w:spacing w:line="240" w:lineRule="auto" w:before="110"/>
        <w:ind w:right="0"/>
        <w:jc w:val="left"/>
      </w:pPr>
      <w:r>
        <w:rPr/>
        <w:t>财政部于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日颁布了《关于修订 应收票据及应收账款</w:t>
      </w:r>
      <w:r>
        <w:rPr>
          <w:spacing w:val="6"/>
        </w:rPr>
        <w:t>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日金额：</w:t>
      </w:r>
      <w:r>
        <w:rPr>
          <w:rFonts w:ascii="宋体" w:hAnsi="宋体" w:cs="宋体" w:eastAsia="宋体" w:hint="default"/>
        </w:rPr>
        <w:t>981,413,891.29</w:t>
      </w:r>
      <w:r>
        <w:rPr/>
        <w:t>元</w:t>
      </w:r>
    </w:p>
    <w:p>
      <w:pPr>
        <w:pStyle w:val="BodyText"/>
        <w:tabs>
          <w:tab w:pos="5277" w:val="left" w:leader="none"/>
        </w:tabs>
        <w:spacing w:line="240" w:lineRule="auto" w:before="79"/>
        <w:ind w:right="0"/>
        <w:jc w:val="left"/>
      </w:pPr>
      <w:r>
        <w:rPr>
          <w:spacing w:val="-3"/>
        </w:rPr>
        <w:t>印发合并财务报表格式（</w:t>
      </w:r>
      <w:r>
        <w:rPr>
          <w:rFonts w:ascii="宋体" w:hAnsi="宋体" w:cs="宋体" w:eastAsia="宋体" w:hint="default"/>
          <w:spacing w:val="-3"/>
        </w:rPr>
        <w:t>2019</w:t>
      </w:r>
      <w:r>
        <w:rPr>
          <w:spacing w:val="-3"/>
        </w:rPr>
        <w:t>版）</w:t>
      </w:r>
      <w:r>
        <w:rPr>
          <w:spacing w:val="-37"/>
        </w:rPr>
        <w:t> </w:t>
      </w:r>
      <w:r>
        <w:rPr/>
        <w:t>的通知》</w:t>
        <w:tab/>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日金额：</w:t>
      </w:r>
      <w:r>
        <w:rPr>
          <w:rFonts w:ascii="宋体" w:hAnsi="宋体" w:cs="宋体" w:eastAsia="宋体" w:hint="default"/>
        </w:rPr>
        <w:t>699,036,961.21</w:t>
      </w:r>
      <w:r>
        <w:rPr/>
        <w:t>元</w:t>
      </w:r>
    </w:p>
    <w:p>
      <w:pPr>
        <w:pStyle w:val="BodyText"/>
        <w:tabs>
          <w:tab w:pos="5277" w:val="left" w:leader="none"/>
        </w:tabs>
        <w:spacing w:line="240" w:lineRule="auto" w:before="80"/>
        <w:ind w:right="0"/>
        <w:jc w:val="left"/>
      </w:pPr>
      <w:r>
        <w:rPr/>
        <w:t>（财</w:t>
      </w:r>
      <w:r>
        <w:rPr>
          <w:spacing w:val="-90"/>
        </w:rPr>
        <w:t>会</w:t>
      </w:r>
      <w:r>
        <w:rPr/>
        <w:t>【</w:t>
      </w:r>
      <w:r>
        <w:rPr>
          <w:rFonts w:ascii="宋体" w:hAnsi="宋体" w:cs="宋体" w:eastAsia="宋体" w:hint="default"/>
        </w:rPr>
        <w:t>2019</w:t>
      </w:r>
      <w:r>
        <w:rPr>
          <w:spacing w:val="-90"/>
        </w:rPr>
        <w:t>】</w:t>
      </w:r>
      <w:r>
        <w:rPr>
          <w:rFonts w:ascii="宋体" w:hAnsi="宋体" w:cs="宋体" w:eastAsia="宋体" w:hint="default"/>
        </w:rPr>
        <w:t>16</w:t>
      </w:r>
      <w:r>
        <w:rPr/>
        <w:t>号</w:t>
      </w:r>
      <w:r>
        <w:rPr>
          <w:spacing w:val="-90"/>
        </w:rPr>
        <w:t>，</w:t>
      </w:r>
      <w:r>
        <w:rPr/>
        <w:t>以下简</w:t>
      </w:r>
      <w:r>
        <w:rPr>
          <w:spacing w:val="1"/>
        </w:rPr>
        <w:t>称</w:t>
      </w:r>
      <w:r>
        <w:rPr>
          <w:rFonts w:ascii="宋体" w:hAnsi="宋体" w:cs="宋体" w:eastAsia="宋体" w:hint="default"/>
        </w:rPr>
        <w:t>"</w:t>
      </w:r>
      <w:r>
        <w:rPr/>
        <w:t>修订通知</w:t>
      </w:r>
      <w:r>
        <w:rPr>
          <w:rFonts w:ascii="宋体" w:hAnsi="宋体" w:cs="宋体" w:eastAsia="宋体" w:hint="default"/>
        </w:rPr>
        <w:t>"</w:t>
      </w:r>
      <w:r>
        <w:rPr>
          <w:spacing w:val="-90"/>
        </w:rPr>
        <w:t>）</w:t>
      </w:r>
      <w:r>
        <w:rPr>
          <w:spacing w:val="-60"/>
        </w:rPr>
        <w:t>，</w:t>
      </w:r>
      <w:r>
        <w:rPr>
          <w:position w:val="-2"/>
        </w:rPr>
        <w:t>应收票据</w:t>
        <w:tab/>
      </w:r>
      <w:r>
        <w:rPr>
          <w:rFonts w:ascii="宋体" w:hAnsi="宋体" w:cs="宋体" w:eastAsia="宋体" w:hint="default"/>
          <w:position w:val="-2"/>
        </w:rPr>
        <w:t>2019</w:t>
      </w:r>
      <w:r>
        <w:rPr>
          <w:position w:val="-2"/>
        </w:rPr>
        <w:t>年</w:t>
      </w:r>
      <w:r>
        <w:rPr>
          <w:rFonts w:ascii="宋体" w:hAnsi="宋体" w:cs="宋体" w:eastAsia="宋体" w:hint="default"/>
          <w:position w:val="-2"/>
        </w:rPr>
        <w:t>12</w:t>
      </w:r>
      <w:r>
        <w:rPr>
          <w:position w:val="-2"/>
        </w:rPr>
        <w:t>月</w:t>
      </w:r>
      <w:r>
        <w:rPr>
          <w:rFonts w:ascii="宋体" w:hAnsi="宋体" w:cs="宋体" w:eastAsia="宋体" w:hint="default"/>
          <w:position w:val="-2"/>
        </w:rPr>
        <w:t>31</w:t>
      </w:r>
      <w:r>
        <w:rPr>
          <w:position w:val="-2"/>
        </w:rPr>
        <w:t>日金额</w:t>
      </w:r>
      <w:r>
        <w:rPr>
          <w:spacing w:val="1"/>
          <w:position w:val="-2"/>
        </w:rPr>
        <w:t>：</w:t>
      </w:r>
      <w:r>
        <w:rPr>
          <w:rFonts w:ascii="宋体" w:hAnsi="宋体" w:cs="宋体" w:eastAsia="宋体" w:hint="default"/>
          <w:position w:val="-2"/>
        </w:rPr>
        <w:t>0.00</w:t>
      </w:r>
      <w:r>
        <w:rPr>
          <w:position w:val="-2"/>
        </w:rPr>
        <w:t>元</w:t>
      </w:r>
      <w:r>
        <w:rPr/>
      </w:r>
    </w:p>
    <w:p>
      <w:pPr>
        <w:spacing w:after="0" w:line="240" w:lineRule="auto"/>
        <w:jc w:val="left"/>
        <w:sectPr>
          <w:type w:val="continuous"/>
          <w:pgSz w:w="11910" w:h="16850"/>
          <w:pgMar w:top="1040" w:bottom="1180" w:left="1000" w:right="0"/>
        </w:sectPr>
      </w:pPr>
    </w:p>
    <w:p>
      <w:pPr>
        <w:pStyle w:val="BodyText"/>
        <w:spacing w:line="316" w:lineRule="auto" w:before="49"/>
        <w:ind w:right="-16"/>
        <w:jc w:val="left"/>
      </w:pPr>
      <w:r>
        <w:rPr/>
        <w:t>对合并财务报表格式进</w:t>
      </w:r>
      <w:r>
        <w:rPr>
          <w:spacing w:val="2"/>
        </w:rPr>
        <w:t> </w:t>
      </w:r>
      <w:r>
        <w:rPr/>
        <w:t>行了修订，将资产</w:t>
      </w:r>
      <w:r>
        <w:rPr/>
        <w:t> 负债表中“应收票据及应收账款”拆分列 </w:t>
      </w:r>
      <w:r>
        <w:rPr>
          <w:spacing w:val="-4"/>
        </w:rPr>
        <w:t>示为“应收票据”和“应收账款”；比较数</w:t>
      </w:r>
      <w:r>
        <w:rPr/>
        <w:t> 据相应调整。</w:t>
      </w:r>
    </w:p>
    <w:p>
      <w:pPr>
        <w:pStyle w:val="BodyText"/>
        <w:spacing w:line="240" w:lineRule="auto" w:before="79"/>
        <w:ind w:left="1748" w:right="0"/>
        <w:jc w:val="left"/>
      </w:pPr>
      <w:r>
        <w:rPr/>
        <w:br w:type="column"/>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日金额：</w:t>
      </w:r>
      <w:r>
        <w:rPr>
          <w:rFonts w:ascii="宋体" w:hAnsi="宋体" w:cs="宋体" w:eastAsia="宋体" w:hint="default"/>
        </w:rPr>
        <w:t>7,045,503.53</w:t>
      </w:r>
      <w:r>
        <w:rPr/>
        <w:t>元</w:t>
      </w:r>
    </w:p>
    <w:p>
      <w:pPr>
        <w:pStyle w:val="BodyText"/>
        <w:tabs>
          <w:tab w:pos="1747" w:val="left" w:leader="none"/>
        </w:tabs>
        <w:spacing w:line="321" w:lineRule="auto" w:before="95"/>
        <w:ind w:left="1748" w:right="2386" w:hanging="1773"/>
        <w:jc w:val="left"/>
      </w:pPr>
      <w:r>
        <w:rPr/>
        <w:t>应收账款</w:t>
        <w:tab/>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日金额：</w:t>
      </w:r>
      <w:r>
        <w:rPr>
          <w:rFonts w:ascii="宋体" w:hAnsi="宋体" w:cs="宋体" w:eastAsia="宋体" w:hint="default"/>
        </w:rPr>
        <w:t>981,413,891.29</w:t>
      </w:r>
      <w:r>
        <w:rPr/>
        <w:t>元 </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日金额：</w:t>
      </w:r>
      <w:r>
        <w:rPr>
          <w:rFonts w:ascii="宋体" w:hAnsi="宋体" w:cs="宋体" w:eastAsia="宋体" w:hint="default"/>
        </w:rPr>
        <w:t>691,991,457.68</w:t>
      </w:r>
      <w:r>
        <w:rPr/>
        <w:t>元</w:t>
      </w:r>
    </w:p>
    <w:p>
      <w:pPr>
        <w:spacing w:after="0" w:line="321" w:lineRule="auto"/>
        <w:jc w:val="left"/>
        <w:sectPr>
          <w:type w:val="continuous"/>
          <w:pgSz w:w="11910" w:h="16850"/>
          <w:pgMar w:top="1040" w:bottom="1180" w:left="1000" w:right="0"/>
          <w:cols w:num="2" w:equalWidth="0">
            <w:col w:w="3490" w:space="40"/>
            <w:col w:w="7380"/>
          </w:cols>
        </w:sectPr>
      </w:pPr>
    </w:p>
    <w:p>
      <w:pPr>
        <w:pStyle w:val="BodyText"/>
        <w:spacing w:line="240" w:lineRule="auto" w:before="52"/>
        <w:ind w:right="0"/>
        <w:jc w:val="left"/>
      </w:pPr>
      <w:r>
        <w:rPr/>
        <w:t>财政部于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日颁布了《关于修订 应付票据及应付账款</w:t>
      </w:r>
      <w:r>
        <w:rPr>
          <w:spacing w:val="7"/>
        </w:rPr>
        <w:t>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日金额：</w:t>
      </w:r>
      <w:r>
        <w:rPr>
          <w:rFonts w:ascii="宋体" w:hAnsi="宋体" w:cs="宋体" w:eastAsia="宋体" w:hint="default"/>
        </w:rPr>
        <w:t>1,118,735,692.24</w:t>
      </w:r>
      <w:r>
        <w:rPr/>
        <w:t>元</w:t>
      </w:r>
    </w:p>
    <w:p>
      <w:pPr>
        <w:pStyle w:val="BodyText"/>
        <w:tabs>
          <w:tab w:pos="5277" w:val="left" w:leader="none"/>
        </w:tabs>
        <w:spacing w:line="240" w:lineRule="auto" w:before="79"/>
        <w:ind w:right="0"/>
        <w:jc w:val="left"/>
      </w:pPr>
      <w:r>
        <w:rPr>
          <w:spacing w:val="-3"/>
        </w:rPr>
        <w:t>印发合并财务报表格式（</w:t>
      </w:r>
      <w:r>
        <w:rPr>
          <w:rFonts w:ascii="宋体" w:hAnsi="宋体" w:cs="宋体" w:eastAsia="宋体" w:hint="default"/>
          <w:spacing w:val="-3"/>
        </w:rPr>
        <w:t>2019</w:t>
      </w:r>
      <w:r>
        <w:rPr>
          <w:spacing w:val="-3"/>
        </w:rPr>
        <w:t>版）</w:t>
      </w:r>
      <w:r>
        <w:rPr>
          <w:spacing w:val="-37"/>
        </w:rPr>
        <w:t> </w:t>
      </w:r>
      <w:r>
        <w:rPr/>
        <w:t>的通知》</w:t>
        <w:tab/>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日金额：</w:t>
      </w:r>
      <w:r>
        <w:rPr>
          <w:rFonts w:ascii="宋体" w:hAnsi="宋体" w:cs="宋体" w:eastAsia="宋体" w:hint="default"/>
        </w:rPr>
        <w:t>917,669,360.03</w:t>
      </w:r>
      <w:r>
        <w:rPr/>
        <w:t>元</w:t>
      </w:r>
    </w:p>
    <w:p>
      <w:pPr>
        <w:pStyle w:val="BodyText"/>
        <w:tabs>
          <w:tab w:pos="5277" w:val="left" w:leader="none"/>
        </w:tabs>
        <w:spacing w:line="240" w:lineRule="auto" w:before="65"/>
        <w:ind w:right="0"/>
        <w:jc w:val="left"/>
      </w:pPr>
      <w:r>
        <w:rPr>
          <w:position w:val="3"/>
        </w:rPr>
        <w:t>（财</w:t>
      </w:r>
      <w:r>
        <w:rPr>
          <w:spacing w:val="-90"/>
          <w:position w:val="3"/>
        </w:rPr>
        <w:t>会</w:t>
      </w:r>
      <w:r>
        <w:rPr>
          <w:position w:val="3"/>
        </w:rPr>
        <w:t>【</w:t>
      </w:r>
      <w:r>
        <w:rPr>
          <w:rFonts w:ascii="宋体" w:hAnsi="宋体" w:cs="宋体" w:eastAsia="宋体" w:hint="default"/>
          <w:position w:val="3"/>
        </w:rPr>
        <w:t>2019</w:t>
      </w:r>
      <w:r>
        <w:rPr>
          <w:spacing w:val="-90"/>
          <w:position w:val="3"/>
        </w:rPr>
        <w:t>】</w:t>
      </w:r>
      <w:r>
        <w:rPr>
          <w:rFonts w:ascii="宋体" w:hAnsi="宋体" w:cs="宋体" w:eastAsia="宋体" w:hint="default"/>
          <w:position w:val="3"/>
        </w:rPr>
        <w:t>16</w:t>
      </w:r>
      <w:r>
        <w:rPr>
          <w:position w:val="3"/>
        </w:rPr>
        <w:t>号</w:t>
      </w:r>
      <w:r>
        <w:rPr>
          <w:spacing w:val="-90"/>
          <w:position w:val="3"/>
        </w:rPr>
        <w:t>，</w:t>
      </w:r>
      <w:r>
        <w:rPr>
          <w:position w:val="3"/>
        </w:rPr>
        <w:t>以下简</w:t>
      </w:r>
      <w:r>
        <w:rPr>
          <w:spacing w:val="1"/>
          <w:position w:val="3"/>
        </w:rPr>
        <w:t>称</w:t>
      </w:r>
      <w:r>
        <w:rPr>
          <w:rFonts w:ascii="宋体" w:hAnsi="宋体" w:cs="宋体" w:eastAsia="宋体" w:hint="default"/>
          <w:position w:val="3"/>
        </w:rPr>
        <w:t>"</w:t>
      </w:r>
      <w:r>
        <w:rPr>
          <w:position w:val="3"/>
        </w:rPr>
        <w:t>修订通知</w:t>
      </w:r>
      <w:r>
        <w:rPr>
          <w:rFonts w:ascii="宋体" w:hAnsi="宋体" w:cs="宋体" w:eastAsia="宋体" w:hint="default"/>
          <w:position w:val="3"/>
        </w:rPr>
        <w:t>"</w:t>
      </w:r>
      <w:r>
        <w:rPr>
          <w:spacing w:val="-90"/>
          <w:position w:val="3"/>
        </w:rPr>
        <w:t>）</w:t>
      </w:r>
      <w:r>
        <w:rPr>
          <w:spacing w:val="-60"/>
          <w:position w:val="3"/>
        </w:rPr>
        <w:t>，</w:t>
      </w:r>
      <w:r>
        <w:rPr/>
        <w:t>应付票据</w:t>
        <w:tab/>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日金额</w:t>
      </w:r>
      <w:r>
        <w:rPr>
          <w:spacing w:val="1"/>
        </w:rPr>
        <w:t>：</w:t>
      </w:r>
      <w:r>
        <w:rPr>
          <w:rFonts w:ascii="宋体" w:hAnsi="宋体" w:cs="宋体" w:eastAsia="宋体" w:hint="default"/>
        </w:rPr>
        <w:t>129,301,874.0</w:t>
      </w:r>
      <w:r>
        <w:rPr>
          <w:rFonts w:ascii="宋体" w:hAnsi="宋体" w:cs="宋体" w:eastAsia="宋体" w:hint="default"/>
          <w:spacing w:val="1"/>
        </w:rPr>
        <w:t>0</w:t>
      </w:r>
      <w:r>
        <w:rPr/>
        <w:t>元</w:t>
      </w:r>
    </w:p>
    <w:p>
      <w:pPr>
        <w:spacing w:after="0" w:line="240" w:lineRule="auto"/>
        <w:jc w:val="left"/>
        <w:sectPr>
          <w:type w:val="continuous"/>
          <w:pgSz w:w="11910" w:h="16850"/>
          <w:pgMar w:top="1040" w:bottom="1180" w:left="1000" w:right="0"/>
        </w:sectPr>
      </w:pPr>
    </w:p>
    <w:p>
      <w:pPr>
        <w:pStyle w:val="BodyText"/>
        <w:spacing w:line="321" w:lineRule="auto" w:before="49"/>
        <w:ind w:right="-16"/>
        <w:jc w:val="left"/>
      </w:pPr>
      <w:r>
        <w:rPr/>
        <w:t>对合并财务报表格式进</w:t>
      </w:r>
      <w:r>
        <w:rPr>
          <w:spacing w:val="2"/>
        </w:rPr>
        <w:t> </w:t>
      </w:r>
      <w:r>
        <w:rPr/>
        <w:t>行了修订，将资产</w:t>
      </w:r>
      <w:r>
        <w:rPr/>
        <w:t> 负债表中“应付票据及应付账款”拆分列 </w:t>
      </w:r>
      <w:r>
        <w:rPr>
          <w:spacing w:val="-4"/>
        </w:rPr>
        <w:t>示为“应付票据”和“应付账款”；比较数</w:t>
      </w:r>
      <w:r>
        <w:rPr/>
        <w:t> 据相应调整。</w:t>
      </w:r>
    </w:p>
    <w:p>
      <w:pPr>
        <w:pStyle w:val="BodyText"/>
        <w:spacing w:line="240" w:lineRule="auto" w:before="79"/>
        <w:ind w:left="1748" w:right="0"/>
        <w:jc w:val="left"/>
      </w:pPr>
      <w:r>
        <w:rPr/>
        <w:br w:type="column"/>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日金额：</w:t>
      </w:r>
      <w:r>
        <w:rPr>
          <w:rFonts w:ascii="宋体" w:hAnsi="宋体" w:cs="宋体" w:eastAsia="宋体" w:hint="default"/>
        </w:rPr>
        <w:t>186,418,052.15</w:t>
      </w:r>
      <w:r>
        <w:rPr/>
        <w:t>元</w:t>
      </w:r>
    </w:p>
    <w:p>
      <w:pPr>
        <w:pStyle w:val="BodyText"/>
        <w:tabs>
          <w:tab w:pos="1747" w:val="left" w:leader="none"/>
        </w:tabs>
        <w:spacing w:line="321" w:lineRule="auto" w:before="110"/>
        <w:ind w:left="1748" w:right="2386" w:hanging="1773"/>
        <w:jc w:val="left"/>
      </w:pPr>
      <w:r>
        <w:rPr/>
        <w:t>应付账款</w:t>
        <w:tab/>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日金额：</w:t>
      </w:r>
      <w:r>
        <w:rPr>
          <w:rFonts w:ascii="宋体" w:hAnsi="宋体" w:cs="宋体" w:eastAsia="宋体" w:hint="default"/>
        </w:rPr>
        <w:t>989,433,818.24</w:t>
      </w:r>
      <w:r>
        <w:rPr/>
        <w:t>元 </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日金额：</w:t>
      </w:r>
      <w:r>
        <w:rPr>
          <w:rFonts w:ascii="宋体" w:hAnsi="宋体" w:cs="宋体" w:eastAsia="宋体" w:hint="default"/>
        </w:rPr>
        <w:t>731,251,307.88</w:t>
      </w:r>
      <w:r>
        <w:rPr/>
        <w:t>元</w:t>
      </w:r>
    </w:p>
    <w:p>
      <w:pPr>
        <w:spacing w:after="0" w:line="321" w:lineRule="auto"/>
        <w:jc w:val="left"/>
        <w:sectPr>
          <w:type w:val="continuous"/>
          <w:pgSz w:w="11910" w:h="16850"/>
          <w:pgMar w:top="1040" w:bottom="1180" w:left="1000" w:right="0"/>
          <w:cols w:num="2" w:equalWidth="0">
            <w:col w:w="3490" w:space="40"/>
            <w:col w:w="7380"/>
          </w:cols>
        </w:sectPr>
      </w:pPr>
    </w:p>
    <w:p>
      <w:pPr>
        <w:pStyle w:val="BodyText"/>
        <w:tabs>
          <w:tab w:pos="5277" w:val="left" w:leader="none"/>
        </w:tabs>
        <w:spacing w:line="240" w:lineRule="auto" w:before="33"/>
        <w:ind w:right="0"/>
        <w:jc w:val="left"/>
      </w:pPr>
      <w:r>
        <w:rPr/>
        <w:t>财政部于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19</w:t>
      </w:r>
      <w:r>
        <w:rPr/>
        <w:t>日颁布了《关于修订</w:t>
      </w:r>
      <w:r>
        <w:rPr>
          <w:spacing w:val="-58"/>
        </w:rPr>
        <w:t> </w:t>
      </w:r>
      <w:r>
        <w:rPr/>
        <w:t>资产减值损失</w:t>
        <w:tab/>
        <w:t>本期金额：</w:t>
      </w:r>
      <w:r>
        <w:rPr>
          <w:rFonts w:ascii="宋体" w:hAnsi="宋体" w:cs="宋体" w:eastAsia="宋体" w:hint="default"/>
        </w:rPr>
        <w:t>-4,180,606.06</w:t>
      </w:r>
      <w:r>
        <w:rPr/>
        <w:t>元</w:t>
      </w:r>
    </w:p>
    <w:p>
      <w:pPr>
        <w:spacing w:after="0" w:line="240" w:lineRule="auto"/>
        <w:jc w:val="left"/>
        <w:sectPr>
          <w:type w:val="continuous"/>
          <w:pgSz w:w="11910" w:h="16850"/>
          <w:pgMar w:top="1040" w:bottom="1180" w:left="1000" w:right="0"/>
        </w:sectPr>
      </w:pPr>
    </w:p>
    <w:p>
      <w:pPr>
        <w:pStyle w:val="BodyText"/>
        <w:spacing w:line="240" w:lineRule="auto" w:before="79"/>
        <w:ind w:right="358"/>
        <w:jc w:val="left"/>
      </w:pPr>
      <w:r>
        <w:rPr>
          <w:spacing w:val="-3"/>
        </w:rPr>
        <w:t>印发合并财务报表格式（</w:t>
      </w:r>
      <w:r>
        <w:rPr>
          <w:rFonts w:ascii="宋体" w:hAnsi="宋体" w:cs="宋体" w:eastAsia="宋体" w:hint="default"/>
          <w:spacing w:val="-3"/>
        </w:rPr>
        <w:t>2019</w:t>
      </w:r>
      <w:r>
        <w:rPr>
          <w:spacing w:val="-3"/>
        </w:rPr>
        <w:t>版）</w:t>
      </w:r>
      <w:r>
        <w:rPr>
          <w:spacing w:val="-37"/>
        </w:rPr>
        <w:t> </w:t>
      </w:r>
      <w:r>
        <w:rPr/>
        <w:t>的通知》</w:t>
      </w:r>
    </w:p>
    <w:p>
      <w:pPr>
        <w:pStyle w:val="BodyText"/>
        <w:spacing w:line="316" w:lineRule="auto" w:before="80"/>
        <w:ind w:right="358"/>
        <w:jc w:val="left"/>
      </w:pPr>
      <w:r>
        <w:rPr>
          <w:spacing w:val="-18"/>
        </w:rPr>
        <w:t>（财会【</w:t>
      </w:r>
      <w:r>
        <w:rPr>
          <w:rFonts w:ascii="宋体" w:hAnsi="宋体" w:cs="宋体" w:eastAsia="宋体" w:hint="default"/>
          <w:spacing w:val="-18"/>
        </w:rPr>
        <w:t>2019</w:t>
      </w:r>
      <w:r>
        <w:rPr>
          <w:spacing w:val="-18"/>
        </w:rPr>
        <w:t>】</w:t>
      </w:r>
      <w:r>
        <w:rPr>
          <w:rFonts w:ascii="宋体" w:hAnsi="宋体" w:cs="宋体" w:eastAsia="宋体" w:hint="default"/>
          <w:spacing w:val="-18"/>
        </w:rPr>
        <w:t>16</w:t>
      </w:r>
      <w:r>
        <w:rPr>
          <w:spacing w:val="-18"/>
        </w:rPr>
        <w:t>号，以下简称</w:t>
      </w:r>
      <w:r>
        <w:rPr>
          <w:rFonts w:ascii="宋体" w:hAnsi="宋体" w:cs="宋体" w:eastAsia="宋体" w:hint="default"/>
          <w:spacing w:val="-18"/>
        </w:rPr>
        <w:t>"</w:t>
      </w:r>
      <w:r>
        <w:rPr>
          <w:spacing w:val="-18"/>
        </w:rPr>
        <w:t>修订通知</w:t>
      </w:r>
      <w:r>
        <w:rPr>
          <w:rFonts w:ascii="宋体" w:hAnsi="宋体" w:cs="宋体" w:eastAsia="宋体" w:hint="default"/>
          <w:spacing w:val="-18"/>
        </w:rPr>
        <w:t>"</w:t>
      </w:r>
      <w:r>
        <w:rPr>
          <w:spacing w:val="-18"/>
        </w:rPr>
        <w:t>），</w:t>
      </w:r>
      <w:r>
        <w:rPr>
          <w:spacing w:val="-90"/>
        </w:rPr>
        <w:t> </w:t>
      </w:r>
      <w:r>
        <w:rPr>
          <w:spacing w:val="-4"/>
        </w:rPr>
        <w:t>对合并财务报表格式进行了修订，将利润表</w:t>
      </w:r>
      <w:r>
        <w:rPr/>
        <w:t> 减：</w:t>
      </w:r>
      <w:r>
        <w:rPr>
          <w:rFonts w:ascii="宋体" w:hAnsi="宋体" w:cs="宋体" w:eastAsia="宋体" w:hint="default"/>
        </w:rPr>
        <w:t>"</w:t>
      </w:r>
      <w:r>
        <w:rPr/>
        <w:t>资产减值损失</w:t>
      </w:r>
      <w:r>
        <w:rPr>
          <w:rFonts w:ascii="宋体" w:hAnsi="宋体" w:cs="宋体" w:eastAsia="宋体" w:hint="default"/>
        </w:rPr>
        <w:t>"</w:t>
      </w:r>
      <w:r>
        <w:rPr/>
        <w:t>调整为加：</w:t>
      </w:r>
      <w:r>
        <w:rPr>
          <w:rFonts w:ascii="宋体" w:hAnsi="宋体" w:cs="宋体" w:eastAsia="宋体" w:hint="default"/>
        </w:rPr>
        <w:t>"</w:t>
      </w:r>
      <w:r>
        <w:rPr/>
        <w:t>资产减值 损失</w:t>
      </w:r>
      <w:r>
        <w:rPr>
          <w:rFonts w:ascii="宋体" w:hAnsi="宋体" w:cs="宋体" w:eastAsia="宋体" w:hint="default"/>
        </w:rPr>
        <w:t>"</w:t>
      </w:r>
      <w:r>
        <w:rPr/>
        <w:t>（损失以“</w:t>
      </w:r>
      <w:r>
        <w:rPr>
          <w:rFonts w:ascii="宋体" w:hAnsi="宋体" w:cs="宋体" w:eastAsia="宋体" w:hint="default"/>
        </w:rPr>
        <w:t>-</w:t>
      </w:r>
      <w:r>
        <w:rPr/>
        <w:t>”号填列）。</w:t>
      </w:r>
    </w:p>
    <w:p>
      <w:pPr>
        <w:pStyle w:val="BodyText"/>
        <w:spacing w:line="321" w:lineRule="auto" w:before="52"/>
        <w:ind w:right="343"/>
        <w:jc w:val="left"/>
      </w:pPr>
      <w:r>
        <w:rPr/>
        <w:t>财政部于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31</w:t>
      </w:r>
      <w:r>
        <w:rPr/>
        <w:t>日颁布了《企业会计</w:t>
      </w:r>
      <w:r>
        <w:rPr>
          <w:spacing w:val="-59"/>
        </w:rPr>
        <w:t> </w:t>
      </w:r>
      <w:r>
        <w:rPr/>
        <w:t>应收票据</w:t>
      </w:r>
      <w:r>
        <w:rPr/>
        <w:t> </w:t>
      </w:r>
      <w:r>
        <w:rPr>
          <w:spacing w:val="-5"/>
        </w:rPr>
        <w:t>准则第</w:t>
      </w:r>
      <w:r>
        <w:rPr>
          <w:rFonts w:ascii="宋体" w:hAnsi="宋体" w:cs="宋体" w:eastAsia="宋体" w:hint="default"/>
          <w:spacing w:val="-5"/>
        </w:rPr>
        <w:t>22</w:t>
      </w:r>
      <w:r>
        <w:rPr>
          <w:spacing w:val="-5"/>
        </w:rPr>
        <w:t>号——金融工具确认和计量》（财</w:t>
      </w:r>
      <w:r>
        <w:rPr>
          <w:spacing w:val="-81"/>
        </w:rPr>
        <w:t> </w:t>
      </w:r>
      <w:r>
        <w:rPr>
          <w:spacing w:val="-81"/>
        </w:rPr>
      </w:r>
      <w:r>
        <w:rPr/>
        <w:t>会〔</w:t>
      </w:r>
      <w:r>
        <w:rPr>
          <w:rFonts w:ascii="宋体" w:hAnsi="宋体" w:cs="宋体" w:eastAsia="宋体" w:hint="default"/>
        </w:rPr>
        <w:t>2017</w:t>
      </w:r>
      <w:r>
        <w:rPr/>
        <w:t>〕</w:t>
      </w:r>
      <w:r>
        <w:rPr>
          <w:rFonts w:ascii="宋体" w:hAnsi="宋体" w:cs="宋体" w:eastAsia="宋体" w:hint="default"/>
        </w:rPr>
        <w:t>7</w:t>
      </w:r>
      <w:r>
        <w:rPr/>
        <w:t>号）、《企业会计准则第</w:t>
      </w:r>
      <w:r>
        <w:rPr>
          <w:rFonts w:ascii="宋体" w:hAnsi="宋体" w:cs="宋体" w:eastAsia="宋体" w:hint="default"/>
        </w:rPr>
        <w:t>23</w:t>
      </w:r>
      <w:r>
        <w:rPr/>
        <w:t>号</w:t>
      </w:r>
    </w:p>
    <w:p>
      <w:pPr>
        <w:pStyle w:val="BodyText"/>
        <w:spacing w:line="240" w:lineRule="auto" w:before="18"/>
        <w:ind w:right="-17"/>
        <w:jc w:val="left"/>
      </w:pPr>
      <w:r>
        <w:rPr/>
        <w:t>——金融资产转移</w:t>
      </w:r>
      <w:r>
        <w:rPr>
          <w:spacing w:val="-31"/>
        </w:rPr>
        <w:t>》</w:t>
      </w:r>
      <w:r>
        <w:rPr/>
        <w:t>（财</w:t>
      </w:r>
      <w:r>
        <w:rPr>
          <w:spacing w:val="-15"/>
        </w:rPr>
        <w:t>会</w:t>
      </w:r>
      <w:r>
        <w:rPr>
          <w:spacing w:val="2"/>
        </w:rPr>
        <w:t>〔</w:t>
      </w:r>
      <w:r>
        <w:rPr>
          <w:rFonts w:ascii="宋体" w:hAnsi="宋体" w:cs="宋体" w:eastAsia="宋体" w:hint="default"/>
        </w:rPr>
        <w:t>2017</w:t>
      </w:r>
      <w:r>
        <w:rPr>
          <w:spacing w:val="-15"/>
        </w:rPr>
        <w:t>〕</w:t>
      </w:r>
      <w:r>
        <w:rPr>
          <w:rFonts w:ascii="宋体" w:hAnsi="宋体" w:cs="宋体" w:eastAsia="宋体" w:hint="default"/>
        </w:rPr>
        <w:t>8</w:t>
      </w:r>
      <w:r>
        <w:rPr/>
        <w:t>号</w:t>
      </w:r>
      <w:r>
        <w:rPr>
          <w:spacing w:val="-15"/>
        </w:rPr>
        <w:t>）</w:t>
      </w:r>
      <w:r>
        <w:rPr>
          <w:spacing w:val="-75"/>
        </w:rPr>
        <w:t>、</w:t>
      </w:r>
      <w:r>
        <w:rPr>
          <w:position w:val="-2"/>
        </w:rPr>
        <w:t>应收款项融资</w:t>
      </w:r>
      <w:r>
        <w:rPr/>
      </w:r>
    </w:p>
    <w:p>
      <w:pPr>
        <w:pStyle w:val="BodyText"/>
        <w:spacing w:line="321" w:lineRule="auto" w:before="34"/>
        <w:ind w:right="1094"/>
        <w:jc w:val="left"/>
      </w:pPr>
      <w:r>
        <w:rPr>
          <w:spacing w:val="-5"/>
        </w:rPr>
        <w:t>《企业会计准则第</w:t>
      </w:r>
      <w:r>
        <w:rPr>
          <w:rFonts w:ascii="宋体" w:hAnsi="宋体" w:cs="宋体" w:eastAsia="宋体" w:hint="default"/>
          <w:spacing w:val="-5"/>
        </w:rPr>
        <w:t>24</w:t>
      </w:r>
      <w:r>
        <w:rPr>
          <w:spacing w:val="-5"/>
        </w:rPr>
        <w:t>号——套期会计》（财</w:t>
      </w:r>
      <w:r>
        <w:rPr>
          <w:spacing w:val="-79"/>
        </w:rPr>
        <w:t> </w:t>
      </w:r>
      <w:r>
        <w:rPr>
          <w:spacing w:val="-79"/>
        </w:rPr>
      </w:r>
      <w:r>
        <w:rPr/>
        <w:t>会〔</w:t>
      </w:r>
      <w:r>
        <w:rPr>
          <w:rFonts w:ascii="宋体" w:hAnsi="宋体" w:cs="宋体" w:eastAsia="宋体" w:hint="default"/>
        </w:rPr>
        <w:t>2017</w:t>
      </w:r>
      <w:r>
        <w:rPr/>
        <w:t>〕</w:t>
      </w:r>
      <w:r>
        <w:rPr>
          <w:rFonts w:ascii="宋体" w:hAnsi="宋体" w:cs="宋体" w:eastAsia="宋体" w:hint="default"/>
        </w:rPr>
        <w:t>9</w:t>
      </w:r>
      <w:r>
        <w:rPr/>
        <w:t>号）以及于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日颁布</w:t>
      </w:r>
    </w:p>
    <w:p>
      <w:pPr>
        <w:pStyle w:val="BodyText"/>
        <w:spacing w:line="240" w:lineRule="auto" w:before="18"/>
        <w:ind w:right="358"/>
        <w:jc w:val="left"/>
      </w:pPr>
      <w:r>
        <w:rPr/>
        <w:t>《企业会计准则第</w:t>
      </w:r>
      <w:r>
        <w:rPr>
          <w:rFonts w:ascii="宋体" w:hAnsi="宋体" w:cs="宋体" w:eastAsia="宋体" w:hint="default"/>
        </w:rPr>
        <w:t>37</w:t>
      </w:r>
      <w:r>
        <w:rPr/>
        <w:t>号——金融工具列报》</w:t>
      </w:r>
    </w:p>
    <w:p>
      <w:pPr>
        <w:pStyle w:val="BodyText"/>
        <w:spacing w:line="314" w:lineRule="auto" w:before="80"/>
        <w:ind w:right="1096"/>
        <w:jc w:val="both"/>
      </w:pPr>
      <w:r>
        <w:rPr/>
        <w:t>（财会〔</w:t>
      </w:r>
      <w:r>
        <w:rPr>
          <w:rFonts w:ascii="宋体" w:hAnsi="宋体" w:cs="宋体" w:eastAsia="宋体" w:hint="default"/>
        </w:rPr>
        <w:t>2017</w:t>
      </w:r>
      <w:r>
        <w:rPr/>
        <w:t>〕</w:t>
      </w:r>
      <w:r>
        <w:rPr>
          <w:rFonts w:ascii="宋体" w:hAnsi="宋体" w:cs="宋体" w:eastAsia="宋体" w:hint="default"/>
        </w:rPr>
        <w:t>14</w:t>
      </w:r>
      <w:r>
        <w:rPr/>
        <w:t>号），本公司自</w:t>
      </w:r>
      <w:r>
        <w:rPr>
          <w:rFonts w:ascii="宋体" w:hAnsi="宋体" w:cs="宋体" w:eastAsia="宋体" w:hint="default"/>
        </w:rPr>
        <w:t>2019</w:t>
      </w:r>
      <w:r>
        <w:rPr/>
        <w:t>年</w:t>
      </w:r>
      <w:r>
        <w:rPr>
          <w:rFonts w:ascii="宋体" w:hAnsi="宋体" w:cs="宋体" w:eastAsia="宋体" w:hint="default"/>
        </w:rPr>
        <w:t>1</w:t>
      </w:r>
      <w:r>
        <w:rPr>
          <w:rFonts w:ascii="宋体" w:hAnsi="宋体" w:cs="宋体" w:eastAsia="宋体" w:hint="default"/>
          <w:spacing w:val="-87"/>
        </w:rPr>
        <w:t> </w:t>
      </w:r>
      <w:r>
        <w:rPr/>
        <w:t>月</w:t>
      </w:r>
      <w:r>
        <w:rPr>
          <w:rFonts w:ascii="宋体" w:hAnsi="宋体" w:cs="宋体" w:eastAsia="宋体" w:hint="default"/>
        </w:rPr>
        <w:t>1</w:t>
      </w:r>
      <w:r>
        <w:rPr/>
        <w:t>日起施行。本公司将持有的应收票据按 </w:t>
      </w:r>
      <w:r>
        <w:rPr>
          <w:spacing w:val="-4"/>
        </w:rPr>
        <w:t>照金融工具准则的相关规定，将其分类至以</w:t>
      </w:r>
    </w:p>
    <w:p>
      <w:pPr>
        <w:pStyle w:val="BodyText"/>
        <w:spacing w:line="240" w:lineRule="auto" w:before="79"/>
        <w:ind w:right="0"/>
        <w:jc w:val="left"/>
      </w:pPr>
      <w:r>
        <w:rPr/>
        <w:br w:type="column"/>
      </w:r>
      <w:r>
        <w:rPr/>
        <w:t>上期金额：</w:t>
      </w:r>
      <w:r>
        <w:rPr>
          <w:rFonts w:ascii="宋体" w:hAnsi="宋体" w:cs="宋体" w:eastAsia="宋体" w:hint="default"/>
        </w:rPr>
        <w:t>-55,788,929.34</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9"/>
          <w:szCs w:val="19"/>
        </w:rPr>
      </w:pPr>
    </w:p>
    <w:p>
      <w:pPr>
        <w:pStyle w:val="BodyText"/>
        <w:spacing w:line="240" w:lineRule="auto"/>
        <w:ind w:right="0"/>
        <w:jc w:val="left"/>
      </w:pP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日金额：</w:t>
      </w:r>
      <w:r>
        <w:rPr>
          <w:rFonts w:ascii="宋体" w:hAnsi="宋体" w:cs="宋体" w:eastAsia="宋体" w:hint="default"/>
        </w:rPr>
        <w:t>0.00</w:t>
      </w:r>
      <w:r>
        <w:rPr/>
        <w:t>元</w:t>
      </w:r>
    </w:p>
    <w:p>
      <w:pPr>
        <w:pStyle w:val="BodyText"/>
        <w:spacing w:line="240" w:lineRule="auto" w:before="80"/>
        <w:ind w:right="0"/>
        <w:jc w:val="left"/>
      </w:pP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日金额：</w:t>
      </w:r>
      <w:r>
        <w:rPr>
          <w:rFonts w:ascii="宋体" w:hAnsi="宋体" w:cs="宋体" w:eastAsia="宋体" w:hint="default"/>
        </w:rPr>
        <w:t>7,045,503.53</w:t>
      </w:r>
      <w:r>
        <w:rPr/>
        <w:t>元</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0"/>
        <w:jc w:val="left"/>
      </w:pP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日金额：</w:t>
      </w:r>
      <w:r>
        <w:rPr>
          <w:rFonts w:ascii="宋体" w:hAnsi="宋体" w:cs="宋体" w:eastAsia="宋体" w:hint="default"/>
        </w:rPr>
        <w:t>20,000,000.00</w:t>
      </w:r>
      <w:r>
        <w:rPr/>
        <w:t>元</w:t>
      </w:r>
    </w:p>
    <w:p>
      <w:pPr>
        <w:pStyle w:val="BodyText"/>
        <w:spacing w:line="240" w:lineRule="auto" w:before="80"/>
        <w:ind w:right="0"/>
        <w:jc w:val="left"/>
      </w:pP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日金额：</w:t>
      </w:r>
      <w:r>
        <w:rPr>
          <w:rFonts w:ascii="宋体" w:hAnsi="宋体" w:cs="宋体" w:eastAsia="宋体" w:hint="default"/>
        </w:rPr>
        <w:t>0.00</w:t>
      </w:r>
      <w:r>
        <w:rPr/>
        <w:t>元</w:t>
      </w:r>
    </w:p>
    <w:p>
      <w:pPr>
        <w:spacing w:after="0" w:line="240" w:lineRule="auto"/>
        <w:jc w:val="left"/>
        <w:sectPr>
          <w:type w:val="continuous"/>
          <w:pgSz w:w="11910" w:h="16850"/>
          <w:pgMar w:top="1040" w:bottom="1180" w:left="1000" w:right="0"/>
          <w:cols w:num="2" w:equalWidth="0">
            <w:col w:w="4586" w:space="551"/>
            <w:col w:w="5773"/>
          </w:cols>
        </w:sectPr>
      </w:pPr>
    </w:p>
    <w:p>
      <w:pPr>
        <w:spacing w:line="240" w:lineRule="auto" w:before="2"/>
        <w:rPr>
          <w:rFonts w:ascii="宋体" w:hAnsi="宋体" w:cs="宋体" w:eastAsia="宋体" w:hint="default"/>
          <w:sz w:val="27"/>
          <w:szCs w:val="27"/>
        </w:rPr>
      </w:pPr>
    </w:p>
    <w:p>
      <w:pPr>
        <w:pStyle w:val="BodyText"/>
        <w:spacing w:line="321" w:lineRule="auto" w:before="44"/>
        <w:ind w:right="7405"/>
        <w:jc w:val="left"/>
      </w:pPr>
      <w:r>
        <w:rPr/>
        <w:pict>
          <v:group style="position:absolute;margin-left:56.325001pt;margin-top:1.086702pt;width:444.6pt;height:442.9pt;mso-position-horizontal-relative:page;mso-position-vertical-relative:paragraph;z-index:-1269184" coordorigin="1127,22" coordsize="8892,8858">
            <v:group style="position:absolute;left:1142;top:37;width:3349;height:2" coordorigin="1142,37" coordsize="3349,2">
              <v:shape style="position:absolute;left:1142;top:37;width:3349;height:2" coordorigin="1142,37" coordsize="3349,0" path="m1142,37l4491,37e" filled="false" stroked="true" strokeweight=".75pt" strokecolor="#000000">
                <v:path arrowok="t"/>
              </v:shape>
            </v:group>
            <v:group style="position:absolute;left:4506;top:37;width:1743;height:2" coordorigin="4506,37" coordsize="1743,2">
              <v:shape style="position:absolute;left:4506;top:37;width:1743;height:2" coordorigin="4506,37" coordsize="1743,0" path="m4506,37l6248,37e" filled="false" stroked="true" strokeweight=".75pt" strokecolor="#000000">
                <v:path arrowok="t"/>
              </v:shape>
            </v:group>
            <v:group style="position:absolute;left:6263;top:37;width:3740;height:2" coordorigin="6263,37" coordsize="3740,2">
              <v:shape style="position:absolute;left:6263;top:37;width:3740;height:2" coordorigin="6263,37" coordsize="3740,0" path="m6263,37l10003,37e" filled="false" stroked="true" strokeweight=".75pt" strokecolor="#000000">
                <v:path arrowok="t"/>
              </v:shape>
            </v:group>
            <v:group style="position:absolute;left:1142;top:997;width:3349;height:2" coordorigin="1142,997" coordsize="3349,2">
              <v:shape style="position:absolute;left:1142;top:997;width:3349;height:2" coordorigin="1142,997" coordsize="3349,0" path="m1142,997l4491,997e" filled="false" stroked="true" strokeweight=".75pt" strokecolor="#000000">
                <v:path arrowok="t"/>
              </v:shape>
            </v:group>
            <v:group style="position:absolute;left:4506;top:997;width:1743;height:2" coordorigin="4506,997" coordsize="1743,2">
              <v:shape style="position:absolute;left:4506;top:997;width:1743;height:2" coordorigin="4506,997" coordsize="1743,0" path="m4506,997l6248,997e" filled="false" stroked="true" strokeweight=".75pt" strokecolor="#000000">
                <v:path arrowok="t"/>
              </v:shape>
            </v:group>
            <v:group style="position:absolute;left:6263;top:997;width:3740;height:2" coordorigin="6263,997" coordsize="3740,2">
              <v:shape style="position:absolute;left:6263;top:997;width:3740;height:2" coordorigin="6263,997" coordsize="3740,0" path="m6263,997l10003,997e" filled="false" stroked="true" strokeweight=".75pt" strokecolor="#000000">
                <v:path arrowok="t"/>
              </v:shape>
            </v:group>
            <v:group style="position:absolute;left:1142;top:4781;width:3349;height:2" coordorigin="1142,4781" coordsize="3349,2">
              <v:shape style="position:absolute;left:1142;top:4781;width:3349;height:2" coordorigin="1142,4781" coordsize="3349,0" path="m1142,4781l4491,4781e" filled="false" stroked="true" strokeweight=".75pt" strokecolor="#000000">
                <v:path arrowok="t"/>
              </v:shape>
            </v:group>
            <v:group style="position:absolute;left:4506;top:4781;width:1743;height:2" coordorigin="4506,4781" coordsize="1743,2">
              <v:shape style="position:absolute;left:4506;top:4781;width:1743;height:2" coordorigin="4506,4781" coordsize="1743,0" path="m4506,4781l6248,4781e" filled="false" stroked="true" strokeweight=".75pt" strokecolor="#000000">
                <v:path arrowok="t"/>
              </v:shape>
            </v:group>
            <v:group style="position:absolute;left:6263;top:4781;width:3740;height:2" coordorigin="6263,4781" coordsize="3740,2">
              <v:shape style="position:absolute;left:6263;top:4781;width:3740;height:2" coordorigin="6263,4781" coordsize="3740,0" path="m6263,4781l10003,4781e" filled="false" stroked="true" strokeweight=".75pt" strokecolor="#000000">
                <v:path arrowok="t"/>
              </v:shape>
            </v:group>
            <v:group style="position:absolute;left:1134;top:29;width:2;height:8843" coordorigin="1134,29" coordsize="2,8843">
              <v:shape style="position:absolute;left:1134;top:29;width:2;height:8843" coordorigin="1134,29" coordsize="0,8843" path="m1134,29l1134,8872e" filled="false" stroked="true" strokeweight=".75pt" strokecolor="#000000">
                <v:path arrowok="t"/>
              </v:shape>
            </v:group>
            <v:group style="position:absolute;left:1142;top:8864;width:3349;height:2" coordorigin="1142,8864" coordsize="3349,2">
              <v:shape style="position:absolute;left:1142;top:8864;width:3349;height:2" coordorigin="1142,8864" coordsize="3349,0" path="m1142,8864l4491,8864e" filled="false" stroked="true" strokeweight=".75pt" strokecolor="#000000">
                <v:path arrowok="t"/>
              </v:shape>
            </v:group>
            <v:group style="position:absolute;left:4506;top:1658;width:1743;height:2" coordorigin="4506,1658" coordsize="1743,2">
              <v:shape style="position:absolute;left:4506;top:1658;width:1743;height:2" coordorigin="4506,1658" coordsize="1743,0" path="m4506,1658l6248,1658e" filled="false" stroked="true" strokeweight=".75pt" strokecolor="#000000">
                <v:path arrowok="t"/>
              </v:shape>
            </v:group>
            <v:group style="position:absolute;left:6263;top:1658;width:3740;height:2" coordorigin="6263,1658" coordsize="3740,2">
              <v:shape style="position:absolute;left:6263;top:1658;width:3740;height:2" coordorigin="6263,1658" coordsize="3740,0" path="m6263,1658l10003,1658e" filled="false" stroked="true" strokeweight=".75pt" strokecolor="#000000">
                <v:path arrowok="t"/>
              </v:shape>
            </v:group>
            <v:group style="position:absolute;left:4506;top:6057;width:1743;height:2" coordorigin="4506,6057" coordsize="1743,2">
              <v:shape style="position:absolute;left:4506;top:6057;width:1743;height:2" coordorigin="4506,6057" coordsize="1743,0" path="m4506,6057l6248,6057e" filled="false" stroked="true" strokeweight=".75pt" strokecolor="#000000">
                <v:path arrowok="t"/>
              </v:shape>
            </v:group>
            <v:group style="position:absolute;left:6263;top:6057;width:3740;height:2" coordorigin="6263,6057" coordsize="3740,2">
              <v:shape style="position:absolute;left:6263;top:6057;width:3740;height:2" coordorigin="6263,6057" coordsize="3740,0" path="m6263,6057l10003,6057e" filled="false" stroked="true" strokeweight=".75pt" strokecolor="#000000">
                <v:path arrowok="t"/>
              </v:shape>
            </v:group>
            <v:group style="position:absolute;left:4506;top:7033;width:1743;height:2" coordorigin="4506,7033" coordsize="1743,2">
              <v:shape style="position:absolute;left:4506;top:7033;width:1743;height:2" coordorigin="4506,7033" coordsize="1743,0" path="m4506,7033l6248,7033e" filled="false" stroked="true" strokeweight=".75pt" strokecolor="#000000">
                <v:path arrowok="t"/>
              </v:shape>
            </v:group>
            <v:group style="position:absolute;left:6263;top:7033;width:3740;height:2" coordorigin="6263,7033" coordsize="3740,2">
              <v:shape style="position:absolute;left:6263;top:7033;width:3740;height:2" coordorigin="6263,7033" coordsize="3740,0" path="m6263,7033l10003,7033e" filled="false" stroked="true" strokeweight=".75pt" strokecolor="#000000">
                <v:path arrowok="t"/>
              </v:shape>
            </v:group>
            <v:group style="position:absolute;left:4498;top:29;width:2;height:8843" coordorigin="4498,29" coordsize="2,8843">
              <v:shape style="position:absolute;left:4498;top:29;width:2;height:8843" coordorigin="4498,29" coordsize="0,8843" path="m4498,29l4498,8872e" filled="false" stroked="true" strokeweight=".75pt" strokecolor="#000000">
                <v:path arrowok="t"/>
              </v:shape>
            </v:group>
            <v:group style="position:absolute;left:4506;top:8864;width:1743;height:2" coordorigin="4506,8864" coordsize="1743,2">
              <v:shape style="position:absolute;left:4506;top:8864;width:1743;height:2" coordorigin="4506,8864" coordsize="1743,0" path="m4506,8864l6248,8864e" filled="false" stroked="true" strokeweight=".75pt" strokecolor="#000000">
                <v:path arrowok="t"/>
              </v:shape>
            </v:group>
            <v:group style="position:absolute;left:6256;top:29;width:2;height:8843" coordorigin="6256,29" coordsize="2,8843">
              <v:shape style="position:absolute;left:6256;top:29;width:2;height:8843" coordorigin="6256,29" coordsize="0,8843" path="m6256,29l6256,8872e" filled="false" stroked="true" strokeweight=".75pt" strokecolor="#000000">
                <v:path arrowok="t"/>
              </v:shape>
            </v:group>
            <v:group style="position:absolute;left:6263;top:8864;width:3740;height:2" coordorigin="6263,8864" coordsize="3740,2">
              <v:shape style="position:absolute;left:6263;top:8864;width:3740;height:2" coordorigin="6263,8864" coordsize="3740,0" path="m6263,8864l10003,8864e" filled="false" stroked="true" strokeweight=".75pt" strokecolor="#000000">
                <v:path arrowok="t"/>
              </v:shape>
            </v:group>
            <v:group style="position:absolute;left:10010;top:29;width:2;height:8843" coordorigin="10010,29" coordsize="2,8843">
              <v:shape style="position:absolute;left:10010;top:29;width:2;height:8843" coordorigin="10010,29" coordsize="0,8843" path="m10010,29l10010,8872e" filled="false" stroked="true" strokeweight=".75pt" strokecolor="#000000">
                <v:path arrowok="t"/>
              </v:shape>
            </v:group>
            <w10:wrap type="none"/>
          </v:group>
        </w:pict>
      </w:r>
      <w:r>
        <w:rPr/>
        <w:t>公允价值计量且其变动计入其他综合收益 </w:t>
      </w:r>
      <w:r>
        <w:rPr>
          <w:spacing w:val="-4"/>
        </w:rPr>
        <w:t>的金融资产。将“应收票据”在“应收款项</w:t>
      </w:r>
      <w:r>
        <w:rPr/>
        <w:t> 融资”科目列示。</w:t>
      </w:r>
    </w:p>
    <w:p>
      <w:pPr>
        <w:pStyle w:val="BodyText"/>
        <w:tabs>
          <w:tab w:pos="5277" w:val="left" w:leader="none"/>
        </w:tabs>
        <w:spacing w:line="240" w:lineRule="auto" w:before="48"/>
        <w:ind w:right="0"/>
        <w:jc w:val="left"/>
      </w:pPr>
      <w:r>
        <w:rPr/>
        <w:t>财政部于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31</w:t>
      </w:r>
      <w:r>
        <w:rPr/>
        <w:t>日颁布了《企业会计</w:t>
      </w:r>
      <w:r>
        <w:rPr>
          <w:spacing w:val="-58"/>
        </w:rPr>
        <w:t> </w:t>
      </w:r>
      <w:r>
        <w:rPr/>
        <w:t>信用减值损失</w:t>
        <w:tab/>
        <w:t>本期金额：</w:t>
      </w:r>
      <w:r>
        <w:rPr>
          <w:rFonts w:ascii="宋体" w:hAnsi="宋体" w:cs="宋体" w:eastAsia="宋体" w:hint="default"/>
        </w:rPr>
        <w:t>-1,216,336.96</w:t>
      </w:r>
      <w:r>
        <w:rPr/>
        <w:t>元</w:t>
      </w:r>
    </w:p>
    <w:p>
      <w:pPr>
        <w:pStyle w:val="BodyText"/>
        <w:tabs>
          <w:tab w:pos="5277" w:val="left" w:leader="none"/>
        </w:tabs>
        <w:spacing w:line="240" w:lineRule="auto" w:before="79"/>
        <w:ind w:right="0"/>
        <w:jc w:val="left"/>
      </w:pPr>
      <w:r>
        <w:rPr/>
        <w:t>准则第</w:t>
      </w:r>
      <w:r>
        <w:rPr>
          <w:rFonts w:ascii="宋体" w:hAnsi="宋体" w:cs="宋体" w:eastAsia="宋体" w:hint="default"/>
        </w:rPr>
        <w:t>22</w:t>
      </w:r>
      <w:r>
        <w:rPr>
          <w:spacing w:val="-1"/>
        </w:rPr>
        <w:t>号</w:t>
      </w:r>
      <w:r>
        <w:rPr/>
        <w:t>——金融工具确认和计量</w:t>
      </w:r>
      <w:r>
        <w:rPr>
          <w:spacing w:val="-90"/>
        </w:rPr>
        <w:t>》</w:t>
      </w:r>
      <w:r>
        <w:rPr/>
        <w:t>（财</w:t>
        <w:tab/>
        <w:t>上期金额</w:t>
      </w:r>
      <w:r>
        <w:rPr>
          <w:spacing w:val="1"/>
        </w:rPr>
        <w:t>：</w:t>
      </w:r>
      <w:r>
        <w:rPr>
          <w:rFonts w:ascii="宋体" w:hAnsi="宋体" w:cs="宋体" w:eastAsia="宋体" w:hint="default"/>
        </w:rPr>
        <w:t>-181,944.7</w:t>
      </w:r>
      <w:r>
        <w:rPr>
          <w:rFonts w:ascii="宋体" w:hAnsi="宋体" w:cs="宋体" w:eastAsia="宋体" w:hint="default"/>
          <w:spacing w:val="1"/>
        </w:rPr>
        <w:t>1</w:t>
      </w:r>
      <w:r>
        <w:rPr/>
        <w:t>元</w:t>
      </w:r>
    </w:p>
    <w:p>
      <w:pPr>
        <w:pStyle w:val="BodyText"/>
        <w:tabs>
          <w:tab w:pos="5277" w:val="left" w:leader="none"/>
        </w:tabs>
        <w:spacing w:line="240" w:lineRule="auto" w:before="65"/>
        <w:ind w:right="0"/>
        <w:jc w:val="left"/>
      </w:pPr>
      <w:r>
        <w:rPr>
          <w:position w:val="3"/>
        </w:rPr>
        <w:t>会〔</w:t>
      </w:r>
      <w:r>
        <w:rPr>
          <w:rFonts w:ascii="宋体" w:hAnsi="宋体" w:cs="宋体" w:eastAsia="宋体" w:hint="default"/>
          <w:position w:val="3"/>
        </w:rPr>
        <w:t>2017</w:t>
      </w:r>
      <w:r>
        <w:rPr>
          <w:position w:val="3"/>
        </w:rPr>
        <w:t>〕</w:t>
      </w:r>
      <w:r>
        <w:rPr>
          <w:rFonts w:ascii="宋体" w:hAnsi="宋体" w:cs="宋体" w:eastAsia="宋体" w:hint="default"/>
          <w:position w:val="3"/>
        </w:rPr>
        <w:t>7</w:t>
      </w:r>
      <w:r>
        <w:rPr>
          <w:position w:val="3"/>
        </w:rPr>
        <w:t>号）、《企业会计准则第</w:t>
      </w:r>
      <w:r>
        <w:rPr>
          <w:rFonts w:ascii="宋体" w:hAnsi="宋体" w:cs="宋体" w:eastAsia="宋体" w:hint="default"/>
          <w:position w:val="3"/>
        </w:rPr>
        <w:t>23</w:t>
      </w:r>
      <w:r>
        <w:rPr>
          <w:position w:val="3"/>
        </w:rPr>
        <w:t>号</w:t>
      </w:r>
      <w:r>
        <w:rPr>
          <w:spacing w:val="-59"/>
          <w:position w:val="3"/>
        </w:rPr>
        <w:t> </w:t>
      </w:r>
      <w:r>
        <w:rPr/>
        <w:t>资产减值损失</w:t>
        <w:tab/>
        <w:t>本期金额：</w:t>
      </w:r>
      <w:r>
        <w:rPr>
          <w:rFonts w:ascii="宋体" w:hAnsi="宋体" w:cs="宋体" w:eastAsia="宋体" w:hint="default"/>
        </w:rPr>
        <w:t>-4,180,606.06</w:t>
      </w:r>
      <w:r>
        <w:rPr/>
        <w:t>元</w:t>
      </w:r>
    </w:p>
    <w:p>
      <w:pPr>
        <w:spacing w:after="0" w:line="240" w:lineRule="auto"/>
        <w:jc w:val="left"/>
        <w:sectPr>
          <w:pgSz w:w="11910" w:h="16850"/>
          <w:pgMar w:header="731" w:footer="981" w:top="1040" w:bottom="1180" w:left="1000" w:right="0"/>
        </w:sectPr>
      </w:pPr>
    </w:p>
    <w:p>
      <w:pPr>
        <w:pStyle w:val="BodyText"/>
        <w:spacing w:line="240" w:lineRule="auto" w:before="49"/>
        <w:ind w:right="-3"/>
        <w:jc w:val="left"/>
      </w:pPr>
      <w:r>
        <w:rPr>
          <w:spacing w:val="-4"/>
        </w:rPr>
        <w:t>——金融资产转移》（财会〔</w:t>
      </w:r>
      <w:r>
        <w:rPr>
          <w:rFonts w:ascii="宋体" w:hAnsi="宋体" w:cs="宋体" w:eastAsia="宋体" w:hint="default"/>
          <w:spacing w:val="-4"/>
        </w:rPr>
        <w:t>2017</w:t>
      </w:r>
      <w:r>
        <w:rPr>
          <w:spacing w:val="-4"/>
        </w:rPr>
        <w:t>〕</w:t>
      </w:r>
      <w:r>
        <w:rPr>
          <w:rFonts w:ascii="宋体" w:hAnsi="宋体" w:cs="宋体" w:eastAsia="宋体" w:hint="default"/>
          <w:spacing w:val="-4"/>
        </w:rPr>
        <w:t>8</w:t>
      </w:r>
      <w:r>
        <w:rPr>
          <w:spacing w:val="-4"/>
        </w:rPr>
        <w:t>号）、</w:t>
      </w:r>
    </w:p>
    <w:p>
      <w:pPr>
        <w:pStyle w:val="BodyText"/>
        <w:spacing w:line="321" w:lineRule="auto" w:before="80"/>
        <w:ind w:right="89"/>
        <w:jc w:val="left"/>
      </w:pPr>
      <w:r>
        <w:rPr>
          <w:spacing w:val="-5"/>
        </w:rPr>
        <w:t>《企业会计准则第</w:t>
      </w:r>
      <w:r>
        <w:rPr>
          <w:rFonts w:ascii="宋体" w:hAnsi="宋体" w:cs="宋体" w:eastAsia="宋体" w:hint="default"/>
          <w:spacing w:val="-5"/>
        </w:rPr>
        <w:t>24</w:t>
      </w:r>
      <w:r>
        <w:rPr>
          <w:spacing w:val="-5"/>
        </w:rPr>
        <w:t>号——套期会计》（财</w:t>
      </w:r>
      <w:r>
        <w:rPr>
          <w:spacing w:val="-79"/>
        </w:rPr>
        <w:t> </w:t>
      </w:r>
      <w:r>
        <w:rPr>
          <w:spacing w:val="-79"/>
        </w:rPr>
      </w:r>
      <w:r>
        <w:rPr/>
        <w:t>会〔</w:t>
      </w:r>
      <w:r>
        <w:rPr>
          <w:rFonts w:ascii="宋体" w:hAnsi="宋体" w:cs="宋体" w:eastAsia="宋体" w:hint="default"/>
        </w:rPr>
        <w:t>2017</w:t>
      </w:r>
      <w:r>
        <w:rPr/>
        <w:t>〕</w:t>
      </w:r>
      <w:r>
        <w:rPr>
          <w:rFonts w:ascii="宋体" w:hAnsi="宋体" w:cs="宋体" w:eastAsia="宋体" w:hint="default"/>
        </w:rPr>
        <w:t>9</w:t>
      </w:r>
      <w:r>
        <w:rPr/>
        <w:t>号）以及于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日颁布</w:t>
      </w:r>
    </w:p>
    <w:p>
      <w:pPr>
        <w:pStyle w:val="BodyText"/>
        <w:spacing w:line="240" w:lineRule="auto" w:before="19"/>
        <w:ind w:right="-1"/>
        <w:jc w:val="left"/>
      </w:pPr>
      <w:r>
        <w:rPr/>
        <w:t>《企业会计准则第</w:t>
      </w:r>
      <w:r>
        <w:rPr>
          <w:rFonts w:ascii="宋体" w:hAnsi="宋体" w:cs="宋体" w:eastAsia="宋体" w:hint="default"/>
        </w:rPr>
        <w:t>37</w:t>
      </w:r>
      <w:r>
        <w:rPr/>
        <w:t>号——金融工具列报》</w:t>
      </w:r>
    </w:p>
    <w:p>
      <w:pPr>
        <w:pStyle w:val="BodyText"/>
        <w:spacing w:line="321" w:lineRule="auto" w:before="64"/>
        <w:ind w:right="102"/>
        <w:jc w:val="left"/>
      </w:pPr>
      <w:r>
        <w:rPr/>
        <w:t>（财会〔</w:t>
      </w:r>
      <w:r>
        <w:rPr>
          <w:rFonts w:ascii="宋体" w:hAnsi="宋体" w:cs="宋体" w:eastAsia="宋体" w:hint="default"/>
        </w:rPr>
        <w:t>2017</w:t>
      </w:r>
      <w:r>
        <w:rPr/>
        <w:t>〕</w:t>
      </w:r>
      <w:r>
        <w:rPr>
          <w:rFonts w:ascii="宋体" w:hAnsi="宋体" w:cs="宋体" w:eastAsia="宋体" w:hint="default"/>
        </w:rPr>
        <w:t>14</w:t>
      </w:r>
      <w:r>
        <w:rPr/>
        <w:t>号），本公司自</w:t>
      </w:r>
      <w:r>
        <w:rPr>
          <w:rFonts w:ascii="宋体" w:hAnsi="宋体" w:cs="宋体" w:eastAsia="宋体" w:hint="default"/>
        </w:rPr>
        <w:t>2019</w:t>
      </w:r>
      <w:r>
        <w:rPr/>
        <w:t>年</w:t>
      </w:r>
      <w:r>
        <w:rPr>
          <w:rFonts w:ascii="宋体" w:hAnsi="宋体" w:cs="宋体" w:eastAsia="宋体" w:hint="default"/>
        </w:rPr>
        <w:t>1</w:t>
      </w:r>
      <w:r>
        <w:rPr>
          <w:rFonts w:ascii="宋体" w:hAnsi="宋体" w:cs="宋体" w:eastAsia="宋体" w:hint="default"/>
          <w:spacing w:val="-87"/>
        </w:rPr>
        <w:t> </w:t>
      </w:r>
      <w:r>
        <w:rPr/>
        <w:t>月</w:t>
      </w:r>
      <w:r>
        <w:rPr>
          <w:rFonts w:ascii="宋体" w:hAnsi="宋体" w:cs="宋体" w:eastAsia="宋体" w:hint="default"/>
        </w:rPr>
        <w:t>1</w:t>
      </w:r>
      <w:r>
        <w:rPr/>
        <w:t>日起施行。执行新金融工具准则，“应</w:t>
      </w:r>
      <w:r>
        <w:rPr>
          <w:spacing w:val="-87"/>
        </w:rPr>
        <w:t> </w:t>
      </w:r>
      <w:r>
        <w:rPr>
          <w:spacing w:val="-87"/>
        </w:rPr>
      </w:r>
      <w:r>
        <w:rPr/>
        <w:t>收账款”和“其他应收款”计提的坏账损</w:t>
      </w:r>
      <w:r>
        <w:rPr/>
        <w:t> 失，在“信用减值损失（损失以“</w:t>
      </w:r>
      <w:r>
        <w:rPr>
          <w:rFonts w:ascii="宋体" w:hAnsi="宋体" w:cs="宋体" w:eastAsia="宋体" w:hint="default"/>
        </w:rPr>
        <w:t>-</w:t>
      </w:r>
      <w:r>
        <w:rPr/>
        <w:t>”号填 列）”科目列示。</w:t>
      </w:r>
    </w:p>
    <w:p>
      <w:pPr>
        <w:pStyle w:val="BodyText"/>
        <w:spacing w:line="240" w:lineRule="auto" w:before="79"/>
        <w:ind w:right="0"/>
        <w:jc w:val="left"/>
      </w:pPr>
      <w:r>
        <w:rPr/>
        <w:br w:type="column"/>
      </w:r>
      <w:r>
        <w:rPr/>
        <w:t>上期金额：</w:t>
      </w:r>
      <w:r>
        <w:rPr>
          <w:rFonts w:ascii="宋体" w:hAnsi="宋体" w:cs="宋体" w:eastAsia="宋体" w:hint="default"/>
        </w:rPr>
        <w:t>-55,788,929.34</w:t>
      </w:r>
      <w:r>
        <w:rPr/>
        <w:t>元</w:t>
      </w:r>
    </w:p>
    <w:p>
      <w:pPr>
        <w:spacing w:after="0" w:line="240" w:lineRule="auto"/>
        <w:jc w:val="left"/>
        <w:sectPr>
          <w:type w:val="continuous"/>
          <w:pgSz w:w="11910" w:h="16850"/>
          <w:pgMar w:top="1040" w:bottom="1180" w:left="1000" w:right="0"/>
          <w:cols w:num="2" w:equalWidth="0">
            <w:col w:w="3581" w:space="1556"/>
            <w:col w:w="5773"/>
          </w:cols>
        </w:sectPr>
      </w:pPr>
    </w:p>
    <w:p>
      <w:pPr>
        <w:pStyle w:val="BodyText"/>
        <w:tabs>
          <w:tab w:pos="5277" w:val="left" w:leader="none"/>
        </w:tabs>
        <w:spacing w:line="240" w:lineRule="auto" w:before="33"/>
        <w:ind w:right="0"/>
        <w:jc w:val="left"/>
      </w:pPr>
      <w:r>
        <w:rPr/>
        <w:t>财政部于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31</w:t>
      </w:r>
      <w:r>
        <w:rPr/>
        <w:t>日颁布了《企业会计</w:t>
      </w:r>
      <w:r>
        <w:rPr>
          <w:spacing w:val="-58"/>
        </w:rPr>
        <w:t> </w:t>
      </w:r>
      <w:r>
        <w:rPr/>
        <w:t>可供出售金融资产</w:t>
        <w:tab/>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日金额：</w:t>
      </w:r>
      <w:r>
        <w:rPr>
          <w:rFonts w:ascii="宋体" w:hAnsi="宋体" w:cs="宋体" w:eastAsia="宋体" w:hint="default"/>
        </w:rPr>
        <w:t>0.00</w:t>
      </w:r>
      <w:r>
        <w:rPr/>
        <w:t>元</w:t>
      </w:r>
    </w:p>
    <w:p>
      <w:pPr>
        <w:spacing w:after="0" w:line="240" w:lineRule="auto"/>
        <w:jc w:val="left"/>
        <w:sectPr>
          <w:type w:val="continuous"/>
          <w:pgSz w:w="11910" w:h="16850"/>
          <w:pgMar w:top="1040" w:bottom="1180" w:left="1000" w:right="0"/>
        </w:sectPr>
      </w:pPr>
    </w:p>
    <w:p>
      <w:pPr>
        <w:pStyle w:val="BodyText"/>
        <w:spacing w:line="321" w:lineRule="auto" w:before="80"/>
        <w:ind w:right="89"/>
        <w:jc w:val="left"/>
      </w:pPr>
      <w:r>
        <w:rPr>
          <w:spacing w:val="-5"/>
        </w:rPr>
        <w:t>准则第</w:t>
      </w:r>
      <w:r>
        <w:rPr>
          <w:rFonts w:ascii="宋体" w:hAnsi="宋体" w:cs="宋体" w:eastAsia="宋体" w:hint="default"/>
          <w:spacing w:val="-5"/>
        </w:rPr>
        <w:t>22</w:t>
      </w:r>
      <w:r>
        <w:rPr>
          <w:spacing w:val="-5"/>
        </w:rPr>
        <w:t>号——金融工具确认和计量》（财</w:t>
      </w:r>
      <w:r>
        <w:rPr>
          <w:spacing w:val="-81"/>
        </w:rPr>
        <w:t> </w:t>
      </w:r>
      <w:r>
        <w:rPr>
          <w:spacing w:val="-81"/>
        </w:rPr>
      </w:r>
      <w:r>
        <w:rPr/>
        <w:t>会〔</w:t>
      </w:r>
      <w:r>
        <w:rPr>
          <w:rFonts w:ascii="宋体" w:hAnsi="宋体" w:cs="宋体" w:eastAsia="宋体" w:hint="default"/>
        </w:rPr>
        <w:t>2017</w:t>
      </w:r>
      <w:r>
        <w:rPr/>
        <w:t>〕</w:t>
      </w:r>
      <w:r>
        <w:rPr>
          <w:rFonts w:ascii="宋体" w:hAnsi="宋体" w:cs="宋体" w:eastAsia="宋体" w:hint="default"/>
        </w:rPr>
        <w:t>7</w:t>
      </w:r>
      <w:r>
        <w:rPr/>
        <w:t>号）、《企业会计准则第</w:t>
      </w:r>
      <w:r>
        <w:rPr>
          <w:rFonts w:ascii="宋体" w:hAnsi="宋体" w:cs="宋体" w:eastAsia="宋体" w:hint="default"/>
        </w:rPr>
        <w:t>23</w:t>
      </w:r>
      <w:r>
        <w:rPr/>
        <w:t>号</w:t>
      </w:r>
    </w:p>
    <w:p>
      <w:pPr>
        <w:pStyle w:val="BodyText"/>
        <w:spacing w:line="240" w:lineRule="auto" w:before="19"/>
        <w:ind w:right="-3"/>
        <w:jc w:val="left"/>
      </w:pPr>
      <w:r>
        <w:rPr>
          <w:spacing w:val="-4"/>
        </w:rPr>
        <w:t>——金融资产转移》（财会〔</w:t>
      </w:r>
      <w:r>
        <w:rPr>
          <w:rFonts w:ascii="宋体" w:hAnsi="宋体" w:cs="宋体" w:eastAsia="宋体" w:hint="default"/>
          <w:spacing w:val="-4"/>
        </w:rPr>
        <w:t>2017</w:t>
      </w:r>
      <w:r>
        <w:rPr>
          <w:spacing w:val="-4"/>
        </w:rPr>
        <w:t>〕</w:t>
      </w:r>
      <w:r>
        <w:rPr>
          <w:rFonts w:ascii="宋体" w:hAnsi="宋体" w:cs="宋体" w:eastAsia="宋体" w:hint="default"/>
          <w:spacing w:val="-4"/>
        </w:rPr>
        <w:t>8</w:t>
      </w:r>
      <w:r>
        <w:rPr>
          <w:spacing w:val="-4"/>
        </w:rPr>
        <w:t>号）、</w:t>
      </w:r>
    </w:p>
    <w:p>
      <w:pPr>
        <w:pStyle w:val="BodyText"/>
        <w:spacing w:line="240" w:lineRule="auto" w:before="80"/>
        <w:ind w:right="0"/>
        <w:jc w:val="left"/>
      </w:pPr>
      <w:r>
        <w:rPr/>
        <w:br w:type="column"/>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日（变更后）金额：</w:t>
      </w:r>
      <w:r>
        <w:rPr>
          <w:rFonts w:ascii="宋体" w:hAnsi="宋体" w:cs="宋体" w:eastAsia="宋体" w:hint="default"/>
        </w:rPr>
        <w:t>0.00</w:t>
      </w:r>
      <w:r>
        <w:rPr/>
        <w:t>元</w:t>
      </w:r>
    </w:p>
    <w:p>
      <w:pPr>
        <w:pStyle w:val="BodyText"/>
        <w:spacing w:line="240" w:lineRule="auto" w:before="79"/>
        <w:ind w:right="0"/>
        <w:jc w:val="left"/>
        <w:rPr>
          <w:rFonts w:ascii="宋体" w:hAnsi="宋体" w:cs="宋体" w:eastAsia="宋体" w:hint="default"/>
        </w:rPr>
      </w:pP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w:t>
      </w:r>
      <w:r>
        <w:rPr/>
        <w:t>变更前</w:t>
      </w:r>
      <w:r>
        <w:rPr>
          <w:rFonts w:ascii="宋体" w:hAnsi="宋体" w:cs="宋体" w:eastAsia="宋体" w:hint="default"/>
        </w:rPr>
        <w:t>)</w:t>
      </w:r>
      <w:r>
        <w:rPr/>
        <w:t>金额：</w:t>
      </w:r>
      <w:r>
        <w:rPr>
          <w:rFonts w:ascii="宋体" w:hAnsi="宋体" w:cs="宋体" w:eastAsia="宋体" w:hint="default"/>
        </w:rPr>
        <w:t>98,344,148.68</w:t>
      </w:r>
    </w:p>
    <w:p>
      <w:pPr>
        <w:pStyle w:val="BodyText"/>
        <w:spacing w:line="240" w:lineRule="auto" w:before="80"/>
        <w:ind w:right="0"/>
        <w:jc w:val="left"/>
      </w:pPr>
      <w:r>
        <w:rPr/>
        <w:t>元</w:t>
      </w:r>
    </w:p>
    <w:p>
      <w:pPr>
        <w:spacing w:after="0" w:line="240" w:lineRule="auto"/>
        <w:jc w:val="left"/>
        <w:sectPr>
          <w:type w:val="continuous"/>
          <w:pgSz w:w="11910" w:h="16850"/>
          <w:pgMar w:top="1040" w:bottom="1180" w:left="1000" w:right="0"/>
          <w:cols w:num="2" w:equalWidth="0">
            <w:col w:w="3581" w:space="1556"/>
            <w:col w:w="5773"/>
          </w:cols>
        </w:sectPr>
      </w:pPr>
    </w:p>
    <w:p>
      <w:pPr>
        <w:pStyle w:val="BodyText"/>
        <w:tabs>
          <w:tab w:pos="5277" w:val="left" w:leader="none"/>
        </w:tabs>
        <w:spacing w:line="240" w:lineRule="auto" w:before="80"/>
        <w:ind w:right="0"/>
        <w:jc w:val="left"/>
      </w:pPr>
      <w:r>
        <w:rPr>
          <w:position w:val="3"/>
        </w:rPr>
        <w:t>《企业会计准则</w:t>
      </w:r>
      <w:r>
        <w:rPr>
          <w:spacing w:val="1"/>
          <w:position w:val="3"/>
        </w:rPr>
        <w:t>第</w:t>
      </w:r>
      <w:r>
        <w:rPr>
          <w:rFonts w:ascii="宋体" w:hAnsi="宋体" w:cs="宋体" w:eastAsia="宋体" w:hint="default"/>
          <w:position w:val="3"/>
        </w:rPr>
        <w:t>24</w:t>
      </w:r>
      <w:r>
        <w:rPr>
          <w:position w:val="3"/>
        </w:rPr>
        <w:t>号——套期会计</w:t>
      </w:r>
      <w:r>
        <w:rPr>
          <w:spacing w:val="-90"/>
          <w:position w:val="3"/>
        </w:rPr>
        <w:t>》</w:t>
      </w:r>
      <w:r>
        <w:rPr>
          <w:position w:val="3"/>
        </w:rPr>
        <w:t>（财</w:t>
      </w:r>
      <w:r>
        <w:rPr>
          <w:spacing w:val="-59"/>
          <w:position w:val="3"/>
        </w:rPr>
        <w:t> </w:t>
      </w:r>
      <w:r>
        <w:rPr/>
        <w:t>交易性金融资产</w:t>
        <w:tab/>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日金额</w:t>
      </w:r>
      <w:r>
        <w:rPr>
          <w:spacing w:val="1"/>
        </w:rPr>
        <w:t>：</w:t>
      </w:r>
      <w:r>
        <w:rPr>
          <w:rFonts w:ascii="宋体" w:hAnsi="宋体" w:cs="宋体" w:eastAsia="宋体" w:hint="default"/>
        </w:rPr>
        <w:t>62,193,274.5</w:t>
      </w:r>
      <w:r>
        <w:rPr>
          <w:rFonts w:ascii="宋体" w:hAnsi="宋体" w:cs="宋体" w:eastAsia="宋体" w:hint="default"/>
          <w:spacing w:val="1"/>
        </w:rPr>
        <w:t>0</w:t>
      </w:r>
      <w:r>
        <w:rPr/>
        <w:t>元</w:t>
      </w:r>
    </w:p>
    <w:p>
      <w:pPr>
        <w:spacing w:after="0" w:line="240" w:lineRule="auto"/>
        <w:jc w:val="left"/>
        <w:sectPr>
          <w:type w:val="continuous"/>
          <w:pgSz w:w="11910" w:h="16850"/>
          <w:pgMar w:top="1040" w:bottom="1180" w:left="1000" w:right="0"/>
        </w:sectPr>
      </w:pPr>
    </w:p>
    <w:p>
      <w:pPr>
        <w:pStyle w:val="BodyText"/>
        <w:spacing w:line="240" w:lineRule="auto" w:before="34"/>
        <w:ind w:right="-17"/>
        <w:jc w:val="left"/>
      </w:pPr>
      <w:r>
        <w:rPr/>
        <w:t>会〔</w:t>
      </w:r>
      <w:r>
        <w:rPr>
          <w:rFonts w:ascii="宋体" w:hAnsi="宋体" w:cs="宋体" w:eastAsia="宋体" w:hint="default"/>
        </w:rPr>
        <w:t>2017</w:t>
      </w:r>
      <w:r>
        <w:rPr/>
        <w:t>〕</w:t>
      </w:r>
      <w:r>
        <w:rPr>
          <w:rFonts w:ascii="宋体" w:hAnsi="宋体" w:cs="宋体" w:eastAsia="宋体" w:hint="default"/>
        </w:rPr>
        <w:t>9</w:t>
      </w:r>
      <w:r>
        <w:rPr/>
        <w:t>号）以及于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日颁布</w:t>
      </w:r>
    </w:p>
    <w:p>
      <w:pPr>
        <w:pStyle w:val="BodyText"/>
        <w:spacing w:line="240" w:lineRule="auto" w:before="80"/>
        <w:ind w:right="-17"/>
        <w:jc w:val="left"/>
      </w:pPr>
      <w:r>
        <w:rPr/>
        <w:t>《企业会计准则第</w:t>
      </w:r>
      <w:r>
        <w:rPr>
          <w:rFonts w:ascii="宋体" w:hAnsi="宋体" w:cs="宋体" w:eastAsia="宋体" w:hint="default"/>
        </w:rPr>
        <w:t>37</w:t>
      </w:r>
      <w:r>
        <w:rPr/>
        <w:t>号——金融工具列报》</w:t>
      </w:r>
    </w:p>
    <w:p>
      <w:pPr>
        <w:pStyle w:val="BodyText"/>
        <w:spacing w:line="240" w:lineRule="auto" w:before="64"/>
        <w:ind w:right="0"/>
        <w:jc w:val="left"/>
      </w:pPr>
      <w:r>
        <w:rPr/>
        <w:br w:type="column"/>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日（变更后）金额：</w:t>
      </w:r>
      <w:r>
        <w:rPr>
          <w:rFonts w:ascii="宋体" w:hAnsi="宋体" w:cs="宋体" w:eastAsia="宋体" w:hint="default"/>
        </w:rPr>
        <w:t>0.00</w:t>
      </w:r>
      <w:r>
        <w:rPr/>
        <w:t>元</w:t>
      </w:r>
    </w:p>
    <w:p>
      <w:pPr>
        <w:pStyle w:val="BodyText"/>
        <w:spacing w:line="240" w:lineRule="auto" w:before="80"/>
        <w:ind w:right="0"/>
        <w:jc w:val="left"/>
      </w:pP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日（变更前）金额：</w:t>
      </w:r>
      <w:r>
        <w:rPr>
          <w:rFonts w:ascii="宋体" w:hAnsi="宋体" w:cs="宋体" w:eastAsia="宋体" w:hint="default"/>
        </w:rPr>
        <w:t>0.00</w:t>
      </w:r>
      <w:r>
        <w:rPr/>
        <w:t>元</w:t>
      </w:r>
    </w:p>
    <w:p>
      <w:pPr>
        <w:spacing w:after="0" w:line="240" w:lineRule="auto"/>
        <w:jc w:val="left"/>
        <w:sectPr>
          <w:type w:val="continuous"/>
          <w:pgSz w:w="11910" w:h="16850"/>
          <w:pgMar w:top="1040" w:bottom="1180" w:left="1000" w:right="0"/>
          <w:cols w:num="2" w:equalWidth="0">
            <w:col w:w="3565" w:space="1572"/>
            <w:col w:w="5773"/>
          </w:cols>
        </w:sectPr>
      </w:pPr>
    </w:p>
    <w:p>
      <w:pPr>
        <w:pStyle w:val="BodyText"/>
        <w:spacing w:line="319" w:lineRule="auto" w:before="49"/>
        <w:ind w:right="-19"/>
        <w:jc w:val="left"/>
      </w:pPr>
      <w:r>
        <w:rPr/>
        <w:t>（财会〔</w:t>
      </w:r>
      <w:r>
        <w:rPr>
          <w:rFonts w:ascii="宋体" w:hAnsi="宋体" w:cs="宋体" w:eastAsia="宋体" w:hint="default"/>
        </w:rPr>
        <w:t>2017</w:t>
      </w:r>
      <w:r>
        <w:rPr/>
        <w:t>〕</w:t>
      </w:r>
      <w:r>
        <w:rPr>
          <w:rFonts w:ascii="宋体" w:hAnsi="宋体" w:cs="宋体" w:eastAsia="宋体" w:hint="default"/>
        </w:rPr>
        <w:t>14</w:t>
      </w:r>
      <w:r>
        <w:rPr/>
        <w:t>号）公司自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 </w:t>
      </w:r>
      <w:r>
        <w:rPr>
          <w:spacing w:val="-5"/>
        </w:rPr>
        <w:t>日起施行。执行新金融工具准则，本公司在</w:t>
      </w:r>
      <w:r>
        <w:rPr>
          <w:spacing w:val="-85"/>
        </w:rPr>
        <w:t> </w:t>
      </w:r>
      <w:r>
        <w:rPr>
          <w:spacing w:val="-85"/>
        </w:rPr>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日及以后将其重分类为以公允 价值计量且其变动计入当期损益的金融资 </w:t>
      </w:r>
      <w:r>
        <w:rPr>
          <w:spacing w:val="-4"/>
        </w:rPr>
        <w:t>产，列报为交易性金融资产和其他非流动金</w:t>
      </w:r>
      <w:r>
        <w:rPr/>
        <w:t> 融资产。</w:t>
      </w:r>
    </w:p>
    <w:p>
      <w:pPr>
        <w:pStyle w:val="BodyText"/>
        <w:spacing w:line="240" w:lineRule="auto" w:before="109"/>
        <w:ind w:left="-22" w:right="1754"/>
        <w:jc w:val="left"/>
      </w:pPr>
      <w:r>
        <w:rPr/>
        <w:br w:type="column"/>
      </w:r>
      <w:r>
        <w:rPr/>
        <w:t>其他非流动金融资产</w:t>
      </w:r>
      <w:r>
        <w:rPr>
          <w:spacing w:val="64"/>
        </w:rPr>
        <w:t>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日金额：</w:t>
      </w:r>
      <w:r>
        <w:rPr>
          <w:rFonts w:ascii="宋体" w:hAnsi="宋体" w:cs="宋体" w:eastAsia="宋体" w:hint="default"/>
        </w:rPr>
        <w:t>92,954,270.82</w:t>
      </w:r>
      <w:r>
        <w:rPr/>
        <w:t>元</w:t>
      </w:r>
    </w:p>
    <w:p>
      <w:pPr>
        <w:pStyle w:val="BodyText"/>
        <w:spacing w:line="321" w:lineRule="auto" w:before="80"/>
        <w:ind w:left="1751" w:right="1754"/>
        <w:jc w:val="left"/>
      </w:pP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日（变更后）金额：</w:t>
      </w:r>
      <w:r>
        <w:rPr>
          <w:rFonts w:ascii="宋体" w:hAnsi="宋体" w:cs="宋体" w:eastAsia="宋体" w:hint="default"/>
          <w:spacing w:val="-2"/>
        </w:rPr>
        <w:t>138,351,411.60</w:t>
      </w:r>
      <w:r>
        <w:rPr>
          <w:rFonts w:ascii="宋体" w:hAnsi="宋体" w:cs="宋体" w:eastAsia="宋体" w:hint="default"/>
          <w:spacing w:val="-72"/>
        </w:rPr>
        <w:t> </w:t>
      </w:r>
      <w:r>
        <w:rPr/>
        <w:t>元</w:t>
      </w:r>
    </w:p>
    <w:p>
      <w:pPr>
        <w:pStyle w:val="BodyText"/>
        <w:spacing w:line="240" w:lineRule="auto" w:before="3"/>
        <w:ind w:left="1751" w:right="1754"/>
        <w:jc w:val="left"/>
      </w:pP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w:t>
      </w:r>
      <w:r>
        <w:rPr/>
        <w:t>变更前</w:t>
      </w:r>
      <w:r>
        <w:rPr>
          <w:rFonts w:ascii="宋体" w:hAnsi="宋体" w:cs="宋体" w:eastAsia="宋体" w:hint="default"/>
        </w:rPr>
        <w:t>)</w:t>
      </w:r>
      <w:r>
        <w:rPr/>
        <w:t>金额：</w:t>
      </w:r>
      <w:r>
        <w:rPr>
          <w:rFonts w:ascii="宋体" w:hAnsi="宋体" w:cs="宋体" w:eastAsia="宋体" w:hint="default"/>
        </w:rPr>
        <w:t>0.00</w:t>
      </w:r>
      <w:r>
        <w:rPr/>
        <w:t>元</w:t>
      </w:r>
    </w:p>
    <w:p>
      <w:pPr>
        <w:spacing w:after="0" w:line="240" w:lineRule="auto"/>
        <w:jc w:val="left"/>
        <w:sectPr>
          <w:type w:val="continuous"/>
          <w:pgSz w:w="11910" w:h="16850"/>
          <w:pgMar w:top="1040" w:bottom="1180" w:left="1000" w:right="0"/>
          <w:cols w:num="2" w:equalWidth="0">
            <w:col w:w="3487" w:space="40"/>
            <w:col w:w="7383"/>
          </w:cols>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6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公司报告期无重大会计差错更正需追溯重述的情况。</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1"/>
        <w:rPr>
          <w:rFonts w:ascii="宋体" w:hAnsi="宋体" w:cs="宋体" w:eastAsia="宋体" w:hint="default"/>
          <w:b/>
          <w:bCs/>
          <w:sz w:val="26"/>
          <w:szCs w:val="26"/>
        </w:rPr>
      </w:pPr>
    </w:p>
    <w:p>
      <w:pPr>
        <w:pStyle w:val="BodyText"/>
        <w:spacing w:line="331" w:lineRule="auto"/>
        <w:ind w:right="44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本报告期内，新增西安卓华联盛科技有限公司和武汉市卓翼智造科技有限公司。</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bl>
    <w:p>
      <w:pPr>
        <w:spacing w:after="0" w:line="240"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95</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hAnsi="宋体" w:cs="宋体" w:eastAsia="宋体" w:hint="default"/>
                <w:sz w:val="18"/>
                <w:szCs w:val="18"/>
              </w:rPr>
              <w:t>周英、林丹妮</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境外会计师事务所报酬（万元）（如有）</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4"/>
        <w:ind w:right="0"/>
        <w:jc w:val="left"/>
      </w:pPr>
      <w:r>
        <w:rPr/>
        <w:t>当期是否改聘会计师事务所</w:t>
      </w:r>
    </w:p>
    <w:p>
      <w:pPr>
        <w:pStyle w:val="BodyText"/>
        <w:spacing w:line="319" w:lineRule="auto" w:before="125"/>
        <w:ind w:right="62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聘请内部控制审计会计师事务所、财务顾问或保荐人情况</w:t>
      </w:r>
    </w:p>
    <w:p>
      <w:pPr>
        <w:pStyle w:val="BodyText"/>
        <w:spacing w:line="240" w:lineRule="auto" w:before="8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1"/>
        <w:rPr>
          <w:rFonts w:ascii="宋体" w:hAnsi="宋体" w:cs="宋体" w:eastAsia="宋体" w:hint="default"/>
          <w:b/>
          <w:bCs/>
          <w:sz w:val="26"/>
          <w:szCs w:val="26"/>
        </w:rPr>
      </w:pPr>
    </w:p>
    <w:p>
      <w:pPr>
        <w:pStyle w:val="BodyText"/>
        <w:spacing w:line="331" w:lineRule="auto"/>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公司报告期未发生破产重整相关事项。</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562"/>
        <w:gridCol w:w="1066"/>
        <w:gridCol w:w="1262"/>
        <w:gridCol w:w="931"/>
        <w:gridCol w:w="1381"/>
        <w:gridCol w:w="1246"/>
        <w:gridCol w:w="1067"/>
        <w:gridCol w:w="1066"/>
      </w:tblGrid>
      <w:tr>
        <w:trPr>
          <w:trHeight w:val="720" w:hRule="exact"/>
        </w:trPr>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676" w:right="8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45" w:right="13" w:hanging="331"/>
              <w:jc w:val="left"/>
              <w:rPr>
                <w:rFonts w:ascii="宋体" w:hAnsi="宋体" w:cs="宋体" w:eastAsia="宋体" w:hint="default"/>
                <w:sz w:val="18"/>
                <w:szCs w:val="18"/>
              </w:rPr>
            </w:pPr>
            <w:r>
              <w:rPr>
                <w:rFonts w:ascii="宋体" w:hAnsi="宋体" w:cs="宋体" w:eastAsia="宋体" w:hint="default"/>
                <w:spacing w:val="-10"/>
                <w:sz w:val="18"/>
                <w:szCs w:val="18"/>
              </w:rPr>
              <w:t>涉案金额（万</w:t>
            </w:r>
            <w:r>
              <w:rPr>
                <w:rFonts w:ascii="宋体" w:hAnsi="宋体" w:cs="宋体" w:eastAsia="宋体" w:hint="default"/>
                <w:sz w:val="18"/>
                <w:szCs w:val="18"/>
              </w:rPr>
              <w:t> 元）</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89"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269"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240" w:right="73"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0" w:right="119"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99"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21" w:lineRule="auto"/>
              <w:ind w:left="15" w:right="90"/>
              <w:jc w:val="both"/>
              <w:rPr>
                <w:rFonts w:ascii="宋体" w:hAnsi="宋体" w:cs="宋体" w:eastAsia="宋体" w:hint="default"/>
                <w:sz w:val="18"/>
                <w:szCs w:val="18"/>
              </w:rPr>
            </w:pPr>
            <w:r>
              <w:rPr>
                <w:rFonts w:ascii="宋体" w:hAnsi="宋体" w:cs="宋体" w:eastAsia="宋体" w:hint="default"/>
                <w:sz w:val="18"/>
                <w:szCs w:val="18"/>
              </w:rPr>
              <w:t>卓翼智造因财产损 害纠纷起诉深圳市 轻松点科技有限公 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318.17</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15"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轻松点申 请撤裁被 </w:t>
            </w:r>
            <w:r>
              <w:rPr>
                <w:rFonts w:ascii="宋体" w:hAnsi="宋体" w:cs="宋体" w:eastAsia="宋体" w:hint="default"/>
                <w:spacing w:val="-3"/>
                <w:sz w:val="18"/>
                <w:szCs w:val="18"/>
              </w:rPr>
              <w:t>驳回，现轻</w:t>
            </w:r>
            <w:r>
              <w:rPr>
                <w:rFonts w:ascii="宋体" w:hAnsi="宋体" w:cs="宋体" w:eastAsia="宋体" w:hint="default"/>
                <w:sz w:val="18"/>
                <w:szCs w:val="18"/>
              </w:rPr>
              <w:t> 松点已破 </w:t>
            </w:r>
            <w:r>
              <w:rPr>
                <w:rFonts w:ascii="宋体" w:hAnsi="宋体" w:cs="宋体" w:eastAsia="宋体" w:hint="default"/>
                <w:spacing w:val="-3"/>
                <w:sz w:val="18"/>
                <w:szCs w:val="18"/>
              </w:rPr>
              <w:t>产，卓翼智</w:t>
            </w:r>
            <w:r>
              <w:rPr>
                <w:rFonts w:ascii="宋体" w:hAnsi="宋体" w:cs="宋体" w:eastAsia="宋体" w:hint="default"/>
                <w:sz w:val="18"/>
                <w:szCs w:val="18"/>
              </w:rPr>
              <w:t> 造已向管 理人申报 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318.17</w:t>
            </w:r>
          </w:p>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z w:val="18"/>
                <w:szCs w:val="18"/>
              </w:rPr>
              <w:t>万元的债</w:t>
            </w:r>
          </w:p>
          <w:p>
            <w:pPr>
              <w:pStyle w:val="TableParagraph"/>
              <w:spacing w:line="321" w:lineRule="auto" w:before="79"/>
              <w:ind w:left="15" w:right="13"/>
              <w:jc w:val="left"/>
              <w:rPr>
                <w:rFonts w:ascii="宋体" w:hAnsi="宋体" w:cs="宋体" w:eastAsia="宋体" w:hint="default"/>
                <w:sz w:val="18"/>
                <w:szCs w:val="18"/>
              </w:rPr>
            </w:pPr>
            <w:r>
              <w:rPr>
                <w:rFonts w:ascii="宋体" w:hAnsi="宋体" w:cs="宋体" w:eastAsia="宋体" w:hint="default"/>
                <w:spacing w:val="-3"/>
                <w:sz w:val="18"/>
                <w:szCs w:val="18"/>
              </w:rPr>
              <w:t>权，同时主</w:t>
            </w:r>
            <w:r>
              <w:rPr>
                <w:rFonts w:ascii="宋体" w:hAnsi="宋体" w:cs="宋体" w:eastAsia="宋体" w:hint="default"/>
                <w:sz w:val="18"/>
                <w:szCs w:val="18"/>
              </w:rPr>
              <w:t> 张抵销金 额</w:t>
            </w:r>
          </w:p>
          <w:p>
            <w:pPr>
              <w:pStyle w:val="TableParagraph"/>
              <w:spacing w:line="240" w:lineRule="auto" w:before="61"/>
              <w:ind w:left="15" w:right="0"/>
              <w:jc w:val="left"/>
              <w:rPr>
                <w:rFonts w:ascii="Times New Roman" w:hAnsi="Times New Roman" w:cs="Times New Roman" w:eastAsia="Times New Roman" w:hint="default"/>
                <w:sz w:val="18"/>
                <w:szCs w:val="18"/>
              </w:rPr>
            </w:pPr>
            <w:r>
              <w:rPr>
                <w:rFonts w:ascii="Times New Roman"/>
                <w:sz w:val="18"/>
              </w:rPr>
              <w:t>238.13652</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0" w:right="29"/>
              <w:jc w:val="both"/>
              <w:rPr>
                <w:rFonts w:ascii="宋体" w:hAnsi="宋体" w:cs="宋体" w:eastAsia="宋体" w:hint="default"/>
                <w:sz w:val="18"/>
                <w:szCs w:val="18"/>
              </w:rPr>
            </w:pPr>
            <w:r>
              <w:rPr>
                <w:rFonts w:ascii="宋体" w:hAnsi="宋体" w:cs="宋体" w:eastAsia="宋体" w:hint="default"/>
                <w:sz w:val="18"/>
                <w:szCs w:val="18"/>
              </w:rPr>
              <w:t>轻松点申请撤裁 被驳回，现轻松 点已破产，卓翼 智造已向管理人</w:t>
            </w:r>
          </w:p>
          <w:p>
            <w:pPr>
              <w:pStyle w:val="TableParagraph"/>
              <w:spacing w:line="304" w:lineRule="auto" w:before="37"/>
              <w:ind w:left="30" w:right="-15"/>
              <w:jc w:val="both"/>
              <w:rPr>
                <w:rFonts w:ascii="宋体" w:hAnsi="宋体" w:cs="宋体" w:eastAsia="宋体" w:hint="default"/>
                <w:sz w:val="18"/>
                <w:szCs w:val="18"/>
              </w:rPr>
            </w:pPr>
            <w:r>
              <w:rPr>
                <w:rFonts w:ascii="宋体" w:hAnsi="宋体" w:cs="宋体" w:eastAsia="宋体" w:hint="default"/>
                <w:sz w:val="18"/>
                <w:szCs w:val="18"/>
              </w:rPr>
              <w:t>申报了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318.17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元的债权，同时 主张抵销金额</w:t>
            </w:r>
          </w:p>
          <w:p>
            <w:pPr>
              <w:pStyle w:val="TableParagraph"/>
              <w:spacing w:line="240" w:lineRule="auto" w:before="46"/>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238.13652 </w:t>
            </w:r>
            <w:r>
              <w:rPr>
                <w:rFonts w:ascii="宋体" w:hAnsi="宋体" w:cs="宋体" w:eastAsia="宋体" w:hint="default"/>
                <w:sz w:val="18"/>
                <w:szCs w:val="18"/>
              </w:rPr>
              <w:t>万元，</w:t>
            </w:r>
          </w:p>
          <w:p>
            <w:pPr>
              <w:pStyle w:val="TableParagraph"/>
              <w:spacing w:line="328" w:lineRule="auto" w:before="36"/>
              <w:ind w:left="30" w:right="74"/>
              <w:jc w:val="both"/>
              <w:rPr>
                <w:rFonts w:ascii="宋体" w:hAnsi="宋体" w:cs="宋体" w:eastAsia="宋体" w:hint="default"/>
                <w:sz w:val="18"/>
                <w:szCs w:val="18"/>
              </w:rPr>
            </w:pPr>
            <w:r>
              <w:rPr>
                <w:rFonts w:ascii="宋体" w:hAnsi="宋体" w:cs="宋体" w:eastAsia="宋体" w:hint="default"/>
                <w:sz w:val="18"/>
                <w:szCs w:val="18"/>
              </w:rPr>
              <w:t>法院最终确认卓 翼智造债权金额 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92.829955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13" w:lineRule="exact"/>
              <w:ind w:left="30" w:right="0"/>
              <w:jc w:val="both"/>
              <w:rPr>
                <w:rFonts w:ascii="宋体" w:hAnsi="宋体" w:cs="宋体" w:eastAsia="宋体" w:hint="default"/>
                <w:sz w:val="18"/>
                <w:szCs w:val="18"/>
              </w:rPr>
            </w:pPr>
            <w:r>
              <w:rPr>
                <w:rFonts w:ascii="宋体" w:hAnsi="宋体" w:cs="宋体" w:eastAsia="宋体" w:hint="default"/>
                <w:sz w:val="18"/>
                <w:szCs w:val="18"/>
              </w:rPr>
              <w:t>元。</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29"/>
              <w:jc w:val="left"/>
              <w:rPr>
                <w:rFonts w:ascii="宋体" w:hAnsi="宋体" w:cs="宋体" w:eastAsia="宋体" w:hint="default"/>
                <w:sz w:val="18"/>
                <w:szCs w:val="18"/>
              </w:rPr>
            </w:pPr>
            <w:r>
              <w:rPr>
                <w:rFonts w:ascii="宋体" w:hAnsi="宋体" w:cs="宋体" w:eastAsia="宋体" w:hint="default"/>
                <w:spacing w:val="-11"/>
                <w:sz w:val="18"/>
                <w:szCs w:val="18"/>
              </w:rPr>
              <w:t>已结案，轻松点</w:t>
            </w:r>
            <w:r>
              <w:rPr>
                <w:rFonts w:ascii="宋体" w:hAnsi="宋体" w:cs="宋体" w:eastAsia="宋体" w:hint="default"/>
                <w:sz w:val="18"/>
                <w:szCs w:val="18"/>
              </w:rPr>
              <w:t> 目前已进入破 </w:t>
            </w:r>
            <w:r>
              <w:rPr>
                <w:rFonts w:ascii="宋体" w:hAnsi="宋体" w:cs="宋体" w:eastAsia="宋体" w:hint="default"/>
                <w:spacing w:val="-11"/>
                <w:sz w:val="18"/>
                <w:szCs w:val="18"/>
              </w:rPr>
              <w:t>产清算程序，卓</w:t>
            </w:r>
            <w:r>
              <w:rPr>
                <w:rFonts w:ascii="宋体" w:hAnsi="宋体" w:cs="宋体" w:eastAsia="宋体" w:hint="default"/>
                <w:sz w:val="18"/>
                <w:szCs w:val="18"/>
              </w:rPr>
              <w:t> 翼智造已向管 理人申报了</w:t>
            </w:r>
          </w:p>
          <w:p>
            <w:pPr>
              <w:pStyle w:val="TableParagraph"/>
              <w:spacing w:line="297" w:lineRule="auto" w:before="37"/>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318.17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 </w:t>
            </w:r>
            <w:r>
              <w:rPr>
                <w:rFonts w:ascii="宋体" w:hAnsi="宋体" w:cs="宋体" w:eastAsia="宋体" w:hint="default"/>
                <w:spacing w:val="-11"/>
                <w:sz w:val="18"/>
                <w:szCs w:val="18"/>
              </w:rPr>
              <w:t>债权，同时主张</w:t>
            </w:r>
            <w:r>
              <w:rPr>
                <w:rFonts w:ascii="宋体" w:hAnsi="宋体" w:cs="宋体" w:eastAsia="宋体" w:hint="default"/>
                <w:sz w:val="18"/>
                <w:szCs w:val="18"/>
              </w:rPr>
              <w:t> 抵销权金额</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238.13652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6" w:lineRule="auto" w:before="51"/>
              <w:ind w:left="15" w:right="-46"/>
              <w:jc w:val="left"/>
              <w:rPr>
                <w:rFonts w:ascii="宋体" w:hAnsi="宋体" w:cs="宋体" w:eastAsia="宋体" w:hint="default"/>
                <w:sz w:val="18"/>
                <w:szCs w:val="18"/>
              </w:rPr>
            </w:pPr>
            <w:r>
              <w:rPr>
                <w:rFonts w:ascii="宋体" w:hAnsi="宋体" w:cs="宋体" w:eastAsia="宋体" w:hint="default"/>
                <w:spacing w:val="-11"/>
                <w:sz w:val="18"/>
                <w:szCs w:val="18"/>
              </w:rPr>
              <w:t>元，法院最终确</w:t>
            </w:r>
            <w:r>
              <w:rPr>
                <w:rFonts w:ascii="宋体" w:hAnsi="宋体" w:cs="宋体" w:eastAsia="宋体" w:hint="default"/>
                <w:sz w:val="18"/>
                <w:szCs w:val="18"/>
              </w:rPr>
              <w:t> 认卓翼智造抵 销权主张成立； 卓翼智造债权</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0"/>
                <w:szCs w:val="10"/>
              </w:rPr>
            </w:pPr>
          </w:p>
          <w:p>
            <w:pPr>
              <w:pStyle w:val="TableParagraph"/>
              <w:spacing w:line="1846" w:lineRule="exact"/>
              <w:ind w:right="-51"/>
              <w:jc w:val="left"/>
              <w:rPr>
                <w:rFonts w:ascii="宋体" w:hAnsi="宋体" w:cs="宋体" w:eastAsia="宋体" w:hint="default"/>
                <w:sz w:val="20"/>
                <w:szCs w:val="20"/>
              </w:rPr>
            </w:pPr>
            <w:r>
              <w:rPr>
                <w:rFonts w:ascii="宋体" w:hAnsi="宋体" w:cs="宋体" w:eastAsia="宋体" w:hint="default"/>
                <w:position w:val="-36"/>
                <w:sz w:val="20"/>
                <w:szCs w:val="20"/>
              </w:rPr>
              <w:pict>
                <v:group style="width:52.6pt;height:92.35pt;mso-position-horizontal-relative:char;mso-position-vertical-relative:line" coordorigin="0,0" coordsize="1052,1847">
                  <v:group style="position:absolute;left:0;top:0;width:1052;height:1847" coordorigin="0,0" coordsize="1052,1847">
                    <v:shape style="position:absolute;left:0;top:0;width:1052;height:1847" coordorigin="0,0" coordsize="1052,1847" path="m0,1846l1051,1846,1051,0,0,0,0,1846xe" filled="true" fillcolor="#ffffff" stroked="false">
                      <v:path arrowok="t"/>
                      <v:fill type="solid"/>
                    </v:shape>
                  </v:group>
                </v:group>
              </w:pict>
            </w:r>
            <w:r>
              <w:rPr>
                <w:rFonts w:ascii="宋体" w:hAnsi="宋体" w:cs="宋体" w:eastAsia="宋体" w:hint="default"/>
                <w:position w:val="-36"/>
                <w:sz w:val="20"/>
                <w:szCs w:val="20"/>
              </w:rPr>
            </w: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562"/>
        <w:gridCol w:w="1066"/>
        <w:gridCol w:w="1262"/>
        <w:gridCol w:w="931"/>
        <w:gridCol w:w="1381"/>
        <w:gridCol w:w="1246"/>
        <w:gridCol w:w="1067"/>
        <w:gridCol w:w="1066"/>
      </w:tblGrid>
      <w:tr>
        <w:trPr>
          <w:trHeight w:val="5675" w:hRule="exact"/>
        </w:trPr>
        <w:tc>
          <w:tcPr>
            <w:tcW w:w="1562"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5" w:right="13"/>
              <w:jc w:val="left"/>
              <w:rPr>
                <w:rFonts w:ascii="宋体" w:hAnsi="宋体" w:cs="宋体" w:eastAsia="宋体" w:hint="default"/>
                <w:sz w:val="18"/>
                <w:szCs w:val="18"/>
              </w:rPr>
            </w:pPr>
            <w:r>
              <w:rPr>
                <w:rFonts w:ascii="宋体" w:hAnsi="宋体" w:cs="宋体" w:eastAsia="宋体" w:hint="default"/>
                <w:spacing w:val="-3"/>
                <w:sz w:val="18"/>
                <w:szCs w:val="18"/>
              </w:rPr>
              <w:t>万元，法院</w:t>
            </w:r>
            <w:r>
              <w:rPr>
                <w:rFonts w:ascii="宋体" w:hAnsi="宋体" w:cs="宋体" w:eastAsia="宋体" w:hint="default"/>
                <w:sz w:val="18"/>
                <w:szCs w:val="18"/>
              </w:rPr>
              <w:t> 最终确认 卓翼智造 债权金额 为</w:t>
            </w:r>
          </w:p>
          <w:p>
            <w:pPr>
              <w:pStyle w:val="TableParagraph"/>
              <w:spacing w:line="240" w:lineRule="auto" w:before="79"/>
              <w:ind w:left="15" w:right="0"/>
              <w:jc w:val="left"/>
              <w:rPr>
                <w:rFonts w:ascii="Times New Roman" w:hAnsi="Times New Roman" w:cs="Times New Roman" w:eastAsia="Times New Roman" w:hint="default"/>
                <w:sz w:val="18"/>
                <w:szCs w:val="18"/>
              </w:rPr>
            </w:pPr>
            <w:r>
              <w:rPr>
                <w:rFonts w:ascii="Times New Roman"/>
                <w:sz w:val="18"/>
              </w:rPr>
              <w:t>92.829955</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81"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金额为</w:t>
            </w:r>
          </w:p>
          <w:p>
            <w:pPr>
              <w:pStyle w:val="TableParagraph"/>
              <w:spacing w:line="240" w:lineRule="auto" w:before="7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92.829955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21" w:lineRule="auto" w:before="51"/>
              <w:ind w:left="15" w:right="-44"/>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元。目前破产财</w:t>
            </w:r>
            <w:r>
              <w:rPr>
                <w:rFonts w:ascii="宋体" w:hAnsi="宋体" w:cs="宋体" w:eastAsia="宋体" w:hint="default"/>
                <w:sz w:val="18"/>
                <w:szCs w:val="18"/>
              </w:rPr>
              <w:t> 产分配已完成， 卓翼智造实际 分配金额为人 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53169.09</w:t>
            </w:r>
          </w:p>
          <w:p>
            <w:pPr>
              <w:pStyle w:val="TableParagraph"/>
              <w:spacing w:line="219" w:lineRule="exact"/>
              <w:ind w:left="15"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76"/>
                <w:sz w:val="18"/>
                <w:szCs w:val="18"/>
              </w:rPr>
              <w:t>。</w:t>
            </w:r>
            <w:r>
              <w:rPr>
                <w:rFonts w:ascii="宋体" w:hAnsi="宋体" w:cs="宋体" w:eastAsia="宋体" w:hint="default"/>
                <w:sz w:val="18"/>
                <w:szCs w:val="18"/>
              </w:rPr>
              <w:t>轻松点股东</w:t>
            </w:r>
          </w:p>
          <w:p>
            <w:pPr>
              <w:pStyle w:val="TableParagraph"/>
              <w:spacing w:line="321" w:lineRule="auto" w:before="79"/>
              <w:ind w:left="15"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存在抽逃出资 或虚假出资的 </w:t>
            </w:r>
            <w:r>
              <w:rPr>
                <w:rFonts w:ascii="宋体" w:hAnsi="宋体" w:cs="宋体" w:eastAsia="宋体" w:hint="default"/>
                <w:spacing w:val="-11"/>
                <w:sz w:val="18"/>
                <w:szCs w:val="18"/>
              </w:rPr>
              <w:t>可能。债权人表</w:t>
            </w:r>
            <w:r>
              <w:rPr>
                <w:rFonts w:ascii="宋体" w:hAnsi="宋体" w:cs="宋体" w:eastAsia="宋体" w:hint="default"/>
                <w:sz w:val="18"/>
                <w:szCs w:val="18"/>
              </w:rPr>
              <w:t> 决后同意管理 人以诉讼方式 追缴出资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450</w:t>
            </w:r>
          </w:p>
          <w:p>
            <w:pPr>
              <w:pStyle w:val="TableParagraph"/>
              <w:spacing w:line="219" w:lineRule="exact"/>
              <w:ind w:left="15"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宋体" w:hAnsi="宋体" w:cs="宋体" w:eastAsia="宋体" w:hint="default"/>
                <w:spacing w:val="-76"/>
                <w:sz w:val="18"/>
                <w:szCs w:val="18"/>
              </w:rPr>
              <w:t>；</w:t>
            </w:r>
            <w:r>
              <w:rPr>
                <w:rFonts w:ascii="宋体" w:hAnsi="宋体" w:cs="宋体" w:eastAsia="宋体" w:hint="default"/>
                <w:sz w:val="18"/>
                <w:szCs w:val="18"/>
              </w:rPr>
              <w:t>根据诉讼</w:t>
            </w:r>
          </w:p>
          <w:p>
            <w:pPr>
              <w:pStyle w:val="TableParagraph"/>
              <w:spacing w:line="314" w:lineRule="auto" w:before="79"/>
              <w:ind w:left="15" w:right="29"/>
              <w:jc w:val="left"/>
              <w:rPr>
                <w:rFonts w:ascii="宋体" w:hAnsi="宋体" w:cs="宋体" w:eastAsia="宋体" w:hint="default"/>
                <w:sz w:val="18"/>
                <w:szCs w:val="18"/>
              </w:rPr>
            </w:pPr>
            <w:r>
              <w:rPr>
                <w:rFonts w:ascii="宋体" w:hAnsi="宋体" w:cs="宋体" w:eastAsia="宋体" w:hint="default"/>
                <w:spacing w:val="-11"/>
                <w:sz w:val="18"/>
                <w:szCs w:val="18"/>
              </w:rPr>
              <w:t>情况，管理人另</w:t>
            </w:r>
            <w:r>
              <w:rPr>
                <w:rFonts w:ascii="宋体" w:hAnsi="宋体" w:cs="宋体" w:eastAsia="宋体" w:hint="default"/>
                <w:sz w:val="18"/>
                <w:szCs w:val="18"/>
              </w:rPr>
              <w:t> 做分配方案追 加分配。</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566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2"/>
                <w:sz w:val="20"/>
                <w:szCs w:val="20"/>
              </w:rPr>
              <w:pict>
                <v:group style="width:52.6pt;height:283pt;mso-position-horizontal-relative:char;mso-position-vertical-relative:line" coordorigin="0,0" coordsize="1052,5660">
                  <v:group style="position:absolute;left:0;top:0;width:1052;height:5660" coordorigin="0,0" coordsize="1052,5660">
                    <v:shape style="position:absolute;left:0;top:0;width:1052;height:5660" coordorigin="0,0" coordsize="1052,5660" path="m0,5660l1051,5660,1051,0,0,0,0,5660xe" filled="true" fillcolor="#ffffff" stroked="false">
                      <v:path arrowok="t"/>
                      <v:fill type="solid"/>
                    </v:shape>
                  </v:group>
                </v:group>
              </w:pict>
            </w:r>
            <w:r>
              <w:rPr>
                <w:rFonts w:ascii="Times New Roman" w:hAnsi="Times New Roman" w:cs="Times New Roman" w:eastAsia="Times New Roman" w:hint="default"/>
                <w:position w:val="-112"/>
                <w:sz w:val="20"/>
                <w:szCs w:val="20"/>
              </w:rPr>
            </w: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8167"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319" w:lineRule="auto"/>
              <w:ind w:left="15" w:right="90"/>
              <w:jc w:val="left"/>
              <w:rPr>
                <w:rFonts w:ascii="宋体" w:hAnsi="宋体" w:cs="宋体" w:eastAsia="宋体" w:hint="default"/>
                <w:sz w:val="18"/>
                <w:szCs w:val="18"/>
              </w:rPr>
            </w:pPr>
            <w:r>
              <w:rPr>
                <w:rFonts w:ascii="宋体" w:hAnsi="宋体" w:cs="宋体" w:eastAsia="宋体" w:hint="default"/>
                <w:sz w:val="18"/>
                <w:szCs w:val="18"/>
              </w:rPr>
              <w:t>深圳丰盛真空技术 有限公司因买卖合 同纠纷起诉翼丰 盛、卓大、卓翼科 技要求支付剩余设 备款</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609.89</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36" w:lineRule="auto"/>
              <w:ind w:left="30" w:right="3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是，预计负债金</w:t>
            </w:r>
            <w:r>
              <w:rPr>
                <w:rFonts w:ascii="宋体" w:hAnsi="宋体" w:cs="宋体" w:eastAsia="宋体" w:hint="default"/>
                <w:sz w:val="18"/>
                <w:szCs w:val="18"/>
              </w:rPr>
              <w:t> 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528005.04</w:t>
            </w:r>
          </w:p>
          <w:p>
            <w:pPr>
              <w:pStyle w:val="TableParagraph"/>
              <w:spacing w:line="207" w:lineRule="exact"/>
              <w:ind w:left="3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28"/>
              <w:jc w:val="left"/>
              <w:rPr>
                <w:rFonts w:ascii="宋体" w:hAnsi="宋体" w:cs="宋体" w:eastAsia="宋体" w:hint="default"/>
                <w:sz w:val="18"/>
                <w:szCs w:val="18"/>
              </w:rPr>
            </w:pPr>
            <w:r>
              <w:rPr>
                <w:rFonts w:ascii="宋体" w:hAnsi="宋体" w:cs="宋体" w:eastAsia="宋体" w:hint="default"/>
                <w:sz w:val="18"/>
                <w:szCs w:val="18"/>
              </w:rPr>
              <w:t>一审判决 翼丰盛支</w:t>
            </w:r>
          </w:p>
          <w:p>
            <w:pPr>
              <w:pStyle w:val="TableParagraph"/>
              <w:spacing w:line="297" w:lineRule="auto" w:before="33"/>
              <w:ind w:left="15" w:right="13"/>
              <w:jc w:val="left"/>
              <w:rPr>
                <w:rFonts w:ascii="宋体" w:hAnsi="宋体" w:cs="宋体" w:eastAsia="宋体" w:hint="default"/>
                <w:sz w:val="18"/>
                <w:szCs w:val="18"/>
              </w:rPr>
            </w:pPr>
            <w:r>
              <w:rPr>
                <w:rFonts w:ascii="宋体" w:hAnsi="宋体" w:cs="宋体" w:eastAsia="宋体" w:hint="default"/>
                <w:sz w:val="18"/>
                <w:szCs w:val="18"/>
              </w:rPr>
              <w:t>付</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万设 备款给丰 </w:t>
            </w:r>
            <w:r>
              <w:rPr>
                <w:rFonts w:ascii="宋体" w:hAnsi="宋体" w:cs="宋体" w:eastAsia="宋体" w:hint="default"/>
                <w:spacing w:val="-3"/>
                <w:sz w:val="18"/>
                <w:szCs w:val="18"/>
              </w:rPr>
              <w:t>盛真空，并</w:t>
            </w:r>
          </w:p>
          <w:p>
            <w:pPr>
              <w:pStyle w:val="TableParagraph"/>
              <w:spacing w:line="316" w:lineRule="auto" w:before="37"/>
              <w:ind w:left="15"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按照中国 人民银行 同期贷款 利率</w:t>
            </w:r>
            <w:r>
              <w:rPr>
                <w:rFonts w:ascii="Times New Roman" w:hAnsi="Times New Roman" w:cs="Times New Roman" w:eastAsia="Times New Roman" w:hint="default"/>
                <w:sz w:val="18"/>
                <w:szCs w:val="18"/>
              </w:rPr>
              <w:t>*130% </w:t>
            </w:r>
            <w:r>
              <w:rPr>
                <w:rFonts w:ascii="宋体" w:hAnsi="宋体" w:cs="宋体" w:eastAsia="宋体" w:hint="default"/>
                <w:sz w:val="18"/>
                <w:szCs w:val="18"/>
              </w:rPr>
              <w:t>自</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w:t>
            </w:r>
          </w:p>
          <w:p>
            <w:pPr>
              <w:pStyle w:val="TableParagraph"/>
              <w:spacing w:line="312" w:lineRule="auto" w:before="2"/>
              <w:ind w:left="15" w:right="1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日计 算至清偿 </w:t>
            </w:r>
            <w:r>
              <w:rPr>
                <w:rFonts w:ascii="宋体" w:hAnsi="宋体" w:cs="宋体" w:eastAsia="宋体" w:hint="default"/>
                <w:spacing w:val="-3"/>
                <w:sz w:val="18"/>
                <w:szCs w:val="18"/>
              </w:rPr>
              <w:t>日；驳回丰</w:t>
            </w:r>
            <w:r>
              <w:rPr>
                <w:rFonts w:ascii="宋体" w:hAnsi="宋体" w:cs="宋体" w:eastAsia="宋体" w:hint="default"/>
                <w:sz w:val="18"/>
                <w:szCs w:val="18"/>
              </w:rPr>
              <w:t> 盛真空要 </w:t>
            </w:r>
            <w:r>
              <w:rPr>
                <w:rFonts w:ascii="宋体" w:hAnsi="宋体" w:cs="宋体" w:eastAsia="宋体" w:hint="default"/>
                <w:spacing w:val="-3"/>
                <w:sz w:val="18"/>
                <w:szCs w:val="18"/>
              </w:rPr>
              <w:t>求卓大、卓</w:t>
            </w:r>
            <w:r>
              <w:rPr>
                <w:rFonts w:ascii="宋体" w:hAnsi="宋体" w:cs="宋体" w:eastAsia="宋体" w:hint="default"/>
                <w:sz w:val="18"/>
                <w:szCs w:val="18"/>
              </w:rPr>
              <w:t> 翼科技承</w:t>
            </w:r>
          </w:p>
          <w:p>
            <w:pPr>
              <w:pStyle w:val="TableParagraph"/>
              <w:spacing w:line="319" w:lineRule="auto" w:before="2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担责任的 </w:t>
            </w:r>
            <w:r>
              <w:rPr>
                <w:rFonts w:ascii="宋体" w:hAnsi="宋体" w:cs="宋体" w:eastAsia="宋体" w:hint="default"/>
                <w:spacing w:val="-3"/>
                <w:sz w:val="18"/>
                <w:szCs w:val="18"/>
              </w:rPr>
              <w:t>诉求。翼丰</w:t>
            </w:r>
            <w:r>
              <w:rPr>
                <w:rFonts w:ascii="宋体" w:hAnsi="宋体" w:cs="宋体" w:eastAsia="宋体" w:hint="default"/>
                <w:sz w:val="18"/>
                <w:szCs w:val="18"/>
              </w:rPr>
              <w:t> 盛不服法 院一审判 决提起上 </w:t>
            </w:r>
            <w:r>
              <w:rPr>
                <w:rFonts w:ascii="宋体" w:hAnsi="宋体" w:cs="宋体" w:eastAsia="宋体" w:hint="default"/>
                <w:spacing w:val="-3"/>
                <w:sz w:val="18"/>
                <w:szCs w:val="18"/>
              </w:rPr>
              <w:t>诉，二审法</w:t>
            </w:r>
            <w:r>
              <w:rPr>
                <w:rFonts w:ascii="宋体" w:hAnsi="宋体" w:cs="宋体" w:eastAsia="宋体" w:hint="default"/>
                <w:sz w:val="18"/>
                <w:szCs w:val="18"/>
              </w:rPr>
              <w:t> 院维持了 一审判决。 丰盛真空 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21" w:lineRule="auto"/>
              <w:ind w:left="30" w:right="73"/>
              <w:jc w:val="both"/>
              <w:rPr>
                <w:rFonts w:ascii="宋体" w:hAnsi="宋体" w:cs="宋体" w:eastAsia="宋体" w:hint="default"/>
                <w:sz w:val="18"/>
                <w:szCs w:val="18"/>
              </w:rPr>
            </w:pPr>
            <w:r>
              <w:rPr>
                <w:rFonts w:ascii="宋体" w:hAnsi="宋体" w:cs="宋体" w:eastAsia="宋体" w:hint="default"/>
                <w:sz w:val="18"/>
                <w:szCs w:val="18"/>
              </w:rPr>
              <w:t>二审法院维持了 一审判决，翼丰 盛需向丰盛真空</w:t>
            </w:r>
          </w:p>
          <w:p>
            <w:pPr>
              <w:pStyle w:val="TableParagraph"/>
              <w:spacing w:line="297" w:lineRule="auto" w:before="33"/>
              <w:ind w:left="30" w:right="73"/>
              <w:jc w:val="both"/>
              <w:rPr>
                <w:rFonts w:ascii="宋体" w:hAnsi="宋体" w:cs="宋体" w:eastAsia="宋体" w:hint="default"/>
                <w:sz w:val="18"/>
                <w:szCs w:val="18"/>
              </w:rPr>
            </w:pPr>
            <w:r>
              <w:rPr>
                <w:rFonts w:ascii="宋体" w:hAnsi="宋体" w:cs="宋体" w:eastAsia="宋体" w:hint="default"/>
                <w:sz w:val="18"/>
                <w:szCs w:val="18"/>
              </w:rPr>
              <w:t>支付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万设备 款，并按照中国 人民银行同期贷</w:t>
            </w:r>
          </w:p>
          <w:p>
            <w:pPr>
              <w:pStyle w:val="TableParagraph"/>
              <w:spacing w:line="240" w:lineRule="auto" w:before="52"/>
              <w:ind w:left="30" w:right="0"/>
              <w:jc w:val="both"/>
              <w:rPr>
                <w:rFonts w:ascii="宋体" w:hAnsi="宋体" w:cs="宋体" w:eastAsia="宋体" w:hint="default"/>
                <w:sz w:val="18"/>
                <w:szCs w:val="18"/>
              </w:rPr>
            </w:pPr>
            <w:r>
              <w:rPr>
                <w:rFonts w:ascii="宋体" w:hAnsi="宋体" w:cs="宋体" w:eastAsia="宋体" w:hint="default"/>
                <w:sz w:val="18"/>
                <w:szCs w:val="18"/>
              </w:rPr>
              <w:t>款利率</w:t>
            </w:r>
            <w:r>
              <w:rPr>
                <w:rFonts w:ascii="Times New Roman" w:hAnsi="Times New Roman" w:cs="Times New Roman" w:eastAsia="Times New Roman" w:hint="default"/>
                <w:sz w:val="18"/>
                <w:szCs w:val="18"/>
              </w:rPr>
              <w:t>*130%</w:t>
            </w:r>
            <w:r>
              <w:rPr>
                <w:rFonts w:ascii="宋体" w:hAnsi="宋体" w:cs="宋体" w:eastAsia="宋体" w:hint="default"/>
                <w:sz w:val="18"/>
                <w:szCs w:val="18"/>
              </w:rPr>
              <w:t>自</w:t>
            </w:r>
          </w:p>
          <w:p>
            <w:pPr>
              <w:pStyle w:val="TableParagraph"/>
              <w:spacing w:line="240" w:lineRule="auto" w:before="66"/>
              <w:ind w:left="30"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304" w:lineRule="auto" w:before="51"/>
              <w:ind w:left="30" w:right="254"/>
              <w:jc w:val="left"/>
              <w:rPr>
                <w:rFonts w:ascii="宋体" w:hAnsi="宋体" w:cs="宋体" w:eastAsia="宋体" w:hint="default"/>
                <w:sz w:val="18"/>
                <w:szCs w:val="18"/>
              </w:rPr>
            </w:pPr>
            <w:r>
              <w:rPr>
                <w:rFonts w:ascii="宋体" w:hAnsi="宋体" w:cs="宋体" w:eastAsia="宋体" w:hint="default"/>
                <w:sz w:val="18"/>
                <w:szCs w:val="18"/>
              </w:rPr>
              <w:t>日计算至清偿 日。</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21" w:lineRule="auto"/>
              <w:ind w:left="15" w:right="134"/>
              <w:jc w:val="both"/>
              <w:rPr>
                <w:rFonts w:ascii="宋体" w:hAnsi="宋体" w:cs="宋体" w:eastAsia="宋体" w:hint="default"/>
                <w:sz w:val="18"/>
                <w:szCs w:val="18"/>
              </w:rPr>
            </w:pPr>
            <w:r>
              <w:rPr>
                <w:rFonts w:ascii="宋体" w:hAnsi="宋体" w:cs="宋体" w:eastAsia="宋体" w:hint="default"/>
                <w:sz w:val="18"/>
                <w:szCs w:val="18"/>
              </w:rPr>
              <w:t>丰盛真空已向 法院申请强制 执行。</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562"/>
        <w:gridCol w:w="1066"/>
        <w:gridCol w:w="1262"/>
        <w:gridCol w:w="931"/>
        <w:gridCol w:w="1381"/>
        <w:gridCol w:w="1246"/>
        <w:gridCol w:w="1067"/>
        <w:gridCol w:w="1066"/>
      </w:tblGrid>
      <w:tr>
        <w:trPr>
          <w:trHeight w:val="990" w:hRule="exact"/>
        </w:trPr>
        <w:tc>
          <w:tcPr>
            <w:tcW w:w="1562"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4"/>
              <w:ind w:left="15" w:right="3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月向法 院申请强 制执行。</w:t>
            </w:r>
          </w:p>
        </w:tc>
        <w:tc>
          <w:tcPr>
            <w:tcW w:w="1381"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3213"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8"/>
              <w:ind w:left="15" w:right="90"/>
              <w:jc w:val="both"/>
              <w:rPr>
                <w:rFonts w:ascii="宋体" w:hAnsi="宋体" w:cs="宋体" w:eastAsia="宋体" w:hint="default"/>
                <w:sz w:val="18"/>
                <w:szCs w:val="18"/>
              </w:rPr>
            </w:pPr>
            <w:r>
              <w:rPr>
                <w:rFonts w:ascii="宋体" w:hAnsi="宋体" w:cs="宋体" w:eastAsia="宋体" w:hint="default"/>
                <w:sz w:val="18"/>
                <w:szCs w:val="18"/>
              </w:rPr>
              <w:t>翼丰盛反诉丰盛真 空解除合同，返还 已支付设备款并赔 偿损失。</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一审法院 驳回翼丰 盛的全部 反诉请求， 翼丰盛不 服法院一 审判决上 </w:t>
            </w:r>
            <w:r>
              <w:rPr>
                <w:rFonts w:ascii="宋体" w:hAnsi="宋体" w:cs="宋体" w:eastAsia="宋体" w:hint="default"/>
                <w:spacing w:val="-3"/>
                <w:sz w:val="18"/>
                <w:szCs w:val="18"/>
              </w:rPr>
              <w:t>诉，二审法</w:t>
            </w:r>
            <w:r>
              <w:rPr>
                <w:rFonts w:ascii="宋体" w:hAnsi="宋体" w:cs="宋体" w:eastAsia="宋体" w:hint="default"/>
                <w:sz w:val="18"/>
                <w:szCs w:val="18"/>
              </w:rPr>
              <w:t> 院维持了 一审判决。</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8"/>
              <w:ind w:left="30" w:right="75"/>
              <w:jc w:val="both"/>
              <w:rPr>
                <w:rFonts w:ascii="宋体" w:hAnsi="宋体" w:cs="宋体" w:eastAsia="宋体" w:hint="default"/>
                <w:sz w:val="18"/>
                <w:szCs w:val="18"/>
              </w:rPr>
            </w:pPr>
            <w:r>
              <w:rPr>
                <w:rFonts w:ascii="宋体" w:hAnsi="宋体" w:cs="宋体" w:eastAsia="宋体" w:hint="default"/>
                <w:sz w:val="18"/>
                <w:szCs w:val="18"/>
              </w:rPr>
              <w:t>二审法院维持了 一审判决，驳回 了翼丰盛的全部 反诉请求。</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不涉及执行</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582"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15" w:right="90"/>
              <w:jc w:val="both"/>
              <w:rPr>
                <w:rFonts w:ascii="宋体" w:hAnsi="宋体" w:cs="宋体" w:eastAsia="宋体" w:hint="default"/>
                <w:sz w:val="18"/>
                <w:szCs w:val="18"/>
              </w:rPr>
            </w:pPr>
            <w:r>
              <w:rPr>
                <w:rFonts w:ascii="宋体" w:hAnsi="宋体" w:cs="宋体" w:eastAsia="宋体" w:hint="default"/>
                <w:sz w:val="18"/>
                <w:szCs w:val="18"/>
              </w:rPr>
              <w:t>深圳丰盛真空技术 有限公司因合同纠 纷起诉翼丰盛要求 支付代付款</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112.98</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21" w:lineRule="auto"/>
              <w:ind w:left="30" w:right="3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是，预计负债金</w:t>
            </w:r>
            <w:r>
              <w:rPr>
                <w:rFonts w:ascii="宋体" w:hAnsi="宋体" w:cs="宋体" w:eastAsia="宋体" w:hint="default"/>
                <w:sz w:val="18"/>
                <w:szCs w:val="18"/>
              </w:rPr>
              <w:t> 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454916.83</w:t>
            </w:r>
          </w:p>
          <w:p>
            <w:pPr>
              <w:pStyle w:val="TableParagraph"/>
              <w:spacing w:line="219" w:lineRule="exact"/>
              <w:ind w:left="3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80"/>
              <w:jc w:val="both"/>
              <w:rPr>
                <w:rFonts w:ascii="宋体" w:hAnsi="宋体" w:cs="宋体" w:eastAsia="宋体" w:hint="default"/>
                <w:sz w:val="18"/>
                <w:szCs w:val="18"/>
              </w:rPr>
            </w:pPr>
            <w:r>
              <w:rPr>
                <w:rFonts w:ascii="宋体" w:hAnsi="宋体" w:cs="宋体" w:eastAsia="宋体" w:hint="default"/>
                <w:sz w:val="18"/>
                <w:szCs w:val="18"/>
              </w:rPr>
              <w:t>一审判决 翼丰盛支 付丰盛真 空垫付款</w:t>
            </w:r>
          </w:p>
          <w:p>
            <w:pPr>
              <w:pStyle w:val="TableParagraph"/>
              <w:spacing w:line="288" w:lineRule="auto" w:before="37"/>
              <w:ind w:left="15"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96.78 </w:t>
            </w:r>
            <w:r>
              <w:rPr>
                <w:rFonts w:ascii="宋体" w:hAnsi="宋体" w:cs="宋体" w:eastAsia="宋体" w:hint="default"/>
                <w:sz w:val="18"/>
                <w:szCs w:val="18"/>
              </w:rPr>
              <w:t>万元 及违约金</w:t>
            </w:r>
          </w:p>
          <w:p>
            <w:pPr>
              <w:pStyle w:val="TableParagraph"/>
              <w:spacing w:line="312"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（月利 </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），律师</w:t>
            </w:r>
            <w:r>
              <w:rPr>
                <w:rFonts w:ascii="宋体" w:hAnsi="宋体" w:cs="宋体" w:eastAsia="宋体" w:hint="default"/>
                <w:sz w:val="18"/>
                <w:szCs w:val="18"/>
              </w:rPr>
              <w:t> 费</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万元及</w:t>
            </w:r>
          </w:p>
          <w:p>
            <w:pPr>
              <w:pStyle w:val="TableParagraph"/>
              <w:spacing w:line="312" w:lineRule="auto"/>
              <w:ind w:left="15" w:right="13"/>
              <w:jc w:val="left"/>
              <w:rPr>
                <w:rFonts w:ascii="宋体" w:hAnsi="宋体" w:cs="宋体" w:eastAsia="宋体" w:hint="default"/>
                <w:sz w:val="18"/>
                <w:szCs w:val="18"/>
              </w:rPr>
            </w:pPr>
            <w:r>
              <w:rPr>
                <w:rFonts w:ascii="宋体" w:hAnsi="宋体" w:cs="宋体" w:eastAsia="宋体" w:hint="default"/>
                <w:sz w:val="18"/>
                <w:szCs w:val="18"/>
              </w:rPr>
              <w:t>担保费 </w:t>
            </w:r>
            <w:r>
              <w:rPr>
                <w:rFonts w:ascii="Times New Roman" w:hAnsi="Times New Roman" w:cs="Times New Roman" w:eastAsia="Times New Roman" w:hint="default"/>
                <w:sz w:val="18"/>
                <w:szCs w:val="18"/>
              </w:rPr>
              <w:t>2000 </w:t>
            </w:r>
            <w:r>
              <w:rPr>
                <w:rFonts w:ascii="宋体" w:hAnsi="宋体" w:cs="宋体" w:eastAsia="宋体" w:hint="default"/>
                <w:spacing w:val="-20"/>
                <w:sz w:val="18"/>
                <w:szCs w:val="18"/>
              </w:rPr>
              <w:t>元。翼</w:t>
            </w:r>
            <w:r>
              <w:rPr>
                <w:rFonts w:ascii="宋体" w:hAnsi="宋体" w:cs="宋体" w:eastAsia="宋体" w:hint="default"/>
                <w:sz w:val="18"/>
                <w:szCs w:val="18"/>
              </w:rPr>
              <w:t> 丰盛不服</w:t>
            </w:r>
          </w:p>
          <w:p>
            <w:pPr>
              <w:pStyle w:val="TableParagraph"/>
              <w:spacing w:line="319" w:lineRule="auto" w:before="26"/>
              <w:ind w:left="15"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一审判决 </w:t>
            </w:r>
            <w:r>
              <w:rPr>
                <w:rFonts w:ascii="宋体" w:hAnsi="宋体" w:cs="宋体" w:eastAsia="宋体" w:hint="default"/>
                <w:spacing w:val="-3"/>
                <w:sz w:val="18"/>
                <w:szCs w:val="18"/>
              </w:rPr>
              <w:t>上诉。二审</w:t>
            </w:r>
            <w:r>
              <w:rPr>
                <w:rFonts w:ascii="宋体" w:hAnsi="宋体" w:cs="宋体" w:eastAsia="宋体" w:hint="default"/>
                <w:sz w:val="18"/>
                <w:szCs w:val="18"/>
              </w:rPr>
              <w:t> 法院认为 一审法院 认定事实 </w:t>
            </w:r>
            <w:r>
              <w:rPr>
                <w:rFonts w:ascii="宋体" w:hAnsi="宋体" w:cs="宋体" w:eastAsia="宋体" w:hint="default"/>
                <w:spacing w:val="-3"/>
                <w:sz w:val="18"/>
                <w:szCs w:val="18"/>
              </w:rPr>
              <w:t>不清，裁定</w:t>
            </w:r>
            <w:r>
              <w:rPr>
                <w:rFonts w:ascii="宋体" w:hAnsi="宋体" w:cs="宋体" w:eastAsia="宋体" w:hint="default"/>
                <w:sz w:val="18"/>
                <w:szCs w:val="18"/>
              </w:rPr>
              <w:t> 案件发回 </w:t>
            </w:r>
            <w:r>
              <w:rPr>
                <w:rFonts w:ascii="宋体" w:hAnsi="宋体" w:cs="宋体" w:eastAsia="宋体" w:hint="default"/>
                <w:spacing w:val="-3"/>
                <w:sz w:val="18"/>
                <w:szCs w:val="18"/>
              </w:rPr>
              <w:t>重审。一审</w:t>
            </w:r>
            <w:r>
              <w:rPr>
                <w:rFonts w:ascii="宋体" w:hAnsi="宋体" w:cs="宋体" w:eastAsia="宋体" w:hint="default"/>
                <w:sz w:val="18"/>
                <w:szCs w:val="18"/>
              </w:rPr>
              <w:t> 法院重审 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21" w:lineRule="exact"/>
              <w:ind w:left="15" w:right="0"/>
              <w:jc w:val="left"/>
              <w:rPr>
                <w:rFonts w:ascii="宋体" w:hAnsi="宋体" w:cs="宋体" w:eastAsia="宋体" w:hint="default"/>
                <w:sz w:val="18"/>
                <w:szCs w:val="18"/>
              </w:rPr>
            </w:pPr>
            <w:r>
              <w:rPr>
                <w:rFonts w:ascii="宋体" w:hAnsi="宋体" w:cs="宋体" w:eastAsia="宋体" w:hint="default"/>
                <w:spacing w:val="-3"/>
                <w:sz w:val="18"/>
                <w:szCs w:val="18"/>
              </w:rPr>
              <w:t>日开庭，暂</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未出结果。</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30" w:right="0"/>
              <w:jc w:val="left"/>
              <w:rPr>
                <w:rFonts w:ascii="宋体" w:hAnsi="宋体" w:cs="宋体" w:eastAsia="宋体" w:hint="default"/>
                <w:sz w:val="18"/>
                <w:szCs w:val="18"/>
              </w:rPr>
            </w:pPr>
            <w:r>
              <w:rPr>
                <w:rFonts w:ascii="宋体" w:hAnsi="宋体" w:cs="宋体" w:eastAsia="宋体" w:hint="default"/>
                <w:sz w:val="18"/>
                <w:szCs w:val="18"/>
              </w:rPr>
              <w:t>暂未出结果</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15" w:right="0"/>
              <w:jc w:val="left"/>
              <w:rPr>
                <w:rFonts w:ascii="宋体" w:hAnsi="宋体" w:cs="宋体" w:eastAsia="宋体" w:hint="default"/>
                <w:sz w:val="18"/>
                <w:szCs w:val="18"/>
              </w:rPr>
            </w:pPr>
            <w:r>
              <w:rPr>
                <w:rFonts w:ascii="宋体" w:hAnsi="宋体" w:cs="宋体" w:eastAsia="宋体" w:hint="default"/>
                <w:sz w:val="18"/>
                <w:szCs w:val="18"/>
              </w:rPr>
              <w:t>目前不涉及</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922"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16" w:lineRule="auto"/>
              <w:ind w:left="15" w:right="90"/>
              <w:jc w:val="both"/>
              <w:rPr>
                <w:rFonts w:ascii="宋体" w:hAnsi="宋体" w:cs="宋体" w:eastAsia="宋体" w:hint="default"/>
                <w:sz w:val="18"/>
                <w:szCs w:val="18"/>
              </w:rPr>
            </w:pPr>
            <w:r>
              <w:rPr>
                <w:rFonts w:ascii="宋体" w:hAnsi="宋体" w:cs="宋体" w:eastAsia="宋体" w:hint="default"/>
                <w:sz w:val="18"/>
                <w:szCs w:val="18"/>
              </w:rPr>
              <w:t>杨北盈因房屋租赁 合同纠纷起诉翼丰 盛、卓大、卓翼要 求支付租金、场地 占用费、没收押金</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113.62</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80"/>
              <w:jc w:val="both"/>
              <w:rPr>
                <w:rFonts w:ascii="宋体" w:hAnsi="宋体" w:cs="宋体" w:eastAsia="宋体" w:hint="default"/>
                <w:sz w:val="18"/>
                <w:szCs w:val="18"/>
              </w:rPr>
            </w:pPr>
            <w:r>
              <w:rPr>
                <w:rFonts w:ascii="宋体" w:hAnsi="宋体" w:cs="宋体" w:eastAsia="宋体" w:hint="default"/>
                <w:sz w:val="18"/>
                <w:szCs w:val="18"/>
              </w:rPr>
              <w:t>一审判决 翼丰盛向 杨北盈支 付租金</w:t>
            </w:r>
          </w:p>
          <w:p>
            <w:pPr>
              <w:pStyle w:val="TableParagraph"/>
              <w:spacing w:line="288" w:lineRule="auto" w:before="22"/>
              <w:ind w:left="15"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540871.2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 </w:t>
            </w:r>
            <w:r>
              <w:rPr>
                <w:rFonts w:ascii="宋体" w:hAnsi="宋体" w:cs="宋体" w:eastAsia="宋体" w:hint="default"/>
                <w:spacing w:val="-3"/>
                <w:sz w:val="18"/>
                <w:szCs w:val="18"/>
              </w:rPr>
              <w:t>及利息；搬</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二审法院维持了 一审判决。翼丰 盛需向杨北盈支 付租金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540871.2</w:t>
            </w:r>
          </w:p>
          <w:p>
            <w:pPr>
              <w:pStyle w:val="TableParagraph"/>
              <w:spacing w:line="204" w:lineRule="exact"/>
              <w:ind w:left="30" w:right="0"/>
              <w:jc w:val="both"/>
              <w:rPr>
                <w:rFonts w:ascii="宋体" w:hAnsi="宋体" w:cs="宋体" w:eastAsia="宋体" w:hint="default"/>
                <w:sz w:val="18"/>
                <w:szCs w:val="18"/>
              </w:rPr>
            </w:pPr>
            <w:r>
              <w:rPr>
                <w:rFonts w:ascii="宋体" w:hAnsi="宋体" w:cs="宋体" w:eastAsia="宋体" w:hint="default"/>
                <w:sz w:val="18"/>
                <w:szCs w:val="18"/>
              </w:rPr>
              <w:t>元及利息；搬离</w:t>
            </w:r>
          </w:p>
          <w:p>
            <w:pPr>
              <w:pStyle w:val="TableParagraph"/>
              <w:spacing w:line="240" w:lineRule="auto" w:before="79"/>
              <w:ind w:left="30" w:right="0"/>
              <w:jc w:val="both"/>
              <w:rPr>
                <w:rFonts w:ascii="宋体" w:hAnsi="宋体" w:cs="宋体" w:eastAsia="宋体" w:hint="default"/>
                <w:sz w:val="18"/>
                <w:szCs w:val="18"/>
              </w:rPr>
            </w:pPr>
            <w:r>
              <w:rPr>
                <w:rFonts w:ascii="宋体" w:hAnsi="宋体" w:cs="宋体" w:eastAsia="宋体" w:hint="default"/>
                <w:sz w:val="18"/>
                <w:szCs w:val="18"/>
              </w:rPr>
              <w:t>物业，并按</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21" w:lineRule="auto"/>
              <w:ind w:left="15" w:right="134"/>
              <w:jc w:val="both"/>
              <w:rPr>
                <w:rFonts w:ascii="宋体" w:hAnsi="宋体" w:cs="宋体" w:eastAsia="宋体" w:hint="default"/>
                <w:sz w:val="18"/>
                <w:szCs w:val="18"/>
              </w:rPr>
            </w:pPr>
            <w:r>
              <w:rPr>
                <w:rFonts w:ascii="宋体" w:hAnsi="宋体" w:cs="宋体" w:eastAsia="宋体" w:hint="default"/>
                <w:sz w:val="18"/>
                <w:szCs w:val="18"/>
              </w:rPr>
              <w:t>杨北盈已向法 院申请强制执 行。</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135.179993pt;margin-top:457.529999pt;width:53.3pt;height:58.95pt;mso-position-horizontal-relative:page;mso-position-vertical-relative:page;z-index:-1269112" coordorigin="2704,9151" coordsize="1066,1179">
            <v:group style="position:absolute;left:2711;top:9158;width:2;height:391" coordorigin="2711,9158" coordsize="2,391">
              <v:shape style="position:absolute;left:2711;top:9158;width:2;height:391" coordorigin="2711,9158" coordsize="0,391" path="m2711,9158l2711,9549e" filled="false" stroked="true" strokeweight=".75pt" strokecolor="#ffffff">
                <v:path arrowok="t"/>
              </v:shape>
            </v:group>
            <v:group style="position:absolute;left:2704;top:9548;width:1066;height:781" coordorigin="2704,9548" coordsize="1066,781">
              <v:shape style="position:absolute;left:2704;top:9548;width:1066;height:781" coordorigin="2704,9548" coordsize="1066,781" path="m2704,10329l3770,10329,3770,9548,2704,9548,2704,10329xe" filled="true" fillcolor="#ffffff" stroked="false">
                <v:path arrowok="t"/>
                <v:fill type="solid"/>
              </v:shape>
            </v:group>
            <v:group style="position:absolute;left:2719;top:9158;width:1021;height:391" coordorigin="2719,9158" coordsize="1021,391">
              <v:shape style="position:absolute;left:2719;top:9158;width:1021;height:391" coordorigin="2719,9158" coordsize="1021,391" path="m2719,9549l3740,9549,3740,9158,2719,9158,2719,9549xe" filled="true" fillcolor="#ffffff" stroked="false">
                <v:path arrowok="t"/>
                <v:fill type="solid"/>
              </v:shape>
            </v:group>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562"/>
        <w:gridCol w:w="1066"/>
        <w:gridCol w:w="1262"/>
        <w:gridCol w:w="931"/>
        <w:gridCol w:w="1381"/>
        <w:gridCol w:w="1246"/>
        <w:gridCol w:w="1067"/>
        <w:gridCol w:w="1066"/>
      </w:tblGrid>
      <w:tr>
        <w:trPr>
          <w:trHeight w:val="6921" w:hRule="exact"/>
        </w:trPr>
        <w:tc>
          <w:tcPr>
            <w:tcW w:w="1562"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3"/>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离物业，并</w:t>
            </w:r>
            <w:r>
              <w:rPr>
                <w:rFonts w:ascii="宋体" w:hAnsi="宋体" w:cs="宋体" w:eastAsia="宋体" w:hint="default"/>
                <w:sz w:val="18"/>
                <w:szCs w:val="18"/>
              </w:rPr>
              <w:t> 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9014.52</w:t>
            </w:r>
          </w:p>
          <w:p>
            <w:pPr>
              <w:pStyle w:val="TableParagraph"/>
              <w:spacing w:line="309" w:lineRule="auto"/>
              <w:ind w:left="15" w:right="13"/>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天支付 占地使用 </w:t>
            </w:r>
            <w:r>
              <w:rPr>
                <w:rFonts w:ascii="宋体" w:hAnsi="宋体" w:cs="宋体" w:eastAsia="宋体" w:hint="default"/>
                <w:spacing w:val="-3"/>
                <w:sz w:val="18"/>
                <w:szCs w:val="18"/>
              </w:rPr>
              <w:t>费；没收押</w:t>
            </w:r>
            <w:r>
              <w:rPr>
                <w:rFonts w:ascii="宋体" w:hAnsi="宋体" w:cs="宋体" w:eastAsia="宋体" w:hint="default"/>
                <w:sz w:val="18"/>
                <w:szCs w:val="18"/>
              </w:rPr>
              <w:t> 金人民币 </w:t>
            </w:r>
            <w:r>
              <w:rPr>
                <w:rFonts w:ascii="Times New Roman" w:hAnsi="Times New Roman" w:cs="Times New Roman" w:eastAsia="Times New Roman" w:hint="default"/>
                <w:sz w:val="18"/>
                <w:szCs w:val="18"/>
              </w:rPr>
              <w:t>54 </w:t>
            </w:r>
            <w:r>
              <w:rPr>
                <w:rFonts w:ascii="宋体" w:hAnsi="宋体" w:cs="宋体" w:eastAsia="宋体" w:hint="default"/>
                <w:spacing w:val="-15"/>
                <w:sz w:val="18"/>
                <w:szCs w:val="18"/>
              </w:rPr>
              <w:t>万元；支</w:t>
            </w:r>
            <w:r>
              <w:rPr>
                <w:rFonts w:ascii="宋体" w:hAnsi="宋体" w:cs="宋体" w:eastAsia="宋体" w:hint="default"/>
                <w:sz w:val="18"/>
                <w:szCs w:val="18"/>
              </w:rPr>
              <w:t> 付变压器 维修费</w:t>
            </w:r>
          </w:p>
          <w:p>
            <w:pPr>
              <w:pStyle w:val="TableParagraph"/>
              <w:spacing w:line="240" w:lineRule="auto" w:before="4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16622 </w:t>
            </w:r>
            <w:r>
              <w:rPr>
                <w:rFonts w:ascii="宋体" w:hAnsi="宋体" w:cs="宋体" w:eastAsia="宋体" w:hint="default"/>
                <w:sz w:val="18"/>
                <w:szCs w:val="18"/>
              </w:rPr>
              <w:t>元，</w:t>
            </w:r>
          </w:p>
          <w:p>
            <w:pPr>
              <w:pStyle w:val="TableParagraph"/>
              <w:spacing w:line="316"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驳回了杨 北盈要求 </w:t>
            </w:r>
            <w:r>
              <w:rPr>
                <w:rFonts w:ascii="宋体" w:hAnsi="宋体" w:cs="宋体" w:eastAsia="宋体" w:hint="default"/>
                <w:spacing w:val="-3"/>
                <w:sz w:val="18"/>
                <w:szCs w:val="18"/>
              </w:rPr>
              <w:t>卓大、卓翼</w:t>
            </w:r>
            <w:r>
              <w:rPr>
                <w:rFonts w:ascii="宋体" w:hAnsi="宋体" w:cs="宋体" w:eastAsia="宋体" w:hint="default"/>
                <w:sz w:val="18"/>
                <w:szCs w:val="18"/>
              </w:rPr>
              <w:t> 科技承担 责任的诉 </w:t>
            </w:r>
            <w:r>
              <w:rPr>
                <w:rFonts w:ascii="宋体" w:hAnsi="宋体" w:cs="宋体" w:eastAsia="宋体" w:hint="default"/>
                <w:spacing w:val="-3"/>
                <w:sz w:val="18"/>
                <w:szCs w:val="18"/>
              </w:rPr>
              <w:t>求。翼丰盛</w:t>
            </w:r>
            <w:r>
              <w:rPr>
                <w:rFonts w:ascii="宋体" w:hAnsi="宋体" w:cs="宋体" w:eastAsia="宋体" w:hint="default"/>
                <w:sz w:val="18"/>
                <w:szCs w:val="18"/>
              </w:rPr>
              <w:t> 不服法院 一审判决， 提起上诉， 二审法院 维持了一 审判决。</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4"/>
              <w:ind w:left="30" w:right="30"/>
              <w:jc w:val="both"/>
              <w:rPr>
                <w:rFonts w:ascii="宋体" w:hAnsi="宋体" w:cs="宋体" w:eastAsia="宋体" w:hint="default"/>
                <w:sz w:val="18"/>
                <w:szCs w:val="18"/>
              </w:rPr>
            </w:pPr>
            <w:r>
              <w:rPr>
                <w:rFonts w:ascii="Times New Roman" w:hAnsi="Times New Roman" w:cs="Times New Roman" w:eastAsia="Times New Roman" w:hint="default"/>
                <w:sz w:val="18"/>
                <w:szCs w:val="18"/>
              </w:rPr>
              <w:t>9014.52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天支 付占地使用费； 没收押金人民币</w:t>
            </w:r>
          </w:p>
          <w:p>
            <w:pPr>
              <w:pStyle w:val="TableParagraph"/>
              <w:spacing w:line="312" w:lineRule="auto" w:before="51"/>
              <w:ind w:left="30"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54 </w:t>
            </w:r>
            <w:r>
              <w:rPr>
                <w:rFonts w:ascii="宋体" w:hAnsi="宋体" w:cs="宋体" w:eastAsia="宋体" w:hint="default"/>
                <w:sz w:val="18"/>
                <w:szCs w:val="18"/>
              </w:rPr>
              <w:t>万元；支付变 压器维修费 </w:t>
            </w:r>
            <w:r>
              <w:rPr>
                <w:rFonts w:ascii="Times New Roman" w:hAnsi="Times New Roman" w:cs="Times New Roman" w:eastAsia="Times New Roman" w:hint="default"/>
                <w:sz w:val="18"/>
                <w:szCs w:val="18"/>
              </w:rPr>
              <w:t>16622 </w:t>
            </w:r>
            <w:r>
              <w:rPr>
                <w:rFonts w:ascii="宋体" w:hAnsi="宋体" w:cs="宋体" w:eastAsia="宋体" w:hint="default"/>
                <w:sz w:val="18"/>
                <w:szCs w:val="18"/>
              </w:rPr>
              <w:t>元。</w:t>
            </w:r>
          </w:p>
        </w:tc>
        <w:tc>
          <w:tcPr>
            <w:tcW w:w="124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967"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15" w:right="89"/>
              <w:jc w:val="both"/>
              <w:rPr>
                <w:rFonts w:ascii="宋体" w:hAnsi="宋体" w:cs="宋体" w:eastAsia="宋体" w:hint="default"/>
                <w:sz w:val="18"/>
                <w:szCs w:val="18"/>
              </w:rPr>
            </w:pPr>
            <w:r>
              <w:rPr>
                <w:rFonts w:ascii="宋体" w:hAnsi="宋体" w:cs="宋体" w:eastAsia="宋体" w:hint="default"/>
                <w:sz w:val="18"/>
                <w:szCs w:val="18"/>
              </w:rPr>
              <w:t>翼丰盛反诉要求杨 北盈返还房屋面积 </w:t>
            </w:r>
            <w:r>
              <w:rPr>
                <w:rFonts w:ascii="宋体" w:hAnsi="宋体" w:cs="宋体" w:eastAsia="宋体" w:hint="default"/>
                <w:spacing w:val="-4"/>
                <w:sz w:val="18"/>
                <w:szCs w:val="18"/>
              </w:rPr>
              <w:t>差、退还房屋押金</w:t>
            </w:r>
            <w:r>
              <w:rPr>
                <w:rFonts w:ascii="宋体" w:hAnsi="宋体" w:cs="宋体" w:eastAsia="宋体" w:hint="default"/>
                <w:sz w:val="18"/>
                <w:szCs w:val="18"/>
              </w:rPr>
              <w:t> 支付补偿金</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150" w:lineRule="exact"/>
              <w:ind w:left="540" w:right="0"/>
              <w:jc w:val="left"/>
              <w:rPr>
                <w:rFonts w:ascii="Times New Roman" w:hAnsi="Times New Roman" w:cs="Times New Roman" w:eastAsia="Times New Roman" w:hint="default"/>
                <w:sz w:val="18"/>
                <w:szCs w:val="18"/>
              </w:rPr>
            </w:pPr>
            <w:r>
              <w:rPr>
                <w:rFonts w:ascii="Times New Roman"/>
                <w:sz w:val="18"/>
              </w:rPr>
              <w:t>134.65</w:t>
            </w:r>
          </w:p>
          <w:p>
            <w:pPr>
              <w:pStyle w:val="TableParagraph"/>
              <w:spacing w:line="178"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3"/>
              <w:jc w:val="left"/>
              <w:rPr>
                <w:rFonts w:ascii="宋体" w:hAnsi="宋体" w:cs="宋体" w:eastAsia="宋体" w:hint="default"/>
                <w:sz w:val="18"/>
                <w:szCs w:val="18"/>
              </w:rPr>
            </w:pPr>
            <w:r>
              <w:rPr>
                <w:rFonts w:ascii="宋体" w:hAnsi="宋体" w:cs="宋体" w:eastAsia="宋体" w:hint="default"/>
                <w:sz w:val="18"/>
                <w:szCs w:val="18"/>
              </w:rPr>
              <w:t>二审法院 维持一审 </w:t>
            </w:r>
            <w:r>
              <w:rPr>
                <w:rFonts w:ascii="宋体" w:hAnsi="宋体" w:cs="宋体" w:eastAsia="宋体" w:hint="default"/>
                <w:spacing w:val="-3"/>
                <w:sz w:val="18"/>
                <w:szCs w:val="18"/>
              </w:rPr>
              <w:t>判决，驳回</w:t>
            </w:r>
            <w:r>
              <w:rPr>
                <w:rFonts w:ascii="宋体" w:hAnsi="宋体" w:cs="宋体" w:eastAsia="宋体" w:hint="default"/>
                <w:sz w:val="18"/>
                <w:szCs w:val="18"/>
              </w:rPr>
              <w:t> 了翼丰盛 的全部反 诉请求。</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30" w:right="74"/>
              <w:jc w:val="both"/>
              <w:rPr>
                <w:rFonts w:ascii="宋体" w:hAnsi="宋体" w:cs="宋体" w:eastAsia="宋体" w:hint="default"/>
                <w:sz w:val="18"/>
                <w:szCs w:val="18"/>
              </w:rPr>
            </w:pPr>
            <w:r>
              <w:rPr>
                <w:rFonts w:ascii="宋体" w:hAnsi="宋体" w:cs="宋体" w:eastAsia="宋体" w:hint="default"/>
                <w:sz w:val="18"/>
                <w:szCs w:val="18"/>
              </w:rPr>
              <w:t>二审法院维持一 审判决，驳回了 翼丰盛的全部反 诉请求。</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不涉及执行</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760"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4" w:lineRule="auto"/>
              <w:ind w:left="15" w:right="90"/>
              <w:jc w:val="both"/>
              <w:rPr>
                <w:rFonts w:ascii="宋体" w:hAnsi="宋体" w:cs="宋体" w:eastAsia="宋体" w:hint="default"/>
                <w:sz w:val="18"/>
                <w:szCs w:val="18"/>
              </w:rPr>
            </w:pPr>
            <w:r>
              <w:rPr>
                <w:rFonts w:ascii="宋体" w:hAnsi="宋体" w:cs="宋体" w:eastAsia="宋体" w:hint="default"/>
                <w:sz w:val="18"/>
                <w:szCs w:val="18"/>
              </w:rPr>
              <w:t>卓翼科技因深圳市 中兴康讯有限公司 拖欠货款申请仲裁</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540" w:right="0"/>
              <w:jc w:val="left"/>
              <w:rPr>
                <w:rFonts w:ascii="Times New Roman" w:hAnsi="Times New Roman" w:cs="Times New Roman" w:eastAsia="Times New Roman" w:hint="default"/>
                <w:sz w:val="18"/>
                <w:szCs w:val="18"/>
              </w:rPr>
            </w:pPr>
            <w:r>
              <w:rPr>
                <w:rFonts w:ascii="Times New Roman"/>
                <w:sz w:val="18"/>
              </w:rPr>
              <w:t>204.91</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135"/>
              <w:jc w:val="both"/>
              <w:rPr>
                <w:rFonts w:ascii="宋体" w:hAnsi="宋体" w:cs="宋体" w:eastAsia="宋体" w:hint="default"/>
                <w:sz w:val="18"/>
                <w:szCs w:val="18"/>
              </w:rPr>
            </w:pPr>
            <w:r>
              <w:rPr>
                <w:rFonts w:ascii="宋体" w:hAnsi="宋体" w:cs="宋体" w:eastAsia="宋体" w:hint="default"/>
                <w:sz w:val="18"/>
                <w:szCs w:val="18"/>
              </w:rPr>
              <w:t>仲裁裁决 中兴康讯 于裁决生 效之日起</w:t>
            </w:r>
          </w:p>
          <w:p>
            <w:pPr>
              <w:pStyle w:val="TableParagraph"/>
              <w:spacing w:line="309" w:lineRule="auto" w:before="37"/>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60 </w:t>
            </w:r>
            <w:r>
              <w:rPr>
                <w:rFonts w:ascii="宋体" w:hAnsi="宋体" w:cs="宋体" w:eastAsia="宋体" w:hint="default"/>
                <w:sz w:val="18"/>
                <w:szCs w:val="18"/>
              </w:rPr>
              <w:t>天内向 卓翼科技 支付人民 币</w:t>
            </w:r>
          </w:p>
          <w:p>
            <w:pPr>
              <w:pStyle w:val="TableParagraph"/>
              <w:spacing w:line="240" w:lineRule="auto" w:before="70"/>
              <w:ind w:left="15" w:right="0"/>
              <w:jc w:val="left"/>
              <w:rPr>
                <w:rFonts w:ascii="Times New Roman" w:hAnsi="Times New Roman" w:cs="Times New Roman" w:eastAsia="Times New Roman" w:hint="default"/>
                <w:sz w:val="18"/>
                <w:szCs w:val="18"/>
              </w:rPr>
            </w:pPr>
            <w:r>
              <w:rPr>
                <w:rFonts w:ascii="Times New Roman"/>
                <w:sz w:val="18"/>
              </w:rPr>
              <w:t>1706752.24</w:t>
            </w:r>
          </w:p>
          <w:p>
            <w:pPr>
              <w:pStyle w:val="TableParagraph"/>
              <w:spacing w:line="326" w:lineRule="auto" w:before="51"/>
              <w:ind w:left="15" w:right="13"/>
              <w:jc w:val="left"/>
              <w:rPr>
                <w:rFonts w:ascii="宋体" w:hAnsi="宋体" w:cs="宋体" w:eastAsia="宋体" w:hint="default"/>
                <w:sz w:val="18"/>
                <w:szCs w:val="18"/>
              </w:rPr>
            </w:pPr>
            <w:r>
              <w:rPr>
                <w:rFonts w:ascii="宋体" w:hAnsi="宋体" w:cs="宋体" w:eastAsia="宋体" w:hint="default"/>
                <w:sz w:val="18"/>
                <w:szCs w:val="18"/>
              </w:rPr>
              <w:t>元货款及 </w:t>
            </w:r>
            <w:r>
              <w:rPr>
                <w:rFonts w:ascii="宋体" w:hAnsi="宋体" w:cs="宋体" w:eastAsia="宋体" w:hint="default"/>
                <w:spacing w:val="-3"/>
                <w:sz w:val="18"/>
                <w:szCs w:val="18"/>
              </w:rPr>
              <w:t>利息、律师</w:t>
            </w:r>
            <w:r>
              <w:rPr>
                <w:rFonts w:ascii="宋体" w:hAnsi="宋体" w:cs="宋体" w:eastAsia="宋体" w:hint="default"/>
                <w:sz w:val="18"/>
                <w:szCs w:val="18"/>
              </w:rPr>
              <w:t> 费人民币 </w:t>
            </w:r>
            <w:r>
              <w:rPr>
                <w:rFonts w:ascii="Times New Roman" w:hAnsi="Times New Roman" w:cs="Times New Roman" w:eastAsia="Times New Roman" w:hint="default"/>
                <w:sz w:val="18"/>
                <w:szCs w:val="18"/>
              </w:rPr>
              <w:t>70000 </w:t>
            </w:r>
            <w:r>
              <w:rPr>
                <w:rFonts w:ascii="宋体" w:hAnsi="宋体" w:cs="宋体" w:eastAsia="宋体" w:hint="default"/>
                <w:sz w:val="18"/>
                <w:szCs w:val="18"/>
              </w:rPr>
              <w:t>元、</w:t>
            </w:r>
          </w:p>
          <w:p>
            <w:pPr>
              <w:pStyle w:val="TableParagraph"/>
              <w:spacing w:line="200" w:lineRule="exact"/>
              <w:ind w:left="15" w:right="0"/>
              <w:jc w:val="left"/>
              <w:rPr>
                <w:rFonts w:ascii="宋体" w:hAnsi="宋体" w:cs="宋体" w:eastAsia="宋体" w:hint="default"/>
                <w:sz w:val="18"/>
                <w:szCs w:val="18"/>
              </w:rPr>
            </w:pPr>
            <w:r>
              <w:rPr>
                <w:rFonts w:ascii="宋体" w:hAnsi="宋体" w:cs="宋体" w:eastAsia="宋体" w:hint="default"/>
                <w:sz w:val="18"/>
                <w:szCs w:val="18"/>
              </w:rPr>
              <w:t>仲裁费</w:t>
            </w:r>
          </w:p>
          <w:p>
            <w:pPr>
              <w:pStyle w:val="TableParagraph"/>
              <w:spacing w:line="240" w:lineRule="auto" w:before="9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50540 </w:t>
            </w:r>
            <w:r>
              <w:rPr>
                <w:rFonts w:ascii="宋体" w:hAnsi="宋体" w:cs="宋体" w:eastAsia="宋体" w:hint="default"/>
                <w:sz w:val="18"/>
                <w:szCs w:val="18"/>
              </w:rPr>
              <w:t>元。</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48"/>
              <w:ind w:left="30" w:right="15"/>
              <w:jc w:val="left"/>
              <w:rPr>
                <w:rFonts w:ascii="宋体" w:hAnsi="宋体" w:cs="宋体" w:eastAsia="宋体" w:hint="default"/>
                <w:sz w:val="18"/>
                <w:szCs w:val="18"/>
              </w:rPr>
            </w:pPr>
            <w:r>
              <w:rPr>
                <w:rFonts w:ascii="宋体" w:hAnsi="宋体" w:cs="宋体" w:eastAsia="宋体" w:hint="default"/>
                <w:sz w:val="18"/>
                <w:szCs w:val="18"/>
              </w:rPr>
              <w:t>仲裁裁决中兴康 讯于裁决生效之</w:t>
            </w:r>
          </w:p>
          <w:p>
            <w:pPr>
              <w:pStyle w:val="TableParagraph"/>
              <w:spacing w:line="312" w:lineRule="auto" w:before="44"/>
              <w:ind w:left="30" w:right="15"/>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天内向卓 翼科技支付人民 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1706752.24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12" w:lineRule="exact"/>
              <w:ind w:left="30" w:right="0"/>
              <w:jc w:val="left"/>
              <w:rPr>
                <w:rFonts w:ascii="宋体" w:hAnsi="宋体" w:cs="宋体" w:eastAsia="宋体" w:hint="default"/>
                <w:sz w:val="18"/>
                <w:szCs w:val="18"/>
              </w:rPr>
            </w:pPr>
            <w:r>
              <w:rPr>
                <w:rFonts w:ascii="宋体" w:hAnsi="宋体" w:cs="宋体" w:eastAsia="宋体" w:hint="default"/>
                <w:sz w:val="18"/>
                <w:szCs w:val="18"/>
              </w:rPr>
              <w:t>货款及利息、律</w:t>
            </w:r>
          </w:p>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师费人民币</w:t>
            </w:r>
          </w:p>
          <w:p>
            <w:pPr>
              <w:pStyle w:val="TableParagraph"/>
              <w:spacing w:line="240" w:lineRule="auto" w:before="9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70000 </w:t>
            </w:r>
            <w:r>
              <w:rPr>
                <w:rFonts w:ascii="宋体" w:hAnsi="宋体" w:cs="宋体" w:eastAsia="宋体" w:hint="default"/>
                <w:sz w:val="18"/>
                <w:szCs w:val="18"/>
              </w:rPr>
              <w:t>元</w:t>
            </w:r>
            <w:r>
              <w:rPr>
                <w:rFonts w:ascii="宋体" w:hAnsi="宋体" w:cs="宋体" w:eastAsia="宋体" w:hint="default"/>
                <w:spacing w:val="-76"/>
                <w:sz w:val="18"/>
                <w:szCs w:val="18"/>
              </w:rPr>
              <w:t>、</w:t>
            </w:r>
            <w:r>
              <w:rPr>
                <w:rFonts w:ascii="宋体" w:hAnsi="宋体" w:cs="宋体" w:eastAsia="宋体" w:hint="default"/>
                <w:sz w:val="18"/>
                <w:szCs w:val="18"/>
              </w:rPr>
              <w:t>仲裁费</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50540 </w:t>
            </w:r>
            <w:r>
              <w:rPr>
                <w:rFonts w:ascii="宋体" w:hAnsi="宋体" w:cs="宋体" w:eastAsia="宋体" w:hint="default"/>
                <w:sz w:val="18"/>
                <w:szCs w:val="18"/>
              </w:rPr>
              <w:t>元。</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2"/>
              <w:ind w:left="15" w:right="29"/>
              <w:jc w:val="left"/>
              <w:rPr>
                <w:rFonts w:ascii="宋体" w:hAnsi="宋体" w:cs="宋体" w:eastAsia="宋体" w:hint="default"/>
                <w:sz w:val="18"/>
                <w:szCs w:val="18"/>
              </w:rPr>
            </w:pPr>
            <w:r>
              <w:rPr>
                <w:rFonts w:ascii="宋体" w:hAnsi="宋体" w:cs="宋体" w:eastAsia="宋体" w:hint="default"/>
                <w:spacing w:val="-11"/>
                <w:sz w:val="18"/>
                <w:szCs w:val="18"/>
              </w:rPr>
              <w:t>已结案，中兴康</w:t>
            </w:r>
            <w:r>
              <w:rPr>
                <w:rFonts w:ascii="宋体" w:hAnsi="宋体" w:cs="宋体" w:eastAsia="宋体" w:hint="default"/>
                <w:sz w:val="18"/>
                <w:szCs w:val="18"/>
              </w:rPr>
              <w:t> 讯已按照生效 仲裁裁决书履 行了全部的付 款义务。</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562"/>
        <w:gridCol w:w="1066"/>
        <w:gridCol w:w="1262"/>
        <w:gridCol w:w="931"/>
        <w:gridCol w:w="1381"/>
        <w:gridCol w:w="1246"/>
        <w:gridCol w:w="1067"/>
        <w:gridCol w:w="1066"/>
      </w:tblGrid>
      <w:tr>
        <w:trPr>
          <w:trHeight w:val="6020"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5" w:right="90"/>
              <w:jc w:val="both"/>
              <w:rPr>
                <w:rFonts w:ascii="宋体" w:hAnsi="宋体" w:cs="宋体" w:eastAsia="宋体" w:hint="default"/>
                <w:sz w:val="18"/>
                <w:szCs w:val="18"/>
              </w:rPr>
            </w:pPr>
            <w:r>
              <w:rPr>
                <w:rFonts w:ascii="宋体" w:hAnsi="宋体" w:cs="宋体" w:eastAsia="宋体" w:hint="default"/>
                <w:sz w:val="18"/>
                <w:szCs w:val="18"/>
              </w:rPr>
              <w:t>上海骁通智能科技 有限公司因卓翼智 造未支付货款申请 仲裁</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144.83</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因上海骁 通开发的 软件存在 </w:t>
            </w:r>
            <w:r>
              <w:rPr>
                <w:rFonts w:ascii="宋体" w:hAnsi="宋体" w:cs="宋体" w:eastAsia="宋体" w:hint="default"/>
                <w:spacing w:val="-3"/>
                <w:sz w:val="18"/>
                <w:szCs w:val="18"/>
              </w:rPr>
              <w:t>问题，给卓</w:t>
            </w:r>
            <w:r>
              <w:rPr>
                <w:rFonts w:ascii="宋体" w:hAnsi="宋体" w:cs="宋体" w:eastAsia="宋体" w:hint="default"/>
                <w:sz w:val="18"/>
                <w:szCs w:val="18"/>
              </w:rPr>
              <w:t> 翼智造造 成了损失， 卓翼智造 扣留了上 海骁通货 款人民币</w:t>
            </w:r>
          </w:p>
          <w:p>
            <w:pPr>
              <w:pStyle w:val="TableParagraph"/>
              <w:spacing w:line="240" w:lineRule="auto" w:before="64"/>
              <w:ind w:left="15" w:right="0"/>
              <w:jc w:val="left"/>
              <w:rPr>
                <w:rFonts w:ascii="Times New Roman" w:hAnsi="Times New Roman" w:cs="Times New Roman" w:eastAsia="Times New Roman" w:hint="default"/>
                <w:sz w:val="18"/>
                <w:szCs w:val="18"/>
              </w:rPr>
            </w:pPr>
            <w:r>
              <w:rPr>
                <w:rFonts w:ascii="Times New Roman"/>
                <w:sz w:val="18"/>
              </w:rPr>
              <w:t>1344700</w:t>
            </w:r>
          </w:p>
          <w:p>
            <w:pPr>
              <w:pStyle w:val="TableParagraph"/>
              <w:spacing w:line="319" w:lineRule="auto" w:before="51"/>
              <w:ind w:left="15" w:right="13"/>
              <w:jc w:val="left"/>
              <w:rPr>
                <w:rFonts w:ascii="宋体" w:hAnsi="宋体" w:cs="宋体" w:eastAsia="宋体" w:hint="default"/>
                <w:sz w:val="18"/>
                <w:szCs w:val="18"/>
              </w:rPr>
            </w:pPr>
            <w:r>
              <w:rPr>
                <w:rFonts w:ascii="宋体" w:hAnsi="宋体" w:cs="宋体" w:eastAsia="宋体" w:hint="default"/>
                <w:spacing w:val="-3"/>
                <w:sz w:val="18"/>
                <w:szCs w:val="18"/>
              </w:rPr>
              <w:t>元，上海骁</w:t>
            </w:r>
            <w:r>
              <w:rPr>
                <w:rFonts w:ascii="宋体" w:hAnsi="宋体" w:cs="宋体" w:eastAsia="宋体" w:hint="default"/>
                <w:sz w:val="18"/>
                <w:szCs w:val="18"/>
              </w:rPr>
              <w:t> 通提起仲 </w:t>
            </w:r>
            <w:r>
              <w:rPr>
                <w:rFonts w:ascii="宋体" w:hAnsi="宋体" w:cs="宋体" w:eastAsia="宋体" w:hint="default"/>
                <w:spacing w:val="-3"/>
                <w:sz w:val="18"/>
                <w:szCs w:val="18"/>
              </w:rPr>
              <w:t>裁，要求卓</w:t>
            </w:r>
            <w:r>
              <w:rPr>
                <w:rFonts w:ascii="宋体" w:hAnsi="宋体" w:cs="宋体" w:eastAsia="宋体" w:hint="default"/>
                <w:sz w:val="18"/>
                <w:szCs w:val="18"/>
              </w:rPr>
              <w:t> 翼智造支 付货款及 </w:t>
            </w:r>
            <w:r>
              <w:rPr>
                <w:rFonts w:ascii="宋体" w:hAnsi="宋体" w:cs="宋体" w:eastAsia="宋体" w:hint="default"/>
                <w:spacing w:val="-3"/>
                <w:sz w:val="18"/>
                <w:szCs w:val="18"/>
              </w:rPr>
              <w:t>利息。目前</w:t>
            </w:r>
            <w:r>
              <w:rPr>
                <w:rFonts w:ascii="宋体" w:hAnsi="宋体" w:cs="宋体" w:eastAsia="宋体" w:hint="default"/>
                <w:sz w:val="18"/>
                <w:szCs w:val="18"/>
              </w:rPr>
              <w:t> 案件尚未 开庭。</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30" w:right="0"/>
              <w:jc w:val="left"/>
              <w:rPr>
                <w:rFonts w:ascii="宋体" w:hAnsi="宋体" w:cs="宋体" w:eastAsia="宋体" w:hint="default"/>
                <w:sz w:val="18"/>
                <w:szCs w:val="18"/>
              </w:rPr>
            </w:pPr>
            <w:r>
              <w:rPr>
                <w:rFonts w:ascii="宋体" w:hAnsi="宋体" w:cs="宋体" w:eastAsia="宋体" w:hint="default"/>
                <w:sz w:val="18"/>
                <w:szCs w:val="18"/>
              </w:rPr>
              <w:t>暂未出结果</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5" w:right="0"/>
              <w:jc w:val="left"/>
              <w:rPr>
                <w:rFonts w:ascii="宋体" w:hAnsi="宋体" w:cs="宋体" w:eastAsia="宋体" w:hint="default"/>
                <w:sz w:val="18"/>
                <w:szCs w:val="18"/>
              </w:rPr>
            </w:pPr>
            <w:r>
              <w:rPr>
                <w:rFonts w:ascii="宋体" w:hAnsi="宋体" w:cs="宋体" w:eastAsia="宋体" w:hint="default"/>
                <w:sz w:val="18"/>
                <w:szCs w:val="18"/>
              </w:rPr>
              <w:t>目前不涉及</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6951"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15" w:right="90"/>
              <w:jc w:val="both"/>
              <w:rPr>
                <w:rFonts w:ascii="宋体" w:hAnsi="宋体" w:cs="宋体" w:eastAsia="宋体" w:hint="default"/>
                <w:sz w:val="18"/>
                <w:szCs w:val="18"/>
              </w:rPr>
            </w:pPr>
            <w:r>
              <w:rPr>
                <w:rFonts w:ascii="宋体" w:hAnsi="宋体" w:cs="宋体" w:eastAsia="宋体" w:hint="default"/>
                <w:sz w:val="18"/>
                <w:szCs w:val="18"/>
              </w:rPr>
              <w:t>卓翼智造就上海骁 通申请的仲裁事项 提出仲裁反请求</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197.06</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因上海骁 通开发的 软件存在 </w:t>
            </w:r>
            <w:r>
              <w:rPr>
                <w:rFonts w:ascii="宋体" w:hAnsi="宋体" w:cs="宋体" w:eastAsia="宋体" w:hint="default"/>
                <w:spacing w:val="-3"/>
                <w:sz w:val="18"/>
                <w:szCs w:val="18"/>
              </w:rPr>
              <w:t>问题，给卓</w:t>
            </w:r>
            <w:r>
              <w:rPr>
                <w:rFonts w:ascii="宋体" w:hAnsi="宋体" w:cs="宋体" w:eastAsia="宋体" w:hint="default"/>
                <w:sz w:val="18"/>
                <w:szCs w:val="18"/>
              </w:rPr>
              <w:t> 翼智造造 成了损失， 卓翼智造 就上海骁 通的仲裁 诉求提出 了仲裁反 </w:t>
            </w:r>
            <w:r>
              <w:rPr>
                <w:rFonts w:ascii="宋体" w:hAnsi="宋体" w:cs="宋体" w:eastAsia="宋体" w:hint="default"/>
                <w:spacing w:val="-3"/>
                <w:sz w:val="18"/>
                <w:szCs w:val="18"/>
              </w:rPr>
              <w:t>请求，要求</w:t>
            </w:r>
            <w:r>
              <w:rPr>
                <w:rFonts w:ascii="宋体" w:hAnsi="宋体" w:cs="宋体" w:eastAsia="宋体" w:hint="default"/>
                <w:sz w:val="18"/>
                <w:szCs w:val="18"/>
              </w:rPr>
              <w:t> 上海骁通 赔偿给卓 翼智造造 成的损失 共计人民</w:t>
            </w:r>
          </w:p>
          <w:p>
            <w:pPr>
              <w:pStyle w:val="TableParagraph"/>
              <w:spacing w:line="240" w:lineRule="auto" w:before="22"/>
              <w:ind w:left="15" w:right="0"/>
              <w:jc w:val="left"/>
              <w:rPr>
                <w:rFonts w:ascii="宋体" w:hAnsi="宋体" w:cs="宋体" w:eastAsia="宋体" w:hint="default"/>
                <w:sz w:val="18"/>
                <w:szCs w:val="18"/>
              </w:rPr>
            </w:pPr>
            <w:r>
              <w:rPr>
                <w:rFonts w:ascii="宋体" w:hAnsi="宋体" w:cs="宋体" w:eastAsia="宋体" w:hint="default"/>
                <w:sz w:val="18"/>
                <w:szCs w:val="18"/>
              </w:rPr>
              <w:t>币</w:t>
            </w:r>
          </w:p>
          <w:p>
            <w:pPr>
              <w:pStyle w:val="TableParagraph"/>
              <w:spacing w:line="240" w:lineRule="auto" w:before="137"/>
              <w:ind w:left="15" w:right="0"/>
              <w:jc w:val="left"/>
              <w:rPr>
                <w:rFonts w:ascii="Times New Roman" w:hAnsi="Times New Roman" w:cs="Times New Roman" w:eastAsia="Times New Roman" w:hint="default"/>
                <w:sz w:val="18"/>
                <w:szCs w:val="18"/>
              </w:rPr>
            </w:pPr>
            <w:r>
              <w:rPr>
                <w:rFonts w:ascii="Times New Roman"/>
                <w:sz w:val="18"/>
              </w:rPr>
              <w:t>1970600.35</w:t>
            </w:r>
          </w:p>
          <w:p>
            <w:pPr>
              <w:pStyle w:val="TableParagraph"/>
              <w:spacing w:line="314" w:lineRule="auto" w:before="51"/>
              <w:ind w:left="15" w:right="13"/>
              <w:jc w:val="left"/>
              <w:rPr>
                <w:rFonts w:ascii="宋体" w:hAnsi="宋体" w:cs="宋体" w:eastAsia="宋体" w:hint="default"/>
                <w:sz w:val="18"/>
                <w:szCs w:val="18"/>
              </w:rPr>
            </w:pPr>
            <w:r>
              <w:rPr>
                <w:rFonts w:ascii="宋体" w:hAnsi="宋体" w:cs="宋体" w:eastAsia="宋体" w:hint="default"/>
                <w:spacing w:val="-3"/>
                <w:sz w:val="18"/>
                <w:szCs w:val="18"/>
              </w:rPr>
              <w:t>元。目前案</w:t>
            </w:r>
            <w:r>
              <w:rPr>
                <w:rFonts w:ascii="宋体" w:hAnsi="宋体" w:cs="宋体" w:eastAsia="宋体" w:hint="default"/>
                <w:sz w:val="18"/>
                <w:szCs w:val="18"/>
              </w:rPr>
              <w:t> 件尚未开 庭。</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暂未出结果</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目前不涉及</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9"/>
        <w:rPr>
          <w:rFonts w:ascii="Times New Roman" w:hAnsi="Times New Roman" w:cs="Times New Roman" w:eastAsia="Times New Roman" w:hint="default"/>
          <w:sz w:val="27"/>
          <w:szCs w:val="27"/>
        </w:rPr>
      </w:pPr>
    </w:p>
    <w:p>
      <w:pPr>
        <w:pStyle w:val="Heading2"/>
        <w:spacing w:line="240" w:lineRule="auto" w:before="26"/>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85"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原因</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1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82"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19"/>
              <w:ind w:left="15" w:right="74"/>
              <w:jc w:val="left"/>
              <w:rPr>
                <w:rFonts w:ascii="宋体" w:hAnsi="宋体" w:cs="宋体" w:eastAsia="宋体" w:hint="default"/>
                <w:sz w:val="18"/>
                <w:szCs w:val="18"/>
              </w:rPr>
            </w:pPr>
            <w:r>
              <w:rPr>
                <w:rFonts w:ascii="宋体" w:hAnsi="宋体" w:cs="宋体" w:eastAsia="宋体" w:hint="default"/>
                <w:sz w:val="18"/>
                <w:szCs w:val="18"/>
              </w:rPr>
              <w:t>深圳市卓翼科技 股份有限公司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97" w:lineRule="auto"/>
              <w:ind w:left="30"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年度业绩快 报发生重大变化 未及时修正、信</w:t>
            </w:r>
          </w:p>
          <w:p>
            <w:pPr>
              <w:pStyle w:val="TableParagraph"/>
              <w:spacing w:line="240" w:lineRule="auto" w:before="37"/>
              <w:ind w:left="30" w:right="0"/>
              <w:jc w:val="both"/>
              <w:rPr>
                <w:rFonts w:ascii="宋体" w:hAnsi="宋体" w:cs="宋体" w:eastAsia="宋体" w:hint="default"/>
                <w:sz w:val="18"/>
                <w:szCs w:val="18"/>
              </w:rPr>
            </w:pPr>
            <w:r>
              <w:rPr>
                <w:rFonts w:ascii="宋体" w:hAnsi="宋体" w:cs="宋体" w:eastAsia="宋体" w:hint="default"/>
                <w:sz w:val="18"/>
                <w:szCs w:val="18"/>
              </w:rPr>
              <w:t>息披露不准确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责令改正</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04" w:lineRule="auto" w:before="80"/>
              <w:ind w:left="15" w:right="29"/>
              <w:jc w:val="both"/>
              <w:rPr>
                <w:rFonts w:ascii="宋体" w:hAnsi="宋体" w:cs="宋体" w:eastAsia="宋体" w:hint="default"/>
                <w:sz w:val="18"/>
                <w:szCs w:val="18"/>
              </w:rPr>
            </w:pPr>
            <w:r>
              <w:rPr>
                <w:rFonts w:ascii="宋体" w:hAnsi="宋体" w:cs="宋体" w:eastAsia="宋体" w:hint="default"/>
                <w:sz w:val="18"/>
                <w:szCs w:val="18"/>
              </w:rPr>
              <w:t>（</w:t>
            </w:r>
            <w:hyperlink r:id="rId18">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m</w:t>
            </w:r>
            <w:r>
              <w:rPr>
                <w:rFonts w:ascii="宋体" w:hAnsi="宋体" w:cs="宋体" w:eastAsia="宋体" w:hint="default"/>
                <w:spacing w:val="-12"/>
                <w:sz w:val="18"/>
                <w:szCs w:val="18"/>
              </w:rPr>
              <w:t>）《关于收到深</w:t>
            </w:r>
            <w:r>
              <w:rPr>
                <w:rFonts w:ascii="宋体" w:hAnsi="宋体" w:cs="宋体" w:eastAsia="宋体" w:hint="default"/>
                <w:sz w:val="18"/>
                <w:szCs w:val="18"/>
              </w:rPr>
              <w:t> 圳证监局行政监 管措施决定书的 公告》（公告编</w:t>
            </w:r>
          </w:p>
          <w:p>
            <w:pPr>
              <w:pStyle w:val="TableParagraph"/>
              <w:spacing w:line="240" w:lineRule="auto" w:before="46"/>
              <w:ind w:left="15" w:right="0"/>
              <w:jc w:val="both"/>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2019-077</w:t>
            </w:r>
            <w:r>
              <w:rPr>
                <w:rFonts w:ascii="宋体" w:hAnsi="宋体" w:cs="宋体" w:eastAsia="宋体" w:hint="default"/>
                <w:sz w:val="18"/>
                <w:szCs w:val="18"/>
              </w:rPr>
              <w:t>）</w:t>
            </w:r>
          </w:p>
        </w:tc>
      </w:tr>
      <w:tr>
        <w:trPr>
          <w:trHeight w:val="3213"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04" w:lineRule="auto"/>
              <w:ind w:left="15" w:right="73"/>
              <w:jc w:val="left"/>
              <w:rPr>
                <w:rFonts w:ascii="宋体" w:hAnsi="宋体" w:cs="宋体" w:eastAsia="宋体" w:hint="default"/>
                <w:sz w:val="18"/>
                <w:szCs w:val="18"/>
              </w:rPr>
            </w:pPr>
            <w:r>
              <w:rPr>
                <w:rFonts w:ascii="宋体" w:hAnsi="宋体" w:cs="宋体" w:eastAsia="宋体" w:hint="default"/>
                <w:sz w:val="18"/>
                <w:szCs w:val="18"/>
              </w:rPr>
              <w:t>深圳市卓翼科技 股份有限公司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30" w:right="13"/>
              <w:jc w:val="left"/>
              <w:rPr>
                <w:rFonts w:ascii="宋体" w:hAnsi="宋体" w:cs="宋体" w:eastAsia="宋体" w:hint="default"/>
                <w:sz w:val="18"/>
                <w:szCs w:val="18"/>
              </w:rPr>
            </w:pPr>
            <w:r>
              <w:rPr>
                <w:rFonts w:ascii="宋体" w:hAnsi="宋体" w:cs="宋体" w:eastAsia="宋体" w:hint="default"/>
                <w:sz w:val="18"/>
                <w:szCs w:val="18"/>
              </w:rPr>
              <w:t>公司未在规定期 限内对业绩预 告、业绩快报作 出准确修正，业 绩预告及业绩快 报中披露的净利</w:t>
            </w:r>
          </w:p>
          <w:p>
            <w:pPr>
              <w:pStyle w:val="TableParagraph"/>
              <w:spacing w:line="304" w:lineRule="auto" w:before="35"/>
              <w:ind w:left="30" w:right="13"/>
              <w:jc w:val="left"/>
              <w:rPr>
                <w:rFonts w:ascii="宋体" w:hAnsi="宋体" w:cs="宋体" w:eastAsia="宋体" w:hint="default"/>
                <w:sz w:val="18"/>
                <w:szCs w:val="18"/>
              </w:rPr>
            </w:pPr>
            <w:r>
              <w:rPr>
                <w:rFonts w:ascii="宋体" w:hAnsi="宋体" w:cs="宋体" w:eastAsia="宋体" w:hint="default"/>
                <w:sz w:val="18"/>
                <w:szCs w:val="18"/>
              </w:rPr>
              <w:t>润与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年经审 计的净利润差异 较大且盈亏性质 发生变化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通报批评</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213"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30" w:right="13"/>
              <w:jc w:val="left"/>
              <w:rPr>
                <w:rFonts w:ascii="宋体" w:hAnsi="宋体" w:cs="宋体" w:eastAsia="宋体" w:hint="default"/>
                <w:sz w:val="18"/>
                <w:szCs w:val="18"/>
              </w:rPr>
            </w:pPr>
            <w:r>
              <w:rPr>
                <w:rFonts w:ascii="宋体" w:hAnsi="宋体" w:cs="宋体" w:eastAsia="宋体" w:hint="default"/>
                <w:sz w:val="18"/>
                <w:szCs w:val="18"/>
              </w:rPr>
              <w:t>公司未在规定期 限内对业绩预 告、业绩快报作 出准确修正，业 绩预告及业绩快 报中披露的净利</w:t>
            </w:r>
          </w:p>
          <w:p>
            <w:pPr>
              <w:pStyle w:val="TableParagraph"/>
              <w:spacing w:line="304" w:lineRule="auto" w:before="35"/>
              <w:ind w:left="30" w:right="13"/>
              <w:jc w:val="left"/>
              <w:rPr>
                <w:rFonts w:ascii="宋体" w:hAnsi="宋体" w:cs="宋体" w:eastAsia="宋体" w:hint="default"/>
                <w:sz w:val="18"/>
                <w:szCs w:val="18"/>
              </w:rPr>
            </w:pPr>
            <w:r>
              <w:rPr>
                <w:rFonts w:ascii="宋体" w:hAnsi="宋体" w:cs="宋体" w:eastAsia="宋体" w:hint="default"/>
                <w:sz w:val="18"/>
                <w:szCs w:val="18"/>
              </w:rPr>
              <w:t>润与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年经审 计的净利润差异 较大且盈亏性质 发生变化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通报批评</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213"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0"/>
              <w:ind w:left="30" w:right="13"/>
              <w:jc w:val="left"/>
              <w:rPr>
                <w:rFonts w:ascii="宋体" w:hAnsi="宋体" w:cs="宋体" w:eastAsia="宋体" w:hint="default"/>
                <w:sz w:val="18"/>
                <w:szCs w:val="18"/>
              </w:rPr>
            </w:pPr>
            <w:r>
              <w:rPr>
                <w:rFonts w:ascii="宋体" w:hAnsi="宋体" w:cs="宋体" w:eastAsia="宋体" w:hint="default"/>
                <w:sz w:val="18"/>
                <w:szCs w:val="18"/>
              </w:rPr>
              <w:t>公司未在规定期 限内对业绩预 告、业绩快报作 出准确修正，业 绩预告及业绩快 报中披露的净利</w:t>
            </w:r>
          </w:p>
          <w:p>
            <w:pPr>
              <w:pStyle w:val="TableParagraph"/>
              <w:spacing w:line="304" w:lineRule="auto" w:before="35"/>
              <w:ind w:left="30" w:right="13"/>
              <w:jc w:val="left"/>
              <w:rPr>
                <w:rFonts w:ascii="宋体" w:hAnsi="宋体" w:cs="宋体" w:eastAsia="宋体" w:hint="default"/>
                <w:sz w:val="18"/>
                <w:szCs w:val="18"/>
              </w:rPr>
            </w:pPr>
            <w:r>
              <w:rPr>
                <w:rFonts w:ascii="宋体" w:hAnsi="宋体" w:cs="宋体" w:eastAsia="宋体" w:hint="default"/>
                <w:sz w:val="18"/>
                <w:szCs w:val="18"/>
              </w:rPr>
              <w:t>润与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年经审 计的净利润差异 较大且盈亏性质 发生变化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通报批评</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谢从雄</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74"/>
              <w:jc w:val="left"/>
              <w:rPr>
                <w:rFonts w:ascii="宋体" w:hAnsi="宋体" w:cs="宋体" w:eastAsia="宋体" w:hint="default"/>
                <w:sz w:val="18"/>
                <w:szCs w:val="18"/>
              </w:rPr>
            </w:pPr>
            <w:r>
              <w:rPr>
                <w:rFonts w:ascii="宋体" w:hAnsi="宋体" w:cs="宋体" w:eastAsia="宋体" w:hint="default"/>
                <w:sz w:val="18"/>
                <w:szCs w:val="18"/>
              </w:rPr>
              <w:t>公司未在规定期 限内对业绩预</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通报批评</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03" w:hRule="exact"/>
        </w:trPr>
        <w:tc>
          <w:tcPr>
            <w:tcW w:w="1367" w:type="dxa"/>
            <w:vMerge w:val="restart"/>
            <w:tcBorders>
              <w:top w:val="single" w:sz="6" w:space="0" w:color="000000"/>
              <w:left w:val="single" w:sz="6" w:space="0" w:color="000000"/>
              <w:right w:val="single" w:sz="6" w:space="0" w:color="000000"/>
            </w:tcBorders>
          </w:tcPr>
          <w:p>
            <w:pPr/>
          </w:p>
        </w:tc>
        <w:tc>
          <w:tcPr>
            <w:tcW w:w="1367" w:type="dxa"/>
            <w:vMerge w:val="restart"/>
            <w:tcBorders>
              <w:top w:val="single" w:sz="6" w:space="0" w:color="000000"/>
              <w:left w:val="single" w:sz="6" w:space="0" w:color="000000"/>
              <w:right w:val="single" w:sz="6" w:space="0" w:color="000000"/>
            </w:tcBorders>
          </w:tcPr>
          <w:p>
            <w:pPr/>
          </w:p>
        </w:tc>
        <w:tc>
          <w:tcPr>
            <w:tcW w:w="1382" w:type="dxa"/>
            <w:tcBorders>
              <w:top w:val="single" w:sz="6" w:space="0" w:color="000000"/>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告、业绩快报作</w:t>
            </w:r>
          </w:p>
        </w:tc>
        <w:tc>
          <w:tcPr>
            <w:tcW w:w="1367" w:type="dxa"/>
            <w:vMerge w:val="restart"/>
            <w:tcBorders>
              <w:top w:val="single" w:sz="6" w:space="0" w:color="000000"/>
              <w:left w:val="single" w:sz="6" w:space="0" w:color="000000"/>
              <w:right w:val="single" w:sz="6" w:space="0" w:color="000000"/>
            </w:tcBorders>
          </w:tcPr>
          <w:p>
            <w:pPr/>
          </w:p>
        </w:tc>
        <w:tc>
          <w:tcPr>
            <w:tcW w:w="1366" w:type="dxa"/>
            <w:vMerge w:val="restart"/>
            <w:tcBorders>
              <w:top w:val="single" w:sz="6" w:space="0" w:color="000000"/>
              <w:left w:val="single" w:sz="6" w:space="0" w:color="000000"/>
              <w:right w:val="single" w:sz="6" w:space="0" w:color="000000"/>
            </w:tcBorders>
          </w:tcPr>
          <w:p>
            <w:pPr/>
          </w:p>
        </w:tc>
        <w:tc>
          <w:tcPr>
            <w:tcW w:w="1367" w:type="dxa"/>
            <w:vMerge w:val="restart"/>
            <w:tcBorders>
              <w:top w:val="single" w:sz="6" w:space="0" w:color="000000"/>
              <w:left w:val="single" w:sz="6" w:space="0" w:color="000000"/>
              <w:right w:val="single" w:sz="6" w:space="0" w:color="000000"/>
            </w:tcBorders>
          </w:tcPr>
          <w:p>
            <w:pPr/>
          </w:p>
        </w:tc>
        <w:tc>
          <w:tcPr>
            <w:tcW w:w="1367" w:type="dxa"/>
            <w:vMerge w:val="restart"/>
            <w:tcBorders>
              <w:top w:val="single" w:sz="6" w:space="0" w:color="000000"/>
              <w:left w:val="single" w:sz="6" w:space="0" w:color="000000"/>
              <w:right w:val="single" w:sz="6" w:space="0" w:color="000000"/>
            </w:tcBorders>
          </w:tcPr>
          <w:p>
            <w:pPr/>
          </w:p>
        </w:tc>
      </w:tr>
      <w:tr>
        <w:trPr>
          <w:trHeight w:val="308" w:hRule="exact"/>
        </w:trPr>
        <w:tc>
          <w:tcPr>
            <w:tcW w:w="1367"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c>
          <w:tcPr>
            <w:tcW w:w="138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出准确修正，业</w:t>
            </w:r>
          </w:p>
        </w:tc>
        <w:tc>
          <w:tcPr>
            <w:tcW w:w="1367"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r>
      <w:tr>
        <w:trPr>
          <w:trHeight w:val="315" w:hRule="exact"/>
        </w:trPr>
        <w:tc>
          <w:tcPr>
            <w:tcW w:w="1367"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c>
          <w:tcPr>
            <w:tcW w:w="1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绩预告及业绩快</w:t>
            </w:r>
          </w:p>
        </w:tc>
        <w:tc>
          <w:tcPr>
            <w:tcW w:w="1367"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r>
      <w:tr>
        <w:trPr>
          <w:trHeight w:val="323" w:hRule="exact"/>
        </w:trPr>
        <w:tc>
          <w:tcPr>
            <w:tcW w:w="1367"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c>
          <w:tcPr>
            <w:tcW w:w="1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报中披露的净利</w:t>
            </w:r>
          </w:p>
        </w:tc>
        <w:tc>
          <w:tcPr>
            <w:tcW w:w="1367"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r>
      <w:tr>
        <w:trPr>
          <w:trHeight w:val="320" w:hRule="exact"/>
        </w:trPr>
        <w:tc>
          <w:tcPr>
            <w:tcW w:w="1367"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c>
          <w:tcPr>
            <w:tcW w:w="1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30" w:right="0"/>
              <w:jc w:val="left"/>
              <w:rPr>
                <w:rFonts w:ascii="宋体" w:hAnsi="宋体" w:cs="宋体" w:eastAsia="宋体" w:hint="default"/>
                <w:sz w:val="18"/>
                <w:szCs w:val="18"/>
              </w:rPr>
            </w:pPr>
            <w:r>
              <w:rPr>
                <w:rFonts w:ascii="宋体" w:hAnsi="宋体" w:cs="宋体" w:eastAsia="宋体" w:hint="default"/>
                <w:sz w:val="18"/>
                <w:szCs w:val="18"/>
              </w:rPr>
              <w:t>润与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年经审</w:t>
            </w:r>
          </w:p>
        </w:tc>
        <w:tc>
          <w:tcPr>
            <w:tcW w:w="1367"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r>
      <w:tr>
        <w:trPr>
          <w:trHeight w:val="295" w:hRule="exact"/>
        </w:trPr>
        <w:tc>
          <w:tcPr>
            <w:tcW w:w="1367"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c>
          <w:tcPr>
            <w:tcW w:w="1382" w:type="dxa"/>
            <w:tcBorders>
              <w:top w:val="nil" w:sz="6" w:space="0" w:color="auto"/>
              <w:left w:val="single" w:sz="6" w:space="0" w:color="000000"/>
              <w:bottom w:val="nil" w:sz="6" w:space="0" w:color="auto"/>
              <w:right w:val="single" w:sz="6" w:space="0" w:color="000000"/>
            </w:tcBorders>
          </w:tcPr>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计的净利润差异</w:t>
            </w:r>
          </w:p>
        </w:tc>
        <w:tc>
          <w:tcPr>
            <w:tcW w:w="1367"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r>
      <w:tr>
        <w:trPr>
          <w:trHeight w:val="308" w:hRule="exact"/>
        </w:trPr>
        <w:tc>
          <w:tcPr>
            <w:tcW w:w="1367"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c>
          <w:tcPr>
            <w:tcW w:w="1382"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left="30" w:right="0"/>
              <w:jc w:val="left"/>
              <w:rPr>
                <w:rFonts w:ascii="宋体" w:hAnsi="宋体" w:cs="宋体" w:eastAsia="宋体" w:hint="default"/>
                <w:sz w:val="18"/>
                <w:szCs w:val="18"/>
              </w:rPr>
            </w:pPr>
            <w:r>
              <w:rPr>
                <w:rFonts w:ascii="宋体" w:hAnsi="宋体" w:cs="宋体" w:eastAsia="宋体" w:hint="default"/>
                <w:sz w:val="18"/>
                <w:szCs w:val="18"/>
              </w:rPr>
              <w:t>较大且盈亏性质</w:t>
            </w:r>
          </w:p>
        </w:tc>
        <w:tc>
          <w:tcPr>
            <w:tcW w:w="1367" w:type="dxa"/>
            <w:vMerge/>
            <w:tcBorders>
              <w:left w:val="single" w:sz="6" w:space="0" w:color="000000"/>
              <w:right w:val="single" w:sz="6" w:space="0" w:color="000000"/>
            </w:tcBorders>
          </w:tcPr>
          <w:p>
            <w:pPr/>
          </w:p>
        </w:tc>
        <w:tc>
          <w:tcPr>
            <w:tcW w:w="1366"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c>
          <w:tcPr>
            <w:tcW w:w="1367" w:type="dxa"/>
            <w:vMerge/>
            <w:tcBorders>
              <w:left w:val="single" w:sz="6" w:space="0" w:color="000000"/>
              <w:right w:val="single" w:sz="6" w:space="0" w:color="000000"/>
            </w:tcBorders>
          </w:tcPr>
          <w:p>
            <w:pPr/>
          </w:p>
        </w:tc>
      </w:tr>
      <w:tr>
        <w:trPr>
          <w:trHeight w:val="365" w:hRule="exact"/>
        </w:trPr>
        <w:tc>
          <w:tcPr>
            <w:tcW w:w="1367" w:type="dxa"/>
            <w:vMerge/>
            <w:tcBorders>
              <w:left w:val="single" w:sz="6" w:space="0" w:color="000000"/>
              <w:bottom w:val="single" w:sz="6" w:space="0" w:color="000000"/>
              <w:right w:val="single" w:sz="6" w:space="0" w:color="000000"/>
            </w:tcBorders>
          </w:tcPr>
          <w:p>
            <w:pPr/>
          </w:p>
        </w:tc>
        <w:tc>
          <w:tcPr>
            <w:tcW w:w="1367" w:type="dxa"/>
            <w:vMerge/>
            <w:tcBorders>
              <w:left w:val="single" w:sz="6" w:space="0" w:color="000000"/>
              <w:bottom w:val="single" w:sz="6" w:space="0" w:color="000000"/>
              <w:right w:val="single" w:sz="6" w:space="0" w:color="000000"/>
            </w:tcBorders>
          </w:tcPr>
          <w:p>
            <w:pPr/>
          </w:p>
        </w:tc>
        <w:tc>
          <w:tcPr>
            <w:tcW w:w="138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发生变化</w:t>
            </w:r>
          </w:p>
        </w:tc>
        <w:tc>
          <w:tcPr>
            <w:tcW w:w="1367" w:type="dxa"/>
            <w:vMerge/>
            <w:tcBorders>
              <w:left w:val="single" w:sz="6" w:space="0" w:color="000000"/>
              <w:bottom w:val="single" w:sz="6" w:space="0" w:color="000000"/>
              <w:right w:val="single" w:sz="6" w:space="0" w:color="000000"/>
            </w:tcBorders>
          </w:tcPr>
          <w:p>
            <w:pPr/>
          </w:p>
        </w:tc>
        <w:tc>
          <w:tcPr>
            <w:tcW w:w="1366" w:type="dxa"/>
            <w:vMerge/>
            <w:tcBorders>
              <w:left w:val="single" w:sz="6" w:space="0" w:color="000000"/>
              <w:bottom w:val="single" w:sz="6" w:space="0" w:color="000000"/>
              <w:right w:val="single" w:sz="6" w:space="0" w:color="000000"/>
            </w:tcBorders>
          </w:tcPr>
          <w:p>
            <w:pPr/>
          </w:p>
        </w:tc>
        <w:tc>
          <w:tcPr>
            <w:tcW w:w="1367" w:type="dxa"/>
            <w:vMerge/>
            <w:tcBorders>
              <w:left w:val="single" w:sz="6" w:space="0" w:color="000000"/>
              <w:bottom w:val="single" w:sz="6" w:space="0" w:color="000000"/>
              <w:right w:val="single" w:sz="6" w:space="0" w:color="000000"/>
            </w:tcBorders>
          </w:tcPr>
          <w:p>
            <w:pPr/>
          </w:p>
        </w:tc>
        <w:tc>
          <w:tcPr>
            <w:tcW w:w="1367" w:type="dxa"/>
            <w:vMerge/>
            <w:tcBorders>
              <w:left w:val="single" w:sz="6" w:space="0" w:color="000000"/>
              <w:bottom w:val="single" w:sz="6" w:space="0" w:color="000000"/>
              <w:right w:val="single" w:sz="6" w:space="0" w:color="000000"/>
            </w:tcBorders>
          </w:tcPr>
          <w:p>
            <w:pPr/>
          </w:p>
        </w:tc>
      </w:tr>
    </w:tbl>
    <w:p>
      <w:pPr>
        <w:pStyle w:val="BodyText"/>
        <w:spacing w:line="240" w:lineRule="auto" w:before="44"/>
        <w:ind w:right="0"/>
        <w:jc w:val="both"/>
      </w:pPr>
      <w:r>
        <w:rPr/>
        <w:t>整改情况说明</w:t>
      </w:r>
    </w:p>
    <w:p>
      <w:pPr>
        <w:pStyle w:val="BodyText"/>
        <w:spacing w:line="333" w:lineRule="auto" w:before="140"/>
        <w:ind w:left="501" w:right="108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日收到深圳证监局下发的《行政监管措施决定书》（</w:t>
      </w:r>
      <w:r>
        <w:rPr>
          <w:rFonts w:ascii="Times New Roman" w:hAnsi="Times New Roman" w:cs="Times New Roman" w:eastAsia="Times New Roman" w:hint="default"/>
        </w:rPr>
        <w:t>[2019]101</w:t>
      </w:r>
      <w:r>
        <w:rPr/>
        <w:t>号），收到《行政监管措施决定书》</w:t>
      </w:r>
    </w:p>
    <w:p>
      <w:pPr>
        <w:pStyle w:val="BodyText"/>
        <w:spacing w:line="209" w:lineRule="exact"/>
        <w:ind w:right="0"/>
        <w:jc w:val="both"/>
      </w:pPr>
      <w:r>
        <w:rPr/>
        <w:t>后，公司高度重视，及时向董事、监事、高级管理人员、相关部门等进行了传达，针对《行政监管措施决定书》提出的相关</w:t>
      </w:r>
    </w:p>
    <w:p>
      <w:pPr>
        <w:pStyle w:val="BodyText"/>
        <w:spacing w:line="314" w:lineRule="auto" w:before="80"/>
        <w:ind w:right="1097"/>
        <w:jc w:val="both"/>
      </w:pPr>
      <w:r>
        <w:rPr>
          <w:spacing w:val="-2"/>
        </w:rPr>
        <w:t>问题，公司立即组织相关人员开展自查自纠工作，按照有关法律、法规及规范性文件的规定和内部管理制度的相关要求对有</w:t>
      </w:r>
      <w:r>
        <w:rPr>
          <w:spacing w:val="-70"/>
        </w:rPr>
        <w:t> </w:t>
      </w:r>
      <w:r>
        <w:rPr>
          <w:spacing w:val="-70"/>
        </w:rPr>
      </w:r>
      <w:r>
        <w:rPr>
          <w:spacing w:val="-1"/>
        </w:rPr>
        <w:t>关事项进行认真梳理和分析，积极查找原因，逐项制定具体整改计划和措施，明确了整改责任人和整改时间，具体内容详见</w:t>
      </w:r>
      <w:r>
        <w:rPr/>
        <w:t> 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27</w:t>
      </w:r>
      <w:r>
        <w:rPr/>
        <w:t>日披露于巨潮资讯网（</w:t>
      </w:r>
      <w:hyperlink r:id="rId11">
        <w:r>
          <w:rPr>
            <w:rFonts w:ascii="Times New Roman" w:hAnsi="Times New Roman" w:cs="Times New Roman" w:eastAsia="Times New Roman" w:hint="default"/>
          </w:rPr>
          <w:t>www.cninfo.com.cn</w:t>
        </w:r>
      </w:hyperlink>
      <w:r>
        <w:rPr/>
        <w:t>）及《证券时报》、《中国证券报》的《关于深圳证监局对公司 采取责令改正措施决定的整改报告》（公告编号：</w:t>
      </w:r>
      <w:r>
        <w:rPr>
          <w:rFonts w:ascii="Times New Roman" w:hAnsi="Times New Roman" w:cs="Times New Roman" w:eastAsia="Times New Roman" w:hint="default"/>
        </w:rPr>
        <w:t>2019-087</w:t>
      </w:r>
      <w:r>
        <w:rPr/>
        <w:t>）。</w:t>
      </w:r>
    </w:p>
    <w:p>
      <w:pPr>
        <w:spacing w:line="240" w:lineRule="auto" w:before="1"/>
        <w:rPr>
          <w:rFonts w:ascii="宋体" w:hAnsi="宋体" w:cs="宋体" w:eastAsia="宋体" w:hint="default"/>
          <w:sz w:val="19"/>
          <w:szCs w:val="19"/>
        </w:rPr>
      </w:pPr>
    </w:p>
    <w:p>
      <w:pPr>
        <w:pStyle w:val="Heading2"/>
        <w:spacing w:line="240" w:lineRule="auto"/>
        <w:ind w:right="0"/>
        <w:jc w:val="both"/>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both"/>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1"/>
        <w:rPr>
          <w:rFonts w:ascii="宋体" w:hAnsi="宋体" w:cs="宋体" w:eastAsia="宋体" w:hint="default"/>
          <w:b/>
          <w:bCs/>
          <w:sz w:val="26"/>
          <w:szCs w:val="26"/>
        </w:rPr>
      </w:pPr>
    </w:p>
    <w:p>
      <w:pPr>
        <w:pStyle w:val="BodyText"/>
        <w:spacing w:line="345" w:lineRule="auto"/>
        <w:ind w:right="7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一、</w:t>
      </w:r>
      <w:r>
        <w:rPr>
          <w:rFonts w:ascii="Times New Roman" w:hAnsi="Times New Roman" w:cs="Times New Roman" w:eastAsia="Times New Roman" w:hint="default"/>
        </w:rPr>
        <w:t>2017</w:t>
      </w:r>
      <w:r>
        <w:rPr/>
        <w:t>年股票期权与限制性股票激励计划</w:t>
      </w:r>
    </w:p>
    <w:p>
      <w:pPr>
        <w:pStyle w:val="BodyText"/>
        <w:spacing w:line="199" w:lineRule="exact"/>
        <w:ind w:right="0"/>
        <w:jc w:val="both"/>
      </w:pPr>
      <w:r>
        <w:rPr/>
        <w:t>（一）股票期权与限制性股票激励计划的实施</w:t>
      </w:r>
    </w:p>
    <w:p>
      <w:pPr>
        <w:pStyle w:val="BodyText"/>
        <w:spacing w:line="288" w:lineRule="auto" w:before="80"/>
        <w:ind w:right="1119"/>
        <w:jc w:val="left"/>
      </w:pPr>
      <w:r>
        <w:rPr/>
        <w:t>经公司</w:t>
      </w:r>
      <w:r>
        <w:rPr>
          <w:rFonts w:ascii="Times New Roman" w:hAnsi="Times New Roman" w:cs="Times New Roman" w:eastAsia="Times New Roman" w:hint="default"/>
        </w:rPr>
        <w:t>2017</w:t>
      </w:r>
      <w:r>
        <w:rPr/>
        <w:t>年第二次临时股东大会审议批准，公司实施了股票期权与限制性股票激励计划，并于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日完成了股票</w:t>
      </w:r>
      <w:r>
        <w:rPr>
          <w:spacing w:val="-82"/>
        </w:rPr>
        <w:t> </w:t>
      </w:r>
      <w:r>
        <w:rPr/>
        <w:t>期权的授予登记和限制性股票的上市工作，具体情况如下：</w:t>
      </w:r>
    </w:p>
    <w:p>
      <w:pPr>
        <w:pStyle w:val="BodyText"/>
        <w:spacing w:line="240" w:lineRule="auto" w:before="59"/>
        <w:ind w:right="0"/>
        <w:jc w:val="both"/>
      </w:pPr>
      <w:r>
        <w:rPr>
          <w:rFonts w:ascii="Times New Roman" w:hAnsi="Times New Roman" w:cs="Times New Roman" w:eastAsia="Times New Roman" w:hint="default"/>
        </w:rPr>
        <w:t>1</w:t>
      </w:r>
      <w:r>
        <w:rPr/>
        <w:t>、股票期权的授予情况</w:t>
      </w:r>
    </w:p>
    <w:p>
      <w:pPr>
        <w:pStyle w:val="BodyText"/>
        <w:spacing w:line="240" w:lineRule="auto" w:before="66"/>
        <w:ind w:right="0"/>
        <w:jc w:val="both"/>
      </w:pPr>
      <w:r>
        <w:rPr/>
        <w:t>（</w:t>
      </w:r>
      <w:r>
        <w:rPr>
          <w:rFonts w:ascii="Times New Roman" w:hAnsi="Times New Roman" w:cs="Times New Roman" w:eastAsia="Times New Roman" w:hint="default"/>
        </w:rPr>
        <w:t>1</w:t>
      </w:r>
      <w:r>
        <w:rPr/>
        <w:t>）期权代码：</w:t>
      </w:r>
      <w:r>
        <w:rPr>
          <w:rFonts w:ascii="Times New Roman" w:hAnsi="Times New Roman" w:cs="Times New Roman" w:eastAsia="Times New Roman" w:hint="default"/>
        </w:rPr>
        <w:t>037758</w:t>
      </w:r>
      <w:r>
        <w:rPr/>
        <w:t>；</w:t>
      </w:r>
    </w:p>
    <w:p>
      <w:pPr>
        <w:pStyle w:val="BodyText"/>
        <w:spacing w:line="240" w:lineRule="auto" w:before="66"/>
        <w:ind w:right="0"/>
        <w:jc w:val="both"/>
      </w:pPr>
      <w:r>
        <w:rPr/>
        <w:t>（</w:t>
      </w:r>
      <w:r>
        <w:rPr>
          <w:rFonts w:ascii="Times New Roman" w:hAnsi="Times New Roman" w:cs="Times New Roman" w:eastAsia="Times New Roman" w:hint="default"/>
        </w:rPr>
        <w:t>2</w:t>
      </w:r>
      <w:r>
        <w:rPr/>
        <w:t>）期权简称：卓翼</w:t>
      </w:r>
      <w:r>
        <w:rPr>
          <w:rFonts w:ascii="Times New Roman" w:hAnsi="Times New Roman" w:cs="Times New Roman" w:eastAsia="Times New Roman" w:hint="default"/>
        </w:rPr>
        <w:t>JLC1</w:t>
      </w:r>
      <w:r>
        <w:rPr/>
        <w:t>；</w:t>
      </w:r>
    </w:p>
    <w:p>
      <w:pPr>
        <w:pStyle w:val="BodyText"/>
        <w:spacing w:line="240" w:lineRule="auto" w:before="51"/>
        <w:ind w:right="0"/>
        <w:jc w:val="both"/>
      </w:pPr>
      <w:r>
        <w:rPr/>
        <w:t>（</w:t>
      </w:r>
      <w:r>
        <w:rPr>
          <w:rFonts w:ascii="Times New Roman" w:hAnsi="Times New Roman" w:cs="Times New Roman" w:eastAsia="Times New Roman" w:hint="default"/>
        </w:rPr>
        <w:t>3</w:t>
      </w:r>
      <w:r>
        <w:rPr/>
        <w:t>）授予日：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w:t>
      </w:r>
    </w:p>
    <w:p>
      <w:pPr>
        <w:pStyle w:val="BodyText"/>
        <w:spacing w:line="240" w:lineRule="auto" w:before="66"/>
        <w:ind w:right="0"/>
        <w:jc w:val="both"/>
      </w:pPr>
      <w:r>
        <w:rPr/>
        <w:t>（</w:t>
      </w:r>
      <w:r>
        <w:rPr>
          <w:rFonts w:ascii="Times New Roman" w:hAnsi="Times New Roman" w:cs="Times New Roman" w:eastAsia="Times New Roman" w:hint="default"/>
        </w:rPr>
        <w:t>4</w:t>
      </w:r>
      <w:r>
        <w:rPr/>
        <w:t>）授予股票期权登记完成时间：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w:t>
      </w:r>
    </w:p>
    <w:p>
      <w:pPr>
        <w:pStyle w:val="BodyText"/>
        <w:spacing w:line="240" w:lineRule="auto" w:before="66"/>
        <w:ind w:right="0"/>
        <w:jc w:val="both"/>
      </w:pPr>
      <w:r>
        <w:rPr/>
        <w:t>（</w:t>
      </w:r>
      <w:r>
        <w:rPr>
          <w:rFonts w:ascii="Times New Roman" w:hAnsi="Times New Roman" w:cs="Times New Roman" w:eastAsia="Times New Roman" w:hint="default"/>
        </w:rPr>
        <w:t>5</w:t>
      </w:r>
      <w:r>
        <w:rPr/>
        <w:t>）股票来源：股票期权激励计划的股票来源为公司向激励对象定向发行公司 </w:t>
      </w: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股普通股；</w:t>
      </w:r>
    </w:p>
    <w:p>
      <w:pPr>
        <w:pStyle w:val="BodyText"/>
        <w:spacing w:line="240" w:lineRule="auto" w:before="66"/>
        <w:ind w:right="0"/>
        <w:jc w:val="both"/>
      </w:pPr>
      <w:r>
        <w:rPr/>
        <w:t>（</w:t>
      </w:r>
      <w:r>
        <w:rPr>
          <w:rFonts w:ascii="Times New Roman" w:hAnsi="Times New Roman" w:cs="Times New Roman" w:eastAsia="Times New Roman" w:hint="default"/>
        </w:rPr>
        <w:t>6</w:t>
      </w:r>
      <w:r>
        <w:rPr/>
        <w:t>）行权价格：股票期权的行权价格为每份</w:t>
      </w:r>
      <w:r>
        <w:rPr>
          <w:rFonts w:ascii="Times New Roman" w:hAnsi="Times New Roman" w:cs="Times New Roman" w:eastAsia="Times New Roman" w:hint="default"/>
        </w:rPr>
        <w:t>8.85</w:t>
      </w:r>
      <w:r>
        <w:rPr/>
        <w:t>元；</w:t>
      </w:r>
    </w:p>
    <w:p>
      <w:pPr>
        <w:pStyle w:val="BodyText"/>
        <w:spacing w:line="240" w:lineRule="auto" w:before="66"/>
        <w:ind w:right="0"/>
        <w:jc w:val="both"/>
      </w:pPr>
      <w:r>
        <w:rPr/>
        <w:t>（</w:t>
      </w:r>
      <w:r>
        <w:rPr>
          <w:rFonts w:ascii="Times New Roman" w:hAnsi="Times New Roman" w:cs="Times New Roman" w:eastAsia="Times New Roman" w:hint="default"/>
        </w:rPr>
        <w:t>7</w:t>
      </w:r>
      <w:r>
        <w:rPr/>
        <w:t>）授予数量：股票期权激励计划的激励对象为</w:t>
      </w:r>
      <w:r>
        <w:rPr>
          <w:rFonts w:ascii="Times New Roman" w:hAnsi="Times New Roman" w:cs="Times New Roman" w:eastAsia="Times New Roman" w:hint="default"/>
        </w:rPr>
        <w:t>148</w:t>
      </w:r>
      <w:r>
        <w:rPr/>
        <w:t>人，共授予</w:t>
      </w:r>
      <w:r>
        <w:rPr>
          <w:rFonts w:ascii="Times New Roman" w:hAnsi="Times New Roman" w:cs="Times New Roman" w:eastAsia="Times New Roman" w:hint="default"/>
        </w:rPr>
        <w:t>1151.7</w:t>
      </w:r>
      <w:r>
        <w:rPr/>
        <w:t>万份股票期权；</w:t>
      </w:r>
    </w:p>
    <w:p>
      <w:pPr>
        <w:pStyle w:val="BodyText"/>
        <w:spacing w:line="304" w:lineRule="auto" w:before="51"/>
        <w:ind w:right="1119"/>
        <w:jc w:val="left"/>
      </w:pPr>
      <w:r>
        <w:rPr/>
        <w:t>（</w:t>
      </w:r>
      <w:r>
        <w:rPr>
          <w:rFonts w:ascii="Times New Roman" w:hAnsi="Times New Roman" w:cs="Times New Roman" w:eastAsia="Times New Roman" w:hint="default"/>
        </w:rPr>
        <w:t>8</w:t>
      </w:r>
      <w:r>
        <w:rPr/>
        <w:t>）行权安排：本次激励计划授予的股票期权有效期为</w:t>
      </w:r>
      <w:r>
        <w:rPr>
          <w:rFonts w:ascii="Times New Roman" w:hAnsi="Times New Roman" w:cs="Times New Roman" w:eastAsia="Times New Roman" w:hint="default"/>
        </w:rPr>
        <w:t>48</w:t>
      </w:r>
      <w:r>
        <w:rPr/>
        <w:t>个月，等待期为股票期权授予登记完成之日起</w:t>
      </w:r>
      <w:r>
        <w:rPr>
          <w:rFonts w:ascii="Times New Roman" w:hAnsi="Times New Roman" w:cs="Times New Roman" w:eastAsia="Times New Roman" w:hint="default"/>
        </w:rPr>
        <w:t>12</w:t>
      </w:r>
      <w:r>
        <w:rPr/>
        <w:t>个月，等待期满</w:t>
      </w:r>
      <w:r>
        <w:rPr>
          <w:spacing w:val="-81"/>
        </w:rPr>
        <w:t> </w:t>
      </w:r>
      <w:r>
        <w:rPr/>
        <w:t>后分</w:t>
      </w:r>
      <w:r>
        <w:rPr>
          <w:rFonts w:ascii="Times New Roman" w:hAnsi="Times New Roman" w:cs="Times New Roman" w:eastAsia="Times New Roman" w:hint="default"/>
        </w:rPr>
        <w:t>3</w:t>
      </w:r>
      <w:r>
        <w:rPr/>
        <w:t>期行权。</w:t>
      </w:r>
    </w:p>
    <w:p>
      <w:pPr>
        <w:pStyle w:val="BodyText"/>
        <w:spacing w:line="240" w:lineRule="auto" w:before="12"/>
        <w:ind w:right="0"/>
        <w:jc w:val="both"/>
      </w:pPr>
      <w:r>
        <w:rPr>
          <w:rFonts w:ascii="Times New Roman" w:hAnsi="Times New Roman" w:cs="Times New Roman" w:eastAsia="Times New Roman" w:hint="default"/>
        </w:rPr>
        <w:t>2</w:t>
      </w:r>
      <w:r>
        <w:rPr/>
        <w:t>、限制性股票的授予情况</w:t>
      </w:r>
    </w:p>
    <w:p>
      <w:pPr>
        <w:pStyle w:val="BodyText"/>
        <w:spacing w:line="240" w:lineRule="auto" w:before="66"/>
        <w:ind w:right="0"/>
        <w:jc w:val="both"/>
      </w:pPr>
      <w:r>
        <w:rPr/>
        <w:t>（</w:t>
      </w:r>
      <w:r>
        <w:rPr>
          <w:rFonts w:ascii="Times New Roman" w:hAnsi="Times New Roman" w:cs="Times New Roman" w:eastAsia="Times New Roman" w:hint="default"/>
        </w:rPr>
        <w:t>1</w:t>
      </w:r>
      <w:r>
        <w:rPr/>
        <w:t>）授予日：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w:t>
      </w:r>
    </w:p>
    <w:p>
      <w:pPr>
        <w:pStyle w:val="BodyText"/>
        <w:spacing w:line="240" w:lineRule="auto" w:before="66"/>
        <w:ind w:right="0"/>
        <w:jc w:val="both"/>
      </w:pPr>
      <w:r>
        <w:rPr/>
        <w:t>（</w:t>
      </w:r>
      <w:r>
        <w:rPr>
          <w:rFonts w:ascii="Times New Roman" w:hAnsi="Times New Roman" w:cs="Times New Roman" w:eastAsia="Times New Roman" w:hint="default"/>
        </w:rPr>
        <w:t>2</w:t>
      </w:r>
      <w:r>
        <w:rPr/>
        <w:t>）上市日：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w:t>
      </w:r>
    </w:p>
    <w:p>
      <w:pPr>
        <w:pStyle w:val="BodyText"/>
        <w:spacing w:line="240" w:lineRule="auto" w:before="51"/>
        <w:ind w:right="0"/>
        <w:jc w:val="both"/>
      </w:pPr>
      <w:r>
        <w:rPr/>
        <w:t>（</w:t>
      </w:r>
      <w:r>
        <w:rPr>
          <w:rFonts w:ascii="Times New Roman" w:hAnsi="Times New Roman" w:cs="Times New Roman" w:eastAsia="Times New Roman" w:hint="default"/>
        </w:rPr>
        <w:t>3</w:t>
      </w:r>
      <w:r>
        <w:rPr/>
        <w:t>）股票来源：限制性股票激励计划涉及的标的股票来源为公司向激励对象定向发行公司 </w:t>
      </w:r>
      <w:r>
        <w:rPr>
          <w:rFonts w:ascii="Times New Roman" w:hAnsi="Times New Roman" w:cs="Times New Roman" w:eastAsia="Times New Roman" w:hint="default"/>
        </w:rPr>
        <w:t>A</w:t>
      </w:r>
      <w:r>
        <w:rPr>
          <w:rFonts w:ascii="Times New Roman" w:hAnsi="Times New Roman" w:cs="Times New Roman" w:eastAsia="Times New Roman" w:hint="default"/>
          <w:spacing w:val="28"/>
        </w:rPr>
        <w:t> </w:t>
      </w:r>
      <w:r>
        <w:rPr/>
        <w:t>股普通股；</w:t>
      </w:r>
    </w:p>
    <w:p>
      <w:pPr>
        <w:pStyle w:val="BodyText"/>
        <w:spacing w:line="240" w:lineRule="auto" w:before="66"/>
        <w:ind w:right="0"/>
        <w:jc w:val="both"/>
      </w:pPr>
      <w:r>
        <w:rPr/>
        <w:t>（</w:t>
      </w:r>
      <w:r>
        <w:rPr>
          <w:rFonts w:ascii="Times New Roman" w:hAnsi="Times New Roman" w:cs="Times New Roman" w:eastAsia="Times New Roman" w:hint="default"/>
        </w:rPr>
        <w:t>4</w:t>
      </w:r>
      <w:r>
        <w:rPr/>
        <w:t>）授予价格：限制性股票的授予价格为每股</w:t>
      </w:r>
      <w:r>
        <w:rPr>
          <w:rFonts w:ascii="Times New Roman" w:hAnsi="Times New Roman" w:cs="Times New Roman" w:eastAsia="Times New Roman" w:hint="default"/>
        </w:rPr>
        <w:t>4.43</w:t>
      </w:r>
      <w:r>
        <w:rPr/>
        <w:t>元；</w:t>
      </w:r>
    </w:p>
    <w:p>
      <w:pPr>
        <w:pStyle w:val="BodyText"/>
        <w:spacing w:line="240" w:lineRule="auto" w:before="66"/>
        <w:ind w:right="0"/>
        <w:jc w:val="both"/>
      </w:pPr>
      <w:r>
        <w:rPr/>
        <w:t>（</w:t>
      </w:r>
      <w:r>
        <w:rPr>
          <w:rFonts w:ascii="Times New Roman" w:hAnsi="Times New Roman" w:cs="Times New Roman" w:eastAsia="Times New Roman" w:hint="default"/>
        </w:rPr>
        <w:t>5</w:t>
      </w:r>
      <w:r>
        <w:rPr/>
        <w:t>）授予数量：限制性股票激励计划的激励对象为</w:t>
      </w:r>
      <w:r>
        <w:rPr>
          <w:rFonts w:ascii="Times New Roman" w:hAnsi="Times New Roman" w:cs="Times New Roman" w:eastAsia="Times New Roman" w:hint="default"/>
        </w:rPr>
        <w:t>13</w:t>
      </w:r>
      <w:r>
        <w:rPr/>
        <w:t>人，授予数量为</w:t>
      </w:r>
      <w:r>
        <w:rPr>
          <w:rFonts w:ascii="Times New Roman" w:hAnsi="Times New Roman" w:cs="Times New Roman" w:eastAsia="Times New Roman" w:hint="default"/>
        </w:rPr>
        <w:t>427</w:t>
      </w:r>
      <w:r>
        <w:rPr/>
        <w:t>万股限制性股票；</w:t>
      </w:r>
    </w:p>
    <w:p>
      <w:pPr>
        <w:spacing w:after="0" w:line="240" w:lineRule="auto"/>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88" w:lineRule="auto" w:before="44"/>
        <w:ind w:right="1119"/>
        <w:jc w:val="left"/>
      </w:pPr>
      <w:r>
        <w:rPr/>
        <w:t>（</w:t>
      </w:r>
      <w:r>
        <w:rPr>
          <w:rFonts w:ascii="Times New Roman" w:hAnsi="Times New Roman" w:cs="Times New Roman" w:eastAsia="Times New Roman" w:hint="default"/>
        </w:rPr>
        <w:t>6</w:t>
      </w:r>
      <w:r>
        <w:rPr/>
        <w:t>）解除限售安排：本次激励计划授予限制性股票锁定期为限制性股票授予登记完成之日起</w:t>
      </w:r>
      <w:r>
        <w:rPr>
          <w:rFonts w:ascii="Times New Roman" w:hAnsi="Times New Roman" w:cs="Times New Roman" w:eastAsia="Times New Roman" w:hint="default"/>
        </w:rPr>
        <w:t>12</w:t>
      </w:r>
      <w:r>
        <w:rPr/>
        <w:t>个月，锁定期满后分三批解</w:t>
      </w:r>
      <w:r>
        <w:rPr>
          <w:spacing w:val="-82"/>
        </w:rPr>
        <w:t> </w:t>
      </w:r>
      <w:r>
        <w:rPr/>
        <w:t>锁。</w:t>
      </w:r>
    </w:p>
    <w:p>
      <w:pPr>
        <w:pStyle w:val="BodyText"/>
        <w:spacing w:line="295" w:lineRule="auto" w:before="59"/>
        <w:ind w:right="1026"/>
        <w:jc w:val="both"/>
      </w:pPr>
      <w:r>
        <w:rPr/>
        <w:t>具体内容详见《深圳市卓翼科技股份有限公司</w:t>
      </w:r>
      <w:r>
        <w:rPr>
          <w:rFonts w:ascii="Times New Roman" w:hAnsi="Times New Roman" w:cs="Times New Roman" w:eastAsia="Times New Roman" w:hint="default"/>
        </w:rPr>
        <w:t>2017</w:t>
      </w:r>
      <w:r>
        <w:rPr/>
        <w:t>年股票期权与限制性股票激励计划（草案）》、《关于调整</w:t>
      </w:r>
      <w:r>
        <w:rPr>
          <w:rFonts w:ascii="Times New Roman" w:hAnsi="Times New Roman" w:cs="Times New Roman" w:eastAsia="Times New Roman" w:hint="default"/>
        </w:rPr>
        <w:t>2017</w:t>
      </w:r>
      <w:r>
        <w:rPr>
          <w:rFonts w:ascii="Times New Roman" w:hAnsi="Times New Roman" w:cs="Times New Roman" w:eastAsia="Times New Roman" w:hint="default"/>
          <w:spacing w:val="34"/>
        </w:rPr>
        <w:t> </w:t>
      </w:r>
      <w:r>
        <w:rPr/>
        <w:t>年股票</w:t>
      </w:r>
      <w:r>
        <w:rPr>
          <w:spacing w:val="-85"/>
        </w:rPr>
        <w:t> </w:t>
      </w:r>
      <w:r>
        <w:rPr/>
        <w:t>期权与限制性股票激励计划激励对象名单及授予数量的公告》、《关于向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年股票期权与限制性股票激励计划激励对象 </w:t>
      </w:r>
      <w:r>
        <w:rPr>
          <w:spacing w:val="-2"/>
        </w:rPr>
        <w:t>授予股票期权与限制性股票的公告》、《关于</w:t>
      </w:r>
      <w:r>
        <w:rPr>
          <w:rFonts w:ascii="Times New Roman" w:hAnsi="Times New Roman" w:cs="Times New Roman" w:eastAsia="Times New Roman" w:hint="default"/>
          <w:spacing w:val="-2"/>
        </w:rPr>
        <w:t>2017</w:t>
      </w:r>
      <w:r>
        <w:rPr>
          <w:rFonts w:ascii="Times New Roman" w:hAnsi="Times New Roman" w:cs="Times New Roman" w:eastAsia="Times New Roman" w:hint="default"/>
        </w:rPr>
        <w:t> </w:t>
      </w:r>
      <w:r>
        <w:rPr>
          <w:rFonts w:ascii="Times New Roman" w:hAnsi="Times New Roman" w:cs="Times New Roman" w:eastAsia="Times New Roman" w:hint="default"/>
          <w:spacing w:val="8"/>
        </w:rPr>
        <w:t> </w:t>
      </w:r>
      <w:r>
        <w:rPr>
          <w:spacing w:val="-1"/>
        </w:rPr>
        <w:t>年股票期权与限制性股票激励计划之限制性股票授予登记完成的公告》、</w:t>
      </w:r>
    </w:p>
    <w:p>
      <w:pPr>
        <w:pStyle w:val="BodyText"/>
        <w:spacing w:line="240" w:lineRule="auto" w:before="20"/>
        <w:ind w:right="0"/>
        <w:jc w:val="left"/>
      </w:pPr>
      <w:r>
        <w:rPr/>
        <w:t>《关于</w:t>
      </w:r>
      <w:r>
        <w:rPr>
          <w:rFonts w:ascii="Times New Roman" w:hAnsi="Times New Roman" w:cs="Times New Roman" w:eastAsia="Times New Roman" w:hint="default"/>
        </w:rPr>
        <w:t>2017</w:t>
      </w:r>
      <w:r>
        <w:rPr/>
        <w:t>年股票期权与限制性股票激励计划之股票期权授予登记完成的公告》，分别刊登于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p>
    <w:p>
      <w:pPr>
        <w:pStyle w:val="BodyText"/>
        <w:spacing w:line="240" w:lineRule="auto" w:before="66"/>
        <w:ind w:right="0"/>
        <w:jc w:val="left"/>
      </w:pPr>
      <w:r>
        <w:rPr>
          <w:rFonts w:ascii="Times New Roman" w:hAnsi="Times New Roman" w:cs="Times New Roman" w:eastAsia="Times New Roman" w:hint="default"/>
        </w:rPr>
        <w:t>26</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日的《证券时报》、《中国证券报》及巨潮资讯网（</w:t>
      </w:r>
      <w:r>
        <w:rPr>
          <w:rFonts w:ascii="Times New Roman" w:hAnsi="Times New Roman" w:cs="Times New Roman" w:eastAsia="Times New Roman" w:hint="default"/>
        </w:rPr>
        <w:t>htpp://</w:t>
      </w:r>
      <w:hyperlink r:id="rId11">
        <w:r>
          <w:rPr>
            <w:rFonts w:ascii="Times New Roman" w:hAnsi="Times New Roman" w:cs="Times New Roman" w:eastAsia="Times New Roman" w:hint="default"/>
          </w:rPr>
          <w:t>www.cninfo.com.cn</w:t>
        </w:r>
      </w:hyperlink>
      <w:r>
        <w:rPr/>
        <w:t>）。</w:t>
      </w:r>
    </w:p>
    <w:p>
      <w:pPr>
        <w:pStyle w:val="BodyText"/>
        <w:spacing w:line="309" w:lineRule="auto" w:before="51"/>
        <w:ind w:right="0"/>
        <w:jc w:val="left"/>
      </w:pPr>
      <w:r>
        <w:rPr/>
        <w:t>（二）注销部分股票期权及回购注销部分限制性股票的情况 经公司第四届董事会第二十次会议及第四届监事会第十五次会议审议，并经</w:t>
      </w:r>
      <w:r>
        <w:rPr>
          <w:rFonts w:ascii="Times New Roman" w:hAnsi="Times New Roman" w:cs="Times New Roman" w:eastAsia="Times New Roman" w:hint="default"/>
        </w:rPr>
        <w:t>2017</w:t>
      </w:r>
      <w:r>
        <w:rPr/>
        <w:t>年度股东大会批准，同意根据公司《</w:t>
      </w:r>
      <w:r>
        <w:rPr>
          <w:rFonts w:ascii="Times New Roman" w:hAnsi="Times New Roman" w:cs="Times New Roman" w:eastAsia="Times New Roman" w:hint="default"/>
        </w:rPr>
        <w:t>2017</w:t>
      </w:r>
      <w:r>
        <w:rPr>
          <w:rFonts w:ascii="Times New Roman" w:hAnsi="Times New Roman" w:cs="Times New Roman" w:eastAsia="Times New Roman" w:hint="default"/>
          <w:spacing w:val="-35"/>
        </w:rPr>
        <w:t> </w:t>
      </w:r>
      <w:r>
        <w:rPr>
          <w:spacing w:val="-2"/>
        </w:rPr>
        <w:t>年股票期权与限制性股票激励计划（草案）》的相关规定，注销部分股票期权及回购注销部分限制性股票，并依法办理注销</w:t>
      </w:r>
      <w:r>
        <w:rPr>
          <w:spacing w:val="-57"/>
        </w:rPr>
        <w:t> </w:t>
      </w:r>
      <w:r>
        <w:rPr>
          <w:spacing w:val="-57"/>
        </w:rPr>
      </w:r>
      <w:r>
        <w:rPr/>
        <w:t>手续，具体情况如下：</w:t>
      </w:r>
    </w:p>
    <w:p>
      <w:pPr>
        <w:pStyle w:val="BodyText"/>
        <w:spacing w:line="240" w:lineRule="auto" w:before="42"/>
        <w:ind w:left="216" w:right="0"/>
        <w:jc w:val="left"/>
      </w:pPr>
      <w:r>
        <w:rPr>
          <w:rFonts w:ascii="Times New Roman" w:hAnsi="Times New Roman" w:cs="Times New Roman" w:eastAsia="Times New Roman" w:hint="default"/>
        </w:rPr>
        <w:t>1</w:t>
      </w:r>
      <w:r>
        <w:rPr/>
        <w:t>、回购原因</w:t>
      </w:r>
    </w:p>
    <w:p>
      <w:pPr>
        <w:pStyle w:val="BodyText"/>
        <w:spacing w:line="300" w:lineRule="auto" w:before="66"/>
        <w:ind w:right="1104"/>
        <w:jc w:val="left"/>
      </w:pPr>
      <w:r>
        <w:rPr/>
        <w:t>（</w:t>
      </w:r>
      <w:r>
        <w:rPr>
          <w:rFonts w:ascii="Times New Roman" w:hAnsi="Times New Roman" w:cs="Times New Roman" w:eastAsia="Times New Roman" w:hint="default"/>
        </w:rPr>
        <w:t>1</w:t>
      </w:r>
      <w:r>
        <w:rPr/>
        <w:t>）业绩未达标 根据《股权激励计划（草案）》，第一期行权</w:t>
      </w:r>
      <w:r>
        <w:rPr>
          <w:rFonts w:ascii="Times New Roman" w:hAnsi="Times New Roman" w:cs="Times New Roman" w:eastAsia="Times New Roman" w:hint="default"/>
        </w:rPr>
        <w:t>/</w:t>
      </w:r>
      <w:r>
        <w:rPr/>
        <w:t>解锁条件为：与</w:t>
      </w:r>
      <w:r>
        <w:rPr>
          <w:rFonts w:ascii="Times New Roman" w:hAnsi="Times New Roman" w:cs="Times New Roman" w:eastAsia="Times New Roman" w:hint="default"/>
        </w:rPr>
        <w:t>2016</w:t>
      </w:r>
      <w:r>
        <w:rPr/>
        <w:t>年归属于母公司股东的净利润为基数相比，</w:t>
      </w:r>
      <w:r>
        <w:rPr>
          <w:rFonts w:ascii="Times New Roman" w:hAnsi="Times New Roman" w:cs="Times New Roman" w:eastAsia="Times New Roman" w:hint="default"/>
        </w:rPr>
        <w:t>2017</w:t>
      </w:r>
      <w:r>
        <w:rPr/>
        <w:t>年剔除</w:t>
      </w:r>
      <w:r>
        <w:rPr>
          <w:spacing w:val="-87"/>
        </w:rPr>
        <w:t> </w:t>
      </w:r>
      <w:r>
        <w:rPr/>
        <w:t>股权激励影响后归属于母公司股东的净利润的增长率不低于</w:t>
      </w:r>
      <w:r>
        <w:rPr>
          <w:rFonts w:ascii="Times New Roman" w:hAnsi="Times New Roman" w:cs="Times New Roman" w:eastAsia="Times New Roman" w:hint="default"/>
        </w:rPr>
        <w:t>108.33%</w:t>
      </w:r>
      <w:r>
        <w:rPr/>
        <w:t>。根据亚太（集团）会计师事务所（特殊普通合伙）出</w:t>
      </w:r>
      <w:r>
        <w:rPr>
          <w:spacing w:val="-84"/>
        </w:rPr>
        <w:t> </w:t>
      </w:r>
      <w:r>
        <w:rPr>
          <w:spacing w:val="-1"/>
        </w:rPr>
        <w:t>具的亚会</w:t>
      </w:r>
      <w:r>
        <w:rPr>
          <w:rFonts w:ascii="Times New Roman" w:hAnsi="Times New Roman" w:cs="Times New Roman" w:eastAsia="Times New Roman" w:hint="default"/>
          <w:spacing w:val="-1"/>
        </w:rPr>
        <w:t>A</w:t>
      </w:r>
      <w:r>
        <w:rPr>
          <w:spacing w:val="-1"/>
        </w:rPr>
        <w:t>审字</w:t>
      </w:r>
      <w:r>
        <w:rPr>
          <w:rFonts w:ascii="Times New Roman" w:hAnsi="Times New Roman" w:cs="Times New Roman" w:eastAsia="Times New Roman" w:hint="default"/>
          <w:spacing w:val="-1"/>
        </w:rPr>
        <w:t>[2018]0115</w:t>
      </w:r>
      <w:r>
        <w:rPr>
          <w:spacing w:val="-1"/>
        </w:rPr>
        <w:t>号《审计报告》，</w:t>
      </w:r>
      <w:r>
        <w:rPr>
          <w:rFonts w:ascii="Times New Roman" w:hAnsi="Times New Roman" w:cs="Times New Roman" w:eastAsia="Times New Roman" w:hint="default"/>
          <w:spacing w:val="-1"/>
        </w:rPr>
        <w:t>2017</w:t>
      </w:r>
      <w:r>
        <w:rPr>
          <w:spacing w:val="-1"/>
        </w:rPr>
        <w:t>年剔除股权激励影响后归属于母公司股东的净利润为</w:t>
      </w:r>
      <w:r>
        <w:rPr>
          <w:rFonts w:ascii="Times New Roman" w:hAnsi="Times New Roman" w:cs="Times New Roman" w:eastAsia="Times New Roman" w:hint="default"/>
          <w:spacing w:val="-1"/>
        </w:rPr>
        <w:t>2,471.71</w:t>
      </w:r>
      <w:r>
        <w:rPr>
          <w:spacing w:val="-1"/>
        </w:rPr>
        <w:t>万元，较</w:t>
      </w:r>
      <w:r>
        <w:rPr>
          <w:rFonts w:ascii="Times New Roman" w:hAnsi="Times New Roman" w:cs="Times New Roman" w:eastAsia="Times New Roman" w:hint="default"/>
          <w:spacing w:val="-1"/>
        </w:rPr>
        <w:t>2016</w:t>
      </w:r>
      <w:r>
        <w:rPr>
          <w:rFonts w:ascii="Times New Roman" w:hAnsi="Times New Roman" w:cs="Times New Roman" w:eastAsia="Times New Roman" w:hint="default"/>
          <w:spacing w:val="-26"/>
        </w:rPr>
        <w:t> </w:t>
      </w:r>
      <w:r>
        <w:rPr/>
        <w:t>年度增长率为</w:t>
      </w:r>
      <w:r>
        <w:rPr>
          <w:rFonts w:ascii="Times New Roman" w:hAnsi="Times New Roman" w:cs="Times New Roman" w:eastAsia="Times New Roman" w:hint="default"/>
        </w:rPr>
        <w:t>46.95%</w:t>
      </w:r>
      <w:r>
        <w:rPr/>
        <w:t>，未达到股权激励计划规定的第一期行权</w:t>
      </w:r>
      <w:r>
        <w:rPr>
          <w:rFonts w:ascii="Times New Roman" w:hAnsi="Times New Roman" w:cs="Times New Roman" w:eastAsia="Times New Roman" w:hint="default"/>
        </w:rPr>
        <w:t>/</w:t>
      </w:r>
      <w:r>
        <w:rPr/>
        <w:t>解锁条件。根据公司股权激励计划，公司应将获授股票期权 及限制性股票总额的各</w:t>
      </w:r>
      <w:r>
        <w:rPr>
          <w:rFonts w:ascii="Times New Roman" w:hAnsi="Times New Roman" w:cs="Times New Roman" w:eastAsia="Times New Roman" w:hint="default"/>
        </w:rPr>
        <w:t>25%</w:t>
      </w:r>
      <w:r>
        <w:rPr/>
        <w:t>进行注销</w:t>
      </w:r>
      <w:r>
        <w:rPr>
          <w:rFonts w:ascii="Times New Roman" w:hAnsi="Times New Roman" w:cs="Times New Roman" w:eastAsia="Times New Roman" w:hint="default"/>
        </w:rPr>
        <w:t>/</w:t>
      </w:r>
      <w:r>
        <w:rPr/>
        <w:t>回购注销。</w:t>
      </w:r>
    </w:p>
    <w:p>
      <w:pPr>
        <w:pStyle w:val="BodyText"/>
        <w:spacing w:line="295" w:lineRule="auto" w:before="1"/>
        <w:ind w:right="1119"/>
        <w:jc w:val="left"/>
      </w:pPr>
      <w:r>
        <w:rPr/>
        <w:t>（</w:t>
      </w:r>
      <w:r>
        <w:rPr>
          <w:rFonts w:ascii="Times New Roman" w:hAnsi="Times New Roman" w:cs="Times New Roman" w:eastAsia="Times New Roman" w:hint="default"/>
        </w:rPr>
        <w:t>2</w:t>
      </w:r>
      <w:r>
        <w:rPr/>
        <w:t>）激励对象不再符合公司激励条件 原激励对象黄杰等</w:t>
      </w:r>
      <w:r>
        <w:rPr>
          <w:rFonts w:ascii="Times New Roman" w:hAnsi="Times New Roman" w:cs="Times New Roman" w:eastAsia="Times New Roman" w:hint="default"/>
        </w:rPr>
        <w:t>6</w:t>
      </w:r>
      <w:r>
        <w:rPr/>
        <w:t>人因离职等原因已不符合激励条件，公司将按照《股权激励计划（草案）》对应条款规定，对上述人员 尚未行权的股票期权进行注销。</w:t>
      </w:r>
    </w:p>
    <w:p>
      <w:pPr>
        <w:pStyle w:val="BodyText"/>
        <w:spacing w:line="300" w:lineRule="auto" w:before="53"/>
        <w:ind w:right="1114"/>
        <w:jc w:val="left"/>
      </w:pPr>
      <w:r>
        <w:rPr>
          <w:rFonts w:ascii="Times New Roman" w:hAnsi="Times New Roman" w:cs="Times New Roman" w:eastAsia="Times New Roman" w:hint="default"/>
        </w:rPr>
        <w:t>2</w:t>
      </w:r>
      <w:r>
        <w:rPr/>
        <w:t>、注销</w:t>
      </w:r>
      <w:r>
        <w:rPr>
          <w:rFonts w:ascii="Times New Roman" w:hAnsi="Times New Roman" w:cs="Times New Roman" w:eastAsia="Times New Roman" w:hint="default"/>
        </w:rPr>
        <w:t>/</w:t>
      </w:r>
      <w:r>
        <w:rPr/>
        <w:t>回购注销数量 此次注销</w:t>
      </w:r>
      <w:r>
        <w:rPr>
          <w:rFonts w:ascii="Times New Roman" w:hAnsi="Times New Roman" w:cs="Times New Roman" w:eastAsia="Times New Roman" w:hint="default"/>
        </w:rPr>
        <w:t>/</w:t>
      </w:r>
      <w:r>
        <w:rPr/>
        <w:t>回购注销的数量：原激励对象黄杰等</w:t>
      </w:r>
      <w:r>
        <w:rPr>
          <w:rFonts w:ascii="Times New Roman" w:hAnsi="Times New Roman" w:cs="Times New Roman" w:eastAsia="Times New Roman" w:hint="default"/>
        </w:rPr>
        <w:t>6</w:t>
      </w:r>
      <w:r>
        <w:rPr/>
        <w:t>人因离职等原因已不符合激励条件，对前述人员尚未行权的</w:t>
      </w:r>
      <w:r>
        <w:rPr>
          <w:rFonts w:ascii="Times New Roman" w:hAnsi="Times New Roman" w:cs="Times New Roman" w:eastAsia="Times New Roman" w:hint="default"/>
        </w:rPr>
        <w:t>24.4</w:t>
      </w:r>
      <w:r>
        <w:rPr/>
        <w:t>万份股票期</w:t>
      </w:r>
      <w:r>
        <w:rPr>
          <w:spacing w:val="-85"/>
        </w:rPr>
        <w:t> </w:t>
      </w:r>
      <w:r>
        <w:rPr>
          <w:spacing w:val="-2"/>
        </w:rPr>
        <w:t>权进行注销。其余激励对象因公司</w:t>
      </w:r>
      <w:r>
        <w:rPr>
          <w:rFonts w:ascii="Times New Roman" w:hAnsi="Times New Roman" w:cs="Times New Roman" w:eastAsia="Times New Roman" w:hint="default"/>
          <w:spacing w:val="-2"/>
        </w:rPr>
        <w:t>2017</w:t>
      </w:r>
      <w:r>
        <w:rPr>
          <w:spacing w:val="-2"/>
        </w:rPr>
        <w:t>年度业绩未达到第一期行权</w:t>
      </w:r>
      <w:r>
        <w:rPr>
          <w:rFonts w:ascii="Times New Roman" w:hAnsi="Times New Roman" w:cs="Times New Roman" w:eastAsia="Times New Roman" w:hint="default"/>
          <w:spacing w:val="-2"/>
        </w:rPr>
        <w:t>/</w:t>
      </w:r>
      <w:r>
        <w:rPr>
          <w:spacing w:val="-2"/>
        </w:rPr>
        <w:t>解锁条件，对其尚未行权</w:t>
      </w:r>
      <w:r>
        <w:rPr>
          <w:spacing w:val="-45"/>
        </w:rPr>
        <w:t> </w:t>
      </w:r>
      <w:r>
        <w:rPr>
          <w:rFonts w:ascii="Times New Roman" w:hAnsi="Times New Roman" w:cs="Times New Roman" w:eastAsia="Times New Roman" w:hint="default"/>
          <w:spacing w:val="-1"/>
        </w:rPr>
        <w:t>/</w:t>
      </w:r>
      <w:r>
        <w:rPr>
          <w:spacing w:val="-1"/>
        </w:rPr>
        <w:t>解锁的</w:t>
      </w:r>
      <w:r>
        <w:rPr>
          <w:rFonts w:ascii="Times New Roman" w:hAnsi="Times New Roman" w:cs="Times New Roman" w:eastAsia="Times New Roman" w:hint="default"/>
          <w:spacing w:val="-1"/>
        </w:rPr>
        <w:t>281.825</w:t>
      </w:r>
      <w:r>
        <w:rPr>
          <w:spacing w:val="-1"/>
        </w:rPr>
        <w:t>万份股票期权及</w:t>
      </w:r>
      <w:r>
        <w:rPr>
          <w:spacing w:val="-80"/>
        </w:rPr>
        <w:t> </w:t>
      </w:r>
      <w:r>
        <w:rPr>
          <w:rFonts w:ascii="Times New Roman" w:hAnsi="Times New Roman" w:cs="Times New Roman" w:eastAsia="Times New Roman" w:hint="default"/>
          <w:spacing w:val="-2"/>
        </w:rPr>
        <w:t>106.75</w:t>
      </w:r>
      <w:r>
        <w:rPr>
          <w:spacing w:val="-2"/>
        </w:rPr>
        <w:t>万股限制性股票进行注销</w:t>
      </w:r>
      <w:r>
        <w:rPr>
          <w:rFonts w:ascii="Times New Roman" w:hAnsi="Times New Roman" w:cs="Times New Roman" w:eastAsia="Times New Roman" w:hint="default"/>
          <w:spacing w:val="-2"/>
        </w:rPr>
        <w:t>/</w:t>
      </w:r>
      <w:r>
        <w:rPr>
          <w:spacing w:val="-2"/>
        </w:rPr>
        <w:t>回购注销。共计注销</w:t>
      </w:r>
      <w:r>
        <w:rPr>
          <w:rFonts w:ascii="Times New Roman" w:hAnsi="Times New Roman" w:cs="Times New Roman" w:eastAsia="Times New Roman" w:hint="default"/>
          <w:spacing w:val="-2"/>
        </w:rPr>
        <w:t>306.225</w:t>
      </w:r>
      <w:r>
        <w:rPr>
          <w:spacing w:val="-2"/>
        </w:rPr>
        <w:t>万份股票期权及</w:t>
      </w:r>
      <w:r>
        <w:rPr>
          <w:rFonts w:ascii="Times New Roman" w:hAnsi="Times New Roman" w:cs="Times New Roman" w:eastAsia="Times New Roman" w:hint="default"/>
          <w:spacing w:val="-2"/>
        </w:rPr>
        <w:t>106.75</w:t>
      </w:r>
      <w:r>
        <w:rPr>
          <w:spacing w:val="-2"/>
        </w:rPr>
        <w:t>万股限制性股票。其中，本次回购的限制</w:t>
      </w:r>
      <w:r>
        <w:rPr>
          <w:spacing w:val="-52"/>
        </w:rPr>
        <w:t> </w:t>
      </w:r>
      <w:r>
        <w:rPr>
          <w:spacing w:val="-52"/>
        </w:rPr>
      </w:r>
      <w:r>
        <w:rPr/>
        <w:t>性股票占公司总股本</w:t>
      </w:r>
      <w:r>
        <w:rPr>
          <w:rFonts w:ascii="Times New Roman" w:hAnsi="Times New Roman" w:cs="Times New Roman" w:eastAsia="Times New Roman" w:hint="default"/>
        </w:rPr>
        <w:t>581,039,204</w:t>
      </w:r>
      <w:r>
        <w:rPr/>
        <w:t>股的</w:t>
      </w:r>
      <w:r>
        <w:rPr>
          <w:rFonts w:ascii="Times New Roman" w:hAnsi="Times New Roman" w:cs="Times New Roman" w:eastAsia="Times New Roman" w:hint="default"/>
        </w:rPr>
        <w:t>0.1837%</w:t>
      </w:r>
      <w:r>
        <w:rPr/>
        <w:t>。</w:t>
      </w:r>
    </w:p>
    <w:p>
      <w:pPr>
        <w:pStyle w:val="BodyText"/>
        <w:spacing w:line="297" w:lineRule="auto" w:before="16"/>
        <w:ind w:right="2464"/>
        <w:jc w:val="left"/>
      </w:pPr>
      <w:r>
        <w:rPr>
          <w:rFonts w:ascii="Times New Roman" w:hAnsi="Times New Roman" w:cs="Times New Roman" w:eastAsia="Times New Roman" w:hint="default"/>
        </w:rPr>
        <w:t>3</w:t>
      </w:r>
      <w:r>
        <w:rPr/>
        <w:t>、回购注销价格 此次回购限制性股票的价格：本次回购价格与向激励对象授予限制性股票的授予价格一致，为</w:t>
      </w:r>
      <w:r>
        <w:rPr>
          <w:rFonts w:ascii="Times New Roman" w:hAnsi="Times New Roman" w:cs="Times New Roman" w:eastAsia="Times New Roman" w:hint="default"/>
        </w:rPr>
        <w:t>4.43</w:t>
      </w:r>
      <w:r>
        <w:rPr/>
        <w:t>元</w:t>
      </w:r>
      <w:r>
        <w:rPr>
          <w:rFonts w:ascii="Times New Roman" w:hAnsi="Times New Roman" w:cs="Times New Roman" w:eastAsia="Times New Roman" w:hint="default"/>
        </w:rPr>
        <w:t>/</w:t>
      </w:r>
      <w:r>
        <w:rPr/>
        <w:t>股。</w:t>
      </w:r>
      <w:r>
        <w:rPr>
          <w:spacing w:val="-87"/>
        </w:rPr>
        <w:t> </w:t>
      </w:r>
      <w:r>
        <w:rPr>
          <w:rFonts w:ascii="Times New Roman" w:hAnsi="Times New Roman" w:cs="Times New Roman" w:eastAsia="Times New Roman" w:hint="default"/>
        </w:rPr>
        <w:t>4</w:t>
      </w:r>
      <w:r>
        <w:rPr/>
        <w:t>、本次注销</w:t>
      </w:r>
      <w:r>
        <w:rPr>
          <w:rFonts w:ascii="Times New Roman" w:hAnsi="Times New Roman" w:cs="Times New Roman" w:eastAsia="Times New Roman" w:hint="default"/>
        </w:rPr>
        <w:t>/</w:t>
      </w:r>
      <w:r>
        <w:rPr/>
        <w:t>回购注销对公司的影响</w:t>
      </w:r>
    </w:p>
    <w:p>
      <w:pPr>
        <w:pStyle w:val="BodyText"/>
        <w:spacing w:line="240" w:lineRule="auto" w:before="18"/>
        <w:ind w:right="0"/>
        <w:jc w:val="left"/>
      </w:pPr>
      <w:r>
        <w:rPr/>
        <w:t>（</w:t>
      </w:r>
      <w:r>
        <w:rPr>
          <w:rFonts w:ascii="Times New Roman" w:hAnsi="Times New Roman" w:cs="Times New Roman" w:eastAsia="Times New Roman" w:hint="default"/>
        </w:rPr>
        <w:t>1</w:t>
      </w:r>
      <w:r>
        <w:rPr/>
        <w:t>）本次回购注销部分限制性股票后，公司总股本由</w:t>
      </w:r>
      <w:r>
        <w:rPr>
          <w:rFonts w:ascii="Times New Roman" w:hAnsi="Times New Roman" w:cs="Times New Roman" w:eastAsia="Times New Roman" w:hint="default"/>
        </w:rPr>
        <w:t>581,039,204</w:t>
      </w:r>
      <w:r>
        <w:rPr/>
        <w:t>股调整为</w:t>
      </w:r>
      <w:r>
        <w:rPr>
          <w:rFonts w:ascii="Times New Roman" w:hAnsi="Times New Roman" w:cs="Times New Roman" w:eastAsia="Times New Roman" w:hint="default"/>
        </w:rPr>
        <w:t>579,971,704</w:t>
      </w:r>
      <w:r>
        <w:rPr/>
        <w:t>股；</w:t>
      </w:r>
    </w:p>
    <w:p>
      <w:pPr>
        <w:pStyle w:val="BodyText"/>
        <w:spacing w:line="290" w:lineRule="auto" w:before="66"/>
        <w:ind w:right="0"/>
        <w:jc w:val="left"/>
      </w:pPr>
      <w:r>
        <w:rPr>
          <w:spacing w:val="-1"/>
        </w:rPr>
        <w:t>（</w:t>
      </w:r>
      <w:r>
        <w:rPr>
          <w:rFonts w:ascii="Times New Roman" w:hAnsi="Times New Roman" w:cs="Times New Roman" w:eastAsia="Times New Roman" w:hint="default"/>
          <w:spacing w:val="-1"/>
        </w:rPr>
        <w:t>2</w:t>
      </w:r>
      <w:r>
        <w:rPr>
          <w:spacing w:val="-1"/>
        </w:rPr>
        <w:t>）本次注销</w:t>
      </w:r>
      <w:r>
        <w:rPr>
          <w:rFonts w:ascii="Times New Roman" w:hAnsi="Times New Roman" w:cs="Times New Roman" w:eastAsia="Times New Roman" w:hint="default"/>
          <w:spacing w:val="-1"/>
        </w:rPr>
        <w:t>/</w:t>
      </w:r>
      <w:r>
        <w:rPr>
          <w:spacing w:val="-1"/>
        </w:rPr>
        <w:t>回购注销部分股票期权及限制性股票事项不会对公司的经营业绩产生重大影响，也不会影响公司管理团队的</w:t>
      </w:r>
      <w:r>
        <w:rPr>
          <w:spacing w:val="-70"/>
        </w:rPr>
        <w:t> </w:t>
      </w:r>
      <w:r>
        <w:rPr>
          <w:spacing w:val="-70"/>
        </w:rPr>
      </w:r>
      <w:r>
        <w:rPr/>
        <w:t>勤勉尽责。公司管理团队将继续认真履行工作职责，提升公司综合实力，全力以赴为全体股东创造最大价值。</w:t>
      </w:r>
    </w:p>
    <w:p>
      <w:pPr>
        <w:pStyle w:val="BodyText"/>
        <w:spacing w:line="273" w:lineRule="auto" w:before="57"/>
        <w:ind w:right="0"/>
        <w:jc w:val="left"/>
      </w:pPr>
      <w:r>
        <w:rPr>
          <w:rFonts w:ascii="Times New Roman" w:hAnsi="Times New Roman" w:cs="Times New Roman" w:eastAsia="Times New Roman" w:hint="default"/>
        </w:rPr>
        <w:t>5</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日，公司已在中登证券登记结算有限责任公司深圳分公司办理完成了回购注销手续。 </w:t>
      </w:r>
      <w:r>
        <w:rPr>
          <w:spacing w:val="-2"/>
        </w:rPr>
        <w:t>具体内容详见《关于注销部分股票期权及回购注销部分限制性股票的公告》、《关于部分股票期权注销和部分限制性股票回</w:t>
      </w:r>
    </w:p>
    <w:p>
      <w:pPr>
        <w:pStyle w:val="BodyText"/>
        <w:spacing w:line="240" w:lineRule="auto" w:before="69"/>
        <w:ind w:right="0"/>
        <w:jc w:val="left"/>
      </w:pPr>
      <w:r>
        <w:rPr/>
        <w:t>购注销完成的公告》，分别刊登于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日的《证券时报》、《中国证券报》及巨潮资讯网</w:t>
      </w:r>
    </w:p>
    <w:p>
      <w:pPr>
        <w:pStyle w:val="BodyText"/>
        <w:spacing w:line="240" w:lineRule="auto" w:before="66"/>
        <w:ind w:right="0"/>
        <w:jc w:val="left"/>
      </w:pPr>
      <w:r>
        <w:rPr/>
        <w:t>（</w:t>
      </w:r>
      <w:r>
        <w:rPr>
          <w:rFonts w:ascii="Times New Roman" w:hAnsi="Times New Roman" w:cs="Times New Roman" w:eastAsia="Times New Roman" w:hint="default"/>
        </w:rPr>
        <w:t>htpp://</w:t>
      </w:r>
      <w:hyperlink r:id="rId11">
        <w:r>
          <w:rPr>
            <w:rFonts w:ascii="Times New Roman" w:hAnsi="Times New Roman" w:cs="Times New Roman" w:eastAsia="Times New Roman" w:hint="default"/>
          </w:rPr>
          <w:t>www.cninfo.com.cn</w:t>
        </w:r>
      </w:hyperlink>
      <w:r>
        <w:rPr/>
        <w:t>）。</w:t>
      </w:r>
    </w:p>
    <w:p>
      <w:pPr>
        <w:pStyle w:val="BodyText"/>
        <w:spacing w:line="312" w:lineRule="auto" w:before="51"/>
        <w:ind w:right="0"/>
        <w:jc w:val="left"/>
      </w:pPr>
      <w:r>
        <w:rPr/>
        <w:t>（三）注销部分股票期权及回购注销部分限制性股票的情况 </w:t>
      </w:r>
      <w:r>
        <w:rPr>
          <w:spacing w:val="-2"/>
        </w:rPr>
        <w:t>经公司第四届董事会第三十三次会议及第四届监事会第二十二次会议审议，并经</w:t>
      </w:r>
      <w:r>
        <w:rPr>
          <w:rFonts w:ascii="Times New Roman" w:hAnsi="Times New Roman" w:cs="Times New Roman" w:eastAsia="Times New Roman" w:hint="default"/>
          <w:spacing w:val="-2"/>
        </w:rPr>
        <w:t>2019</w:t>
      </w:r>
      <w:r>
        <w:rPr>
          <w:spacing w:val="-2"/>
        </w:rPr>
        <w:t>年第一次临时股东大会批准，同意根据</w:t>
      </w:r>
      <w:r>
        <w:rPr>
          <w:spacing w:val="-60"/>
        </w:rPr>
        <w:t> </w:t>
      </w:r>
      <w:r>
        <w:rPr>
          <w:spacing w:val="-60"/>
        </w:rPr>
      </w:r>
      <w:r>
        <w:rPr>
          <w:spacing w:val="-2"/>
        </w:rPr>
        <w:t>公司《</w:t>
      </w:r>
      <w:r>
        <w:rPr>
          <w:rFonts w:ascii="Times New Roman" w:hAnsi="Times New Roman" w:cs="Times New Roman" w:eastAsia="Times New Roman" w:hint="default"/>
          <w:spacing w:val="-2"/>
        </w:rPr>
        <w:t>2017</w:t>
      </w:r>
      <w:r>
        <w:rPr>
          <w:spacing w:val="-2"/>
        </w:rPr>
        <w:t>年股票期权与限制性股票激励计划（草案）》的相关规定，注销部分股票期权及回购注销部分限制性股票，并依</w:t>
      </w:r>
    </w:p>
    <w:p>
      <w:pPr>
        <w:pStyle w:val="BodyText"/>
        <w:spacing w:line="312" w:lineRule="auto"/>
        <w:ind w:right="8049"/>
        <w:jc w:val="left"/>
      </w:pPr>
      <w:r>
        <w:rPr/>
        <w:t>法办理注销手续，具体情况如下： </w:t>
      </w:r>
      <w:r>
        <w:rPr>
          <w:rFonts w:ascii="Times New Roman" w:hAnsi="Times New Roman" w:cs="Times New Roman" w:eastAsia="Times New Roman" w:hint="default"/>
        </w:rPr>
        <w:t>1</w:t>
      </w:r>
      <w:r>
        <w:rPr/>
        <w:t>、回购原因 激励对象不再符合公司激励条件</w:t>
      </w:r>
    </w:p>
    <w:p>
      <w:pPr>
        <w:pStyle w:val="BodyText"/>
        <w:spacing w:line="276" w:lineRule="auto" w:before="41"/>
        <w:ind w:right="0"/>
        <w:jc w:val="left"/>
      </w:pPr>
      <w:r>
        <w:rPr>
          <w:spacing w:val="-2"/>
        </w:rPr>
        <w:t>原激励对象梅龙根、万健、舒传生、田朝龙、李伟等</w:t>
      </w:r>
      <w:r>
        <w:rPr>
          <w:rFonts w:ascii="Times New Roman" w:hAnsi="Times New Roman" w:cs="Times New Roman" w:eastAsia="Times New Roman" w:hint="default"/>
          <w:spacing w:val="-2"/>
        </w:rPr>
        <w:t>47</w:t>
      </w:r>
      <w:r>
        <w:rPr>
          <w:spacing w:val="-2"/>
        </w:rPr>
        <w:t>人因离职等原因已不符合激励条件，公司将按照《股权激励计划（草</w:t>
      </w:r>
      <w:r>
        <w:rPr>
          <w:spacing w:val="-66"/>
        </w:rPr>
        <w:t> </w:t>
      </w:r>
      <w:r>
        <w:rPr>
          <w:spacing w:val="-66"/>
        </w:rPr>
      </w:r>
      <w:r>
        <w:rPr/>
        <w:t>案）》对应条款规定，对上述人员尚未行权的股票期权及已获授但尚未解锁的限制性股票进行注销。</w:t>
      </w:r>
    </w:p>
    <w:p>
      <w:pPr>
        <w:spacing w:after="0" w:line="276"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0" w:lineRule="auto" w:before="44"/>
        <w:ind w:right="0"/>
        <w:jc w:val="left"/>
      </w:pPr>
      <w:r>
        <w:rPr>
          <w:rFonts w:ascii="Times New Roman" w:hAnsi="Times New Roman" w:cs="Times New Roman" w:eastAsia="Times New Roman" w:hint="default"/>
        </w:rPr>
        <w:t>2</w:t>
      </w:r>
      <w:r>
        <w:rPr/>
        <w:t>、注销</w:t>
      </w:r>
      <w:r>
        <w:rPr>
          <w:rFonts w:ascii="Times New Roman" w:hAnsi="Times New Roman" w:cs="Times New Roman" w:eastAsia="Times New Roman" w:hint="default"/>
        </w:rPr>
        <w:t>/</w:t>
      </w:r>
      <w:r>
        <w:rPr/>
        <w:t>回购注销数量 此次注销</w:t>
      </w:r>
      <w:r>
        <w:rPr>
          <w:rFonts w:ascii="Times New Roman" w:hAnsi="Times New Roman" w:cs="Times New Roman" w:eastAsia="Times New Roman" w:hint="default"/>
        </w:rPr>
        <w:t>/</w:t>
      </w:r>
      <w:r>
        <w:rPr/>
        <w:t>回购注销的数量：原激励对象梅龙根、万健、舒传生、田朝龙、李伟等</w:t>
      </w:r>
      <w:r>
        <w:rPr>
          <w:rFonts w:ascii="Times New Roman" w:hAnsi="Times New Roman" w:cs="Times New Roman" w:eastAsia="Times New Roman" w:hint="default"/>
        </w:rPr>
        <w:t>47</w:t>
      </w:r>
      <w:r>
        <w:rPr/>
        <w:t>人因离职等原因已不符合激励条件，对</w:t>
      </w:r>
      <w:r>
        <w:rPr>
          <w:spacing w:val="-87"/>
        </w:rPr>
        <w:t> </w:t>
      </w:r>
      <w:r>
        <w:rPr>
          <w:spacing w:val="-2"/>
        </w:rPr>
        <w:t>前述人员尚未行权的</w:t>
      </w:r>
      <w:r>
        <w:rPr>
          <w:rFonts w:ascii="Times New Roman" w:hAnsi="Times New Roman" w:cs="Times New Roman" w:eastAsia="Times New Roman" w:hint="default"/>
          <w:spacing w:val="-2"/>
        </w:rPr>
        <w:t>199.5</w:t>
      </w:r>
      <w:r>
        <w:rPr>
          <w:spacing w:val="-2"/>
        </w:rPr>
        <w:t>万份股票期权进行注销；对前述人员尚未解锁的</w:t>
      </w:r>
      <w:r>
        <w:rPr>
          <w:rFonts w:ascii="Times New Roman" w:hAnsi="Times New Roman" w:cs="Times New Roman" w:eastAsia="Times New Roman" w:hint="default"/>
          <w:spacing w:val="-2"/>
        </w:rPr>
        <w:t>76.5</w:t>
      </w:r>
      <w:r>
        <w:rPr>
          <w:spacing w:val="-2"/>
        </w:rPr>
        <w:t>万股限制性股票进行回购注销，占公司此次回</w:t>
      </w:r>
      <w:r>
        <w:rPr>
          <w:spacing w:val="-57"/>
        </w:rPr>
        <w:t> </w:t>
      </w:r>
      <w:r>
        <w:rPr>
          <w:spacing w:val="-57"/>
        </w:rPr>
      </w:r>
      <w:r>
        <w:rPr/>
        <w:t>购注销前总股本的</w:t>
      </w:r>
      <w:r>
        <w:rPr>
          <w:rFonts w:ascii="Times New Roman" w:hAnsi="Times New Roman" w:cs="Times New Roman" w:eastAsia="Times New Roman" w:hint="default"/>
        </w:rPr>
        <w:t>0.13%</w:t>
      </w:r>
      <w:r>
        <w:rPr/>
        <w:t>。</w:t>
      </w:r>
    </w:p>
    <w:p>
      <w:pPr>
        <w:pStyle w:val="BodyText"/>
        <w:spacing w:line="304" w:lineRule="auto" w:before="16"/>
        <w:ind w:right="0"/>
        <w:jc w:val="left"/>
      </w:pPr>
      <w:r>
        <w:rPr>
          <w:rFonts w:ascii="Times New Roman" w:hAnsi="Times New Roman" w:cs="Times New Roman" w:eastAsia="Times New Roman" w:hint="default"/>
        </w:rPr>
        <w:t>3</w:t>
      </w:r>
      <w:r>
        <w:rPr/>
        <w:t>、回购注销价格 </w:t>
      </w:r>
      <w:r>
        <w:rPr>
          <w:spacing w:val="-2"/>
        </w:rPr>
        <w:t>此次回购限制性股票的价格：由于公司实施了</w:t>
      </w:r>
      <w:r>
        <w:rPr>
          <w:rFonts w:ascii="Times New Roman" w:hAnsi="Times New Roman" w:cs="Times New Roman" w:eastAsia="Times New Roman" w:hint="default"/>
          <w:spacing w:val="-2"/>
        </w:rPr>
        <w:t>2017</w:t>
      </w:r>
      <w:r>
        <w:rPr>
          <w:spacing w:val="-2"/>
        </w:rPr>
        <w:t>年年度权益分派方案，对限制性股票回购价格进行了相应调整，本次回购</w:t>
      </w:r>
      <w:r>
        <w:rPr>
          <w:spacing w:val="-67"/>
        </w:rPr>
        <w:t> </w:t>
      </w:r>
      <w:r>
        <w:rPr>
          <w:spacing w:val="-67"/>
        </w:rPr>
      </w:r>
      <w:r>
        <w:rPr/>
        <w:t>价格为调整后的价格</w:t>
      </w:r>
      <w:r>
        <w:rPr>
          <w:rFonts w:ascii="Times New Roman" w:hAnsi="Times New Roman" w:cs="Times New Roman" w:eastAsia="Times New Roman" w:hint="default"/>
        </w:rPr>
        <w:t>4.37</w:t>
      </w:r>
      <w:r>
        <w:rPr/>
        <w:t>元</w:t>
      </w:r>
      <w:r>
        <w:rPr>
          <w:rFonts w:ascii="Times New Roman" w:hAnsi="Times New Roman" w:cs="Times New Roman" w:eastAsia="Times New Roman" w:hint="default"/>
        </w:rPr>
        <w:t>/</w:t>
      </w:r>
      <w:r>
        <w:rPr/>
        <w:t>股。</w:t>
      </w:r>
    </w:p>
    <w:p>
      <w:pPr>
        <w:pStyle w:val="BodyText"/>
        <w:spacing w:line="240" w:lineRule="auto" w:before="12"/>
        <w:ind w:right="0"/>
        <w:jc w:val="left"/>
      </w:pPr>
      <w:r>
        <w:rPr>
          <w:rFonts w:ascii="Times New Roman" w:hAnsi="Times New Roman" w:cs="Times New Roman" w:eastAsia="Times New Roman" w:hint="default"/>
        </w:rPr>
        <w:t>4</w:t>
      </w:r>
      <w:r>
        <w:rPr/>
        <w:t>、本次注销</w:t>
      </w:r>
      <w:r>
        <w:rPr>
          <w:rFonts w:ascii="Times New Roman" w:hAnsi="Times New Roman" w:cs="Times New Roman" w:eastAsia="Times New Roman" w:hint="default"/>
        </w:rPr>
        <w:t>/</w:t>
      </w:r>
      <w:r>
        <w:rPr/>
        <w:t>回购注销对公司的影响</w:t>
      </w:r>
    </w:p>
    <w:p>
      <w:pPr>
        <w:pStyle w:val="BodyText"/>
        <w:spacing w:line="240" w:lineRule="auto" w:before="51"/>
        <w:ind w:right="0"/>
        <w:jc w:val="left"/>
      </w:pPr>
      <w:r>
        <w:rPr/>
        <w:t>（</w:t>
      </w:r>
      <w:r>
        <w:rPr>
          <w:rFonts w:ascii="Times New Roman" w:hAnsi="Times New Roman" w:cs="Times New Roman" w:eastAsia="Times New Roman" w:hint="default"/>
        </w:rPr>
        <w:t>1</w:t>
      </w:r>
      <w:r>
        <w:rPr/>
        <w:t>）本次回购注销部分限制性股票后，公司总股本由</w:t>
      </w:r>
      <w:r>
        <w:rPr>
          <w:rFonts w:ascii="Times New Roman" w:hAnsi="Times New Roman" w:cs="Times New Roman" w:eastAsia="Times New Roman" w:hint="default"/>
        </w:rPr>
        <w:t>579,971,704</w:t>
      </w:r>
      <w:r>
        <w:rPr/>
        <w:t>股调整为</w:t>
      </w:r>
      <w:r>
        <w:rPr>
          <w:rFonts w:ascii="Times New Roman" w:hAnsi="Times New Roman" w:cs="Times New Roman" w:eastAsia="Times New Roman" w:hint="default"/>
        </w:rPr>
        <w:t>579,206,704</w:t>
      </w:r>
      <w:r>
        <w:rPr/>
        <w:t>股；</w:t>
      </w:r>
    </w:p>
    <w:p>
      <w:pPr>
        <w:pStyle w:val="BodyText"/>
        <w:spacing w:line="312" w:lineRule="auto" w:before="66"/>
        <w:ind w:right="0"/>
        <w:jc w:val="left"/>
      </w:pPr>
      <w:r>
        <w:rPr>
          <w:spacing w:val="-1"/>
        </w:rPr>
        <w:t>（</w:t>
      </w:r>
      <w:r>
        <w:rPr>
          <w:rFonts w:ascii="Times New Roman" w:hAnsi="Times New Roman" w:cs="Times New Roman" w:eastAsia="Times New Roman" w:hint="default"/>
          <w:spacing w:val="-1"/>
        </w:rPr>
        <w:t>2</w:t>
      </w:r>
      <w:r>
        <w:rPr>
          <w:spacing w:val="-1"/>
        </w:rPr>
        <w:t>）本次注销</w:t>
      </w:r>
      <w:r>
        <w:rPr>
          <w:rFonts w:ascii="Times New Roman" w:hAnsi="Times New Roman" w:cs="Times New Roman" w:eastAsia="Times New Roman" w:hint="default"/>
          <w:spacing w:val="-1"/>
        </w:rPr>
        <w:t>/</w:t>
      </w:r>
      <w:r>
        <w:rPr>
          <w:spacing w:val="-1"/>
        </w:rPr>
        <w:t>回购注销部分股票期权及限制性股票事项不会对公司的经营业绩产生重大影响，也不会影响公司管理团队的</w:t>
      </w:r>
      <w:r>
        <w:rPr>
          <w:spacing w:val="-70"/>
        </w:rPr>
        <w:t> </w:t>
      </w:r>
      <w:r>
        <w:rPr>
          <w:spacing w:val="-70"/>
        </w:rPr>
      </w:r>
      <w:r>
        <w:rPr/>
        <w:t>勤勉尽责。公司管理团队将继续认真履行工作职责，提升公司综合实力，全力以赴为全体股东创造最大价值。 </w:t>
      </w:r>
      <w:r>
        <w:rPr>
          <w:rFonts w:ascii="Times New Roman" w:hAnsi="Times New Roman" w:cs="Times New Roman" w:eastAsia="Times New Roman" w:hint="default"/>
        </w:rPr>
        <w:t>5</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日，公司已在中登证券登记结算有限责任公司深圳分公司办理完成了注销</w:t>
      </w:r>
      <w:r>
        <w:rPr>
          <w:rFonts w:ascii="Times New Roman" w:hAnsi="Times New Roman" w:cs="Times New Roman" w:eastAsia="Times New Roman" w:hint="default"/>
        </w:rPr>
        <w:t>/</w:t>
      </w:r>
      <w:r>
        <w:rPr/>
        <w:t>回购注销手续。</w:t>
      </w:r>
    </w:p>
    <w:p>
      <w:pPr>
        <w:pStyle w:val="BodyText"/>
        <w:spacing w:line="312" w:lineRule="auto"/>
        <w:ind w:right="1097"/>
        <w:jc w:val="both"/>
      </w:pPr>
      <w:r>
        <w:rPr>
          <w:spacing w:val="-2"/>
        </w:rPr>
        <w:t>具体内容详见《关于注销部分股票期权及回购注销部分限制性股票的公告》、《关于部分股票期权注销完成的公告》、《关</w:t>
      </w:r>
      <w:r>
        <w:rPr>
          <w:spacing w:val="-74"/>
        </w:rPr>
        <w:t> </w:t>
      </w:r>
      <w:r>
        <w:rPr>
          <w:spacing w:val="-74"/>
        </w:rPr>
      </w:r>
      <w:r>
        <w:rPr>
          <w:spacing w:val="-4"/>
        </w:rPr>
        <w:t>于部分限制性股票回购注销完成的公告》，分别刊登于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4</w:t>
      </w:r>
      <w:r>
        <w:rPr>
          <w:spacing w:val="-4"/>
        </w:rPr>
        <w:t>日、</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17</w:t>
      </w:r>
      <w:r>
        <w:rPr>
          <w:spacing w:val="-4"/>
        </w:rPr>
        <w:t>日、</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23</w:t>
      </w:r>
      <w:r>
        <w:rPr>
          <w:spacing w:val="-4"/>
        </w:rPr>
        <w:t>日的《证券时报》、《中</w:t>
      </w:r>
      <w:r>
        <w:rPr>
          <w:spacing w:val="-69"/>
        </w:rPr>
        <w:t> </w:t>
      </w:r>
      <w:r>
        <w:rPr>
          <w:spacing w:val="-69"/>
        </w:rPr>
      </w:r>
      <w:r>
        <w:rPr/>
        <w:t>国证券报》及巨潮资讯网（</w:t>
      </w:r>
      <w:r>
        <w:rPr>
          <w:rFonts w:ascii="Times New Roman" w:hAnsi="Times New Roman" w:cs="Times New Roman" w:eastAsia="Times New Roman" w:hint="default"/>
        </w:rPr>
        <w:t>htpp://</w:t>
      </w:r>
      <w:hyperlink r:id="rId11">
        <w:r>
          <w:rPr>
            <w:rFonts w:ascii="Times New Roman" w:hAnsi="Times New Roman" w:cs="Times New Roman" w:eastAsia="Times New Roman" w:hint="default"/>
          </w:rPr>
          <w:t>www.cninfo.com.cn</w:t>
        </w:r>
      </w:hyperlink>
      <w:r>
        <w:rPr/>
        <w:t>）。</w:t>
      </w:r>
    </w:p>
    <w:p>
      <w:pPr>
        <w:pStyle w:val="BodyText"/>
        <w:spacing w:line="312" w:lineRule="auto"/>
        <w:ind w:right="0"/>
        <w:jc w:val="left"/>
      </w:pPr>
      <w:r>
        <w:rPr/>
        <w:t>（四）注销部分股票期权及回购注销部分限制性股票的情况 </w:t>
      </w:r>
      <w:r>
        <w:rPr>
          <w:spacing w:val="-5"/>
        </w:rPr>
        <w:t>经公司第四届董事会第三十七次会议及第四届监事会第二十七次会议审议，并经</w:t>
      </w:r>
      <w:r>
        <w:rPr>
          <w:rFonts w:ascii="Times New Roman" w:hAnsi="Times New Roman" w:cs="Times New Roman" w:eastAsia="Times New Roman" w:hint="default"/>
          <w:spacing w:val="-5"/>
        </w:rPr>
        <w:t>2018</w:t>
      </w:r>
      <w:r>
        <w:rPr>
          <w:spacing w:val="-5"/>
        </w:rPr>
        <w:t>年度股东大会批准，同意根据公司《</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0"/>
        </w:rPr>
        <w:t> </w:t>
      </w:r>
      <w:r>
        <w:rPr>
          <w:spacing w:val="-2"/>
        </w:rPr>
        <w:t>年股票期权与限制性股票激励计划（草案）》的相关规定，注销部分股票期权及回购注销部分限制性股票，并依法办理注销</w:t>
      </w:r>
    </w:p>
    <w:p>
      <w:pPr>
        <w:pStyle w:val="BodyText"/>
        <w:spacing w:line="240" w:lineRule="auto" w:before="11"/>
        <w:ind w:right="0"/>
        <w:jc w:val="left"/>
      </w:pPr>
      <w:r>
        <w:rPr/>
        <w:t>手续，具体情况如下：</w:t>
      </w:r>
    </w:p>
    <w:p>
      <w:pPr>
        <w:pStyle w:val="BodyText"/>
        <w:spacing w:line="240" w:lineRule="auto" w:before="94"/>
        <w:ind w:left="216" w:right="0"/>
        <w:jc w:val="left"/>
      </w:pPr>
      <w:r>
        <w:rPr>
          <w:rFonts w:ascii="Times New Roman" w:hAnsi="Times New Roman" w:cs="Times New Roman" w:eastAsia="Times New Roman" w:hint="default"/>
        </w:rPr>
        <w:t>1</w:t>
      </w:r>
      <w:r>
        <w:rPr/>
        <w:t>、回购原因</w:t>
      </w:r>
    </w:p>
    <w:p>
      <w:pPr>
        <w:pStyle w:val="BodyText"/>
        <w:spacing w:line="300" w:lineRule="auto" w:before="66"/>
        <w:ind w:right="1116"/>
        <w:jc w:val="left"/>
      </w:pPr>
      <w:r>
        <w:rPr/>
        <w:t>（</w:t>
      </w:r>
      <w:r>
        <w:rPr>
          <w:rFonts w:ascii="Times New Roman" w:hAnsi="Times New Roman" w:cs="Times New Roman" w:eastAsia="Times New Roman" w:hint="default"/>
        </w:rPr>
        <w:t>1</w:t>
      </w:r>
      <w:r>
        <w:rPr/>
        <w:t>）业绩未达标 根据《股权激励计划（草案）》，第二期行权</w:t>
      </w:r>
      <w:r>
        <w:rPr>
          <w:rFonts w:ascii="Times New Roman" w:hAnsi="Times New Roman" w:cs="Times New Roman" w:eastAsia="Times New Roman" w:hint="default"/>
        </w:rPr>
        <w:t>/</w:t>
      </w:r>
      <w:r>
        <w:rPr/>
        <w:t>解锁条件为：与</w:t>
      </w:r>
      <w:r>
        <w:rPr>
          <w:rFonts w:ascii="Times New Roman" w:hAnsi="Times New Roman" w:cs="Times New Roman" w:eastAsia="Times New Roman" w:hint="default"/>
        </w:rPr>
        <w:t>2016</w:t>
      </w:r>
      <w:r>
        <w:rPr/>
        <w:t>年归属于母公司股东的净利润为基数相比，</w:t>
      </w:r>
      <w:r>
        <w:rPr>
          <w:rFonts w:ascii="Times New Roman" w:hAnsi="Times New Roman" w:cs="Times New Roman" w:eastAsia="Times New Roman" w:hint="default"/>
        </w:rPr>
        <w:t>2018</w:t>
      </w:r>
      <w:r>
        <w:rPr/>
        <w:t>年剔除</w:t>
      </w:r>
      <w:r>
        <w:rPr>
          <w:spacing w:val="-87"/>
        </w:rPr>
        <w:t> </w:t>
      </w:r>
      <w:r>
        <w:rPr/>
        <w:t>股权激励影响后归属于母公司股东的净利润的增长率不低于</w:t>
      </w:r>
      <w:r>
        <w:rPr>
          <w:rFonts w:ascii="Times New Roman" w:hAnsi="Times New Roman" w:cs="Times New Roman" w:eastAsia="Times New Roman" w:hint="default"/>
        </w:rPr>
        <w:t>495.24%</w:t>
      </w:r>
      <w:r>
        <w:rPr/>
        <w:t>。根据亚太（集团）会计师事务所（特殊普通合伙）出</w:t>
      </w:r>
      <w:r>
        <w:rPr>
          <w:spacing w:val="-84"/>
        </w:rPr>
        <w:t> </w:t>
      </w:r>
      <w:r>
        <w:rPr/>
        <w:t>具的审计报告，</w:t>
      </w:r>
      <w:r>
        <w:rPr>
          <w:rFonts w:ascii="Times New Roman" w:hAnsi="Times New Roman" w:cs="Times New Roman" w:eastAsia="Times New Roman" w:hint="default"/>
        </w:rPr>
        <w:t>2018</w:t>
      </w:r>
      <w:r>
        <w:rPr/>
        <w:t>年剔除股权激励影响后归属于母公司股东的净利润为</w:t>
      </w:r>
      <w:r>
        <w:rPr>
          <w:rFonts w:ascii="Times New Roman" w:hAnsi="Times New Roman" w:cs="Times New Roman" w:eastAsia="Times New Roman" w:hint="default"/>
        </w:rPr>
        <w:t>-10,156.20</w:t>
      </w:r>
      <w:r>
        <w:rPr/>
        <w:t>万元，较</w:t>
      </w:r>
      <w:r>
        <w:rPr>
          <w:rFonts w:ascii="Times New Roman" w:hAnsi="Times New Roman" w:cs="Times New Roman" w:eastAsia="Times New Roman" w:hint="default"/>
        </w:rPr>
        <w:t>2016</w:t>
      </w:r>
      <w:r>
        <w:rPr/>
        <w:t>年度增长率为</w:t>
      </w:r>
      <w:r>
        <w:rPr>
          <w:rFonts w:ascii="Times New Roman" w:hAnsi="Times New Roman" w:cs="Times New Roman" w:eastAsia="Times New Roman" w:hint="default"/>
        </w:rPr>
        <w:t>-703.82%</w:t>
      </w:r>
      <w:r>
        <w:rPr/>
        <w:t>，</w:t>
      </w:r>
      <w:r>
        <w:rPr>
          <w:spacing w:val="-85"/>
        </w:rPr>
        <w:t> </w:t>
      </w:r>
      <w:r>
        <w:rPr/>
        <w:t>未达到股权激励计划规定的第二期行权</w:t>
      </w:r>
      <w:r>
        <w:rPr>
          <w:rFonts w:ascii="Times New Roman" w:hAnsi="Times New Roman" w:cs="Times New Roman" w:eastAsia="Times New Roman" w:hint="default"/>
        </w:rPr>
        <w:t>/</w:t>
      </w:r>
      <w:r>
        <w:rPr/>
        <w:t>解锁条件。根据公司股权激励计划，公司应将获授股票期权及限制性股票总额的各 </w:t>
      </w:r>
      <w:r>
        <w:rPr>
          <w:rFonts w:ascii="Times New Roman" w:hAnsi="Times New Roman" w:cs="Times New Roman" w:eastAsia="Times New Roman" w:hint="default"/>
        </w:rPr>
        <w:t>40%</w:t>
      </w:r>
      <w:r>
        <w:rPr/>
        <w:t>进行注销</w:t>
      </w:r>
      <w:r>
        <w:rPr>
          <w:rFonts w:ascii="Times New Roman" w:hAnsi="Times New Roman" w:cs="Times New Roman" w:eastAsia="Times New Roman" w:hint="default"/>
        </w:rPr>
        <w:t>/</w:t>
      </w:r>
      <w:r>
        <w:rPr/>
        <w:t>回购注销。</w:t>
      </w:r>
    </w:p>
    <w:p>
      <w:pPr>
        <w:pStyle w:val="BodyText"/>
        <w:spacing w:line="290" w:lineRule="auto" w:before="16"/>
        <w:ind w:right="1119"/>
        <w:jc w:val="left"/>
      </w:pPr>
      <w:r>
        <w:rPr/>
        <w:t>（</w:t>
      </w:r>
      <w:r>
        <w:rPr>
          <w:rFonts w:ascii="Times New Roman" w:hAnsi="Times New Roman" w:cs="Times New Roman" w:eastAsia="Times New Roman" w:hint="default"/>
        </w:rPr>
        <w:t>2</w:t>
      </w:r>
      <w:r>
        <w:rPr/>
        <w:t>）激励对象不再符合公司激励条件 原激励对象宋祥林、欧辉生、郭环环、陈长庆</w:t>
      </w:r>
      <w:r>
        <w:rPr>
          <w:rFonts w:ascii="Times New Roman" w:hAnsi="Times New Roman" w:cs="Times New Roman" w:eastAsia="Times New Roman" w:hint="default"/>
        </w:rPr>
        <w:t>4</w:t>
      </w:r>
      <w:r>
        <w:rPr/>
        <w:t>人因离职等原因已不符合激励条件，公司将按照《股权激励计划（草案）》</w:t>
      </w:r>
      <w:r>
        <w:rPr>
          <w:spacing w:val="-86"/>
        </w:rPr>
        <w:t> </w:t>
      </w:r>
      <w:r>
        <w:rPr/>
        <w:t>对应条款规定，对上述人员尚未行权的股票期权进行注销。</w:t>
      </w:r>
    </w:p>
    <w:p>
      <w:pPr>
        <w:pStyle w:val="BodyText"/>
        <w:spacing w:line="300" w:lineRule="auto" w:before="57"/>
        <w:ind w:right="0"/>
        <w:jc w:val="left"/>
      </w:pPr>
      <w:r>
        <w:rPr>
          <w:rFonts w:ascii="Times New Roman" w:hAnsi="Times New Roman" w:cs="Times New Roman" w:eastAsia="Times New Roman" w:hint="default"/>
        </w:rPr>
        <w:t>2</w:t>
      </w:r>
      <w:r>
        <w:rPr/>
        <w:t>、注销</w:t>
      </w:r>
      <w:r>
        <w:rPr>
          <w:rFonts w:ascii="Times New Roman" w:hAnsi="Times New Roman" w:cs="Times New Roman" w:eastAsia="Times New Roman" w:hint="default"/>
        </w:rPr>
        <w:t>/</w:t>
      </w:r>
      <w:r>
        <w:rPr/>
        <w:t>回购注销数量 </w:t>
      </w:r>
      <w:r>
        <w:rPr>
          <w:spacing w:val="-1"/>
        </w:rPr>
        <w:t>此次注销</w:t>
      </w:r>
      <w:r>
        <w:rPr>
          <w:rFonts w:ascii="Times New Roman" w:hAnsi="Times New Roman" w:cs="Times New Roman" w:eastAsia="Times New Roman" w:hint="default"/>
          <w:spacing w:val="-1"/>
        </w:rPr>
        <w:t>/</w:t>
      </w:r>
      <w:r>
        <w:rPr>
          <w:spacing w:val="-1"/>
        </w:rPr>
        <w:t>回购注销的数量：原激励对象宋祥林、欧辉生、郭环环、陈长庆</w:t>
      </w:r>
      <w:r>
        <w:rPr>
          <w:rFonts w:ascii="Times New Roman" w:hAnsi="Times New Roman" w:cs="Times New Roman" w:eastAsia="Times New Roman" w:hint="default"/>
          <w:spacing w:val="-1"/>
        </w:rPr>
        <w:t>4</w:t>
      </w:r>
      <w:r>
        <w:rPr>
          <w:spacing w:val="-1"/>
        </w:rPr>
        <w:t>人因离职等原因已不符合激励条件，对前述人员</w:t>
      </w:r>
      <w:r>
        <w:rPr>
          <w:spacing w:val="-78"/>
        </w:rPr>
        <w:t> </w:t>
      </w:r>
      <w:r>
        <w:rPr>
          <w:spacing w:val="-78"/>
        </w:rPr>
      </w:r>
      <w:r>
        <w:rPr/>
        <w:t>尚未行权的</w:t>
      </w:r>
      <w:r>
        <w:rPr>
          <w:rFonts w:ascii="Times New Roman" w:hAnsi="Times New Roman" w:cs="Times New Roman" w:eastAsia="Times New Roman" w:hint="default"/>
        </w:rPr>
        <w:t>19.5</w:t>
      </w:r>
      <w:r>
        <w:rPr/>
        <w:t>万份股票期权进行注销。其余激励对象因公司</w:t>
      </w:r>
      <w:r>
        <w:rPr>
          <w:rFonts w:ascii="Times New Roman" w:hAnsi="Times New Roman" w:cs="Times New Roman" w:eastAsia="Times New Roman" w:hint="default"/>
        </w:rPr>
        <w:t>2018</w:t>
      </w:r>
      <w:r>
        <w:rPr/>
        <w:t>年度业绩未达到第二期行权</w:t>
      </w:r>
      <w:r>
        <w:rPr>
          <w:rFonts w:ascii="Times New Roman" w:hAnsi="Times New Roman" w:cs="Times New Roman" w:eastAsia="Times New Roman" w:hint="default"/>
        </w:rPr>
        <w:t>/</w:t>
      </w:r>
      <w:r>
        <w:rPr/>
        <w:t>解锁条件，对其尚未行权</w:t>
      </w:r>
      <w:r>
        <w:rPr>
          <w:rFonts w:ascii="Times New Roman" w:hAnsi="Times New Roman" w:cs="Times New Roman" w:eastAsia="Times New Roman" w:hint="default"/>
        </w:rPr>
        <w:t>/</w:t>
      </w:r>
      <w:r>
        <w:rPr/>
        <w:t>解 </w:t>
      </w:r>
      <w:r>
        <w:rPr>
          <w:spacing w:val="-1"/>
        </w:rPr>
        <w:t>锁的</w:t>
      </w:r>
      <w:r>
        <w:rPr>
          <w:rFonts w:ascii="Times New Roman" w:hAnsi="Times New Roman" w:cs="Times New Roman" w:eastAsia="Times New Roman" w:hint="default"/>
          <w:spacing w:val="-1"/>
        </w:rPr>
        <w:t>334.12</w:t>
      </w:r>
      <w:r>
        <w:rPr>
          <w:spacing w:val="-1"/>
        </w:rPr>
        <w:t>万份股票期权及</w:t>
      </w:r>
      <w:r>
        <w:rPr>
          <w:rFonts w:ascii="Times New Roman" w:hAnsi="Times New Roman" w:cs="Times New Roman" w:eastAsia="Times New Roman" w:hint="default"/>
          <w:spacing w:val="-1"/>
        </w:rPr>
        <w:t>130</w:t>
      </w:r>
      <w:r>
        <w:rPr>
          <w:spacing w:val="-1"/>
        </w:rPr>
        <w:t>万股限制性股票进行注销</w:t>
      </w:r>
      <w:r>
        <w:rPr>
          <w:rFonts w:ascii="Times New Roman" w:hAnsi="Times New Roman" w:cs="Times New Roman" w:eastAsia="Times New Roman" w:hint="default"/>
          <w:spacing w:val="-1"/>
        </w:rPr>
        <w:t>/</w:t>
      </w:r>
      <w:r>
        <w:rPr>
          <w:spacing w:val="-1"/>
        </w:rPr>
        <w:t>回购注销。共计注销</w:t>
      </w:r>
      <w:r>
        <w:rPr>
          <w:rFonts w:ascii="Times New Roman" w:hAnsi="Times New Roman" w:cs="Times New Roman" w:eastAsia="Times New Roman" w:hint="default"/>
          <w:spacing w:val="-1"/>
        </w:rPr>
        <w:t>353.62</w:t>
      </w:r>
      <w:r>
        <w:rPr>
          <w:spacing w:val="-1"/>
        </w:rPr>
        <w:t>万份股票期权及</w:t>
      </w:r>
      <w:r>
        <w:rPr>
          <w:rFonts w:ascii="Times New Roman" w:hAnsi="Times New Roman" w:cs="Times New Roman" w:eastAsia="Times New Roman" w:hint="default"/>
          <w:spacing w:val="-1"/>
        </w:rPr>
        <w:t>130</w:t>
      </w:r>
      <w:r>
        <w:rPr>
          <w:spacing w:val="-1"/>
        </w:rPr>
        <w:t>万股限制性股票。其</w:t>
      </w:r>
      <w:r>
        <w:rPr>
          <w:spacing w:val="-56"/>
        </w:rPr>
        <w:t> </w:t>
      </w:r>
      <w:r>
        <w:rPr>
          <w:spacing w:val="-56"/>
        </w:rPr>
      </w:r>
      <w:r>
        <w:rPr/>
        <w:t>中，本次回购的限制性股票占公司总股本</w:t>
      </w:r>
      <w:r>
        <w:rPr>
          <w:rFonts w:ascii="Times New Roman" w:hAnsi="Times New Roman" w:cs="Times New Roman" w:eastAsia="Times New Roman" w:hint="default"/>
        </w:rPr>
        <w:t>579,206,704</w:t>
      </w:r>
      <w:r>
        <w:rPr/>
        <w:t>股的</w:t>
      </w:r>
      <w:r>
        <w:rPr>
          <w:rFonts w:ascii="Times New Roman" w:hAnsi="Times New Roman" w:cs="Times New Roman" w:eastAsia="Times New Roman" w:hint="default"/>
        </w:rPr>
        <w:t>0.2244%</w:t>
      </w:r>
      <w:r>
        <w:rPr/>
        <w:t>。</w:t>
      </w:r>
    </w:p>
    <w:p>
      <w:pPr>
        <w:pStyle w:val="BodyText"/>
        <w:spacing w:line="304" w:lineRule="auto" w:before="16"/>
        <w:ind w:right="0"/>
        <w:jc w:val="left"/>
      </w:pPr>
      <w:r>
        <w:rPr>
          <w:rFonts w:ascii="Times New Roman" w:hAnsi="Times New Roman" w:cs="Times New Roman" w:eastAsia="Times New Roman" w:hint="default"/>
        </w:rPr>
        <w:t>3</w:t>
      </w:r>
      <w:r>
        <w:rPr/>
        <w:t>、回购注销价格 </w:t>
      </w:r>
      <w:r>
        <w:rPr>
          <w:spacing w:val="-2"/>
        </w:rPr>
        <w:t>此次回购限制性股票的价格：由于公司实施了</w:t>
      </w:r>
      <w:r>
        <w:rPr>
          <w:rFonts w:ascii="Times New Roman" w:hAnsi="Times New Roman" w:cs="Times New Roman" w:eastAsia="Times New Roman" w:hint="default"/>
          <w:spacing w:val="-2"/>
        </w:rPr>
        <w:t>2017</w:t>
      </w:r>
      <w:r>
        <w:rPr>
          <w:spacing w:val="-2"/>
        </w:rPr>
        <w:t>年年度权益分派方案，对限制性股票回购价格进行了相应调整，本次回购</w:t>
      </w:r>
      <w:r>
        <w:rPr>
          <w:spacing w:val="-67"/>
        </w:rPr>
        <w:t> </w:t>
      </w:r>
      <w:r>
        <w:rPr>
          <w:spacing w:val="-67"/>
        </w:rPr>
      </w:r>
      <w:r>
        <w:rPr/>
        <w:t>价格为调整后的价格</w:t>
      </w:r>
      <w:r>
        <w:rPr>
          <w:rFonts w:ascii="Times New Roman" w:hAnsi="Times New Roman" w:cs="Times New Roman" w:eastAsia="Times New Roman" w:hint="default"/>
        </w:rPr>
        <w:t>4.37</w:t>
      </w:r>
      <w:r>
        <w:rPr/>
        <w:t>元</w:t>
      </w:r>
      <w:r>
        <w:rPr>
          <w:rFonts w:ascii="Times New Roman" w:hAnsi="Times New Roman" w:cs="Times New Roman" w:eastAsia="Times New Roman" w:hint="default"/>
        </w:rPr>
        <w:t>/</w:t>
      </w:r>
      <w:r>
        <w:rPr/>
        <w:t>股。</w:t>
      </w:r>
    </w:p>
    <w:p>
      <w:pPr>
        <w:pStyle w:val="BodyText"/>
        <w:spacing w:line="240" w:lineRule="auto" w:before="12"/>
        <w:ind w:right="0"/>
        <w:jc w:val="left"/>
      </w:pPr>
      <w:r>
        <w:rPr>
          <w:rFonts w:ascii="Times New Roman" w:hAnsi="Times New Roman" w:cs="Times New Roman" w:eastAsia="Times New Roman" w:hint="default"/>
        </w:rPr>
        <w:t>4</w:t>
      </w:r>
      <w:r>
        <w:rPr/>
        <w:t>、本次注销</w:t>
      </w:r>
      <w:r>
        <w:rPr>
          <w:rFonts w:ascii="Times New Roman" w:hAnsi="Times New Roman" w:cs="Times New Roman" w:eastAsia="Times New Roman" w:hint="default"/>
        </w:rPr>
        <w:t>/</w:t>
      </w:r>
      <w:r>
        <w:rPr/>
        <w:t>回购注销对公司的影响</w:t>
      </w:r>
    </w:p>
    <w:p>
      <w:pPr>
        <w:pStyle w:val="BodyText"/>
        <w:spacing w:line="240" w:lineRule="auto" w:before="51"/>
        <w:ind w:right="0"/>
        <w:jc w:val="left"/>
      </w:pPr>
      <w:r>
        <w:rPr/>
        <w:t>（</w:t>
      </w:r>
      <w:r>
        <w:rPr>
          <w:rFonts w:ascii="Times New Roman" w:hAnsi="Times New Roman" w:cs="Times New Roman" w:eastAsia="Times New Roman" w:hint="default"/>
        </w:rPr>
        <w:t>1</w:t>
      </w:r>
      <w:r>
        <w:rPr/>
        <w:t>）本次回购注销部分限制性股票后，公司总股本由</w:t>
      </w:r>
      <w:r>
        <w:rPr>
          <w:rFonts w:ascii="Times New Roman" w:hAnsi="Times New Roman" w:cs="Times New Roman" w:eastAsia="Times New Roman" w:hint="default"/>
        </w:rPr>
        <w:t>579,206,704</w:t>
      </w:r>
      <w:r>
        <w:rPr/>
        <w:t>股调整为</w:t>
      </w:r>
      <w:r>
        <w:rPr>
          <w:rFonts w:ascii="Times New Roman" w:hAnsi="Times New Roman" w:cs="Times New Roman" w:eastAsia="Times New Roman" w:hint="default"/>
        </w:rPr>
        <w:t>577,906,704</w:t>
      </w:r>
      <w:r>
        <w:rPr/>
        <w:t>股；</w:t>
      </w:r>
    </w:p>
    <w:p>
      <w:pPr>
        <w:pStyle w:val="BodyText"/>
        <w:spacing w:line="312" w:lineRule="auto" w:before="66"/>
        <w:ind w:right="0"/>
        <w:jc w:val="left"/>
      </w:pPr>
      <w:r>
        <w:rPr>
          <w:spacing w:val="-1"/>
        </w:rPr>
        <w:t>（</w:t>
      </w:r>
      <w:r>
        <w:rPr>
          <w:rFonts w:ascii="Times New Roman" w:hAnsi="Times New Roman" w:cs="Times New Roman" w:eastAsia="Times New Roman" w:hint="default"/>
          <w:spacing w:val="-1"/>
        </w:rPr>
        <w:t>2</w:t>
      </w:r>
      <w:r>
        <w:rPr>
          <w:spacing w:val="-1"/>
        </w:rPr>
        <w:t>）本次注销</w:t>
      </w:r>
      <w:r>
        <w:rPr>
          <w:rFonts w:ascii="Times New Roman" w:hAnsi="Times New Roman" w:cs="Times New Roman" w:eastAsia="Times New Roman" w:hint="default"/>
          <w:spacing w:val="-1"/>
        </w:rPr>
        <w:t>/</w:t>
      </w:r>
      <w:r>
        <w:rPr>
          <w:spacing w:val="-1"/>
        </w:rPr>
        <w:t>回购注销部分股票期权及限制性股票事项不会对公司的经营业绩产生重大影响，也不会影响公司管理团队的</w:t>
      </w:r>
      <w:r>
        <w:rPr>
          <w:spacing w:val="-70"/>
        </w:rPr>
        <w:t> </w:t>
      </w:r>
      <w:r>
        <w:rPr>
          <w:spacing w:val="-70"/>
        </w:rPr>
      </w:r>
      <w:r>
        <w:rPr/>
        <w:t>勤勉尽责。公司管理团队将继续认真履行工作职责，提升公司综合实力，全力以赴为全体股东创造最大价值。 </w:t>
      </w:r>
      <w:r>
        <w:rPr>
          <w:rFonts w:ascii="Times New Roman" w:hAnsi="Times New Roman" w:cs="Times New Roman" w:eastAsia="Times New Roman" w:hint="default"/>
        </w:rPr>
        <w:t>5</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日，公司已在中登证券登记结算有限责任公司深圳分公司办理完成了注销</w:t>
      </w:r>
      <w:r>
        <w:rPr>
          <w:rFonts w:ascii="Times New Roman" w:hAnsi="Times New Roman" w:cs="Times New Roman" w:eastAsia="Times New Roman" w:hint="default"/>
        </w:rPr>
        <w:t>/</w:t>
      </w:r>
      <w:r>
        <w:rPr/>
        <w:t>回购注销手续。具体内容详</w:t>
      </w:r>
    </w:p>
    <w:p>
      <w:pPr>
        <w:pStyle w:val="BodyText"/>
        <w:spacing w:line="321" w:lineRule="auto"/>
        <w:ind w:right="0"/>
        <w:jc w:val="left"/>
      </w:pPr>
      <w:r>
        <w:rPr>
          <w:spacing w:val="-2"/>
        </w:rPr>
        <w:t>见《关于注销部分股票期权及回购注销部分限制性股票的公告》、《关于部分股票期权注销完成的公告》、《关于部分限制</w:t>
      </w:r>
      <w:r>
        <w:rPr>
          <w:spacing w:val="-68"/>
        </w:rPr>
        <w:t> </w:t>
      </w:r>
      <w:r>
        <w:rPr>
          <w:spacing w:val="-68"/>
        </w:rPr>
      </w:r>
      <w:r>
        <w:rPr>
          <w:spacing w:val="-3"/>
        </w:rPr>
        <w:t>性股票回购注销完成的公告》，分别刊登于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23</w:t>
      </w:r>
      <w:r>
        <w:rPr>
          <w:spacing w:val="-3"/>
        </w:rPr>
        <w:t>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7</w:t>
      </w:r>
      <w:r>
        <w:rPr>
          <w:spacing w:val="-3"/>
        </w:rPr>
        <w:t>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13</w:t>
      </w:r>
      <w:r>
        <w:rPr>
          <w:spacing w:val="-3"/>
        </w:rPr>
        <w:t>日的《证券时报》、《中国证券报》</w:t>
      </w:r>
    </w:p>
    <w:p>
      <w:pPr>
        <w:spacing w:after="0" w:line="321"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0"/>
        <w:jc w:val="left"/>
      </w:pPr>
      <w:r>
        <w:rPr/>
        <w:t>及巨潮资讯网（</w:t>
      </w:r>
      <w:r>
        <w:rPr>
          <w:rFonts w:ascii="Times New Roman" w:hAnsi="Times New Roman" w:cs="Times New Roman" w:eastAsia="Times New Roman" w:hint="default"/>
        </w:rPr>
        <w:t>htpp://</w:t>
      </w:r>
      <w:hyperlink r:id="rId11">
        <w:r>
          <w:rPr>
            <w:rFonts w:ascii="Times New Roman" w:hAnsi="Times New Roman" w:cs="Times New Roman" w:eastAsia="Times New Roman" w:hint="default"/>
          </w:rPr>
          <w:t>www.cninfo.com.cn</w:t>
        </w:r>
      </w:hyperlink>
      <w:r>
        <w:rPr/>
        <w:t>）。</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spacing w:val="5"/>
        </w:rPr>
        <w:t>1</w:t>
      </w:r>
      <w:r>
        <w:rPr>
          <w:spacing w:val="5"/>
        </w:rPr>
        <w:t>、与日常经营相关的关联交易</w:t>
      </w:r>
      <w:r>
        <w:rPr>
          <w:b w:val="0"/>
          <w:bCs w:val="0"/>
          <w:spacing w:val="5"/>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796"/>
        <w:gridCol w:w="676"/>
        <w:gridCol w:w="691"/>
        <w:gridCol w:w="706"/>
        <w:gridCol w:w="676"/>
        <w:gridCol w:w="676"/>
        <w:gridCol w:w="676"/>
        <w:gridCol w:w="676"/>
        <w:gridCol w:w="675"/>
        <w:gridCol w:w="676"/>
        <w:gridCol w:w="676"/>
        <w:gridCol w:w="661"/>
        <w:gridCol w:w="676"/>
        <w:gridCol w:w="646"/>
      </w:tblGrid>
      <w:tr>
        <w:trPr>
          <w:trHeight w:val="133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300" w:right="30" w:hanging="271"/>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39" w:right="5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60" w:right="73"/>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60" w:right="90"/>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60" w:right="60"/>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45" w:right="7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5" w:right="73"/>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21" w:lineRule="auto" w:before="31"/>
              <w:ind w:left="135" w:right="163"/>
              <w:jc w:val="left"/>
              <w:rPr>
                <w:rFonts w:ascii="宋体" w:hAnsi="宋体" w:cs="宋体" w:eastAsia="宋体" w:hint="default"/>
                <w:sz w:val="18"/>
                <w:szCs w:val="18"/>
              </w:rPr>
            </w:pPr>
            <w:r>
              <w:rPr>
                <w:rFonts w:ascii="宋体" w:hAnsi="宋体" w:cs="宋体" w:eastAsia="宋体" w:hint="default"/>
                <w:sz w:val="18"/>
                <w:szCs w:val="18"/>
              </w:rPr>
              <w:t>（万 元）</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5" w:right="75"/>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4" w:right="73"/>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45" w:right="73"/>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45" w:right="75"/>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5"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40" w:right="5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25" w:right="43" w:hanging="181"/>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509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15" w:right="45"/>
              <w:jc w:val="both"/>
              <w:rPr>
                <w:rFonts w:ascii="宋体" w:hAnsi="宋体" w:cs="宋体" w:eastAsia="宋体" w:hint="default"/>
                <w:sz w:val="18"/>
                <w:szCs w:val="18"/>
              </w:rPr>
            </w:pPr>
            <w:r>
              <w:rPr>
                <w:rFonts w:ascii="宋体" w:hAnsi="宋体" w:cs="宋体" w:eastAsia="宋体" w:hint="default"/>
                <w:sz w:val="18"/>
                <w:szCs w:val="18"/>
              </w:rPr>
              <w:t>深圳市深 创谷技术 服务有限 公司</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43"/>
              <w:jc w:val="left"/>
              <w:rPr>
                <w:rFonts w:ascii="宋体" w:hAnsi="宋体" w:cs="宋体" w:eastAsia="宋体" w:hint="default"/>
                <w:sz w:val="18"/>
                <w:szCs w:val="18"/>
              </w:rPr>
            </w:pPr>
            <w:r>
              <w:rPr>
                <w:rFonts w:ascii="宋体" w:hAnsi="宋体" w:cs="宋体" w:eastAsia="宋体" w:hint="default"/>
                <w:sz w:val="18"/>
                <w:szCs w:val="18"/>
              </w:rPr>
              <w:t>持有该 公司</w:t>
            </w:r>
          </w:p>
          <w:p>
            <w:pPr>
              <w:pStyle w:val="TableParagraph"/>
              <w:spacing w:line="240" w:lineRule="auto" w:before="86"/>
              <w:ind w:left="30" w:right="0"/>
              <w:jc w:val="left"/>
              <w:rPr>
                <w:rFonts w:ascii="Times New Roman" w:hAnsi="Times New Roman" w:cs="Times New Roman" w:eastAsia="Times New Roman" w:hint="default"/>
                <w:sz w:val="18"/>
                <w:szCs w:val="18"/>
              </w:rPr>
            </w:pPr>
            <w:r>
              <w:rPr>
                <w:rFonts w:ascii="Times New Roman"/>
                <w:sz w:val="18"/>
              </w:rPr>
              <w:t>23.5016</w:t>
            </w:r>
          </w:p>
          <w:p>
            <w:pPr>
              <w:pStyle w:val="TableParagraph"/>
              <w:spacing w:line="312" w:lineRule="auto" w:before="66"/>
              <w:ind w:left="30"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的股</w:t>
            </w:r>
            <w:r>
              <w:rPr>
                <w:rFonts w:ascii="宋体" w:hAnsi="宋体" w:cs="宋体" w:eastAsia="宋体" w:hint="default"/>
                <w:w w:val="99"/>
                <w:sz w:val="18"/>
                <w:szCs w:val="18"/>
              </w:rPr>
              <w:t> </w:t>
            </w:r>
            <w:r>
              <w:rPr>
                <w:rFonts w:ascii="宋体" w:hAnsi="宋体" w:cs="宋体" w:eastAsia="宋体" w:hint="default"/>
                <w:sz w:val="18"/>
                <w:szCs w:val="18"/>
              </w:rPr>
              <w:t>权，且</w:t>
            </w:r>
            <w:r>
              <w:rPr>
                <w:rFonts w:ascii="宋体" w:hAnsi="宋体" w:cs="宋体" w:eastAsia="宋体" w:hint="default"/>
                <w:w w:val="99"/>
                <w:sz w:val="18"/>
                <w:szCs w:val="18"/>
              </w:rPr>
              <w:t> </w:t>
            </w:r>
            <w:r>
              <w:rPr>
                <w:rFonts w:ascii="宋体" w:hAnsi="宋体" w:cs="宋体" w:eastAsia="宋体" w:hint="default"/>
                <w:sz w:val="18"/>
                <w:szCs w:val="18"/>
              </w:rPr>
              <w:t>公司董</w:t>
            </w:r>
            <w:r>
              <w:rPr>
                <w:rFonts w:ascii="宋体" w:hAnsi="宋体" w:cs="宋体" w:eastAsia="宋体" w:hint="default"/>
                <w:w w:val="99"/>
                <w:sz w:val="18"/>
                <w:szCs w:val="18"/>
              </w:rPr>
              <w:t> </w:t>
            </w:r>
            <w:r>
              <w:rPr>
                <w:rFonts w:ascii="宋体" w:hAnsi="宋体" w:cs="宋体" w:eastAsia="宋体" w:hint="default"/>
                <w:sz w:val="18"/>
                <w:szCs w:val="18"/>
              </w:rPr>
              <w:t>事魏代</w:t>
            </w:r>
            <w:r>
              <w:rPr>
                <w:rFonts w:ascii="宋体" w:hAnsi="宋体" w:cs="宋体" w:eastAsia="宋体" w:hint="default"/>
                <w:w w:val="99"/>
                <w:sz w:val="18"/>
                <w:szCs w:val="18"/>
              </w:rPr>
              <w:t> </w:t>
            </w:r>
            <w:r>
              <w:rPr>
                <w:rFonts w:ascii="宋体" w:hAnsi="宋体" w:cs="宋体" w:eastAsia="宋体" w:hint="default"/>
                <w:sz w:val="18"/>
                <w:szCs w:val="18"/>
              </w:rPr>
              <w:t>英女</w:t>
            </w:r>
            <w:r>
              <w:rPr>
                <w:rFonts w:ascii="宋体" w:hAnsi="宋体" w:cs="宋体" w:eastAsia="宋体" w:hint="default"/>
                <w:w w:val="99"/>
                <w:sz w:val="18"/>
                <w:szCs w:val="18"/>
              </w:rPr>
              <w:t> </w:t>
            </w:r>
            <w:r>
              <w:rPr>
                <w:rFonts w:ascii="宋体" w:hAnsi="宋体" w:cs="宋体" w:eastAsia="宋体" w:hint="default"/>
                <w:sz w:val="18"/>
                <w:szCs w:val="18"/>
              </w:rPr>
              <w:t>士、公</w:t>
            </w:r>
          </w:p>
          <w:p>
            <w:pPr>
              <w:pStyle w:val="TableParagraph"/>
              <w:spacing w:line="319" w:lineRule="auto" w:before="25"/>
              <w:ind w:left="30" w:right="88"/>
              <w:jc w:val="both"/>
              <w:rPr>
                <w:rFonts w:ascii="宋体" w:hAnsi="宋体" w:cs="宋体" w:eastAsia="宋体" w:hint="default"/>
                <w:sz w:val="18"/>
                <w:szCs w:val="18"/>
              </w:rPr>
            </w:pPr>
            <w:r>
              <w:rPr>
                <w:rFonts w:ascii="宋体" w:hAnsi="宋体" w:cs="宋体" w:eastAsia="宋体" w:hint="default"/>
                <w:sz w:val="18"/>
                <w:szCs w:val="18"/>
              </w:rPr>
              <w:t>司监事 胡爱武 女士分 别为深 创谷董 事、监 事</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4" w:lineRule="auto"/>
              <w:ind w:left="30" w:right="103"/>
              <w:jc w:val="both"/>
              <w:rPr>
                <w:rFonts w:ascii="宋体" w:hAnsi="宋体" w:cs="宋体" w:eastAsia="宋体" w:hint="default"/>
                <w:sz w:val="18"/>
                <w:szCs w:val="18"/>
              </w:rPr>
            </w:pPr>
            <w:r>
              <w:rPr>
                <w:rFonts w:ascii="宋体" w:hAnsi="宋体" w:cs="宋体" w:eastAsia="宋体" w:hint="default"/>
                <w:sz w:val="18"/>
                <w:szCs w:val="18"/>
              </w:rPr>
              <w:t>采购商 品接受 劳务</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07" w:lineRule="auto"/>
              <w:ind w:left="15" w:right="135"/>
              <w:jc w:val="left"/>
              <w:rPr>
                <w:rFonts w:ascii="宋体" w:hAnsi="宋体" w:cs="宋体" w:eastAsia="宋体" w:hint="default"/>
                <w:sz w:val="18"/>
                <w:szCs w:val="18"/>
              </w:rPr>
            </w:pPr>
            <w:r>
              <w:rPr>
                <w:rFonts w:ascii="宋体" w:hAnsi="宋体" w:cs="宋体" w:eastAsia="宋体" w:hint="default"/>
                <w:sz w:val="18"/>
                <w:szCs w:val="18"/>
              </w:rPr>
              <w:t>智能硬 件产品</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07" w:lineRule="auto"/>
              <w:ind w:left="15" w:right="10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4" w:lineRule="auto"/>
              <w:ind w:left="15" w:right="103"/>
              <w:jc w:val="both"/>
              <w:rPr>
                <w:rFonts w:ascii="宋体" w:hAnsi="宋体" w:cs="宋体" w:eastAsia="宋体" w:hint="default"/>
                <w:sz w:val="18"/>
                <w:szCs w:val="18"/>
              </w:rPr>
            </w:pPr>
            <w:r>
              <w:rPr>
                <w:rFonts w:ascii="宋体" w:hAnsi="宋体" w:cs="宋体" w:eastAsia="宋体" w:hint="default"/>
                <w:sz w:val="18"/>
                <w:szCs w:val="18"/>
              </w:rPr>
              <w:t>依据市 场公允 价格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1.42</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1.42</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07" w:lineRule="auto"/>
              <w:ind w:left="15" w:right="105"/>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1.42</w:t>
            </w:r>
          </w:p>
        </w:tc>
        <w:tc>
          <w:tcPr>
            <w:tcW w:w="67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北京朝歌 数码科技 股份有限 公司</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74"/>
              <w:jc w:val="left"/>
              <w:rPr>
                <w:rFonts w:ascii="宋体" w:hAnsi="宋体" w:cs="宋体" w:eastAsia="宋体" w:hint="default"/>
                <w:sz w:val="18"/>
                <w:szCs w:val="18"/>
              </w:rPr>
            </w:pPr>
            <w:r>
              <w:rPr>
                <w:rFonts w:ascii="宋体" w:hAnsi="宋体" w:cs="宋体" w:eastAsia="宋体" w:hint="default"/>
                <w:sz w:val="18"/>
                <w:szCs w:val="18"/>
              </w:rPr>
              <w:t>持有该 公司 </w:t>
            </w:r>
            <w:r>
              <w:rPr>
                <w:rFonts w:ascii="Times New Roman" w:hAnsi="Times New Roman" w:cs="Times New Roman" w:eastAsia="Times New Roman" w:hint="default"/>
                <w:sz w:val="18"/>
                <w:szCs w:val="18"/>
              </w:rPr>
              <w:t>4.5%</w:t>
            </w:r>
            <w:r>
              <w:rPr>
                <w:rFonts w:ascii="宋体" w:hAnsi="宋体" w:cs="宋体" w:eastAsia="宋体" w:hint="default"/>
                <w:sz w:val="18"/>
                <w:szCs w:val="18"/>
              </w:rPr>
              <w:t>股</w:t>
            </w:r>
          </w:p>
          <w:p>
            <w:pPr>
              <w:pStyle w:val="TableParagraph"/>
              <w:spacing w:line="219" w:lineRule="exact"/>
              <w:ind w:left="30"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30" w:right="103"/>
              <w:jc w:val="both"/>
              <w:rPr>
                <w:rFonts w:ascii="宋体" w:hAnsi="宋体" w:cs="宋体" w:eastAsia="宋体" w:hint="default"/>
                <w:sz w:val="18"/>
                <w:szCs w:val="18"/>
              </w:rPr>
            </w:pPr>
            <w:r>
              <w:rPr>
                <w:rFonts w:ascii="宋体" w:hAnsi="宋体" w:cs="宋体" w:eastAsia="宋体" w:hint="default"/>
                <w:sz w:val="18"/>
                <w:szCs w:val="18"/>
              </w:rPr>
              <w:t>销售商 品提供 劳务</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15" w:right="135"/>
              <w:jc w:val="left"/>
              <w:rPr>
                <w:rFonts w:ascii="宋体" w:hAnsi="宋体" w:cs="宋体" w:eastAsia="宋体" w:hint="default"/>
                <w:sz w:val="18"/>
                <w:szCs w:val="18"/>
              </w:rPr>
            </w:pPr>
            <w:r>
              <w:rPr>
                <w:rFonts w:ascii="宋体" w:hAnsi="宋体" w:cs="宋体" w:eastAsia="宋体" w:hint="default"/>
                <w:sz w:val="18"/>
                <w:szCs w:val="18"/>
              </w:rPr>
              <w:t>智能硬 件产品</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15" w:right="10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103"/>
              <w:jc w:val="both"/>
              <w:rPr>
                <w:rFonts w:ascii="宋体" w:hAnsi="宋体" w:cs="宋体" w:eastAsia="宋体" w:hint="default"/>
                <w:sz w:val="18"/>
                <w:szCs w:val="18"/>
              </w:rPr>
            </w:pPr>
            <w:r>
              <w:rPr>
                <w:rFonts w:ascii="宋体" w:hAnsi="宋体" w:cs="宋体" w:eastAsia="宋体" w:hint="default"/>
                <w:sz w:val="18"/>
                <w:szCs w:val="18"/>
              </w:rPr>
              <w:t>依据市 场公允 价格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140.59</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0.04%</w:t>
            </w:r>
            <w:r>
              <w:rPr>
                <w:rFonts w:ascii="Times New Roman"/>
                <w:sz w:val="18"/>
              </w:rPr>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140.59</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15" w:right="105"/>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140.59</w:t>
            </w:r>
          </w:p>
        </w:tc>
        <w:tc>
          <w:tcPr>
            <w:tcW w:w="67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799"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316" w:lineRule="auto"/>
              <w:ind w:left="15" w:right="45"/>
              <w:jc w:val="both"/>
              <w:rPr>
                <w:rFonts w:ascii="宋体" w:hAnsi="宋体" w:cs="宋体" w:eastAsia="宋体" w:hint="default"/>
                <w:sz w:val="18"/>
                <w:szCs w:val="18"/>
              </w:rPr>
            </w:pPr>
            <w:r>
              <w:rPr>
                <w:rFonts w:ascii="宋体" w:hAnsi="宋体" w:cs="宋体" w:eastAsia="宋体" w:hint="default"/>
                <w:sz w:val="18"/>
                <w:szCs w:val="18"/>
              </w:rPr>
              <w:t>深圳市深 创谷技术 服务有限 公司</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43"/>
              <w:jc w:val="left"/>
              <w:rPr>
                <w:rFonts w:ascii="宋体" w:hAnsi="宋体" w:cs="宋体" w:eastAsia="宋体" w:hint="default"/>
                <w:sz w:val="18"/>
                <w:szCs w:val="18"/>
              </w:rPr>
            </w:pPr>
            <w:r>
              <w:rPr>
                <w:rFonts w:ascii="宋体" w:hAnsi="宋体" w:cs="宋体" w:eastAsia="宋体" w:hint="default"/>
                <w:sz w:val="18"/>
                <w:szCs w:val="18"/>
              </w:rPr>
              <w:t>持有该 公司</w:t>
            </w:r>
          </w:p>
          <w:p>
            <w:pPr>
              <w:pStyle w:val="TableParagraph"/>
              <w:spacing w:line="240" w:lineRule="auto" w:before="88"/>
              <w:ind w:left="30" w:right="0"/>
              <w:jc w:val="left"/>
              <w:rPr>
                <w:rFonts w:ascii="Times New Roman" w:hAnsi="Times New Roman" w:cs="Times New Roman" w:eastAsia="Times New Roman" w:hint="default"/>
                <w:sz w:val="18"/>
                <w:szCs w:val="18"/>
              </w:rPr>
            </w:pPr>
            <w:r>
              <w:rPr>
                <w:rFonts w:ascii="Times New Roman"/>
                <w:sz w:val="18"/>
              </w:rPr>
              <w:t>23.5016</w:t>
            </w:r>
          </w:p>
          <w:p>
            <w:pPr>
              <w:pStyle w:val="TableParagraph"/>
              <w:spacing w:line="314" w:lineRule="auto" w:before="66"/>
              <w:ind w:left="30" w:right="8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的股</w:t>
            </w:r>
            <w:r>
              <w:rPr>
                <w:rFonts w:ascii="宋体" w:hAnsi="宋体" w:cs="宋体" w:eastAsia="宋体" w:hint="default"/>
                <w:w w:val="99"/>
                <w:sz w:val="18"/>
                <w:szCs w:val="18"/>
              </w:rPr>
              <w:t> </w:t>
            </w:r>
            <w:r>
              <w:rPr>
                <w:rFonts w:ascii="宋体" w:hAnsi="宋体" w:cs="宋体" w:eastAsia="宋体" w:hint="default"/>
                <w:sz w:val="18"/>
                <w:szCs w:val="18"/>
              </w:rPr>
              <w:t>权，且</w:t>
            </w:r>
            <w:r>
              <w:rPr>
                <w:rFonts w:ascii="宋体" w:hAnsi="宋体" w:cs="宋体" w:eastAsia="宋体" w:hint="default"/>
                <w:w w:val="99"/>
                <w:sz w:val="18"/>
                <w:szCs w:val="18"/>
              </w:rPr>
              <w:t> </w:t>
            </w:r>
            <w:r>
              <w:rPr>
                <w:rFonts w:ascii="宋体" w:hAnsi="宋体" w:cs="宋体" w:eastAsia="宋体" w:hint="default"/>
                <w:sz w:val="18"/>
                <w:szCs w:val="18"/>
              </w:rPr>
              <w:t>公司董</w:t>
            </w:r>
            <w:r>
              <w:rPr>
                <w:rFonts w:ascii="宋体" w:hAnsi="宋体" w:cs="宋体" w:eastAsia="宋体" w:hint="default"/>
                <w:w w:val="99"/>
                <w:sz w:val="18"/>
                <w:szCs w:val="18"/>
              </w:rPr>
              <w:t> </w:t>
            </w:r>
            <w:r>
              <w:rPr>
                <w:rFonts w:ascii="宋体" w:hAnsi="宋体" w:cs="宋体" w:eastAsia="宋体" w:hint="default"/>
                <w:sz w:val="18"/>
                <w:szCs w:val="18"/>
              </w:rPr>
              <w:t>事魏代</w:t>
            </w:r>
            <w:r>
              <w:rPr>
                <w:rFonts w:ascii="宋体" w:hAnsi="宋体" w:cs="宋体" w:eastAsia="宋体" w:hint="default"/>
                <w:w w:val="99"/>
                <w:sz w:val="18"/>
                <w:szCs w:val="18"/>
              </w:rPr>
              <w:t> </w:t>
            </w:r>
            <w:r>
              <w:rPr>
                <w:rFonts w:ascii="宋体" w:hAnsi="宋体" w:cs="宋体" w:eastAsia="宋体" w:hint="default"/>
                <w:sz w:val="18"/>
                <w:szCs w:val="18"/>
              </w:rPr>
              <w:t>英女</w:t>
            </w:r>
            <w:r>
              <w:rPr>
                <w:rFonts w:ascii="宋体" w:hAnsi="宋体" w:cs="宋体" w:eastAsia="宋体" w:hint="default"/>
                <w:w w:val="99"/>
                <w:sz w:val="18"/>
                <w:szCs w:val="18"/>
              </w:rPr>
              <w:t> </w:t>
            </w:r>
            <w:r>
              <w:rPr>
                <w:rFonts w:ascii="宋体" w:hAnsi="宋体" w:cs="宋体" w:eastAsia="宋体" w:hint="default"/>
                <w:sz w:val="18"/>
                <w:szCs w:val="18"/>
              </w:rPr>
              <w:t>士、公</w:t>
            </w:r>
            <w:r>
              <w:rPr>
                <w:rFonts w:ascii="宋体" w:hAnsi="宋体" w:cs="宋体" w:eastAsia="宋体" w:hint="default"/>
                <w:w w:val="99"/>
                <w:sz w:val="18"/>
                <w:szCs w:val="18"/>
              </w:rPr>
              <w:t> </w:t>
            </w:r>
            <w:r>
              <w:rPr>
                <w:rFonts w:ascii="宋体" w:hAnsi="宋体" w:cs="宋体" w:eastAsia="宋体" w:hint="default"/>
                <w:sz w:val="18"/>
                <w:szCs w:val="18"/>
              </w:rPr>
              <w:t>司监事</w:t>
            </w:r>
          </w:p>
          <w:p>
            <w:pPr>
              <w:pStyle w:val="TableParagraph"/>
              <w:spacing w:line="307" w:lineRule="auto" w:before="24"/>
              <w:ind w:left="30" w:right="88"/>
              <w:jc w:val="left"/>
              <w:rPr>
                <w:rFonts w:ascii="宋体" w:hAnsi="宋体" w:cs="宋体" w:eastAsia="宋体" w:hint="default"/>
                <w:sz w:val="18"/>
                <w:szCs w:val="18"/>
              </w:rPr>
            </w:pPr>
            <w:r>
              <w:rPr>
                <w:rFonts w:ascii="宋体" w:hAnsi="宋体" w:cs="宋体" w:eastAsia="宋体" w:hint="default"/>
                <w:sz w:val="18"/>
                <w:szCs w:val="18"/>
              </w:rPr>
              <w:t>胡爱武 女士分</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14" w:lineRule="auto"/>
              <w:ind w:left="30" w:right="103"/>
              <w:jc w:val="both"/>
              <w:rPr>
                <w:rFonts w:ascii="宋体" w:hAnsi="宋体" w:cs="宋体" w:eastAsia="宋体" w:hint="default"/>
                <w:sz w:val="18"/>
                <w:szCs w:val="18"/>
              </w:rPr>
            </w:pPr>
            <w:r>
              <w:rPr>
                <w:rFonts w:ascii="宋体" w:hAnsi="宋体" w:cs="宋体" w:eastAsia="宋体" w:hint="default"/>
                <w:sz w:val="18"/>
                <w:szCs w:val="18"/>
              </w:rPr>
              <w:t>销售商 品提供 劳务</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07" w:lineRule="auto"/>
              <w:ind w:left="15" w:right="135"/>
              <w:jc w:val="left"/>
              <w:rPr>
                <w:rFonts w:ascii="宋体" w:hAnsi="宋体" w:cs="宋体" w:eastAsia="宋体" w:hint="default"/>
                <w:sz w:val="18"/>
                <w:szCs w:val="18"/>
              </w:rPr>
            </w:pPr>
            <w:r>
              <w:rPr>
                <w:rFonts w:ascii="宋体" w:hAnsi="宋体" w:cs="宋体" w:eastAsia="宋体" w:hint="default"/>
                <w:sz w:val="18"/>
                <w:szCs w:val="18"/>
              </w:rPr>
              <w:t>智能硬 件产品</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07" w:lineRule="auto"/>
              <w:ind w:left="15" w:right="10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14" w:lineRule="auto"/>
              <w:ind w:left="15" w:right="103"/>
              <w:jc w:val="both"/>
              <w:rPr>
                <w:rFonts w:ascii="宋体" w:hAnsi="宋体" w:cs="宋体" w:eastAsia="宋体" w:hint="default"/>
                <w:sz w:val="18"/>
                <w:szCs w:val="18"/>
              </w:rPr>
            </w:pPr>
            <w:r>
              <w:rPr>
                <w:rFonts w:ascii="宋体" w:hAnsi="宋体" w:cs="宋体" w:eastAsia="宋体" w:hint="default"/>
                <w:sz w:val="18"/>
                <w:szCs w:val="18"/>
              </w:rPr>
              <w:t>依据市 场公允 价格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8"/>
              <w:jc w:val="right"/>
              <w:rPr>
                <w:rFonts w:ascii="Times New Roman" w:hAnsi="Times New Roman" w:cs="Times New Roman" w:eastAsia="Times New Roman" w:hint="default"/>
                <w:sz w:val="18"/>
                <w:szCs w:val="18"/>
              </w:rPr>
            </w:pPr>
            <w:r>
              <w:rPr>
                <w:rFonts w:ascii="Times New Roman"/>
                <w:sz w:val="18"/>
              </w:rPr>
              <w:t>175.9</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9"/>
              <w:jc w:val="right"/>
              <w:rPr>
                <w:rFonts w:ascii="Times New Roman" w:hAnsi="Times New Roman" w:cs="Times New Roman" w:eastAsia="Times New Roman" w:hint="default"/>
                <w:sz w:val="18"/>
                <w:szCs w:val="18"/>
              </w:rPr>
            </w:pPr>
            <w:r>
              <w:rPr>
                <w:rFonts w:ascii="Times New Roman"/>
                <w:w w:val="95"/>
                <w:sz w:val="18"/>
              </w:rPr>
              <w:t>0.05%</w:t>
            </w:r>
            <w:r>
              <w:rPr>
                <w:rFonts w:ascii="Times New Roman"/>
                <w:sz w:val="18"/>
              </w:rPr>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28"/>
              <w:jc w:val="right"/>
              <w:rPr>
                <w:rFonts w:ascii="Times New Roman" w:hAnsi="Times New Roman" w:cs="Times New Roman" w:eastAsia="Times New Roman" w:hint="default"/>
                <w:sz w:val="18"/>
                <w:szCs w:val="18"/>
              </w:rPr>
            </w:pPr>
            <w:r>
              <w:rPr>
                <w:rFonts w:ascii="Times New Roman"/>
                <w:sz w:val="18"/>
              </w:rPr>
              <w:t>175.9</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07" w:lineRule="auto"/>
              <w:ind w:left="15" w:right="105"/>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15" w:right="0"/>
              <w:jc w:val="left"/>
              <w:rPr>
                <w:rFonts w:ascii="Times New Roman" w:hAnsi="Times New Roman" w:cs="Times New Roman" w:eastAsia="Times New Roman" w:hint="default"/>
                <w:sz w:val="18"/>
                <w:szCs w:val="18"/>
              </w:rPr>
            </w:pPr>
            <w:r>
              <w:rPr>
                <w:rFonts w:ascii="Times New Roman"/>
                <w:sz w:val="18"/>
              </w:rPr>
              <w:t>175.9</w:t>
            </w:r>
          </w:p>
        </w:tc>
        <w:tc>
          <w:tcPr>
            <w:tcW w:w="67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96"/>
        <w:gridCol w:w="676"/>
        <w:gridCol w:w="691"/>
        <w:gridCol w:w="706"/>
        <w:gridCol w:w="676"/>
        <w:gridCol w:w="676"/>
        <w:gridCol w:w="676"/>
        <w:gridCol w:w="676"/>
        <w:gridCol w:w="675"/>
        <w:gridCol w:w="676"/>
        <w:gridCol w:w="676"/>
        <w:gridCol w:w="661"/>
        <w:gridCol w:w="676"/>
        <w:gridCol w:w="646"/>
      </w:tblGrid>
      <w:tr>
        <w:trPr>
          <w:trHeight w:val="1306" w:hRule="exact"/>
        </w:trPr>
        <w:tc>
          <w:tcPr>
            <w:tcW w:w="79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30" w:right="88"/>
              <w:jc w:val="both"/>
              <w:rPr>
                <w:rFonts w:ascii="宋体" w:hAnsi="宋体" w:cs="宋体" w:eastAsia="宋体" w:hint="default"/>
                <w:sz w:val="18"/>
                <w:szCs w:val="18"/>
              </w:rPr>
            </w:pPr>
            <w:r>
              <w:rPr>
                <w:rFonts w:ascii="宋体" w:hAnsi="宋体" w:cs="宋体" w:eastAsia="宋体" w:hint="default"/>
                <w:sz w:val="18"/>
                <w:szCs w:val="18"/>
              </w:rPr>
              <w:t>别为深 创谷董 事、监 事</w:t>
            </w:r>
          </w:p>
        </w:tc>
        <w:tc>
          <w:tcPr>
            <w:tcW w:w="691"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45"/>
              <w:jc w:val="both"/>
              <w:rPr>
                <w:rFonts w:ascii="宋体" w:hAnsi="宋体" w:cs="宋体" w:eastAsia="宋体" w:hint="default"/>
                <w:sz w:val="18"/>
                <w:szCs w:val="18"/>
              </w:rPr>
            </w:pPr>
            <w:r>
              <w:rPr>
                <w:rFonts w:ascii="宋体" w:hAnsi="宋体" w:cs="宋体" w:eastAsia="宋体" w:hint="default"/>
                <w:sz w:val="18"/>
                <w:szCs w:val="18"/>
              </w:rPr>
              <w:t>翼智（厦 门）信息 科技有限 公司</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88"/>
              <w:jc w:val="left"/>
              <w:rPr>
                <w:rFonts w:ascii="宋体" w:hAnsi="宋体" w:cs="宋体" w:eastAsia="宋体" w:hint="default"/>
                <w:sz w:val="18"/>
                <w:szCs w:val="18"/>
              </w:rPr>
            </w:pPr>
            <w:r>
              <w:rPr>
                <w:rFonts w:ascii="宋体" w:hAnsi="宋体" w:cs="宋体" w:eastAsia="宋体" w:hint="default"/>
                <w:sz w:val="18"/>
                <w:szCs w:val="18"/>
              </w:rPr>
              <w:t>持有该 公司 </w:t>
            </w:r>
            <w:r>
              <w:rPr>
                <w:rFonts w:ascii="Times New Roman" w:hAnsi="Times New Roman" w:cs="Times New Roman" w:eastAsia="Times New Roman" w:hint="default"/>
                <w:sz w:val="18"/>
                <w:szCs w:val="18"/>
              </w:rPr>
              <w:t>40%</w:t>
            </w:r>
            <w:r>
              <w:rPr>
                <w:rFonts w:ascii="宋体" w:hAnsi="宋体" w:cs="宋体" w:eastAsia="宋体" w:hint="default"/>
                <w:sz w:val="18"/>
                <w:szCs w:val="18"/>
              </w:rPr>
              <w:t>股</w:t>
            </w:r>
          </w:p>
          <w:p>
            <w:pPr>
              <w:pStyle w:val="TableParagraph"/>
              <w:spacing w:line="219" w:lineRule="exact"/>
              <w:ind w:left="30"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30" w:right="103"/>
              <w:jc w:val="both"/>
              <w:rPr>
                <w:rFonts w:ascii="宋体" w:hAnsi="宋体" w:cs="宋体" w:eastAsia="宋体" w:hint="default"/>
                <w:sz w:val="18"/>
                <w:szCs w:val="18"/>
              </w:rPr>
            </w:pPr>
            <w:r>
              <w:rPr>
                <w:rFonts w:ascii="宋体" w:hAnsi="宋体" w:cs="宋体" w:eastAsia="宋体" w:hint="default"/>
                <w:sz w:val="18"/>
                <w:szCs w:val="18"/>
              </w:rPr>
              <w:t>销售商 品提供 劳务</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04" w:lineRule="auto"/>
              <w:ind w:left="15" w:right="135"/>
              <w:jc w:val="left"/>
              <w:rPr>
                <w:rFonts w:ascii="宋体" w:hAnsi="宋体" w:cs="宋体" w:eastAsia="宋体" w:hint="default"/>
                <w:sz w:val="18"/>
                <w:szCs w:val="18"/>
              </w:rPr>
            </w:pPr>
            <w:r>
              <w:rPr>
                <w:rFonts w:ascii="宋体" w:hAnsi="宋体" w:cs="宋体" w:eastAsia="宋体" w:hint="default"/>
                <w:sz w:val="18"/>
                <w:szCs w:val="18"/>
              </w:rPr>
              <w:t>智能硬 件产品</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04" w:lineRule="auto"/>
              <w:ind w:left="15" w:right="105"/>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 w:right="103"/>
              <w:jc w:val="both"/>
              <w:rPr>
                <w:rFonts w:ascii="宋体" w:hAnsi="宋体" w:cs="宋体" w:eastAsia="宋体" w:hint="default"/>
                <w:sz w:val="18"/>
                <w:szCs w:val="18"/>
              </w:rPr>
            </w:pPr>
            <w:r>
              <w:rPr>
                <w:rFonts w:ascii="宋体" w:hAnsi="宋体" w:cs="宋体" w:eastAsia="宋体" w:hint="default"/>
                <w:sz w:val="18"/>
                <w:szCs w:val="18"/>
              </w:rPr>
              <w:t>依据市 场公允 价格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92.71</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0.03%</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92.71</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04" w:lineRule="auto"/>
              <w:ind w:left="15" w:right="105"/>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92.71</w:t>
            </w:r>
          </w:p>
        </w:tc>
        <w:tc>
          <w:tcPr>
            <w:tcW w:w="676"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6" w:hRule="exact"/>
        </w:trPr>
        <w:tc>
          <w:tcPr>
            <w:tcW w:w="286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w:t>
            </w:r>
          </w:p>
        </w:tc>
        <w:tc>
          <w:tcPr>
            <w:tcW w:w="67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410.62</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410.62</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7"/>
              <w:jc w:val="center"/>
              <w:rPr>
                <w:rFonts w:ascii="Times New Roman" w:hAnsi="Times New Roman" w:cs="Times New Roman" w:eastAsia="Times New Roman" w:hint="default"/>
                <w:sz w:val="18"/>
                <w:szCs w:val="18"/>
              </w:rPr>
            </w:pPr>
            <w:r>
              <w:rPr>
                <w:rFonts w:ascii="Times New Roman"/>
                <w:sz w:val="18"/>
              </w:rPr>
              <w:t>--</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286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3" w:type="dxa"/>
            <w:gridSpan w:val="10"/>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36" w:hRule="exact"/>
        </w:trPr>
        <w:tc>
          <w:tcPr>
            <w:tcW w:w="286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31"/>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实际履行情况（如有）</w:t>
            </w:r>
          </w:p>
        </w:tc>
        <w:tc>
          <w:tcPr>
            <w:tcW w:w="6713" w:type="dxa"/>
            <w:gridSpan w:val="10"/>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06" w:hRule="exact"/>
        </w:trPr>
        <w:tc>
          <w:tcPr>
            <w:tcW w:w="286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36"/>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3" w:type="dxa"/>
            <w:gridSpan w:val="10"/>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spacing w:val="5"/>
        </w:rPr>
        <w:t>2</w:t>
      </w:r>
      <w:r>
        <w:rPr>
          <w:spacing w:val="5"/>
        </w:rPr>
        <w:t>、资产或股权收购、出售发生的关联交易</w:t>
      </w:r>
      <w:r>
        <w:rPr>
          <w:b w:val="0"/>
          <w:bCs w:val="0"/>
          <w:spacing w:val="5"/>
        </w:rPr>
      </w:r>
    </w:p>
    <w:p>
      <w:pPr>
        <w:spacing w:line="240" w:lineRule="auto" w:before="11"/>
        <w:rPr>
          <w:rFonts w:ascii="宋体" w:hAnsi="宋体" w:cs="宋体" w:eastAsia="宋体" w:hint="default"/>
          <w:b/>
          <w:bCs/>
          <w:sz w:val="27"/>
          <w:szCs w:val="27"/>
        </w:rPr>
      </w:pPr>
    </w:p>
    <w:p>
      <w:pPr>
        <w:pStyle w:val="BodyText"/>
        <w:spacing w:line="316" w:lineRule="auto"/>
        <w:ind w:right="64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公司报告期未发生资产或股权收购、出售的关联交易。</w:t>
      </w:r>
    </w:p>
    <w:p>
      <w:pPr>
        <w:spacing w:line="240" w:lineRule="auto" w:before="0"/>
        <w:rPr>
          <w:rFonts w:ascii="宋体" w:hAnsi="宋体" w:cs="宋体" w:eastAsia="宋体" w:hint="default"/>
          <w:sz w:val="26"/>
          <w:szCs w:val="26"/>
        </w:rPr>
      </w:pPr>
    </w:p>
    <w:p>
      <w:pPr>
        <w:pStyle w:val="Heading5"/>
        <w:spacing w:line="240" w:lineRule="auto"/>
        <w:ind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spacing w:val="4"/>
        </w:rPr>
        <w:t>3</w:t>
      </w:r>
      <w:r>
        <w:rPr>
          <w:spacing w:val="4"/>
        </w:rPr>
        <w:t>、共同对外投资的关联交易</w:t>
      </w:r>
      <w:r>
        <w:rPr>
          <w:b w:val="0"/>
          <w:bCs w:val="0"/>
          <w:spacing w:val="4"/>
        </w:rPr>
      </w:r>
    </w:p>
    <w:p>
      <w:pPr>
        <w:spacing w:line="240" w:lineRule="auto" w:before="9"/>
        <w:rPr>
          <w:rFonts w:ascii="宋体" w:hAnsi="宋体" w:cs="宋体" w:eastAsia="宋体" w:hint="default"/>
          <w:b/>
          <w:bCs/>
          <w:sz w:val="26"/>
          <w:szCs w:val="26"/>
        </w:rPr>
      </w:pPr>
    </w:p>
    <w:p>
      <w:pPr>
        <w:pStyle w:val="BodyText"/>
        <w:spacing w:line="333" w:lineRule="auto"/>
        <w:ind w:right="7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公司报告期未发生共同对外投资的关联交易。</w:t>
      </w:r>
    </w:p>
    <w:p>
      <w:pPr>
        <w:spacing w:line="240" w:lineRule="auto" w:before="12"/>
        <w:rPr>
          <w:rFonts w:ascii="宋体" w:hAnsi="宋体" w:cs="宋体" w:eastAsia="宋体" w:hint="default"/>
          <w:sz w:val="23"/>
          <w:szCs w:val="23"/>
        </w:rPr>
      </w:pPr>
    </w:p>
    <w:p>
      <w:pPr>
        <w:pStyle w:val="Heading5"/>
        <w:spacing w:line="240" w:lineRule="auto"/>
        <w:ind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spacing w:val="4"/>
        </w:rPr>
        <w:t>4</w:t>
      </w:r>
      <w:r>
        <w:rPr>
          <w:spacing w:val="4"/>
        </w:rPr>
        <w:t>、关联债权债务往来</w:t>
      </w:r>
      <w:r>
        <w:rPr>
          <w:b w:val="0"/>
          <w:bCs w:val="0"/>
          <w:spacing w:val="4"/>
        </w:rPr>
      </w:r>
    </w:p>
    <w:p>
      <w:pPr>
        <w:spacing w:line="240" w:lineRule="auto" w:before="9"/>
        <w:rPr>
          <w:rFonts w:ascii="宋体" w:hAnsi="宋体" w:cs="宋体" w:eastAsia="宋体" w:hint="default"/>
          <w:b/>
          <w:bCs/>
          <w:sz w:val="26"/>
          <w:szCs w:val="26"/>
        </w:rPr>
      </w:pPr>
    </w:p>
    <w:p>
      <w:pPr>
        <w:pStyle w:val="BodyText"/>
        <w:spacing w:line="333" w:lineRule="auto"/>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公司报告期不存在关联债权债务往来。</w:t>
      </w:r>
    </w:p>
    <w:p>
      <w:pPr>
        <w:spacing w:line="240" w:lineRule="auto" w:before="12"/>
        <w:rPr>
          <w:rFonts w:ascii="宋体" w:hAnsi="宋体" w:cs="宋体" w:eastAsia="宋体" w:hint="default"/>
          <w:sz w:val="23"/>
          <w:szCs w:val="23"/>
        </w:rPr>
      </w:pPr>
    </w:p>
    <w:p>
      <w:pPr>
        <w:pStyle w:val="Heading5"/>
        <w:spacing w:line="240" w:lineRule="auto"/>
        <w:ind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spacing w:val="4"/>
        </w:rPr>
        <w:t>5</w:t>
      </w:r>
      <w:r>
        <w:rPr>
          <w:spacing w:val="4"/>
        </w:rPr>
        <w:t>、其他重大关联交易</w:t>
      </w:r>
      <w:r>
        <w:rPr>
          <w:b w:val="0"/>
          <w:bCs w:val="0"/>
          <w:spacing w:val="4"/>
        </w:rPr>
      </w:r>
    </w:p>
    <w:p>
      <w:pPr>
        <w:spacing w:line="240" w:lineRule="auto" w:before="9"/>
        <w:rPr>
          <w:rFonts w:ascii="宋体" w:hAnsi="宋体" w:cs="宋体" w:eastAsia="宋体" w:hint="default"/>
          <w:b/>
          <w:bCs/>
          <w:sz w:val="26"/>
          <w:szCs w:val="26"/>
        </w:rPr>
      </w:pPr>
    </w:p>
    <w:p>
      <w:pPr>
        <w:pStyle w:val="BodyText"/>
        <w:spacing w:line="333"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公司报告期无其他重大关联交易。</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spacing w:val="5"/>
        </w:rPr>
        <w:t>1</w:t>
      </w:r>
      <w:r>
        <w:rPr>
          <w:spacing w:val="5"/>
        </w:rPr>
        <w:t>、托管、承包、租赁事项情况</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托管情况" w:id="89"/>
      <w:bookmarkEnd w:id="89"/>
      <w:r>
        <w:rPr>
          <w:b w:val="0"/>
          <w:bCs w:val="0"/>
        </w:rPr>
      </w:r>
      <w:r>
        <w:rPr>
          <w:spacing w:val="5"/>
        </w:rPr>
        <w:t>（</w:t>
      </w:r>
      <w:r>
        <w:rPr>
          <w:rFonts w:ascii="Times New Roman" w:hAnsi="Times New Roman" w:cs="Times New Roman" w:eastAsia="Times New Roman" w:hint="default"/>
          <w:spacing w:val="5"/>
        </w:rPr>
        <w:t>1</w:t>
      </w:r>
      <w:r>
        <w:rPr>
          <w:spacing w:val="5"/>
        </w:rPr>
        <w:t>）托管情况</w:t>
      </w:r>
      <w:r>
        <w:rPr>
          <w:b w:val="0"/>
          <w:bCs w:val="0"/>
          <w:spacing w:val="5"/>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公司报告期不存在托管情况。</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2）承包情况" w:id="90"/>
      <w:bookmarkEnd w:id="90"/>
      <w:r>
        <w:rPr>
          <w:b w:val="0"/>
          <w:bCs w:val="0"/>
        </w:rPr>
      </w:r>
      <w:r>
        <w:rPr>
          <w:spacing w:val="5"/>
        </w:rPr>
        <w:t>（</w:t>
      </w:r>
      <w:r>
        <w:rPr>
          <w:rFonts w:ascii="Times New Roman" w:hAnsi="Times New Roman" w:cs="Times New Roman" w:eastAsia="Times New Roman" w:hint="default"/>
          <w:spacing w:val="5"/>
        </w:rPr>
        <w:t>2</w:t>
      </w:r>
      <w:r>
        <w:rPr>
          <w:spacing w:val="5"/>
        </w:rPr>
        <w:t>）承包情况</w:t>
      </w:r>
      <w:r>
        <w:rPr>
          <w:b w:val="0"/>
          <w:bCs w:val="0"/>
          <w:spacing w:val="5"/>
        </w:rPr>
      </w:r>
    </w:p>
    <w:p>
      <w:pPr>
        <w:spacing w:line="240" w:lineRule="auto" w:before="11"/>
        <w:rPr>
          <w:rFonts w:ascii="宋体" w:hAnsi="宋体" w:cs="宋体" w:eastAsia="宋体" w:hint="default"/>
          <w:b/>
          <w:bCs/>
          <w:sz w:val="27"/>
          <w:szCs w:val="27"/>
        </w:rPr>
      </w:pPr>
    </w:p>
    <w:p>
      <w:pPr>
        <w:pStyle w:val="BodyText"/>
        <w:spacing w:line="319"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公司报告期不存在承包情况。</w:t>
      </w: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3）租赁情况" w:id="91"/>
      <w:bookmarkEnd w:id="91"/>
      <w:r>
        <w:rPr>
          <w:b w:val="0"/>
          <w:bCs w:val="0"/>
        </w:rPr>
      </w:r>
      <w:r>
        <w:rPr>
          <w:spacing w:val="5"/>
        </w:rPr>
        <w:t>（</w:t>
      </w:r>
      <w:r>
        <w:rPr>
          <w:rFonts w:ascii="Times New Roman" w:hAnsi="Times New Roman" w:cs="Times New Roman" w:eastAsia="Times New Roman" w:hint="default"/>
          <w:spacing w:val="5"/>
        </w:rPr>
        <w:t>3</w:t>
      </w:r>
      <w:r>
        <w:rPr>
          <w:spacing w:val="5"/>
        </w:rPr>
        <w:t>）租赁情况</w:t>
      </w:r>
      <w:r>
        <w:rPr>
          <w:b w:val="0"/>
          <w:bCs w:val="0"/>
          <w:spacing w:val="5"/>
        </w:rPr>
      </w:r>
    </w:p>
    <w:p>
      <w:pPr>
        <w:spacing w:line="240" w:lineRule="auto" w:before="9"/>
        <w:rPr>
          <w:rFonts w:ascii="宋体" w:hAnsi="宋体" w:cs="宋体" w:eastAsia="宋体" w:hint="default"/>
          <w:b/>
          <w:bCs/>
          <w:sz w:val="26"/>
          <w:szCs w:val="26"/>
        </w:rPr>
      </w:pPr>
    </w:p>
    <w:p>
      <w:pPr>
        <w:pStyle w:val="BodyText"/>
        <w:spacing w:line="316"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租赁情况说明</w:t>
      </w:r>
    </w:p>
    <w:p>
      <w:pPr>
        <w:pStyle w:val="BodyText"/>
        <w:spacing w:line="304" w:lineRule="auto" w:before="82"/>
        <w:ind w:right="1109" w:firstLine="104"/>
        <w:jc w:val="center"/>
      </w:pPr>
      <w:r>
        <w:rPr/>
        <w:t>（</w:t>
      </w:r>
      <w:r>
        <w:rPr>
          <w:rFonts w:ascii="Times New Roman" w:hAnsi="Times New Roman" w:cs="Times New Roman" w:eastAsia="Times New Roman" w:hint="default"/>
        </w:rPr>
        <w:t>1</w:t>
      </w:r>
      <w:r>
        <w:rPr/>
        <w:t>）本公司与深圳英特利投资有限公司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英特利投资</w:t>
      </w:r>
      <w:r>
        <w:rPr>
          <w:rFonts w:ascii="Times New Roman" w:hAnsi="Times New Roman" w:cs="Times New Roman" w:eastAsia="Times New Roman" w:hint="default"/>
        </w:rPr>
        <w:t>”)</w:t>
      </w:r>
      <w:r>
        <w:rPr/>
        <w:t>签订房屋租赁，合同约定：英特利投资将位于松岗同</w:t>
      </w:r>
      <w:r>
        <w:rPr>
          <w:spacing w:val="-4"/>
        </w:rPr>
        <w:t> </w:t>
      </w:r>
      <w:r>
        <w:rPr/>
        <w:t>富</w:t>
      </w:r>
      <w:r>
        <w:rPr/>
        <w:t> 裕工业区的 </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w:t>
      </w:r>
      <w:r>
        <w:rPr>
          <w:spacing w:val="-6"/>
        </w:rPr>
        <w:t>、</w:t>
      </w:r>
      <w:r>
        <w:rPr>
          <w:rFonts w:ascii="Times New Roman" w:hAnsi="Times New Roman" w:cs="Times New Roman" w:eastAsia="Times New Roman" w:hint="default"/>
          <w:spacing w:val="-6"/>
        </w:rPr>
        <w:t>3#</w:t>
      </w:r>
      <w:r>
        <w:rPr>
          <w:spacing w:val="-6"/>
        </w:rPr>
        <w:t>厂房和 </w:t>
      </w:r>
      <w:r>
        <w:rPr>
          <w:rFonts w:ascii="Times New Roman" w:hAnsi="Times New Roman" w:cs="Times New Roman" w:eastAsia="Times New Roman" w:hint="default"/>
          <w:spacing w:val="-4"/>
        </w:rPr>
        <w:t>4#</w:t>
      </w:r>
      <w:r>
        <w:rPr>
          <w:spacing w:val="-4"/>
        </w:rPr>
        <w:t>、</w:t>
      </w:r>
      <w:r>
        <w:rPr>
          <w:rFonts w:ascii="Times New Roman" w:hAnsi="Times New Roman" w:cs="Times New Roman" w:eastAsia="Times New Roman" w:hint="default"/>
          <w:spacing w:val="-4"/>
        </w:rPr>
        <w:t>5#</w:t>
      </w:r>
      <w:r>
        <w:rPr>
          <w:spacing w:val="-4"/>
        </w:rPr>
        <w:t>宿舍出租给公司使用，总面积 </w:t>
      </w:r>
      <w:r>
        <w:rPr>
          <w:rFonts w:ascii="Times New Roman" w:hAnsi="Times New Roman" w:cs="Times New Roman" w:eastAsia="Times New Roman" w:hint="default"/>
        </w:rPr>
        <w:t>101,337.14 </w:t>
      </w:r>
      <w:r>
        <w:rPr>
          <w:spacing w:val="-4"/>
        </w:rPr>
        <w:t>平方米。</w:t>
      </w:r>
      <w:r>
        <w:rPr>
          <w:rFonts w:ascii="Times New Roman" w:hAnsi="Times New Roman" w:cs="Times New Roman" w:eastAsia="Times New Roman" w:hint="default"/>
          <w:spacing w:val="-4"/>
        </w:rPr>
        <w:t>2010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6 </w:t>
      </w:r>
      <w:r>
        <w:rPr>
          <w:rFonts w:ascii="Times New Roman" w:hAnsi="Times New Roman" w:cs="Times New Roman" w:eastAsia="Times New Roman" w:hint="default"/>
          <w:spacing w:val="28"/>
        </w:rPr>
        <w:t> </w:t>
      </w:r>
      <w:r>
        <w:rPr/>
        <w:t>月</w:t>
      </w:r>
    </w:p>
    <w:p>
      <w:pPr>
        <w:pStyle w:val="BodyText"/>
        <w:spacing w:line="246"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rPr>
        <w:t>30 </w:t>
      </w:r>
      <w:r>
        <w:rPr>
          <w:rFonts w:ascii="Times New Roman" w:hAnsi="Times New Roman" w:cs="Times New Roman" w:eastAsia="Times New Roman" w:hint="default"/>
          <w:spacing w:val="-15"/>
        </w:rPr>
        <w:t> </w:t>
      </w:r>
      <w:r>
        <w:rPr/>
        <w:t>日每月租金为人民币</w:t>
      </w:r>
      <w:r>
        <w:rPr>
          <w:spacing w:val="-13"/>
        </w:rPr>
        <w:t> </w:t>
      </w:r>
      <w:r>
        <w:rPr>
          <w:rFonts w:ascii="Times New Roman" w:hAnsi="Times New Roman" w:cs="Times New Roman" w:eastAsia="Times New Roman" w:hint="default"/>
        </w:rPr>
        <w:t>1,013,371.40 </w:t>
      </w:r>
      <w:r>
        <w:rPr>
          <w:rFonts w:ascii="Times New Roman" w:hAnsi="Times New Roman" w:cs="Times New Roman" w:eastAsia="Times New Roman" w:hint="default"/>
          <w:spacing w:val="-14"/>
        </w:rPr>
        <w:t> </w:t>
      </w:r>
      <w:r>
        <w:rPr/>
        <w:t>元</w:t>
      </w:r>
      <w:r>
        <w:rPr>
          <w:spacing w:val="-75"/>
        </w:rPr>
        <w:t>、</w:t>
      </w:r>
      <w:r>
        <w:rPr>
          <w:rFonts w:ascii="Times New Roman" w:hAnsi="Times New Roman" w:cs="Times New Roman" w:eastAsia="Times New Roman" w:hint="default"/>
        </w:rPr>
        <w:t>2014 </w:t>
      </w:r>
      <w:r>
        <w:rPr>
          <w:rFonts w:ascii="Times New Roman" w:hAnsi="Times New Roman" w:cs="Times New Roman" w:eastAsia="Times New Roman" w:hint="default"/>
          <w:spacing w:val="-15"/>
        </w:rPr>
        <w:t> </w:t>
      </w:r>
      <w:r>
        <w:rPr/>
        <w:t>年</w:t>
      </w:r>
      <w:r>
        <w:rPr>
          <w:spacing w:val="-15"/>
        </w:rPr>
        <w:t> </w:t>
      </w:r>
      <w:r>
        <w:rPr>
          <w:rFonts w:ascii="Times New Roman" w:hAnsi="Times New Roman" w:cs="Times New Roman" w:eastAsia="Times New Roman" w:hint="default"/>
        </w:rPr>
        <w:t>7 </w:t>
      </w:r>
      <w:r>
        <w:rPr>
          <w:rFonts w:ascii="Times New Roman" w:hAnsi="Times New Roman" w:cs="Times New Roman" w:eastAsia="Times New Roman" w:hint="default"/>
          <w:spacing w:val="-15"/>
        </w:rPr>
        <w:t> </w:t>
      </w:r>
      <w:r>
        <w:rPr/>
        <w:t>月</w:t>
      </w:r>
      <w:r>
        <w:rPr>
          <w:spacing w:val="-15"/>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日至</w:t>
      </w:r>
      <w:r>
        <w:rPr>
          <w:spacing w:val="-15"/>
        </w:rPr>
        <w:t> </w:t>
      </w:r>
      <w:r>
        <w:rPr>
          <w:rFonts w:ascii="Times New Roman" w:hAnsi="Times New Roman" w:cs="Times New Roman" w:eastAsia="Times New Roman" w:hint="default"/>
        </w:rPr>
        <w:t>2018 </w:t>
      </w:r>
      <w:r>
        <w:rPr>
          <w:rFonts w:ascii="Times New Roman" w:hAnsi="Times New Roman" w:cs="Times New Roman" w:eastAsia="Times New Roman" w:hint="default"/>
          <w:spacing w:val="-15"/>
        </w:rPr>
        <w:t> </w:t>
      </w:r>
      <w:r>
        <w:rPr/>
        <w:t>年</w:t>
      </w:r>
      <w:r>
        <w:rPr>
          <w:spacing w:val="-15"/>
        </w:rPr>
        <w:t> </w:t>
      </w:r>
      <w:r>
        <w:rPr>
          <w:rFonts w:ascii="Times New Roman" w:hAnsi="Times New Roman" w:cs="Times New Roman" w:eastAsia="Times New Roman" w:hint="default"/>
        </w:rPr>
        <w:t>6 </w:t>
      </w:r>
      <w:r>
        <w:rPr>
          <w:rFonts w:ascii="Times New Roman" w:hAnsi="Times New Roman" w:cs="Times New Roman" w:eastAsia="Times New Roman" w:hint="default"/>
          <w:spacing w:val="-15"/>
        </w:rPr>
        <w:t> </w:t>
      </w:r>
      <w:r>
        <w:rPr/>
        <w:t>月</w:t>
      </w:r>
      <w:r>
        <w:rPr>
          <w:spacing w:val="-15"/>
        </w:rPr>
        <w:t> </w:t>
      </w:r>
      <w:r>
        <w:rPr>
          <w:rFonts w:ascii="Times New Roman" w:hAnsi="Times New Roman" w:cs="Times New Roman" w:eastAsia="Times New Roman" w:hint="default"/>
        </w:rPr>
        <w:t>30</w:t>
      </w:r>
      <w:r>
        <w:rPr>
          <w:rFonts w:ascii="Times New Roman" w:hAnsi="Times New Roman" w:cs="Times New Roman" w:eastAsia="Times New Roman" w:hint="default"/>
          <w:spacing w:val="15"/>
        </w:rPr>
        <w:t> </w:t>
      </w:r>
      <w:r>
        <w:rPr/>
        <w:t>日每月租金为人民币</w:t>
      </w:r>
      <w:r>
        <w:rPr>
          <w:spacing w:val="-13"/>
        </w:rPr>
        <w:t> </w:t>
      </w:r>
      <w:r>
        <w:rPr>
          <w:rFonts w:ascii="Times New Roman" w:hAnsi="Times New Roman" w:cs="Times New Roman" w:eastAsia="Times New Roman" w:hint="default"/>
        </w:rPr>
        <w:t>1,064,039.97 </w:t>
      </w:r>
      <w:r>
        <w:rPr>
          <w:rFonts w:ascii="Times New Roman" w:hAnsi="Times New Roman" w:cs="Times New Roman" w:eastAsia="Times New Roman" w:hint="default"/>
          <w:spacing w:val="-14"/>
        </w:rPr>
        <w:t> </w:t>
      </w:r>
      <w:r>
        <w:rPr/>
        <w:t>元</w:t>
      </w:r>
      <w:r>
        <w:rPr>
          <w:spacing w:val="-75"/>
        </w:rPr>
        <w:t>、</w:t>
      </w:r>
      <w:r>
        <w:rPr>
          <w:rFonts w:ascii="Times New Roman" w:hAnsi="Times New Roman" w:cs="Times New Roman" w:eastAsia="Times New Roman" w:hint="default"/>
        </w:rPr>
        <w:t>2018</w:t>
      </w:r>
    </w:p>
    <w:p>
      <w:pPr>
        <w:pStyle w:val="BodyText"/>
        <w:spacing w:line="240" w:lineRule="auto" w:before="66"/>
        <w:ind w:right="0"/>
        <w:jc w:val="left"/>
      </w:pP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28 </w:t>
      </w:r>
      <w:r>
        <w:rPr/>
        <w:t>日每月租金为人民币 </w:t>
      </w:r>
      <w:r>
        <w:rPr>
          <w:rFonts w:ascii="Times New Roman" w:hAnsi="Times New Roman" w:cs="Times New Roman" w:eastAsia="Times New Roman" w:hint="default"/>
        </w:rPr>
        <w:t>1,164,157.8 </w:t>
      </w:r>
      <w:r>
        <w:rPr/>
        <w:t>元</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 </w:t>
      </w:r>
      <w:r>
        <w:rPr/>
        <w:t>日</w:t>
      </w:r>
      <w:r>
        <w:rPr>
          <w:rFonts w:ascii="Times New Roman" w:hAnsi="Times New Roman" w:cs="Times New Roman" w:eastAsia="Times New Roman" w:hint="default"/>
        </w:rPr>
        <w:t>-2022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30   </w:t>
      </w:r>
      <w:r>
        <w:rPr>
          <w:rFonts w:ascii="Times New Roman" w:hAnsi="Times New Roman" w:cs="Times New Roman" w:eastAsia="Times New Roman" w:hint="default"/>
          <w:spacing w:val="33"/>
        </w:rPr>
        <w:t> </w:t>
      </w:r>
      <w:r>
        <w:rPr/>
        <w:t>日每月租金为人</w:t>
      </w:r>
    </w:p>
    <w:p>
      <w:pPr>
        <w:pStyle w:val="BodyText"/>
        <w:spacing w:line="240" w:lineRule="auto" w:before="66"/>
        <w:ind w:right="0"/>
        <w:jc w:val="left"/>
      </w:pPr>
      <w:r>
        <w:rPr/>
        <w:t>民币 </w:t>
      </w:r>
      <w:r>
        <w:rPr>
          <w:rFonts w:ascii="Times New Roman" w:hAnsi="Times New Roman" w:cs="Times New Roman" w:eastAsia="Times New Roman" w:hint="default"/>
        </w:rPr>
        <w:t>1,172,803.86</w:t>
      </w:r>
      <w:r>
        <w:rPr>
          <w:rFonts w:ascii="Times New Roman" w:hAnsi="Times New Roman" w:cs="Times New Roman" w:eastAsia="Times New Roman" w:hint="default"/>
          <w:spacing w:val="16"/>
        </w:rPr>
        <w:t> </w:t>
      </w:r>
      <w:r>
        <w:rPr/>
        <w:t>元。</w:t>
      </w:r>
    </w:p>
    <w:p>
      <w:pPr>
        <w:pStyle w:val="BodyText"/>
        <w:spacing w:line="302" w:lineRule="auto" w:before="96"/>
        <w:ind w:right="1094" w:firstLine="89"/>
        <w:jc w:val="center"/>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）本公司与深圳市同裕洋实业有限公司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同裕洋实业</w:t>
      </w:r>
      <w:r>
        <w:rPr>
          <w:rFonts w:ascii="Times New Roman" w:hAnsi="Times New Roman" w:cs="Times New Roman" w:eastAsia="Times New Roman" w:hint="default"/>
        </w:rPr>
        <w:t>”)</w:t>
      </w:r>
      <w:r>
        <w:rPr/>
        <w:t>签订宿舍租赁合同，合同约定：同裕洋实业将位于</w:t>
      </w:r>
      <w:r>
        <w:rPr>
          <w:spacing w:val="-5"/>
        </w:rPr>
        <w:t> </w:t>
      </w:r>
      <w:r>
        <w:rPr/>
        <w:t>深</w:t>
      </w:r>
      <w:r>
        <w:rPr/>
        <w:t> 圳市宝安区松岗街道同富裕工业园兴隆路 </w:t>
      </w:r>
      <w:r>
        <w:rPr>
          <w:rFonts w:ascii="Times New Roman" w:hAnsi="Times New Roman" w:cs="Times New Roman" w:eastAsia="Times New Roman" w:hint="default"/>
        </w:rPr>
        <w:t>3 </w:t>
      </w:r>
      <w:r>
        <w:rPr/>
        <w:t>号建筑面积 </w:t>
      </w:r>
      <w:r>
        <w:rPr>
          <w:rFonts w:ascii="Times New Roman" w:hAnsi="Times New Roman" w:cs="Times New Roman" w:eastAsia="Times New Roman" w:hint="default"/>
        </w:rPr>
        <w:t>5,920.14  </w:t>
      </w:r>
      <w:r>
        <w:rPr/>
        <w:t>平方米的宿舍出租给公司作为宿舍使用，</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10 </w:t>
      </w:r>
      <w:r>
        <w:rPr/>
        <w:t>月</w:t>
      </w:r>
      <w:r>
        <w:rPr>
          <w:spacing w:val="-6"/>
        </w:rPr>
        <w:t> </w:t>
      </w:r>
      <w:r>
        <w:rPr>
          <w:rFonts w:ascii="Times New Roman" w:hAnsi="Times New Roman" w:cs="Times New Roman" w:eastAsia="Times New Roman" w:hint="default"/>
        </w:rPr>
        <w:t>1</w:t>
      </w:r>
    </w:p>
    <w:p>
      <w:pPr>
        <w:pStyle w:val="BodyText"/>
        <w:spacing w:line="240" w:lineRule="auto" w:before="14"/>
        <w:ind w:right="0"/>
        <w:jc w:val="left"/>
      </w:pPr>
      <w:r>
        <w:rPr/>
        <w:t>日至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31 </w:t>
      </w:r>
      <w:r>
        <w:rPr/>
        <w:t>日每月租金为人民币 </w:t>
      </w:r>
      <w:r>
        <w:rPr>
          <w:rFonts w:ascii="Times New Roman" w:hAnsi="Times New Roman" w:cs="Times New Roman" w:eastAsia="Times New Roman" w:hint="default"/>
        </w:rPr>
        <w:t>82,881.96 </w:t>
      </w:r>
      <w:r>
        <w:rPr/>
        <w:t>元、</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4"/>
        </w:rPr>
        <w:t> </w:t>
      </w:r>
      <w:r>
        <w:rPr/>
        <w:t>日每月租金为人民币</w:t>
      </w:r>
    </w:p>
    <w:p>
      <w:pPr>
        <w:pStyle w:val="BodyText"/>
        <w:spacing w:line="240" w:lineRule="auto" w:before="66"/>
        <w:ind w:right="0"/>
        <w:jc w:val="left"/>
      </w:pPr>
      <w:r>
        <w:rPr>
          <w:rFonts w:ascii="Times New Roman" w:hAnsi="Times New Roman" w:cs="Times New Roman" w:eastAsia="Times New Roman" w:hint="default"/>
        </w:rPr>
        <w:t>87,026.06 </w:t>
      </w:r>
      <w:r>
        <w:rPr/>
        <w:t>元、</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2023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31 </w:t>
      </w:r>
      <w:r>
        <w:rPr/>
        <w:t>日每月租金人民币 </w:t>
      </w:r>
      <w:r>
        <w:rPr>
          <w:rFonts w:ascii="Times New Roman" w:hAnsi="Times New Roman" w:cs="Times New Roman" w:eastAsia="Times New Roman" w:hint="default"/>
        </w:rPr>
        <w:t>91,347.76   </w:t>
      </w:r>
      <w:r>
        <w:rPr>
          <w:spacing w:val="-3"/>
        </w:rPr>
        <w:t>元。</w:t>
      </w:r>
      <w:r>
        <w:rPr>
          <w:rFonts w:ascii="Times New Roman" w:hAnsi="Times New Roman" w:cs="Times New Roman" w:eastAsia="Times New Roman" w:hint="default"/>
          <w:spacing w:val="-3"/>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2021 </w:t>
      </w:r>
      <w:r>
        <w:rPr/>
        <w:t>年 </w:t>
      </w:r>
      <w:r>
        <w:rPr>
          <w:rFonts w:ascii="Times New Roman" w:hAnsi="Times New Roman" w:cs="Times New Roman" w:eastAsia="Times New Roman" w:hint="default"/>
        </w:rPr>
        <w:t>4   </w:t>
      </w:r>
      <w:r>
        <w:rPr>
          <w:rFonts w:ascii="Times New Roman" w:hAnsi="Times New Roman" w:cs="Times New Roman" w:eastAsia="Times New Roman" w:hint="default"/>
          <w:spacing w:val="13"/>
        </w:rPr>
        <w:t> </w:t>
      </w:r>
      <w:r>
        <w:rPr/>
        <w:t>月</w:t>
      </w:r>
    </w:p>
    <w:p>
      <w:pPr>
        <w:pStyle w:val="BodyText"/>
        <w:spacing w:line="240" w:lineRule="auto" w:before="66"/>
        <w:ind w:right="0"/>
        <w:jc w:val="left"/>
      </w:pPr>
      <w:r>
        <w:rPr>
          <w:rFonts w:ascii="Times New Roman" w:hAnsi="Times New Roman" w:cs="Times New Roman" w:eastAsia="Times New Roman" w:hint="default"/>
        </w:rPr>
        <w:t>30 </w:t>
      </w:r>
      <w:r>
        <w:rPr/>
        <w:t>日，同裕洋实业将位于深圳市宝安区燕罗街道塘下涌同富裕工业园兴隆路 </w:t>
      </w:r>
      <w:r>
        <w:rPr>
          <w:rFonts w:ascii="Times New Roman" w:hAnsi="Times New Roman" w:cs="Times New Roman" w:eastAsia="Times New Roman" w:hint="default"/>
        </w:rPr>
        <w:t>3 </w:t>
      </w:r>
      <w:r>
        <w:rPr/>
        <w:t>号 </w:t>
      </w:r>
      <w:r>
        <w:rPr>
          <w:rFonts w:ascii="Times New Roman" w:hAnsi="Times New Roman" w:cs="Times New Roman" w:eastAsia="Times New Roman" w:hint="default"/>
        </w:rPr>
        <w:t>B </w:t>
      </w:r>
      <w:r>
        <w:rPr/>
        <w:t>号宿舍 </w:t>
      </w:r>
      <w:r>
        <w:rPr>
          <w:rFonts w:ascii="Times New Roman" w:hAnsi="Times New Roman" w:cs="Times New Roman" w:eastAsia="Times New Roman" w:hint="default"/>
        </w:rPr>
        <w:t>1 </w:t>
      </w:r>
      <w:r>
        <w:rPr/>
        <w:t>幢共 </w:t>
      </w:r>
      <w:r>
        <w:rPr>
          <w:rFonts w:ascii="Times New Roman" w:hAnsi="Times New Roman" w:cs="Times New Roman" w:eastAsia="Times New Roman" w:hint="default"/>
        </w:rPr>
        <w:t>7 </w:t>
      </w:r>
      <w:r>
        <w:rPr>
          <w:rFonts w:ascii="Times New Roman" w:hAnsi="Times New Roman" w:cs="Times New Roman" w:eastAsia="Times New Roman" w:hint="default"/>
          <w:spacing w:val="7"/>
        </w:rPr>
        <w:t> </w:t>
      </w:r>
      <w:r>
        <w:rPr/>
        <w:t>层，门卫室及配电房</w:t>
      </w:r>
    </w:p>
    <w:p>
      <w:pPr>
        <w:pStyle w:val="BodyText"/>
        <w:spacing w:line="240" w:lineRule="auto" w:before="51"/>
        <w:ind w:right="0"/>
        <w:jc w:val="left"/>
      </w:pPr>
      <w:r>
        <w:rPr/>
        <w:t>三项物业建筑面积共 </w:t>
      </w:r>
      <w:r>
        <w:rPr>
          <w:rFonts w:ascii="Times New Roman" w:hAnsi="Times New Roman" w:cs="Times New Roman" w:eastAsia="Times New Roman" w:hint="default"/>
        </w:rPr>
        <w:t>6,408.74 </w:t>
      </w:r>
      <w:r>
        <w:rPr/>
        <w:t>平方米出租给本公司，</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 </w:t>
      </w:r>
      <w:r>
        <w:rPr/>
        <w:t>日起至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20"/>
        </w:rPr>
        <w:t> </w:t>
      </w:r>
      <w:r>
        <w:rPr/>
        <w:t>日每月租金为人民币</w:t>
      </w:r>
    </w:p>
    <w:p>
      <w:pPr>
        <w:pStyle w:val="BodyText"/>
        <w:spacing w:line="240" w:lineRule="auto" w:before="66"/>
        <w:ind w:right="0"/>
        <w:jc w:val="left"/>
        <w:rPr>
          <w:rFonts w:ascii="Times New Roman" w:hAnsi="Times New Roman" w:cs="Times New Roman" w:eastAsia="Times New Roman" w:hint="default"/>
        </w:rPr>
      </w:pPr>
      <w:r>
        <w:rPr>
          <w:rFonts w:ascii="Times New Roman" w:hAnsi="Times New Roman" w:cs="Times New Roman" w:eastAsia="Times New Roman" w:hint="default"/>
        </w:rPr>
        <w:t>102,539.84 </w:t>
      </w:r>
      <w:r>
        <w:rPr/>
        <w:t>元，</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 </w:t>
      </w:r>
      <w:r>
        <w:rPr/>
        <w:t>日 至 </w:t>
      </w:r>
      <w:r>
        <w:rPr>
          <w:rFonts w:ascii="Times New Roman" w:hAnsi="Times New Roman" w:cs="Times New Roman" w:eastAsia="Times New Roman" w:hint="default"/>
        </w:rPr>
        <w:t>2021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30 </w:t>
      </w:r>
      <w:r>
        <w:rPr/>
        <w:t>日每月租金为人民币 </w:t>
      </w:r>
      <w:r>
        <w:rPr>
          <w:rFonts w:ascii="Times New Roman" w:hAnsi="Times New Roman" w:cs="Times New Roman" w:eastAsia="Times New Roman" w:hint="default"/>
        </w:rPr>
        <w:t>128,174.80 </w:t>
      </w:r>
      <w:r>
        <w:rPr/>
        <w:t>元。</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 </w:t>
      </w:r>
      <w:r>
        <w:rPr/>
        <w:t>日起至 </w:t>
      </w:r>
      <w:r>
        <w:rPr>
          <w:spacing w:val="48"/>
        </w:rPr>
        <w:t> </w:t>
      </w:r>
      <w:r>
        <w:rPr>
          <w:rFonts w:ascii="Times New Roman" w:hAnsi="Times New Roman" w:cs="Times New Roman" w:eastAsia="Times New Roman" w:hint="default"/>
        </w:rPr>
        <w:t>2023</w:t>
      </w:r>
    </w:p>
    <w:p>
      <w:pPr>
        <w:pStyle w:val="BodyText"/>
        <w:spacing w:line="240" w:lineRule="auto" w:before="66"/>
        <w:ind w:right="0"/>
        <w:jc w:val="left"/>
      </w:pP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31 </w:t>
      </w:r>
      <w:r>
        <w:rPr>
          <w:spacing w:val="-4"/>
        </w:rPr>
        <w:t>日，同裕洋实业将深圳市宝安区 </w:t>
      </w:r>
      <w:r>
        <w:rPr/>
        <w:t>燕罗街道塘下涌同富裕工业园安润路 </w:t>
      </w:r>
      <w:r>
        <w:rPr>
          <w:rFonts w:ascii="Times New Roman" w:hAnsi="Times New Roman" w:cs="Times New Roman" w:eastAsia="Times New Roman" w:hint="default"/>
        </w:rPr>
        <w:t>2 </w:t>
      </w:r>
      <w:r>
        <w:rPr/>
        <w:t>号 </w:t>
      </w:r>
      <w:r>
        <w:rPr>
          <w:rFonts w:ascii="Times New Roman" w:hAnsi="Times New Roman" w:cs="Times New Roman" w:eastAsia="Times New Roman" w:hint="default"/>
        </w:rPr>
        <w:t>C </w:t>
      </w:r>
      <w:r>
        <w:rPr/>
        <w:t>栋宿舍 </w:t>
      </w:r>
      <w:r>
        <w:rPr>
          <w:rFonts w:ascii="Times New Roman" w:hAnsi="Times New Roman" w:cs="Times New Roman" w:eastAsia="Times New Roman" w:hint="default"/>
        </w:rPr>
        <w:t>5 </w:t>
      </w:r>
      <w:r>
        <w:rPr>
          <w:spacing w:val="-15"/>
        </w:rPr>
        <w:t>层、</w:t>
      </w:r>
      <w:r>
        <w:rPr>
          <w:rFonts w:ascii="Times New Roman" w:hAnsi="Times New Roman" w:cs="Times New Roman" w:eastAsia="Times New Roman" w:hint="default"/>
          <w:spacing w:val="-15"/>
        </w:rPr>
        <w:t>D  </w:t>
      </w:r>
      <w:r>
        <w:rPr/>
        <w:t>栋宿舍 </w:t>
      </w:r>
      <w:r>
        <w:rPr>
          <w:rFonts w:ascii="Times New Roman" w:hAnsi="Times New Roman" w:cs="Times New Roman" w:eastAsia="Times New Roman" w:hint="default"/>
        </w:rPr>
        <w:t>5  </w:t>
      </w:r>
      <w:r>
        <w:rPr>
          <w:rFonts w:ascii="Times New Roman" w:hAnsi="Times New Roman" w:cs="Times New Roman" w:eastAsia="Times New Roman" w:hint="default"/>
          <w:spacing w:val="10"/>
        </w:rPr>
        <w:t> </w:t>
      </w:r>
      <w:r>
        <w:rPr/>
        <w:t>层及门</w:t>
      </w:r>
    </w:p>
    <w:p>
      <w:pPr>
        <w:pStyle w:val="BodyText"/>
        <w:spacing w:line="240" w:lineRule="auto" w:before="66"/>
        <w:ind w:right="0"/>
        <w:jc w:val="left"/>
      </w:pPr>
      <w:r>
        <w:rPr/>
        <w:t>卫室 </w:t>
      </w:r>
      <w:r>
        <w:rPr>
          <w:rFonts w:ascii="Times New Roman" w:hAnsi="Times New Roman" w:cs="Times New Roman" w:eastAsia="Times New Roman" w:hint="default"/>
        </w:rPr>
        <w:t>1 </w:t>
      </w:r>
      <w:r>
        <w:rPr/>
        <w:t>层，建筑面积共计 </w:t>
      </w:r>
      <w:r>
        <w:rPr>
          <w:rFonts w:ascii="Times New Roman" w:hAnsi="Times New Roman" w:cs="Times New Roman" w:eastAsia="Times New Roman" w:hint="default"/>
        </w:rPr>
        <w:t>9,067.96 </w:t>
      </w:r>
      <w:r>
        <w:rPr/>
        <w:t>平方米出租给本公司，从</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2021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20"/>
        </w:rPr>
        <w:t> </w:t>
      </w:r>
      <w:r>
        <w:rPr/>
        <w:t>日每月租金为人民币</w:t>
      </w:r>
    </w:p>
    <w:p>
      <w:pPr>
        <w:pStyle w:val="BodyText"/>
        <w:spacing w:line="240" w:lineRule="auto" w:before="66"/>
        <w:ind w:right="0"/>
        <w:jc w:val="left"/>
      </w:pPr>
      <w:r>
        <w:rPr>
          <w:rFonts w:ascii="Times New Roman" w:hAnsi="Times New Roman" w:cs="Times New Roman" w:eastAsia="Times New Roman" w:hint="default"/>
        </w:rPr>
        <w:t>181,359.20 </w:t>
      </w:r>
      <w:r>
        <w:rPr/>
        <w:t>元，</w:t>
      </w:r>
      <w:r>
        <w:rPr>
          <w:rFonts w:ascii="Times New Roman" w:hAnsi="Times New Roman" w:cs="Times New Roman" w:eastAsia="Times New Roman" w:hint="default"/>
        </w:rPr>
        <w:t>2021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2023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31 </w:t>
      </w:r>
      <w:r>
        <w:rPr/>
        <w:t>日每 月租金为 </w:t>
      </w:r>
      <w:r>
        <w:rPr>
          <w:rFonts w:ascii="Times New Roman" w:hAnsi="Times New Roman" w:cs="Times New Roman" w:eastAsia="Times New Roman" w:hint="default"/>
        </w:rPr>
        <w:t>199,495.12  </w:t>
      </w:r>
      <w:r>
        <w:rPr>
          <w:rFonts w:ascii="Times New Roman" w:hAnsi="Times New Roman" w:cs="Times New Roman" w:eastAsia="Times New Roman" w:hint="default"/>
          <w:spacing w:val="16"/>
        </w:rPr>
        <w:t> </w:t>
      </w:r>
      <w:r>
        <w:rPr/>
        <w:t>元。</w:t>
      </w:r>
    </w:p>
    <w:p>
      <w:pPr>
        <w:pStyle w:val="BodyText"/>
        <w:spacing w:line="304" w:lineRule="auto" w:before="96"/>
        <w:ind w:right="1094" w:firstLine="119"/>
        <w:jc w:val="center"/>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）本公司与方俊基签订房屋租赁合同，合同约定：方俊基将其从深圳市平山实业股份有限公司处承租的位于深圳市</w:t>
      </w:r>
      <w:r>
        <w:rPr>
          <w:spacing w:val="-38"/>
        </w:rPr>
        <w:t> </w:t>
      </w:r>
      <w:r>
        <w:rPr/>
        <w:t>南</w:t>
      </w:r>
      <w:r>
        <w:rPr/>
        <w:t> 山区桃源街道平山民企工业区第 </w:t>
      </w:r>
      <w:r>
        <w:rPr>
          <w:rFonts w:ascii="Times New Roman" w:hAnsi="Times New Roman" w:cs="Times New Roman" w:eastAsia="Times New Roman" w:hint="default"/>
        </w:rPr>
        <w:t>5 </w:t>
      </w:r>
      <w:r>
        <w:rPr/>
        <w:t>栋 </w:t>
      </w:r>
      <w:r>
        <w:rPr>
          <w:rFonts w:ascii="Times New Roman" w:hAnsi="Times New Roman" w:cs="Times New Roman" w:eastAsia="Times New Roman" w:hint="default"/>
        </w:rPr>
        <w:t>1-6 </w:t>
      </w:r>
      <w:r>
        <w:rPr/>
        <w:t>楼厂房整体出租给本公司使用，总面积 </w:t>
      </w:r>
      <w:r>
        <w:rPr>
          <w:rFonts w:ascii="Times New Roman" w:hAnsi="Times New Roman" w:cs="Times New Roman" w:eastAsia="Times New Roman" w:hint="default"/>
        </w:rPr>
        <w:t>13,908.60 </w:t>
      </w:r>
      <w:r>
        <w:rPr>
          <w:spacing w:val="-6"/>
        </w:rPr>
        <w:t>平方米。租赁期限为 </w:t>
      </w:r>
      <w:r>
        <w:rPr>
          <w:rFonts w:ascii="Times New Roman" w:hAnsi="Times New Roman" w:cs="Times New Roman" w:eastAsia="Times New Roman" w:hint="default"/>
        </w:rPr>
        <w:t>2016 </w:t>
      </w:r>
      <w:r>
        <w:rPr/>
        <w:t>年</w:t>
      </w:r>
      <w:r>
        <w:rPr>
          <w:spacing w:val="36"/>
        </w:rPr>
        <w:t> </w:t>
      </w:r>
      <w:r>
        <w:rPr>
          <w:rFonts w:ascii="Times New Roman" w:hAnsi="Times New Roman" w:cs="Times New Roman" w:eastAsia="Times New Roman" w:hint="default"/>
        </w:rPr>
        <w:t>5</w:t>
      </w:r>
    </w:p>
    <w:p>
      <w:pPr>
        <w:pStyle w:val="BodyText"/>
        <w:spacing w:line="240" w:lineRule="auto" w:before="12"/>
        <w:ind w:right="0"/>
        <w:jc w:val="left"/>
      </w:pP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2028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30 </w:t>
      </w:r>
      <w:r>
        <w:rPr/>
        <w:t>日，其中免租期为两个月。</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30   </w:t>
      </w:r>
      <w:r>
        <w:rPr>
          <w:rFonts w:ascii="Times New Roman" w:hAnsi="Times New Roman" w:cs="Times New Roman" w:eastAsia="Times New Roman" w:hint="default"/>
          <w:spacing w:val="3"/>
        </w:rPr>
        <w:t> </w:t>
      </w:r>
      <w:r>
        <w:rPr/>
        <w:t>日每月租金为人民币</w:t>
      </w:r>
    </w:p>
    <w:p>
      <w:pPr>
        <w:pStyle w:val="BodyText"/>
        <w:spacing w:line="240" w:lineRule="auto" w:before="66"/>
        <w:ind w:right="0"/>
        <w:jc w:val="left"/>
        <w:rPr>
          <w:rFonts w:ascii="Times New Roman" w:hAnsi="Times New Roman" w:cs="Times New Roman" w:eastAsia="Times New Roman" w:hint="default"/>
        </w:rPr>
      </w:pPr>
      <w:r>
        <w:rPr>
          <w:rFonts w:ascii="Times New Roman" w:hAnsi="Times New Roman" w:cs="Times New Roman" w:eastAsia="Times New Roman" w:hint="default"/>
        </w:rPr>
        <w:t>1,070,796.72 </w:t>
      </w:r>
      <w:r>
        <w:rPr/>
        <w:t>元、</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31 </w:t>
      </w:r>
      <w:r>
        <w:rPr/>
        <w:t>日租赁面积为 </w:t>
      </w:r>
      <w:r>
        <w:rPr>
          <w:rFonts w:ascii="Times New Roman" w:hAnsi="Times New Roman" w:cs="Times New Roman" w:eastAsia="Times New Roman" w:hint="default"/>
        </w:rPr>
        <w:t>10,931.95 </w:t>
      </w:r>
      <w:r>
        <w:rPr/>
        <w:t>平方米，每月租金为人民币 </w:t>
      </w:r>
      <w:r>
        <w:rPr>
          <w:spacing w:val="20"/>
        </w:rPr>
        <w:t> </w:t>
      </w:r>
      <w:r>
        <w:rPr>
          <w:rFonts w:ascii="Times New Roman" w:hAnsi="Times New Roman" w:cs="Times New Roman" w:eastAsia="Times New Roman" w:hint="default"/>
        </w:rPr>
        <w:t>842,416.07</w:t>
      </w:r>
    </w:p>
    <w:p>
      <w:pPr>
        <w:pStyle w:val="BodyText"/>
        <w:spacing w:line="240" w:lineRule="auto" w:before="51"/>
        <w:ind w:right="0"/>
        <w:jc w:val="left"/>
      </w:pPr>
      <w:r>
        <w:rPr/>
        <w:t>元</w:t>
      </w:r>
      <w:r>
        <w:rPr>
          <w:spacing w:val="-75"/>
        </w:rPr>
        <w:t>、</w:t>
      </w:r>
      <w:r>
        <w:rPr>
          <w:rFonts w:ascii="Times New Roman" w:hAnsi="Times New Roman" w:cs="Times New Roman" w:eastAsia="Times New Roman" w:hint="default"/>
        </w:rPr>
        <w:t>2017 </w:t>
      </w:r>
      <w:r>
        <w:rPr>
          <w:rFonts w:ascii="Times New Roman" w:hAnsi="Times New Roman" w:cs="Times New Roman" w:eastAsia="Times New Roman" w:hint="default"/>
          <w:spacing w:val="-15"/>
        </w:rPr>
        <w:t> </w:t>
      </w:r>
      <w:r>
        <w:rPr/>
        <w:t>年</w:t>
      </w:r>
      <w:r>
        <w:rPr>
          <w:spacing w:val="-16"/>
        </w:rPr>
        <w:t> </w:t>
      </w:r>
      <w:r>
        <w:rPr>
          <w:rFonts w:ascii="Times New Roman" w:hAnsi="Times New Roman" w:cs="Times New Roman" w:eastAsia="Times New Roman" w:hint="default"/>
        </w:rPr>
        <w:t>4 </w:t>
      </w:r>
      <w:r>
        <w:rPr>
          <w:rFonts w:ascii="Times New Roman" w:hAnsi="Times New Roman" w:cs="Times New Roman" w:eastAsia="Times New Roman" w:hint="default"/>
          <w:spacing w:val="-15"/>
        </w:rPr>
        <w:t> </w:t>
      </w:r>
      <w:r>
        <w:rPr/>
        <w:t>月</w:t>
      </w:r>
      <w:r>
        <w:rPr>
          <w:spacing w:val="-15"/>
        </w:rPr>
        <w:t> </w:t>
      </w:r>
      <w:r>
        <w:rPr>
          <w:rFonts w:ascii="Times New Roman" w:hAnsi="Times New Roman" w:cs="Times New Roman" w:eastAsia="Times New Roman" w:hint="default"/>
        </w:rPr>
        <w:t>1 </w:t>
      </w:r>
      <w:r>
        <w:rPr>
          <w:rFonts w:ascii="Times New Roman" w:hAnsi="Times New Roman" w:cs="Times New Roman" w:eastAsia="Times New Roman" w:hint="default"/>
          <w:spacing w:val="-15"/>
        </w:rPr>
        <w:t> </w:t>
      </w:r>
      <w:r>
        <w:rPr/>
        <w:t>日至</w:t>
      </w:r>
      <w:r>
        <w:rPr>
          <w:spacing w:val="-15"/>
        </w:rPr>
        <w:t> </w:t>
      </w:r>
      <w:r>
        <w:rPr>
          <w:rFonts w:ascii="Times New Roman" w:hAnsi="Times New Roman" w:cs="Times New Roman" w:eastAsia="Times New Roman" w:hint="default"/>
        </w:rPr>
        <w:t>2017 </w:t>
      </w:r>
      <w:r>
        <w:rPr>
          <w:rFonts w:ascii="Times New Roman" w:hAnsi="Times New Roman" w:cs="Times New Roman" w:eastAsia="Times New Roman" w:hint="default"/>
          <w:spacing w:val="-15"/>
        </w:rPr>
        <w:t> </w:t>
      </w:r>
      <w:r>
        <w:rPr/>
        <w:t>年</w:t>
      </w:r>
      <w:r>
        <w:rPr>
          <w:spacing w:val="-15"/>
        </w:rPr>
        <w:t> </w:t>
      </w:r>
      <w:r>
        <w:rPr>
          <w:rFonts w:ascii="Times New Roman" w:hAnsi="Times New Roman" w:cs="Times New Roman" w:eastAsia="Times New Roman" w:hint="default"/>
        </w:rPr>
        <w:t>5 </w:t>
      </w:r>
      <w:r>
        <w:rPr>
          <w:rFonts w:ascii="Times New Roman" w:hAnsi="Times New Roman" w:cs="Times New Roman" w:eastAsia="Times New Roman" w:hint="default"/>
          <w:spacing w:val="-15"/>
        </w:rPr>
        <w:t> </w:t>
      </w:r>
      <w:r>
        <w:rPr/>
        <w:t>月</w:t>
      </w:r>
      <w:r>
        <w:rPr>
          <w:spacing w:val="-15"/>
        </w:rPr>
        <w:t>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日租赁面积为</w:t>
      </w:r>
      <w:r>
        <w:rPr>
          <w:spacing w:val="-14"/>
        </w:rPr>
        <w:t> </w:t>
      </w:r>
      <w:r>
        <w:rPr>
          <w:rFonts w:ascii="Times New Roman" w:hAnsi="Times New Roman" w:cs="Times New Roman" w:eastAsia="Times New Roman" w:hint="default"/>
        </w:rPr>
        <w:t>10,404.66 </w:t>
      </w:r>
      <w:r>
        <w:rPr>
          <w:rFonts w:ascii="Times New Roman" w:hAnsi="Times New Roman" w:cs="Times New Roman" w:eastAsia="Times New Roman" w:hint="default"/>
          <w:spacing w:val="-14"/>
        </w:rPr>
        <w:t> </w:t>
      </w:r>
      <w:r>
        <w:rPr/>
        <w:t>平方米</w:t>
      </w:r>
      <w:r>
        <w:rPr>
          <w:spacing w:val="-76"/>
        </w:rPr>
        <w:t>，</w:t>
      </w:r>
      <w:r>
        <w:rPr/>
        <w:t>每月租金为人民币</w:t>
      </w:r>
      <w:r>
        <w:rPr>
          <w:spacing w:val="-13"/>
        </w:rPr>
        <w:t> </w:t>
      </w:r>
      <w:r>
        <w:rPr>
          <w:rFonts w:ascii="Times New Roman" w:hAnsi="Times New Roman" w:cs="Times New Roman" w:eastAsia="Times New Roman" w:hint="default"/>
        </w:rPr>
        <w:t>751,161.63 </w:t>
      </w:r>
      <w:r>
        <w:rPr>
          <w:rFonts w:ascii="Times New Roman" w:hAnsi="Times New Roman" w:cs="Times New Roman" w:eastAsia="Times New Roman" w:hint="default"/>
          <w:spacing w:val="-14"/>
        </w:rPr>
        <w:t> </w:t>
      </w:r>
      <w:r>
        <w:rPr/>
        <w:t>元</w:t>
      </w:r>
      <w:r>
        <w:rPr>
          <w:spacing w:val="-75"/>
        </w:rPr>
        <w:t>、</w:t>
      </w:r>
      <w:r>
        <w:rPr>
          <w:rFonts w:ascii="Times New Roman" w:hAnsi="Times New Roman" w:cs="Times New Roman" w:eastAsia="Times New Roman" w:hint="default"/>
        </w:rPr>
        <w:t>2017 </w:t>
      </w:r>
      <w:r>
        <w:rPr>
          <w:rFonts w:ascii="Times New Roman" w:hAnsi="Times New Roman" w:cs="Times New Roman" w:eastAsia="Times New Roman" w:hint="default"/>
          <w:spacing w:val="-14"/>
        </w:rPr>
        <w:t> </w:t>
      </w:r>
      <w:r>
        <w:rPr/>
        <w:t>年</w:t>
      </w:r>
      <w:r>
        <w:rPr>
          <w:spacing w:val="-15"/>
        </w:rPr>
        <w:t> </w:t>
      </w:r>
      <w:r>
        <w:rPr>
          <w:rFonts w:ascii="Times New Roman" w:hAnsi="Times New Roman" w:cs="Times New Roman" w:eastAsia="Times New Roman" w:hint="default"/>
        </w:rPr>
        <w:t>6 </w:t>
      </w:r>
      <w:r>
        <w:rPr>
          <w:rFonts w:ascii="Times New Roman" w:hAnsi="Times New Roman" w:cs="Times New Roman" w:eastAsia="Times New Roman" w:hint="default"/>
          <w:spacing w:val="-15"/>
        </w:rPr>
        <w:t> </w:t>
      </w:r>
      <w:r>
        <w:rPr/>
        <w:t>月</w:t>
      </w:r>
    </w:p>
    <w:p>
      <w:pPr>
        <w:pStyle w:val="BodyText"/>
        <w:spacing w:line="240" w:lineRule="auto" w:before="66"/>
        <w:ind w:right="0"/>
        <w:jc w:val="left"/>
      </w:pP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30 </w:t>
      </w:r>
      <w:r>
        <w:rPr/>
        <w:t>日每月租金为人民币 </w:t>
      </w:r>
      <w:r>
        <w:rPr>
          <w:rFonts w:ascii="Times New Roman" w:hAnsi="Times New Roman" w:cs="Times New Roman" w:eastAsia="Times New Roman" w:hint="default"/>
        </w:rPr>
        <w:t>701,161.63 </w:t>
      </w:r>
      <w:r>
        <w:rPr/>
        <w:t>元、</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18"/>
        </w:rPr>
        <w:t> </w:t>
      </w:r>
      <w:r>
        <w:rPr/>
        <w:t>日每月租金为人民币</w:t>
      </w:r>
    </w:p>
    <w:p>
      <w:pPr>
        <w:pStyle w:val="BodyText"/>
        <w:spacing w:line="240" w:lineRule="auto" w:before="66"/>
        <w:ind w:right="0"/>
        <w:jc w:val="left"/>
        <w:rPr>
          <w:rFonts w:ascii="Times New Roman" w:hAnsi="Times New Roman" w:cs="Times New Roman" w:eastAsia="Times New Roman" w:hint="default"/>
        </w:rPr>
      </w:pPr>
      <w:r>
        <w:rPr>
          <w:rFonts w:ascii="Times New Roman" w:hAnsi="Times New Roman" w:cs="Times New Roman" w:eastAsia="Times New Roman" w:hint="default"/>
        </w:rPr>
        <w:t>851,161.63 </w:t>
      </w:r>
      <w:r>
        <w:rPr>
          <w:spacing w:val="-5"/>
        </w:rPr>
        <w:t>元、</w:t>
      </w:r>
      <w:r>
        <w:rPr>
          <w:rFonts w:ascii="Times New Roman" w:hAnsi="Times New Roman" w:cs="Times New Roman" w:eastAsia="Times New Roman" w:hint="default"/>
          <w:spacing w:val="-5"/>
        </w:rPr>
        <w:t>2017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30 </w:t>
      </w:r>
      <w:r>
        <w:rPr/>
        <w:t>日每月租金为人民币 </w:t>
      </w:r>
      <w:r>
        <w:rPr>
          <w:rFonts w:ascii="Times New Roman" w:hAnsi="Times New Roman" w:cs="Times New Roman" w:eastAsia="Times New Roman" w:hint="default"/>
        </w:rPr>
        <w:t>810,106.63 </w:t>
      </w:r>
      <w:r>
        <w:rPr>
          <w:spacing w:val="-5"/>
        </w:rPr>
        <w:t>元，</w:t>
      </w:r>
      <w:r>
        <w:rPr>
          <w:rFonts w:ascii="Times New Roman" w:hAnsi="Times New Roman" w:cs="Times New Roman" w:eastAsia="Times New Roman" w:hint="default"/>
          <w:spacing w:val="-5"/>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2020 </w:t>
      </w:r>
      <w:r>
        <w:rPr/>
        <w:t>年 </w:t>
      </w:r>
      <w:r>
        <w:rPr>
          <w:spacing w:val="23"/>
        </w:rPr>
        <w:t> </w:t>
      </w:r>
      <w:r>
        <w:rPr>
          <w:rFonts w:ascii="Times New Roman" w:hAnsi="Times New Roman" w:cs="Times New Roman" w:eastAsia="Times New Roman" w:hint="default"/>
        </w:rPr>
        <w:t>4</w:t>
      </w:r>
    </w:p>
    <w:p>
      <w:pPr>
        <w:pStyle w:val="BodyText"/>
        <w:spacing w:line="240" w:lineRule="auto" w:before="66"/>
        <w:ind w:right="0"/>
        <w:jc w:val="left"/>
        <w:rPr>
          <w:rFonts w:ascii="Times New Roman" w:hAnsi="Times New Roman" w:cs="Times New Roman" w:eastAsia="Times New Roman" w:hint="default"/>
        </w:rPr>
      </w:pPr>
      <w:r>
        <w:rPr/>
        <w:t>月</w:t>
      </w:r>
      <w:r>
        <w:rPr>
          <w:spacing w:val="-15"/>
        </w:rPr>
        <w:t> </w:t>
      </w:r>
      <w:r>
        <w:rPr>
          <w:rFonts w:ascii="Times New Roman" w:hAnsi="Times New Roman" w:cs="Times New Roman" w:eastAsia="Times New Roman" w:hint="default"/>
        </w:rPr>
        <w:t>30 </w:t>
      </w:r>
      <w:r>
        <w:rPr>
          <w:rFonts w:ascii="Times New Roman" w:hAnsi="Times New Roman" w:cs="Times New Roman" w:eastAsia="Times New Roman" w:hint="default"/>
          <w:spacing w:val="-15"/>
        </w:rPr>
        <w:t> </w:t>
      </w:r>
      <w:r>
        <w:rPr/>
        <w:t>日租金为每月人民币</w:t>
      </w:r>
      <w:r>
        <w:rPr>
          <w:spacing w:val="2"/>
        </w:rPr>
        <w:t> </w:t>
      </w:r>
      <w:r>
        <w:rPr>
          <w:rFonts w:ascii="Times New Roman" w:hAnsi="Times New Roman" w:cs="Times New Roman" w:eastAsia="Times New Roman" w:hint="default"/>
        </w:rPr>
        <w:t>867,956.27 </w:t>
      </w:r>
      <w:r>
        <w:rPr>
          <w:rFonts w:ascii="Times New Roman" w:hAnsi="Times New Roman" w:cs="Times New Roman" w:eastAsia="Times New Roman" w:hint="default"/>
          <w:spacing w:val="1"/>
        </w:rPr>
        <w:t> </w:t>
      </w:r>
      <w:r>
        <w:rPr/>
        <w:t>元</w:t>
      </w:r>
      <w:r>
        <w:rPr>
          <w:spacing w:val="-90"/>
        </w:rPr>
        <w:t>，</w:t>
      </w:r>
      <w:r>
        <w:rPr>
          <w:rFonts w:ascii="Times New Roman" w:hAnsi="Times New Roman" w:cs="Times New Roman" w:eastAsia="Times New Roman" w:hint="default"/>
        </w:rPr>
        <w:t>2020 </w:t>
      </w:r>
      <w:r>
        <w:rPr>
          <w:rFonts w:ascii="Times New Roman" w:hAnsi="Times New Roman" w:cs="Times New Roman" w:eastAsia="Times New Roman" w:hint="default"/>
          <w:spacing w:val="-15"/>
        </w:rPr>
        <w:t> </w:t>
      </w:r>
      <w:r>
        <w:rPr/>
        <w:t>年</w:t>
      </w:r>
      <w:r>
        <w:rPr>
          <w:spacing w:val="-15"/>
        </w:rPr>
        <w:t> </w:t>
      </w:r>
      <w:r>
        <w:rPr>
          <w:rFonts w:ascii="Times New Roman" w:hAnsi="Times New Roman" w:cs="Times New Roman" w:eastAsia="Times New Roman" w:hint="default"/>
        </w:rPr>
        <w:t>5 </w:t>
      </w:r>
      <w:r>
        <w:rPr>
          <w:rFonts w:ascii="Times New Roman" w:hAnsi="Times New Roman" w:cs="Times New Roman" w:eastAsia="Times New Roman" w:hint="default"/>
          <w:spacing w:val="-15"/>
        </w:rPr>
        <w:t> </w:t>
      </w:r>
      <w:r>
        <w:rPr/>
        <w:t>月</w:t>
      </w:r>
      <w:r>
        <w:rPr>
          <w:spacing w:val="-15"/>
        </w:rPr>
        <w:t> </w:t>
      </w:r>
      <w:r>
        <w:rPr>
          <w:rFonts w:ascii="Times New Roman" w:hAnsi="Times New Roman" w:cs="Times New Roman" w:eastAsia="Times New Roman" w:hint="default"/>
        </w:rPr>
        <w:t>1 </w:t>
      </w:r>
      <w:r>
        <w:rPr>
          <w:rFonts w:ascii="Times New Roman" w:hAnsi="Times New Roman" w:cs="Times New Roman" w:eastAsia="Times New Roman" w:hint="default"/>
          <w:spacing w:val="-15"/>
        </w:rPr>
        <w:t> </w:t>
      </w:r>
      <w:r>
        <w:rPr/>
        <w:t>日至</w:t>
      </w:r>
      <w:r>
        <w:rPr>
          <w:spacing w:val="-15"/>
        </w:rPr>
        <w:t> </w:t>
      </w:r>
      <w:r>
        <w:rPr>
          <w:rFonts w:ascii="Times New Roman" w:hAnsi="Times New Roman" w:cs="Times New Roman" w:eastAsia="Times New Roman" w:hint="default"/>
        </w:rPr>
        <w:t>2022 </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4 </w:t>
      </w:r>
      <w:r>
        <w:rPr>
          <w:rFonts w:ascii="Times New Roman" w:hAnsi="Times New Roman" w:cs="Times New Roman" w:eastAsia="Times New Roman" w:hint="default"/>
          <w:spacing w:val="-15"/>
        </w:rPr>
        <w:t> </w:t>
      </w:r>
      <w:r>
        <w:rPr/>
        <w:t>月</w:t>
      </w:r>
      <w:r>
        <w:rPr>
          <w:spacing w:val="-15"/>
        </w:rPr>
        <w:t> </w:t>
      </w:r>
      <w:r>
        <w:rPr>
          <w:rFonts w:ascii="Times New Roman" w:hAnsi="Times New Roman" w:cs="Times New Roman" w:eastAsia="Times New Roman" w:hint="default"/>
        </w:rPr>
        <w:t>30 </w:t>
      </w:r>
      <w:r>
        <w:rPr>
          <w:rFonts w:ascii="Times New Roman" w:hAnsi="Times New Roman" w:cs="Times New Roman" w:eastAsia="Times New Roman" w:hint="default"/>
          <w:spacing w:val="-15"/>
        </w:rPr>
        <w:t> </w:t>
      </w:r>
      <w:r>
        <w:rPr/>
        <w:t>日租金为每月人民币</w:t>
      </w:r>
      <w:r>
        <w:rPr>
          <w:spacing w:val="-13"/>
        </w:rPr>
        <w:t> </w:t>
      </w:r>
      <w:r>
        <w:rPr>
          <w:rFonts w:ascii="Times New Roman" w:hAnsi="Times New Roman" w:cs="Times New Roman" w:eastAsia="Times New Roman" w:hint="default"/>
        </w:rPr>
        <w:t>925,806.91 </w:t>
      </w:r>
      <w:r>
        <w:rPr>
          <w:rFonts w:ascii="Times New Roman" w:hAnsi="Times New Roman" w:cs="Times New Roman" w:eastAsia="Times New Roman" w:hint="default"/>
          <w:spacing w:val="-14"/>
        </w:rPr>
        <w:t> </w:t>
      </w:r>
      <w:r>
        <w:rPr/>
        <w:t>元</w:t>
      </w:r>
      <w:r>
        <w:rPr>
          <w:spacing w:val="-90"/>
        </w:rPr>
        <w:t>，</w:t>
      </w:r>
      <w:r>
        <w:rPr>
          <w:rFonts w:ascii="Times New Roman" w:hAnsi="Times New Roman" w:cs="Times New Roman" w:eastAsia="Times New Roman" w:hint="default"/>
        </w:rPr>
        <w:t>2022</w:t>
      </w:r>
    </w:p>
    <w:p>
      <w:pPr>
        <w:pStyle w:val="BodyText"/>
        <w:spacing w:line="240" w:lineRule="auto" w:before="66"/>
        <w:ind w:right="0"/>
        <w:jc w:val="left"/>
      </w:pP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2024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30 </w:t>
      </w:r>
      <w:r>
        <w:rPr/>
        <w:t>日租金为每 月人民币 </w:t>
      </w:r>
      <w:r>
        <w:rPr>
          <w:rFonts w:ascii="Times New Roman" w:hAnsi="Times New Roman" w:cs="Times New Roman" w:eastAsia="Times New Roman" w:hint="default"/>
        </w:rPr>
        <w:t>983,656.55 </w:t>
      </w:r>
      <w:r>
        <w:rPr/>
        <w:t>元，</w:t>
      </w:r>
      <w:r>
        <w:rPr>
          <w:rFonts w:ascii="Times New Roman" w:hAnsi="Times New Roman" w:cs="Times New Roman" w:eastAsia="Times New Roman" w:hint="default"/>
        </w:rPr>
        <w:t>2024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2026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30   </w:t>
      </w:r>
      <w:r>
        <w:rPr>
          <w:rFonts w:ascii="Times New Roman" w:hAnsi="Times New Roman" w:cs="Times New Roman" w:eastAsia="Times New Roman" w:hint="default"/>
          <w:spacing w:val="3"/>
        </w:rPr>
        <w:t> </w:t>
      </w:r>
      <w:r>
        <w:rPr/>
        <w:t>日租金为每</w:t>
      </w:r>
    </w:p>
    <w:p>
      <w:pPr>
        <w:pStyle w:val="BodyText"/>
        <w:spacing w:line="240" w:lineRule="auto" w:before="51"/>
        <w:ind w:right="0"/>
        <w:jc w:val="left"/>
      </w:pPr>
      <w:r>
        <w:rPr/>
        <w:t>月人民币 </w:t>
      </w:r>
      <w:r>
        <w:rPr>
          <w:rFonts w:ascii="Times New Roman" w:hAnsi="Times New Roman" w:cs="Times New Roman" w:eastAsia="Times New Roman" w:hint="default"/>
        </w:rPr>
        <w:t>1,041,610.52 </w:t>
      </w:r>
      <w:r>
        <w:rPr/>
        <w:t>元，</w:t>
      </w:r>
      <w:r>
        <w:rPr>
          <w:rFonts w:ascii="Times New Roman" w:hAnsi="Times New Roman" w:cs="Times New Roman" w:eastAsia="Times New Roman" w:hint="default"/>
        </w:rPr>
        <w:t>2026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2028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30 </w:t>
      </w:r>
      <w:r>
        <w:rPr/>
        <w:t>日租金为每月人民币 </w:t>
      </w:r>
      <w:r>
        <w:rPr>
          <w:rFonts w:ascii="Times New Roman" w:hAnsi="Times New Roman" w:cs="Times New Roman" w:eastAsia="Times New Roman" w:hint="default"/>
        </w:rPr>
        <w:t>1,099,460.15  </w:t>
      </w:r>
      <w:r>
        <w:rPr>
          <w:rFonts w:ascii="Times New Roman" w:hAnsi="Times New Roman" w:cs="Times New Roman" w:eastAsia="Times New Roman" w:hint="default"/>
          <w:spacing w:val="21"/>
        </w:rPr>
        <w:t> </w:t>
      </w:r>
      <w:r>
        <w:rPr/>
        <w:t>元。</w:t>
      </w:r>
    </w:p>
    <w:p>
      <w:pPr>
        <w:pStyle w:val="BodyText"/>
        <w:spacing w:line="304" w:lineRule="auto" w:before="111"/>
        <w:ind w:right="1081" w:firstLine="150"/>
        <w:jc w:val="left"/>
      </w:pPr>
      <w:r>
        <w:rPr/>
        <w:t>（</w:t>
      </w:r>
      <w:r>
        <w:rPr>
          <w:rFonts w:ascii="Times New Roman" w:hAnsi="Times New Roman" w:cs="Times New Roman" w:eastAsia="Times New Roman" w:hint="default"/>
        </w:rPr>
        <w:t>4</w:t>
      </w:r>
      <w:r>
        <w:rPr/>
        <w:t>）本公司与深圳市嘉恒投资有限公司（以下简称</w:t>
      </w:r>
      <w:r>
        <w:rPr>
          <w:rFonts w:ascii="Times New Roman" w:hAnsi="Times New Roman" w:cs="Times New Roman" w:eastAsia="Times New Roman" w:hint="default"/>
        </w:rPr>
        <w:t>“</w:t>
      </w:r>
      <w:r>
        <w:rPr/>
        <w:t>嘉恒投资</w:t>
      </w:r>
      <w:r>
        <w:rPr>
          <w:rFonts w:ascii="Times New Roman" w:hAnsi="Times New Roman" w:cs="Times New Roman" w:eastAsia="Times New Roman" w:hint="default"/>
        </w:rPr>
        <w:t>”</w:t>
      </w:r>
      <w:r>
        <w:rPr/>
        <w:t>）签订宿舍租赁合同，合同约定：嘉恒投资将位于深圳</w:t>
      </w:r>
      <w:r>
        <w:rPr>
          <w:spacing w:val="-2"/>
        </w:rPr>
        <w:t> </w:t>
      </w:r>
      <w:r>
        <w:rPr/>
        <w:t>市</w:t>
      </w:r>
      <w:r>
        <w:rPr/>
        <w:t> 宝安区松岗街道塘下涌同富路 </w:t>
      </w:r>
      <w:r>
        <w:rPr>
          <w:rFonts w:ascii="Times New Roman" w:hAnsi="Times New Roman" w:cs="Times New Roman" w:eastAsia="Times New Roman" w:hint="default"/>
        </w:rPr>
        <w:t>10 </w:t>
      </w:r>
      <w:r>
        <w:rPr/>
        <w:t>嘉恒工业园 </w:t>
      </w:r>
      <w:r>
        <w:rPr>
          <w:rFonts w:ascii="Times New Roman" w:hAnsi="Times New Roman" w:cs="Times New Roman" w:eastAsia="Times New Roman" w:hint="default"/>
        </w:rPr>
        <w:t>3 </w:t>
      </w:r>
      <w:r>
        <w:rPr/>
        <w:t>号建筑面积 </w:t>
      </w:r>
      <w:r>
        <w:rPr>
          <w:rFonts w:ascii="Times New Roman" w:hAnsi="Times New Roman" w:cs="Times New Roman" w:eastAsia="Times New Roman" w:hint="default"/>
        </w:rPr>
        <w:t>2,669.65 </w:t>
      </w:r>
      <w:r>
        <w:rPr>
          <w:rFonts w:ascii="Times New Roman" w:hAnsi="Times New Roman" w:cs="Times New Roman" w:eastAsia="Times New Roman" w:hint="default"/>
          <w:spacing w:val="5"/>
        </w:rPr>
        <w:t> </w:t>
      </w:r>
      <w:r>
        <w:rPr/>
        <w:t>平方米的宿舍整栋出租给本公司作为宿舍使用，使用</w:t>
      </w:r>
    </w:p>
    <w:p>
      <w:pPr>
        <w:pStyle w:val="BodyText"/>
        <w:spacing w:line="246" w:lineRule="exact"/>
        <w:ind w:right="0"/>
        <w:jc w:val="left"/>
      </w:pPr>
      <w:r>
        <w:rPr/>
        <w:t>期限</w:t>
      </w:r>
      <w:r>
        <w:rPr>
          <w:spacing w:val="-15"/>
        </w:rPr>
        <w:t> </w:t>
      </w:r>
      <w:r>
        <w:rPr>
          <w:rFonts w:ascii="Times New Roman" w:hAnsi="Times New Roman" w:cs="Times New Roman" w:eastAsia="Times New Roman" w:hint="default"/>
        </w:rPr>
        <w:t>2016 </w:t>
      </w:r>
      <w:r>
        <w:rPr>
          <w:rFonts w:ascii="Times New Roman" w:hAnsi="Times New Roman" w:cs="Times New Roman" w:eastAsia="Times New Roman" w:hint="default"/>
          <w:spacing w:val="-15"/>
        </w:rPr>
        <w:t> </w:t>
      </w:r>
      <w:r>
        <w:rPr/>
        <w:t>年</w:t>
      </w:r>
      <w:r>
        <w:rPr>
          <w:spacing w:val="-15"/>
        </w:rPr>
        <w:t> </w:t>
      </w:r>
      <w:r>
        <w:rPr>
          <w:rFonts w:ascii="Times New Roman" w:hAnsi="Times New Roman" w:cs="Times New Roman" w:eastAsia="Times New Roman" w:hint="default"/>
        </w:rPr>
        <w:t>6 </w:t>
      </w:r>
      <w:r>
        <w:rPr>
          <w:rFonts w:ascii="Times New Roman" w:hAnsi="Times New Roman" w:cs="Times New Roman" w:eastAsia="Times New Roman" w:hint="default"/>
          <w:spacing w:val="-15"/>
        </w:rPr>
        <w:t> </w:t>
      </w:r>
      <w:r>
        <w:rPr/>
        <w:t>月</w:t>
      </w:r>
      <w:r>
        <w:rPr>
          <w:spacing w:val="-15"/>
        </w:rPr>
        <w:t> </w:t>
      </w:r>
      <w:r>
        <w:rPr>
          <w:rFonts w:ascii="Times New Roman" w:hAnsi="Times New Roman" w:cs="Times New Roman" w:eastAsia="Times New Roman" w:hint="default"/>
        </w:rPr>
        <w:t>20 </w:t>
      </w:r>
      <w:r>
        <w:rPr>
          <w:rFonts w:ascii="Times New Roman" w:hAnsi="Times New Roman" w:cs="Times New Roman" w:eastAsia="Times New Roman" w:hint="default"/>
          <w:spacing w:val="-15"/>
        </w:rPr>
        <w:t> </w:t>
      </w:r>
      <w:r>
        <w:rPr/>
        <w:t>日至</w:t>
      </w:r>
      <w:r>
        <w:rPr>
          <w:spacing w:val="-15"/>
        </w:rPr>
        <w:t> </w:t>
      </w:r>
      <w:r>
        <w:rPr>
          <w:rFonts w:ascii="Times New Roman" w:hAnsi="Times New Roman" w:cs="Times New Roman" w:eastAsia="Times New Roman" w:hint="default"/>
        </w:rPr>
        <w:t>2021 </w:t>
      </w:r>
      <w:r>
        <w:rPr>
          <w:rFonts w:ascii="Times New Roman" w:hAnsi="Times New Roman" w:cs="Times New Roman" w:eastAsia="Times New Roman" w:hint="default"/>
          <w:spacing w:val="-14"/>
        </w:rPr>
        <w:t> </w:t>
      </w:r>
      <w:r>
        <w:rPr/>
        <w:t>年</w:t>
      </w:r>
      <w:r>
        <w:rPr>
          <w:spacing w:val="-30"/>
        </w:rPr>
        <w:t> </w:t>
      </w:r>
      <w:r>
        <w:rPr>
          <w:rFonts w:ascii="Times New Roman" w:hAnsi="Times New Roman" w:cs="Times New Roman" w:eastAsia="Times New Roman" w:hint="default"/>
        </w:rPr>
        <w:t>6 </w:t>
      </w:r>
      <w:r>
        <w:rPr>
          <w:rFonts w:ascii="Times New Roman" w:hAnsi="Times New Roman" w:cs="Times New Roman" w:eastAsia="Times New Roman" w:hint="default"/>
          <w:spacing w:val="-15"/>
        </w:rPr>
        <w:t> </w:t>
      </w:r>
      <w:r>
        <w:rPr/>
        <w:t>月</w:t>
      </w:r>
      <w:r>
        <w:rPr>
          <w:spacing w:val="-15"/>
        </w:rPr>
        <w:t> </w:t>
      </w:r>
      <w:r>
        <w:rPr>
          <w:rFonts w:ascii="Times New Roman" w:hAnsi="Times New Roman" w:cs="Times New Roman" w:eastAsia="Times New Roman" w:hint="default"/>
        </w:rPr>
        <w:t>19 </w:t>
      </w:r>
      <w:r>
        <w:rPr>
          <w:rFonts w:ascii="Times New Roman" w:hAnsi="Times New Roman" w:cs="Times New Roman" w:eastAsia="Times New Roman" w:hint="default"/>
          <w:spacing w:val="-15"/>
        </w:rPr>
        <w:t> </w:t>
      </w:r>
      <w:r>
        <w:rPr/>
        <w:t>日</w:t>
      </w:r>
      <w:r>
        <w:rPr>
          <w:spacing w:val="-90"/>
        </w:rPr>
        <w:t>，</w:t>
      </w:r>
      <w:r>
        <w:rPr/>
        <w:t>租金每月人民币</w:t>
      </w:r>
      <w:r>
        <w:rPr>
          <w:spacing w:val="-13"/>
        </w:rPr>
        <w:t> </w:t>
      </w:r>
      <w:r>
        <w:rPr>
          <w:rFonts w:ascii="Times New Roman" w:hAnsi="Times New Roman" w:cs="Times New Roman" w:eastAsia="Times New Roman" w:hint="default"/>
        </w:rPr>
        <w:t>44,049.22 </w:t>
      </w:r>
      <w:r>
        <w:rPr>
          <w:rFonts w:ascii="Times New Roman" w:hAnsi="Times New Roman" w:cs="Times New Roman" w:eastAsia="Times New Roman" w:hint="default"/>
          <w:spacing w:val="-14"/>
        </w:rPr>
        <w:t> </w:t>
      </w:r>
      <w:r>
        <w:rPr/>
        <w:t>元</w:t>
      </w:r>
      <w:r>
        <w:rPr>
          <w:spacing w:val="-90"/>
        </w:rPr>
        <w:t>。</w:t>
      </w:r>
      <w:r>
        <w:rPr>
          <w:rFonts w:ascii="Times New Roman" w:hAnsi="Times New Roman" w:cs="Times New Roman" w:eastAsia="Times New Roman" w:hint="default"/>
        </w:rPr>
        <w:t>2018 </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12 </w:t>
      </w:r>
      <w:r>
        <w:rPr>
          <w:rFonts w:ascii="Times New Roman" w:hAnsi="Times New Roman" w:cs="Times New Roman" w:eastAsia="Times New Roman" w:hint="default"/>
          <w:spacing w:val="-15"/>
        </w:rPr>
        <w:t> </w:t>
      </w:r>
      <w:r>
        <w:rPr/>
        <w:t>月</w:t>
      </w:r>
      <w:r>
        <w:rPr>
          <w:spacing w:val="-15"/>
        </w:rPr>
        <w:t> </w:t>
      </w:r>
      <w:r>
        <w:rPr>
          <w:rFonts w:ascii="Times New Roman" w:hAnsi="Times New Roman" w:cs="Times New Roman" w:eastAsia="Times New Roman" w:hint="default"/>
        </w:rPr>
        <w:t>1 </w:t>
      </w:r>
      <w:r>
        <w:rPr>
          <w:rFonts w:ascii="Times New Roman" w:hAnsi="Times New Roman" w:cs="Times New Roman" w:eastAsia="Times New Roman" w:hint="default"/>
          <w:spacing w:val="-15"/>
        </w:rPr>
        <w:t> </w:t>
      </w:r>
      <w:r>
        <w:rPr/>
        <w:t>日至</w:t>
      </w:r>
      <w:r>
        <w:rPr>
          <w:spacing w:val="-15"/>
        </w:rPr>
        <w:t> </w:t>
      </w:r>
      <w:r>
        <w:rPr>
          <w:rFonts w:ascii="Times New Roman" w:hAnsi="Times New Roman" w:cs="Times New Roman" w:eastAsia="Times New Roman" w:hint="default"/>
        </w:rPr>
        <w:t>2021 </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11 </w:t>
      </w:r>
      <w:r>
        <w:rPr>
          <w:rFonts w:ascii="Times New Roman" w:hAnsi="Times New Roman" w:cs="Times New Roman" w:eastAsia="Times New Roman" w:hint="default"/>
          <w:spacing w:val="-15"/>
        </w:rPr>
        <w:t> </w:t>
      </w:r>
      <w:r>
        <w:rPr/>
        <w:t>月</w:t>
      </w:r>
      <w:r>
        <w:rPr>
          <w:spacing w:val="-15"/>
        </w:rPr>
        <w:t> </w:t>
      </w:r>
      <w:r>
        <w:rPr>
          <w:rFonts w:ascii="Times New Roman" w:hAnsi="Times New Roman" w:cs="Times New Roman" w:eastAsia="Times New Roman" w:hint="default"/>
        </w:rPr>
        <w:t>30 </w:t>
      </w:r>
      <w:r>
        <w:rPr>
          <w:rFonts w:ascii="Times New Roman" w:hAnsi="Times New Roman" w:cs="Times New Roman" w:eastAsia="Times New Roman" w:hint="default"/>
          <w:spacing w:val="-15"/>
        </w:rPr>
        <w:t> </w:t>
      </w:r>
      <w:r>
        <w:rPr/>
        <w:t>日</w:t>
      </w:r>
    </w:p>
    <w:p>
      <w:pPr>
        <w:pStyle w:val="BodyText"/>
        <w:spacing w:line="240" w:lineRule="auto" w:before="66"/>
        <w:ind w:right="0"/>
        <w:jc w:val="left"/>
        <w:rPr>
          <w:rFonts w:ascii="Times New Roman" w:hAnsi="Times New Roman" w:cs="Times New Roman" w:eastAsia="Times New Roman" w:hint="default"/>
        </w:rPr>
      </w:pPr>
      <w:r>
        <w:rPr/>
        <w:t>嘉恒投</w:t>
      </w:r>
      <w:r>
        <w:rPr>
          <w:spacing w:val="-15"/>
        </w:rPr>
        <w:t> </w:t>
      </w:r>
      <w:r>
        <w:rPr/>
        <w:t>资将深圳市宝安区松岗街道塘下涌同富路</w:t>
      </w:r>
      <w:r>
        <w:rPr>
          <w:spacing w:val="-11"/>
        </w:rPr>
        <w:t> </w:t>
      </w:r>
      <w:r>
        <w:rPr>
          <w:rFonts w:ascii="Times New Roman" w:hAnsi="Times New Roman" w:cs="Times New Roman" w:eastAsia="Times New Roman" w:hint="default"/>
        </w:rPr>
        <w:t>10 </w:t>
      </w:r>
      <w:r>
        <w:rPr>
          <w:rFonts w:ascii="Times New Roman" w:hAnsi="Times New Roman" w:cs="Times New Roman" w:eastAsia="Times New Roman" w:hint="default"/>
          <w:spacing w:val="-15"/>
        </w:rPr>
        <w:t> </w:t>
      </w:r>
      <w:r>
        <w:rPr/>
        <w:t>号员工配套宿舍</w:t>
      </w:r>
      <w:r>
        <w:rPr>
          <w:spacing w:val="-14"/>
        </w:rPr>
        <w:t> </w:t>
      </w:r>
      <w:r>
        <w:rPr>
          <w:rFonts w:ascii="Times New Roman" w:hAnsi="Times New Roman" w:cs="Times New Roman" w:eastAsia="Times New Roman" w:hint="default"/>
        </w:rPr>
        <w:t>1 </w:t>
      </w:r>
      <w:r>
        <w:rPr>
          <w:rFonts w:ascii="Times New Roman" w:hAnsi="Times New Roman" w:cs="Times New Roman" w:eastAsia="Times New Roman" w:hint="default"/>
          <w:spacing w:val="-15"/>
        </w:rPr>
        <w:t> </w:t>
      </w:r>
      <w:r>
        <w:rPr/>
        <w:t>号宿舍</w:t>
      </w:r>
      <w:r>
        <w:rPr>
          <w:spacing w:val="-14"/>
        </w:rPr>
        <w:t> </w:t>
      </w:r>
      <w:r>
        <w:rPr>
          <w:rFonts w:ascii="Times New Roman" w:hAnsi="Times New Roman" w:cs="Times New Roman" w:eastAsia="Times New Roman" w:hint="default"/>
          <w:w w:val="99"/>
        </w:rPr>
        <w:t>A</w:t>
      </w:r>
      <w:r>
        <w:rPr>
          <w:rFonts w:ascii="Times New Roman" w:hAnsi="Times New Roman" w:cs="Times New Roman" w:eastAsia="Times New Roman" w:hint="default"/>
        </w:rPr>
        <w:t> </w:t>
      </w:r>
      <w:r>
        <w:rPr>
          <w:rFonts w:ascii="Times New Roman" w:hAnsi="Times New Roman" w:cs="Times New Roman" w:eastAsia="Times New Roman" w:hint="default"/>
          <w:spacing w:val="-10"/>
        </w:rPr>
        <w:t> </w:t>
      </w:r>
      <w:r>
        <w:rPr/>
        <w:t>单元</w:t>
      </w:r>
      <w:r>
        <w:rPr>
          <w:spacing w:val="-30"/>
        </w:rPr>
        <w:t> </w:t>
      </w:r>
      <w:r>
        <w:rPr>
          <w:rFonts w:ascii="Times New Roman" w:hAnsi="Times New Roman" w:cs="Times New Roman" w:eastAsia="Times New Roman" w:hint="default"/>
        </w:rPr>
        <w:t>2-4 </w:t>
      </w:r>
      <w:r>
        <w:rPr>
          <w:rFonts w:ascii="Times New Roman" w:hAnsi="Times New Roman" w:cs="Times New Roman" w:eastAsia="Times New Roman" w:hint="default"/>
          <w:spacing w:val="-15"/>
        </w:rPr>
        <w:t> </w:t>
      </w:r>
      <w:r>
        <w:rPr>
          <w:spacing w:val="-75"/>
        </w:rPr>
        <w:t>楼</w:t>
      </w:r>
      <w:r>
        <w:rPr/>
        <w:t>（</w:t>
      </w:r>
      <w:r>
        <w:rPr>
          <w:rFonts w:ascii="Times New Roman" w:hAnsi="Times New Roman" w:cs="Times New Roman" w:eastAsia="Times New Roman" w:hint="default"/>
        </w:rPr>
        <w:t>401-403 </w:t>
      </w:r>
      <w:r>
        <w:rPr>
          <w:rFonts w:ascii="Times New Roman" w:hAnsi="Times New Roman" w:cs="Times New Roman" w:eastAsia="Times New Roman" w:hint="default"/>
          <w:spacing w:val="-15"/>
        </w:rPr>
        <w:t> </w:t>
      </w:r>
      <w:r>
        <w:rPr/>
        <w:t>除外</w:t>
      </w:r>
      <w:r>
        <w:rPr>
          <w:spacing w:val="-76"/>
        </w:rPr>
        <w:t>）</w:t>
      </w:r>
      <w:r>
        <w:rPr>
          <w:spacing w:val="-74"/>
        </w:rPr>
        <w:t>、</w:t>
      </w:r>
      <w:r>
        <w:rPr>
          <w:rFonts w:ascii="Times New Roman" w:hAnsi="Times New Roman" w:cs="Times New Roman" w:eastAsia="Times New Roman" w:hint="default"/>
        </w:rPr>
        <w:t>B </w:t>
      </w:r>
      <w:r>
        <w:rPr>
          <w:rFonts w:ascii="Times New Roman" w:hAnsi="Times New Roman" w:cs="Times New Roman" w:eastAsia="Times New Roman" w:hint="default"/>
          <w:spacing w:val="-16"/>
        </w:rPr>
        <w:t> </w:t>
      </w:r>
      <w:r>
        <w:rPr/>
        <w:t>单元</w:t>
      </w:r>
      <w:r>
        <w:rPr>
          <w:spacing w:val="-15"/>
        </w:rPr>
        <w:t> </w:t>
      </w:r>
      <w:r>
        <w:rPr>
          <w:rFonts w:ascii="Times New Roman" w:hAnsi="Times New Roman" w:cs="Times New Roman" w:eastAsia="Times New Roman" w:hint="default"/>
        </w:rPr>
        <w:t>2-7</w:t>
      </w:r>
    </w:p>
    <w:p>
      <w:pPr>
        <w:pStyle w:val="BodyText"/>
        <w:spacing w:line="240" w:lineRule="auto" w:before="66"/>
        <w:ind w:right="0"/>
        <w:jc w:val="left"/>
      </w:pPr>
      <w:r>
        <w:rPr/>
        <w:t>楼共 </w:t>
      </w:r>
      <w:r>
        <w:rPr>
          <w:rFonts w:ascii="Times New Roman" w:hAnsi="Times New Roman" w:cs="Times New Roman" w:eastAsia="Times New Roman" w:hint="default"/>
        </w:rPr>
        <w:t>168 </w:t>
      </w:r>
      <w:r>
        <w:rPr/>
        <w:t>间房，面积为 </w:t>
      </w:r>
      <w:r>
        <w:rPr>
          <w:rFonts w:ascii="Times New Roman" w:hAnsi="Times New Roman" w:cs="Times New Roman" w:eastAsia="Times New Roman" w:hint="default"/>
        </w:rPr>
        <w:t>6,492.5 </w:t>
      </w:r>
      <w:r>
        <w:rPr/>
        <w:t>平方米出租给公司使用，</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2021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30  </w:t>
      </w:r>
      <w:r>
        <w:rPr>
          <w:rFonts w:ascii="Times New Roman" w:hAnsi="Times New Roman" w:cs="Times New Roman" w:eastAsia="Times New Roman" w:hint="default"/>
          <w:spacing w:val="18"/>
        </w:rPr>
        <w:t> </w:t>
      </w:r>
      <w:r>
        <w:rPr/>
        <w:t>日每月租金为人民币</w:t>
      </w:r>
    </w:p>
    <w:p>
      <w:pPr>
        <w:pStyle w:val="BodyText"/>
        <w:spacing w:line="297" w:lineRule="auto" w:before="66"/>
        <w:ind w:right="1118"/>
        <w:jc w:val="left"/>
      </w:pPr>
      <w:r>
        <w:rPr>
          <w:rFonts w:ascii="Times New Roman" w:hAnsi="Times New Roman" w:cs="Times New Roman" w:eastAsia="Times New Roman" w:hint="default"/>
        </w:rPr>
        <w:t>110,372.50 </w:t>
      </w:r>
      <w:r>
        <w:rPr>
          <w:spacing w:val="-3"/>
        </w:rPr>
        <w:t>元。</w:t>
      </w:r>
      <w:r>
        <w:rPr>
          <w:rFonts w:ascii="Times New Roman" w:hAnsi="Times New Roman" w:cs="Times New Roman" w:eastAsia="Times New Roman" w:hint="default"/>
          <w:spacing w:val="-3"/>
        </w:rPr>
        <w:t>2018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2021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31 </w:t>
      </w:r>
      <w:r>
        <w:rPr/>
        <w:t>日嘉恒投资将位于深圳市宝安区松岗街道塘下涌同富路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号嘉恒工 业园 </w:t>
      </w:r>
      <w:r>
        <w:rPr>
          <w:rFonts w:ascii="Times New Roman" w:hAnsi="Times New Roman" w:cs="Times New Roman" w:eastAsia="Times New Roman" w:hint="default"/>
        </w:rPr>
        <w:t>1 </w:t>
      </w:r>
      <w:r>
        <w:rPr/>
        <w:t>号宿舍 </w:t>
      </w:r>
      <w:r>
        <w:rPr>
          <w:rFonts w:ascii="Times New Roman" w:hAnsi="Times New Roman" w:cs="Times New Roman" w:eastAsia="Times New Roman" w:hint="default"/>
        </w:rPr>
        <w:t>A </w:t>
      </w:r>
      <w:r>
        <w:rPr/>
        <w:t>座一楼出 租给本公司作为仓库使用，出租面积共计 </w:t>
      </w:r>
      <w:r>
        <w:rPr>
          <w:rFonts w:ascii="Times New Roman" w:hAnsi="Times New Roman" w:cs="Times New Roman" w:eastAsia="Times New Roman" w:hint="default"/>
        </w:rPr>
        <w:t>1,306 </w:t>
      </w:r>
      <w:r>
        <w:rPr/>
        <w:t>平方米，每月租金为 </w:t>
      </w:r>
      <w:r>
        <w:rPr>
          <w:rFonts w:ascii="Times New Roman" w:hAnsi="Times New Roman" w:cs="Times New Roman" w:eastAsia="Times New Roman" w:hint="default"/>
        </w:rPr>
        <w:t>20,896</w:t>
      </w:r>
      <w:r>
        <w:rPr>
          <w:rFonts w:ascii="Times New Roman" w:hAnsi="Times New Roman" w:cs="Times New Roman" w:eastAsia="Times New Roman" w:hint="default"/>
          <w:spacing w:val="-1"/>
        </w:rPr>
        <w:t> </w:t>
      </w:r>
      <w:r>
        <w:rPr/>
        <w:t>元人民币。</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日、嘉恒投资将位于深圳市宝安区松岗街道塘下涌同富路 </w:t>
      </w: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t>号面积总计为</w:t>
      </w:r>
      <w:r>
        <w:rPr>
          <w:rFonts w:ascii="Times New Roman" w:hAnsi="Times New Roman" w:cs="Times New Roman" w:eastAsia="Times New Roman" w:hint="default"/>
        </w:rPr>
        <w:t>19,633</w:t>
      </w:r>
      <w:r>
        <w:rPr/>
        <w:t>平方米的</w:t>
      </w:r>
      <w:r>
        <w:rPr>
          <w:rFonts w:ascii="Times New Roman" w:hAnsi="Times New Roman" w:cs="Times New Roman" w:eastAsia="Times New Roman" w:hint="default"/>
        </w:rPr>
        <w:t>4</w:t>
      </w:r>
      <w:r>
        <w:rPr/>
        <w:t>栋厂</w:t>
      </w:r>
    </w:p>
    <w:p>
      <w:pPr>
        <w:spacing w:after="0" w:line="297"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0"/>
        <w:jc w:val="left"/>
      </w:pPr>
      <w:r>
        <w:rPr/>
        <w:t>房、</w:t>
      </w:r>
      <w:r>
        <w:rPr>
          <w:rFonts w:ascii="Times New Roman" w:hAnsi="Times New Roman" w:cs="Times New Roman" w:eastAsia="Times New Roman" w:hint="default"/>
        </w:rPr>
        <w:t>5</w:t>
      </w:r>
      <w:r>
        <w:rPr/>
        <w:t>栋仓库及</w:t>
      </w:r>
      <w:r>
        <w:rPr>
          <w:rFonts w:ascii="Times New Roman" w:hAnsi="Times New Roman" w:cs="Times New Roman" w:eastAsia="Times New Roman" w:hint="default"/>
        </w:rPr>
        <w:t>D2</w:t>
      </w:r>
      <w:r>
        <w:rPr/>
        <w:t>栋宿舍</w:t>
      </w:r>
      <w:r>
        <w:rPr>
          <w:rFonts w:ascii="Times New Roman" w:hAnsi="Times New Roman" w:cs="Times New Roman" w:eastAsia="Times New Roman" w:hint="default"/>
        </w:rPr>
        <w:t>5-7</w:t>
      </w:r>
      <w:r>
        <w:rPr/>
        <w:t>楼出租给公司使用，每月租金总计</w:t>
      </w:r>
      <w:r>
        <w:rPr>
          <w:rFonts w:ascii="Times New Roman" w:hAnsi="Times New Roman" w:cs="Times New Roman" w:eastAsia="Times New Roman" w:hint="default"/>
        </w:rPr>
        <w:t>473,209.00</w:t>
      </w:r>
      <w:r>
        <w:rPr/>
        <w:t>元。</w:t>
      </w:r>
    </w:p>
    <w:p>
      <w:pPr>
        <w:pStyle w:val="BodyText"/>
        <w:spacing w:line="297" w:lineRule="auto" w:before="96"/>
        <w:ind w:right="1088" w:firstLine="150"/>
        <w:jc w:val="left"/>
      </w:pPr>
      <w:r>
        <w:rPr/>
        <w:t>（</w:t>
      </w:r>
      <w:r>
        <w:rPr>
          <w:rFonts w:ascii="Times New Roman" w:hAnsi="Times New Roman" w:cs="Times New Roman" w:eastAsia="Times New Roman" w:hint="default"/>
        </w:rPr>
        <w:t>5</w:t>
      </w:r>
      <w:r>
        <w:rPr/>
        <w:t>）本公司与东莞市龙之祥振兴物业管理有限公司（以下简称</w:t>
      </w:r>
      <w:r>
        <w:rPr>
          <w:rFonts w:ascii="Times New Roman" w:hAnsi="Times New Roman" w:cs="Times New Roman" w:eastAsia="Times New Roman" w:hint="default"/>
        </w:rPr>
        <w:t>“</w:t>
      </w:r>
      <w:r>
        <w:rPr/>
        <w:t>振兴物业</w:t>
      </w:r>
      <w:r>
        <w:rPr>
          <w:rFonts w:ascii="Times New Roman" w:hAnsi="Times New Roman" w:cs="Times New Roman" w:eastAsia="Times New Roman" w:hint="default"/>
        </w:rPr>
        <w:t>”</w:t>
      </w:r>
      <w:r>
        <w:rPr/>
        <w:t>）签订房屋租赁合同及补充协议，合同约定： 振兴物业将位于东莞市长安镇乌沙社区龙之祥振兴科技园 </w:t>
      </w:r>
      <w:r>
        <w:rPr>
          <w:rFonts w:ascii="Times New Roman" w:hAnsi="Times New Roman" w:cs="Times New Roman" w:eastAsia="Times New Roman" w:hint="default"/>
        </w:rPr>
        <w:t>5 </w:t>
      </w:r>
      <w:r>
        <w:rPr/>
        <w:t>楼 </w:t>
      </w:r>
      <w:r>
        <w:rPr>
          <w:rFonts w:ascii="Times New Roman" w:hAnsi="Times New Roman" w:cs="Times New Roman" w:eastAsia="Times New Roman" w:hint="default"/>
          <w:spacing w:val="-3"/>
        </w:rPr>
        <w:t>A</w:t>
      </w:r>
      <w:r>
        <w:rPr>
          <w:spacing w:val="-3"/>
        </w:rPr>
        <w:t>、</w:t>
      </w:r>
      <w:r>
        <w:rPr>
          <w:rFonts w:ascii="Times New Roman" w:hAnsi="Times New Roman" w:cs="Times New Roman" w:eastAsia="Times New Roman" w:hint="default"/>
          <w:spacing w:val="-3"/>
        </w:rPr>
        <w:t>B</w:t>
      </w:r>
      <w:r>
        <w:rPr>
          <w:spacing w:val="-3"/>
        </w:rPr>
        <w:t>、</w:t>
      </w:r>
      <w:r>
        <w:rPr>
          <w:rFonts w:ascii="Times New Roman" w:hAnsi="Times New Roman" w:cs="Times New Roman" w:eastAsia="Times New Roman" w:hint="default"/>
          <w:spacing w:val="-3"/>
        </w:rPr>
        <w:t>C </w:t>
      </w:r>
      <w:r>
        <w:rPr/>
        <w:t>栋整层及 </w:t>
      </w:r>
      <w:r>
        <w:rPr>
          <w:rFonts w:ascii="Times New Roman" w:hAnsi="Times New Roman" w:cs="Times New Roman" w:eastAsia="Times New Roman" w:hint="default"/>
        </w:rPr>
        <w:t>6 </w:t>
      </w:r>
      <w:r>
        <w:rPr/>
        <w:t>楼 </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rFonts w:ascii="Times New Roman" w:hAnsi="Times New Roman" w:cs="Times New Roman" w:eastAsia="Times New Roman" w:hint="default"/>
          <w:spacing w:val="19"/>
        </w:rPr>
        <w:t> </w:t>
      </w:r>
      <w:r>
        <w:rPr/>
        <w:t>栋整层厂房及五套公寓出租 </w:t>
      </w:r>
      <w:r>
        <w:rPr>
          <w:spacing w:val="-6"/>
        </w:rPr>
        <w:t>给本公司，厂房用途为仓库，公寓用途为员工宿舍。</w:t>
      </w:r>
      <w:r>
        <w:rPr>
          <w:rFonts w:ascii="Times New Roman" w:hAnsi="Times New Roman" w:cs="Times New Roman" w:eastAsia="Times New Roman" w:hint="default"/>
          <w:spacing w:val="-6"/>
        </w:rPr>
        <w:t>2018</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 </w:t>
      </w:r>
      <w:r>
        <w:rPr/>
        <w:t>日至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30 </w:t>
      </w:r>
      <w:r>
        <w:rPr/>
        <w:t>日每月租金为人民币</w:t>
      </w:r>
      <w:r>
        <w:rPr>
          <w:spacing w:val="16"/>
        </w:rPr>
        <w:t> </w:t>
      </w:r>
      <w:r>
        <w:rPr>
          <w:rFonts w:ascii="Times New Roman" w:hAnsi="Times New Roman" w:cs="Times New Roman" w:eastAsia="Times New Roman" w:hint="default"/>
        </w:rPr>
        <w:t>372,993.30 </w:t>
      </w:r>
      <w:r>
        <w:rPr/>
        <w:t>元。</w:t>
      </w:r>
    </w:p>
    <w:p>
      <w:pPr>
        <w:pStyle w:val="BodyText"/>
        <w:spacing w:line="240" w:lineRule="auto" w:before="82"/>
        <w:ind w:right="0"/>
        <w:jc w:val="left"/>
      </w:pPr>
      <w:r>
        <w:rPr/>
        <w:t>为公司带来的损益达到公司报告期利润总额</w:t>
      </w:r>
      <w:r>
        <w:rPr>
          <w:spacing w:val="-41"/>
        </w:rPr>
        <w:t> </w:t>
      </w:r>
      <w:r>
        <w:rPr>
          <w:rFonts w:ascii="Times New Roman" w:hAnsi="Times New Roman" w:cs="Times New Roman" w:eastAsia="Times New Roman" w:hint="default"/>
        </w:rPr>
        <w:t>10%</w:t>
      </w:r>
      <w:r>
        <w:rPr/>
        <w:t>以上的项</w:t>
      </w:r>
    </w:p>
    <w:p>
      <w:pPr>
        <w:pStyle w:val="BodyText"/>
        <w:spacing w:line="240" w:lineRule="auto" w:before="111"/>
        <w:ind w:right="0"/>
        <w:jc w:val="left"/>
      </w:pPr>
      <w:r>
        <w:rPr/>
        <w:pict>
          <v:group style="position:absolute;margin-left:187.729996pt;margin-top:105.036697pt;width:42.05pt;height:20.25pt;mso-position-horizontal-relative:page;mso-position-vertical-relative:paragraph;z-index:-1269088" coordorigin="3755,2101" coordsize="841,405">
            <v:group style="position:absolute;left:3762;top:2108;width:2;height:390" coordorigin="3762,2108" coordsize="2,390">
              <v:shape style="position:absolute;left:3762;top:2108;width:2;height:390" coordorigin="3762,2108" coordsize="0,390" path="m3762,2108l3762,2498e" filled="false" stroked="true" strokeweight=".75pt" strokecolor="#ffffff">
                <v:path arrowok="t"/>
              </v:shape>
            </v:group>
            <v:group style="position:absolute;left:3770;top:2108;width:826;height:390" coordorigin="3770,2108" coordsize="826,390">
              <v:shape style="position:absolute;left:3770;top:2108;width:826;height:390" coordorigin="3770,2108" coordsize="826,390" path="m3770,2498l4596,2498,4596,2108,3770,2108,3770,2498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871"/>
        <w:gridCol w:w="871"/>
        <w:gridCol w:w="871"/>
        <w:gridCol w:w="871"/>
        <w:gridCol w:w="871"/>
        <w:gridCol w:w="871"/>
        <w:gridCol w:w="871"/>
        <w:gridCol w:w="871"/>
        <w:gridCol w:w="871"/>
        <w:gridCol w:w="872"/>
        <w:gridCol w:w="871"/>
      </w:tblGrid>
      <w:tr>
        <w:trPr>
          <w:trHeight w:val="1036"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30" w:right="75" w:hanging="271"/>
              <w:jc w:val="left"/>
              <w:rPr>
                <w:rFonts w:ascii="宋体" w:hAnsi="宋体" w:cs="宋体" w:eastAsia="宋体" w:hint="default"/>
                <w:sz w:val="18"/>
                <w:szCs w:val="18"/>
              </w:rPr>
            </w:pPr>
            <w:r>
              <w:rPr>
                <w:rFonts w:ascii="宋体" w:hAnsi="宋体" w:cs="宋体" w:eastAsia="宋体" w:hint="default"/>
                <w:sz w:val="18"/>
                <w:szCs w:val="18"/>
              </w:rPr>
              <w:t>出租方名 称</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30" w:right="74" w:hanging="271"/>
              <w:jc w:val="left"/>
              <w:rPr>
                <w:rFonts w:ascii="宋体" w:hAnsi="宋体" w:cs="宋体" w:eastAsia="宋体" w:hint="default"/>
                <w:sz w:val="18"/>
                <w:szCs w:val="18"/>
              </w:rPr>
            </w:pPr>
            <w:r>
              <w:rPr>
                <w:rFonts w:ascii="宋体" w:hAnsi="宋体" w:cs="宋体" w:eastAsia="宋体" w:hint="default"/>
                <w:sz w:val="18"/>
                <w:szCs w:val="18"/>
              </w:rPr>
              <w:t>租赁方名 称</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40" w:right="75" w:hanging="181"/>
              <w:jc w:val="left"/>
              <w:rPr>
                <w:rFonts w:ascii="宋体" w:hAnsi="宋体" w:cs="宋体" w:eastAsia="宋体" w:hint="default"/>
                <w:sz w:val="18"/>
                <w:szCs w:val="18"/>
              </w:rPr>
            </w:pPr>
            <w:r>
              <w:rPr>
                <w:rFonts w:ascii="宋体" w:hAnsi="宋体" w:cs="宋体" w:eastAsia="宋体" w:hint="default"/>
                <w:sz w:val="18"/>
                <w:szCs w:val="18"/>
              </w:rPr>
              <w:t>租赁资产 情况</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60" w:right="75"/>
              <w:jc w:val="left"/>
              <w:rPr>
                <w:rFonts w:ascii="宋体" w:hAnsi="宋体" w:cs="宋体" w:eastAsia="宋体" w:hint="default"/>
                <w:sz w:val="18"/>
                <w:szCs w:val="18"/>
              </w:rPr>
            </w:pPr>
            <w:r>
              <w:rPr>
                <w:rFonts w:ascii="宋体" w:hAnsi="宋体" w:cs="宋体" w:eastAsia="宋体" w:hint="default"/>
                <w:sz w:val="18"/>
                <w:szCs w:val="18"/>
              </w:rPr>
              <w:t>租赁资产 涉及金额</w:t>
            </w:r>
          </w:p>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30" w:right="75" w:hanging="270"/>
              <w:jc w:val="left"/>
              <w:rPr>
                <w:rFonts w:ascii="宋体" w:hAnsi="宋体" w:cs="宋体" w:eastAsia="宋体" w:hint="default"/>
                <w:sz w:val="18"/>
                <w:szCs w:val="18"/>
              </w:rPr>
            </w:pPr>
            <w:r>
              <w:rPr>
                <w:rFonts w:ascii="宋体" w:hAnsi="宋体" w:cs="宋体" w:eastAsia="宋体" w:hint="default"/>
                <w:sz w:val="18"/>
                <w:szCs w:val="18"/>
              </w:rPr>
              <w:t>租赁起始 日</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30" w:right="75" w:hanging="271"/>
              <w:jc w:val="left"/>
              <w:rPr>
                <w:rFonts w:ascii="宋体" w:hAnsi="宋体" w:cs="宋体" w:eastAsia="宋体" w:hint="default"/>
                <w:sz w:val="18"/>
                <w:szCs w:val="18"/>
              </w:rPr>
            </w:pPr>
            <w:r>
              <w:rPr>
                <w:rFonts w:ascii="宋体" w:hAnsi="宋体" w:cs="宋体" w:eastAsia="宋体" w:hint="default"/>
                <w:sz w:val="18"/>
                <w:szCs w:val="18"/>
              </w:rPr>
              <w:t>租赁终止 日</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租赁收益</w:t>
            </w:r>
          </w:p>
          <w:p>
            <w:pPr>
              <w:pStyle w:val="TableParagraph"/>
              <w:spacing w:line="240" w:lineRule="auto" w:before="80"/>
              <w:ind w:left="6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60" w:right="75"/>
              <w:jc w:val="left"/>
              <w:rPr>
                <w:rFonts w:ascii="宋体" w:hAnsi="宋体" w:cs="宋体" w:eastAsia="宋体" w:hint="default"/>
                <w:sz w:val="18"/>
                <w:szCs w:val="18"/>
              </w:rPr>
            </w:pPr>
            <w:r>
              <w:rPr>
                <w:rFonts w:ascii="宋体" w:hAnsi="宋体" w:cs="宋体" w:eastAsia="宋体" w:hint="default"/>
                <w:sz w:val="18"/>
                <w:szCs w:val="18"/>
              </w:rPr>
              <w:t>租赁收益 确定依据</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60" w:right="75"/>
              <w:jc w:val="center"/>
              <w:rPr>
                <w:rFonts w:ascii="宋体" w:hAnsi="宋体" w:cs="宋体" w:eastAsia="宋体" w:hint="default"/>
                <w:sz w:val="18"/>
                <w:szCs w:val="18"/>
              </w:rPr>
            </w:pPr>
            <w:r>
              <w:rPr>
                <w:rFonts w:ascii="宋体" w:hAnsi="宋体" w:cs="宋体" w:eastAsia="宋体" w:hint="default"/>
                <w:sz w:val="18"/>
                <w:szCs w:val="18"/>
              </w:rPr>
              <w:t>租赁收益 对公司影 响</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40" w:right="75"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0"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51"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4" w:lineRule="auto"/>
              <w:ind w:left="15" w:right="120"/>
              <w:jc w:val="both"/>
              <w:rPr>
                <w:rFonts w:ascii="宋体" w:hAnsi="宋体" w:cs="宋体" w:eastAsia="宋体" w:hint="default"/>
                <w:sz w:val="18"/>
                <w:szCs w:val="18"/>
              </w:rPr>
            </w:pPr>
            <w:r>
              <w:rPr>
                <w:rFonts w:ascii="宋体" w:hAnsi="宋体" w:cs="宋体" w:eastAsia="宋体" w:hint="default"/>
                <w:sz w:val="18"/>
                <w:szCs w:val="18"/>
              </w:rPr>
              <w:t>深圳市英 特利投资 有限公司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4" w:lineRule="auto"/>
              <w:ind w:left="14" w:right="119"/>
              <w:jc w:val="both"/>
              <w:rPr>
                <w:rFonts w:ascii="宋体" w:hAnsi="宋体" w:cs="宋体" w:eastAsia="宋体" w:hint="default"/>
                <w:sz w:val="18"/>
                <w:szCs w:val="18"/>
              </w:rPr>
            </w:pPr>
            <w:r>
              <w:rPr>
                <w:rFonts w:ascii="宋体" w:hAnsi="宋体" w:cs="宋体" w:eastAsia="宋体" w:hint="default"/>
                <w:sz w:val="18"/>
                <w:szCs w:val="18"/>
              </w:rPr>
              <w:t>深圳市卓 翼智造有 限公司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19"/>
              <w:jc w:val="left"/>
              <w:rPr>
                <w:rFonts w:ascii="宋体" w:hAnsi="宋体" w:cs="宋体" w:eastAsia="宋体" w:hint="default"/>
                <w:sz w:val="18"/>
                <w:szCs w:val="18"/>
              </w:rPr>
            </w:pPr>
            <w:r>
              <w:rPr>
                <w:rFonts w:ascii="宋体" w:hAnsi="宋体" w:cs="宋体" w:eastAsia="宋体" w:hint="default"/>
                <w:sz w:val="18"/>
                <w:szCs w:val="18"/>
              </w:rPr>
              <w:t>松岗同富 裕工业区</w:t>
            </w:r>
          </w:p>
          <w:p>
            <w:pPr>
              <w:pStyle w:val="TableParagraph"/>
              <w:spacing w:line="290" w:lineRule="auto" w:before="34"/>
              <w:ind w:left="15" w:right="119"/>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Times New Roman" w:hAnsi="Times New Roman" w:cs="Times New Roman" w:eastAsia="Times New Roman" w:hint="default"/>
                <w:sz w:val="18"/>
                <w:szCs w:val="18"/>
              </w:rPr>
              <w:t> 3#</w:t>
            </w:r>
            <w:r>
              <w:rPr>
                <w:rFonts w:ascii="宋体" w:hAnsi="宋体" w:cs="宋体" w:eastAsia="宋体" w:hint="default"/>
                <w:sz w:val="18"/>
                <w:szCs w:val="18"/>
              </w:rPr>
              <w:t>厂房和</w:t>
            </w:r>
          </w:p>
          <w:p>
            <w:pPr>
              <w:pStyle w:val="TableParagraph"/>
              <w:spacing w:line="240" w:lineRule="auto" w:before="2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宿舍</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-1,407.36</w:t>
            </w:r>
            <w:r>
              <w:rPr>
                <w:rFonts w:ascii="Times New Roman"/>
                <w:sz w:val="18"/>
              </w:rPr>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增加费用</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828"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方俊基</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14" w:right="119"/>
              <w:jc w:val="both"/>
              <w:rPr>
                <w:rFonts w:ascii="宋体" w:hAnsi="宋体" w:cs="宋体" w:eastAsia="宋体" w:hint="default"/>
                <w:sz w:val="18"/>
                <w:szCs w:val="18"/>
              </w:rPr>
            </w:pPr>
            <w:r>
              <w:rPr>
                <w:rFonts w:ascii="宋体" w:hAnsi="宋体" w:cs="宋体" w:eastAsia="宋体" w:hint="default"/>
                <w:sz w:val="18"/>
                <w:szCs w:val="18"/>
              </w:rPr>
              <w:t>深圳市卓 翼科技股 份有限公 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0"/>
              <w:ind w:left="15"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深圳市平 山实业股 份有限公 司处承租 的位于深 圳市南山 区桃源街 道平山民 企工业区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90" w:lineRule="auto"/>
              <w:ind w:left="15" w:right="29"/>
              <w:jc w:val="both"/>
              <w:rPr>
                <w:rFonts w:ascii="宋体" w:hAnsi="宋体" w:cs="宋体" w:eastAsia="宋体" w:hint="default"/>
                <w:sz w:val="18"/>
                <w:szCs w:val="18"/>
              </w:rPr>
            </w:pPr>
            <w:r>
              <w:rPr>
                <w:rFonts w:ascii="宋体" w:hAnsi="宋体" w:cs="宋体" w:eastAsia="宋体" w:hint="default"/>
                <w:spacing w:val="-3"/>
                <w:sz w:val="18"/>
                <w:szCs w:val="18"/>
              </w:rPr>
              <w:t>楼、</w:t>
            </w:r>
            <w:r>
              <w:rPr>
                <w:rFonts w:ascii="Times New Roman" w:hAnsi="Times New Roman" w:cs="Times New Roman" w:eastAsia="Times New Roman" w:hint="default"/>
                <w:spacing w:val="-3"/>
                <w:sz w:val="18"/>
                <w:szCs w:val="18"/>
              </w:rPr>
              <w:t>5-6</w:t>
            </w:r>
            <w:r>
              <w:rPr>
                <w:rFonts w:ascii="Times New Roman" w:hAnsi="Times New Roman" w:cs="Times New Roman" w:eastAsia="Times New Roman" w:hint="default"/>
                <w:sz w:val="18"/>
                <w:szCs w:val="18"/>
              </w:rPr>
              <w:t> </w:t>
            </w:r>
            <w:r>
              <w:rPr>
                <w:rFonts w:ascii="宋体" w:hAnsi="宋体" w:cs="宋体" w:eastAsia="宋体" w:hint="default"/>
                <w:sz w:val="18"/>
                <w:szCs w:val="18"/>
              </w:rPr>
              <w:t>楼 厂房</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-1,026.53</w:t>
            </w:r>
            <w:r>
              <w:rPr>
                <w:rFonts w:ascii="Times New Roman"/>
                <w:sz w:val="18"/>
              </w:rPr>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增加费用</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843"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15" w:right="120"/>
              <w:jc w:val="both"/>
              <w:rPr>
                <w:rFonts w:ascii="宋体" w:hAnsi="宋体" w:cs="宋体" w:eastAsia="宋体" w:hint="default"/>
                <w:sz w:val="18"/>
                <w:szCs w:val="18"/>
              </w:rPr>
            </w:pPr>
            <w:r>
              <w:rPr>
                <w:rFonts w:ascii="宋体" w:hAnsi="宋体" w:cs="宋体" w:eastAsia="宋体" w:hint="default"/>
                <w:sz w:val="18"/>
                <w:szCs w:val="18"/>
              </w:rPr>
              <w:t>深圳市嘉 恒投资有 限公司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14" w:right="119"/>
              <w:jc w:val="both"/>
              <w:rPr>
                <w:rFonts w:ascii="宋体" w:hAnsi="宋体" w:cs="宋体" w:eastAsia="宋体" w:hint="default"/>
                <w:sz w:val="18"/>
                <w:szCs w:val="18"/>
              </w:rPr>
            </w:pPr>
            <w:r>
              <w:rPr>
                <w:rFonts w:ascii="宋体" w:hAnsi="宋体" w:cs="宋体" w:eastAsia="宋体" w:hint="default"/>
                <w:sz w:val="18"/>
                <w:szCs w:val="18"/>
              </w:rPr>
              <w:t>深圳市卓 翼智造有 限公司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29"/>
              <w:jc w:val="both"/>
              <w:rPr>
                <w:rFonts w:ascii="宋体" w:hAnsi="宋体" w:cs="宋体" w:eastAsia="宋体" w:hint="default"/>
                <w:sz w:val="18"/>
                <w:szCs w:val="18"/>
              </w:rPr>
            </w:pPr>
            <w:r>
              <w:rPr>
                <w:rFonts w:ascii="宋体" w:hAnsi="宋体" w:cs="宋体" w:eastAsia="宋体" w:hint="default"/>
                <w:sz w:val="18"/>
                <w:szCs w:val="18"/>
              </w:rPr>
              <w:t>松岗街道 塘下涌同 富路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w:t>
            </w:r>
          </w:p>
          <w:p>
            <w:pPr>
              <w:pStyle w:val="TableParagraph"/>
              <w:spacing w:line="219" w:lineRule="exact"/>
              <w:ind w:left="15" w:right="0"/>
              <w:jc w:val="left"/>
              <w:rPr>
                <w:rFonts w:ascii="宋体" w:hAnsi="宋体" w:cs="宋体" w:eastAsia="宋体" w:hint="default"/>
                <w:sz w:val="18"/>
                <w:szCs w:val="18"/>
              </w:rPr>
            </w:pPr>
            <w:r>
              <w:rPr>
                <w:rFonts w:ascii="宋体" w:hAnsi="宋体" w:cs="宋体" w:eastAsia="宋体" w:hint="default"/>
                <w:sz w:val="18"/>
                <w:szCs w:val="18"/>
              </w:rPr>
              <w:t>嘉恒工业</w:t>
            </w:r>
          </w:p>
          <w:p>
            <w:pPr>
              <w:pStyle w:val="TableParagraph"/>
              <w:spacing w:line="297" w:lineRule="auto" w:before="95"/>
              <w:ind w:left="15" w:right="28"/>
              <w:jc w:val="left"/>
              <w:rPr>
                <w:rFonts w:ascii="宋体" w:hAnsi="宋体" w:cs="宋体" w:eastAsia="宋体" w:hint="default"/>
                <w:sz w:val="18"/>
                <w:szCs w:val="18"/>
              </w:rPr>
            </w:pPr>
            <w:r>
              <w:rPr>
                <w:rFonts w:ascii="宋体" w:hAnsi="宋体" w:cs="宋体" w:eastAsia="宋体" w:hint="default"/>
                <w:sz w:val="18"/>
                <w:szCs w:val="18"/>
              </w:rPr>
              <w:t>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号宿 </w:t>
            </w:r>
            <w:r>
              <w:rPr>
                <w:rFonts w:ascii="宋体" w:hAnsi="宋体" w:cs="宋体" w:eastAsia="宋体" w:hint="default"/>
                <w:spacing w:val="-15"/>
                <w:sz w:val="18"/>
                <w:szCs w:val="18"/>
              </w:rPr>
              <w:t>舍、</w:t>
            </w:r>
            <w:r>
              <w:rPr>
                <w:rFonts w:ascii="Times New Roman" w:hAnsi="Times New Roman" w:cs="Times New Roman" w:eastAsia="Times New Roman" w:hint="default"/>
                <w:spacing w:val="-15"/>
                <w:sz w:val="18"/>
                <w:szCs w:val="18"/>
              </w:rPr>
              <w:t>1</w:t>
            </w:r>
            <w:r>
              <w:rPr>
                <w:rFonts w:ascii="Times New Roman" w:hAnsi="Times New Roman" w:cs="Times New Roman" w:eastAsia="Times New Roman" w:hint="default"/>
                <w:sz w:val="18"/>
                <w:szCs w:val="18"/>
              </w:rPr>
              <w:t> </w:t>
            </w:r>
            <w:r>
              <w:rPr>
                <w:rFonts w:ascii="宋体" w:hAnsi="宋体" w:cs="宋体" w:eastAsia="宋体" w:hint="default"/>
                <w:sz w:val="18"/>
                <w:szCs w:val="18"/>
              </w:rPr>
              <w:t>号宿 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单元 </w:t>
            </w:r>
            <w:r>
              <w:rPr>
                <w:rFonts w:ascii="Times New Roman" w:hAnsi="Times New Roman" w:cs="Times New Roman" w:eastAsia="Times New Roman" w:hint="default"/>
                <w:sz w:val="18"/>
                <w:szCs w:val="18"/>
              </w:rPr>
              <w:t>2-4 </w:t>
            </w:r>
            <w:r>
              <w:rPr>
                <w:rFonts w:ascii="宋体" w:hAnsi="宋体" w:cs="宋体" w:eastAsia="宋体" w:hint="default"/>
                <w:sz w:val="18"/>
                <w:szCs w:val="18"/>
              </w:rPr>
              <w:t>楼</w:t>
            </w:r>
          </w:p>
          <w:p>
            <w:pPr>
              <w:pStyle w:val="TableParagraph"/>
              <w:spacing w:line="240" w:lineRule="auto" w:before="18"/>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401-403</w:t>
            </w:r>
          </w:p>
          <w:p>
            <w:pPr>
              <w:pStyle w:val="TableParagraph"/>
              <w:spacing w:line="288" w:lineRule="auto" w:before="66"/>
              <w:ind w:left="15" w:right="27"/>
              <w:jc w:val="left"/>
              <w:rPr>
                <w:rFonts w:ascii="宋体" w:hAnsi="宋体" w:cs="宋体" w:eastAsia="宋体" w:hint="default"/>
                <w:sz w:val="18"/>
                <w:szCs w:val="18"/>
              </w:rPr>
            </w:pPr>
            <w:r>
              <w:rPr>
                <w:rFonts w:ascii="宋体" w:hAnsi="宋体" w:cs="宋体" w:eastAsia="宋体" w:hint="default"/>
                <w:spacing w:val="-6"/>
                <w:sz w:val="18"/>
                <w:szCs w:val="18"/>
              </w:rPr>
              <w:t>除外）、</w:t>
            </w:r>
            <w:r>
              <w:rPr>
                <w:rFonts w:ascii="Times New Roman" w:hAnsi="Times New Roman" w:cs="Times New Roman" w:eastAsia="Times New Roman" w:hint="default"/>
                <w:spacing w:val="-6"/>
                <w:sz w:val="18"/>
                <w:szCs w:val="18"/>
              </w:rPr>
              <w:t>B</w:t>
            </w:r>
            <w:r>
              <w:rPr>
                <w:rFonts w:ascii="Times New Roman" w:hAnsi="Times New Roman" w:cs="Times New Roman" w:eastAsia="Times New Roman" w:hint="default"/>
                <w:sz w:val="18"/>
                <w:szCs w:val="18"/>
              </w:rPr>
              <w:t> </w:t>
            </w:r>
            <w:r>
              <w:rPr>
                <w:rFonts w:ascii="宋体" w:hAnsi="宋体" w:cs="宋体" w:eastAsia="宋体" w:hint="default"/>
                <w:sz w:val="18"/>
                <w:szCs w:val="18"/>
              </w:rPr>
              <w:t>单元</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楼</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-778.23</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增加费用</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1"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20"/>
              <w:jc w:val="both"/>
              <w:rPr>
                <w:rFonts w:ascii="宋体" w:hAnsi="宋体" w:cs="宋体" w:eastAsia="宋体" w:hint="default"/>
                <w:sz w:val="18"/>
                <w:szCs w:val="18"/>
              </w:rPr>
            </w:pPr>
            <w:r>
              <w:rPr>
                <w:rFonts w:ascii="宋体" w:hAnsi="宋体" w:cs="宋体" w:eastAsia="宋体" w:hint="default"/>
                <w:sz w:val="18"/>
                <w:szCs w:val="18"/>
              </w:rPr>
              <w:t>深圳市同 裕洋实业 有限公司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4" w:right="119"/>
              <w:jc w:val="both"/>
              <w:rPr>
                <w:rFonts w:ascii="宋体" w:hAnsi="宋体" w:cs="宋体" w:eastAsia="宋体" w:hint="default"/>
                <w:sz w:val="18"/>
                <w:szCs w:val="18"/>
              </w:rPr>
            </w:pPr>
            <w:r>
              <w:rPr>
                <w:rFonts w:ascii="宋体" w:hAnsi="宋体" w:cs="宋体" w:eastAsia="宋体" w:hint="default"/>
                <w:sz w:val="18"/>
                <w:szCs w:val="18"/>
              </w:rPr>
              <w:t>深圳市卓 翼智造有 限公司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0"/>
              <w:ind w:left="15" w:right="120"/>
              <w:jc w:val="both"/>
              <w:rPr>
                <w:rFonts w:ascii="宋体" w:hAnsi="宋体" w:cs="宋体" w:eastAsia="宋体" w:hint="default"/>
                <w:sz w:val="18"/>
                <w:szCs w:val="18"/>
              </w:rPr>
            </w:pPr>
            <w:r>
              <w:rPr>
                <w:rFonts w:ascii="宋体" w:hAnsi="宋体" w:cs="宋体" w:eastAsia="宋体" w:hint="default"/>
                <w:sz w:val="18"/>
                <w:szCs w:val="18"/>
              </w:rPr>
              <w:t>深圳市宝 安区松岗 街道同富</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-480.92</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增加费用</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871"/>
        <w:gridCol w:w="871"/>
        <w:gridCol w:w="871"/>
        <w:gridCol w:w="871"/>
        <w:gridCol w:w="871"/>
        <w:gridCol w:w="871"/>
        <w:gridCol w:w="871"/>
        <w:gridCol w:w="871"/>
        <w:gridCol w:w="871"/>
        <w:gridCol w:w="872"/>
        <w:gridCol w:w="871"/>
      </w:tblGrid>
      <w:tr>
        <w:trPr>
          <w:trHeight w:val="2236" w:hRule="exact"/>
        </w:trPr>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ind w:left="15" w:right="30"/>
              <w:jc w:val="left"/>
              <w:rPr>
                <w:rFonts w:ascii="宋体" w:hAnsi="宋体" w:cs="宋体" w:eastAsia="宋体" w:hint="default"/>
                <w:sz w:val="18"/>
                <w:szCs w:val="18"/>
              </w:rPr>
            </w:pPr>
            <w:r>
              <w:rPr>
                <w:rFonts w:ascii="宋体" w:hAnsi="宋体" w:cs="宋体" w:eastAsia="宋体" w:hint="default"/>
                <w:sz w:val="18"/>
                <w:szCs w:val="18"/>
              </w:rPr>
              <w:t>裕工业园 兴隆路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pacing w:val="-18"/>
                <w:sz w:val="18"/>
                <w:szCs w:val="18"/>
              </w:rPr>
              <w:t>号宿舍、同</w:t>
            </w:r>
            <w:r>
              <w:rPr>
                <w:rFonts w:ascii="宋体" w:hAnsi="宋体" w:cs="宋体" w:eastAsia="宋体" w:hint="default"/>
                <w:sz w:val="18"/>
                <w:szCs w:val="18"/>
              </w:rPr>
              <w:t> 富裕工业 园安润路</w:t>
            </w:r>
          </w:p>
          <w:p>
            <w:pPr>
              <w:pStyle w:val="TableParagraph"/>
              <w:spacing w:line="240" w:lineRule="auto" w:before="41"/>
              <w:ind w:left="15"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栋、</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栋</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221" w:lineRule="exact"/>
              <w:ind w:right="-51"/>
              <w:jc w:val="left"/>
              <w:rPr>
                <w:rFonts w:ascii="宋体" w:hAnsi="宋体" w:cs="宋体" w:eastAsia="宋体" w:hint="default"/>
                <w:sz w:val="20"/>
                <w:szCs w:val="20"/>
              </w:rPr>
            </w:pPr>
            <w:r>
              <w:rPr>
                <w:rFonts w:ascii="宋体" w:hAnsi="宋体" w:cs="宋体" w:eastAsia="宋体" w:hint="default"/>
                <w:position w:val="-43"/>
                <w:sz w:val="20"/>
                <w:szCs w:val="20"/>
              </w:rPr>
              <w:pict>
                <v:group style="width:42.85pt;height:111.1pt;mso-position-horizontal-relative:char;mso-position-vertical-relative:line" coordorigin="0,0" coordsize="857,2222">
                  <v:group style="position:absolute;left:0;top:0;width:857;height:2222" coordorigin="0,0" coordsize="857,2222">
                    <v:shape style="position:absolute;left:0;top:0;width:857;height:2222" coordorigin="0,0" coordsize="857,2222" path="m0,2222l857,2222,857,0,0,0,0,2222xe" filled="true" fillcolor="#ffffff" stroked="false">
                      <v:path arrowok="t"/>
                      <v:fill type="solid"/>
                    </v:shape>
                  </v:group>
                </v:group>
              </w:pict>
            </w:r>
            <w:r>
              <w:rPr>
                <w:rFonts w:ascii="宋体" w:hAnsi="宋体" w:cs="宋体" w:eastAsia="宋体" w:hint="default"/>
                <w:position w:val="-43"/>
                <w:sz w:val="20"/>
                <w:szCs w:val="20"/>
              </w:rPr>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c>
          <w:tcPr>
            <w:tcW w:w="872"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514"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6" w:lineRule="auto"/>
              <w:ind w:left="15" w:right="120"/>
              <w:jc w:val="both"/>
              <w:rPr>
                <w:rFonts w:ascii="宋体" w:hAnsi="宋体" w:cs="宋体" w:eastAsia="宋体" w:hint="default"/>
                <w:sz w:val="18"/>
                <w:szCs w:val="18"/>
              </w:rPr>
            </w:pPr>
            <w:r>
              <w:rPr>
                <w:rFonts w:ascii="宋体" w:hAnsi="宋体" w:cs="宋体" w:eastAsia="宋体" w:hint="default"/>
                <w:sz w:val="18"/>
                <w:szCs w:val="18"/>
              </w:rPr>
              <w:t>东莞市龙 之祥振兴 物业管理 有限公司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4" w:lineRule="auto"/>
              <w:ind w:left="14" w:right="119"/>
              <w:jc w:val="both"/>
              <w:rPr>
                <w:rFonts w:ascii="宋体" w:hAnsi="宋体" w:cs="宋体" w:eastAsia="宋体" w:hint="default"/>
                <w:sz w:val="18"/>
                <w:szCs w:val="18"/>
              </w:rPr>
            </w:pPr>
            <w:r>
              <w:rPr>
                <w:rFonts w:ascii="宋体" w:hAnsi="宋体" w:cs="宋体" w:eastAsia="宋体" w:hint="default"/>
                <w:sz w:val="18"/>
                <w:szCs w:val="18"/>
              </w:rPr>
              <w:t>深圳市卓 翼智造有 限公司</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5"/>
              <w:ind w:left="15" w:right="42"/>
              <w:jc w:val="both"/>
              <w:rPr>
                <w:rFonts w:ascii="宋体" w:hAnsi="宋体" w:cs="宋体" w:eastAsia="宋体" w:hint="default"/>
                <w:sz w:val="18"/>
                <w:szCs w:val="18"/>
              </w:rPr>
            </w:pPr>
            <w:r>
              <w:rPr>
                <w:rFonts w:ascii="宋体" w:hAnsi="宋体" w:cs="宋体" w:eastAsia="宋体" w:hint="default"/>
                <w:sz w:val="18"/>
                <w:szCs w:val="18"/>
              </w:rPr>
              <w:t>东莞市长 安镇乌沙 社区龙之 祥振兴科 技园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楼 </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栋整层及</w:t>
            </w:r>
          </w:p>
          <w:p>
            <w:pPr>
              <w:pStyle w:val="TableParagraph"/>
              <w:spacing w:line="304" w:lineRule="auto" w:before="43"/>
              <w:ind w:left="15"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A</w:t>
            </w:r>
            <w:r>
              <w:rPr>
                <w:rFonts w:ascii="宋体" w:hAnsi="宋体" w:cs="宋体" w:eastAsia="宋体" w:hint="default"/>
                <w:sz w:val="18"/>
                <w:szCs w:val="18"/>
              </w:rPr>
              <w:t>、</w:t>
            </w:r>
            <w:r>
              <w:rPr>
                <w:rFonts w:ascii="Times New Roman" w:hAnsi="Times New Roman" w:cs="Times New Roman" w:eastAsia="Times New Roman" w:hint="default"/>
                <w:sz w:val="18"/>
                <w:szCs w:val="18"/>
              </w:rPr>
              <w:t>B </w:t>
            </w:r>
            <w:r>
              <w:rPr>
                <w:rFonts w:ascii="宋体" w:hAnsi="宋体" w:cs="宋体" w:eastAsia="宋体" w:hint="default"/>
                <w:sz w:val="18"/>
                <w:szCs w:val="18"/>
              </w:rPr>
              <w:t>栋整层厂 </w:t>
            </w:r>
            <w:r>
              <w:rPr>
                <w:rFonts w:ascii="宋体" w:hAnsi="宋体" w:cs="宋体" w:eastAsia="宋体" w:hint="default"/>
                <w:spacing w:val="-18"/>
                <w:sz w:val="18"/>
                <w:szCs w:val="18"/>
              </w:rPr>
              <w:t>房、五套公</w:t>
            </w:r>
            <w:r>
              <w:rPr>
                <w:rFonts w:ascii="宋体" w:hAnsi="宋体" w:cs="宋体" w:eastAsia="宋体" w:hint="default"/>
                <w:sz w:val="18"/>
                <w:szCs w:val="18"/>
              </w:rPr>
              <w:t> 寓</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6"/>
              <w:ind w:left="28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6"/>
              <w:ind w:left="19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-493.96</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增加费用</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重大担保" w:id="92"/>
      <w:bookmarkEnd w:id="92"/>
      <w:r>
        <w:rPr>
          <w:b w:val="0"/>
          <w:bCs w:val="0"/>
        </w:rPr>
      </w:r>
      <w:r>
        <w:rPr>
          <w:rFonts w:ascii="Times New Roman" w:hAnsi="Times New Roman" w:cs="Times New Roman" w:eastAsia="Times New Roman" w:hint="default"/>
          <w:spacing w:val="5"/>
        </w:rPr>
        <w:t>2</w:t>
      </w:r>
      <w:r>
        <w:rPr>
          <w:spacing w:val="5"/>
        </w:rPr>
        <w:t>、重大担保</w:t>
      </w:r>
      <w:r>
        <w:rPr>
          <w:b w:val="0"/>
          <w:bCs w:val="0"/>
          <w:spacing w:val="5"/>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1）担保情况" w:id="93"/>
      <w:bookmarkEnd w:id="93"/>
      <w:r>
        <w:rPr>
          <w:b w:val="0"/>
          <w:bCs w:val="0"/>
        </w:rPr>
      </w:r>
      <w:r>
        <w:rPr>
          <w:spacing w:val="5"/>
        </w:rPr>
        <w:t>（</w:t>
      </w:r>
      <w:r>
        <w:rPr>
          <w:rFonts w:ascii="Times New Roman" w:hAnsi="Times New Roman" w:cs="Times New Roman" w:eastAsia="Times New Roman" w:hint="default"/>
          <w:spacing w:val="5"/>
        </w:rPr>
        <w:t>1</w:t>
      </w:r>
      <w:r>
        <w:rPr>
          <w:spacing w:val="5"/>
        </w:rPr>
        <w:t>）担保情况</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10"/>
        <w:jc w:val="right"/>
      </w:pPr>
      <w:r>
        <w:rPr/>
        <w:t>单位：万元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712"/>
        <w:gridCol w:w="923"/>
        <w:gridCol w:w="924"/>
        <w:gridCol w:w="1307"/>
        <w:gridCol w:w="1066"/>
        <w:gridCol w:w="1036"/>
        <w:gridCol w:w="1044"/>
        <w:gridCol w:w="789"/>
        <w:gridCol w:w="781"/>
      </w:tblGrid>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23"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36" w:hRule="exact"/>
        </w:trPr>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90"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6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6"/>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02"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1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0"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 w:right="15"/>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36" w:hRule="exact"/>
        </w:trPr>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4"/>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90"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07"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65"/>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6"/>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07" w:lineRule="auto"/>
              <w:ind w:left="202" w:right="30"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07" w:lineRule="auto"/>
              <w:ind w:left="30" w:right="1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6"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60"/>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12"/>
              <w:jc w:val="both"/>
              <w:rPr>
                <w:rFonts w:ascii="宋体" w:hAnsi="宋体" w:cs="宋体" w:eastAsia="宋体" w:hint="default"/>
                <w:sz w:val="18"/>
                <w:szCs w:val="18"/>
              </w:rPr>
            </w:pPr>
            <w:r>
              <w:rPr>
                <w:rFonts w:ascii="宋体" w:hAnsi="宋体" w:cs="宋体" w:eastAsia="宋体" w:hint="default"/>
                <w:sz w:val="18"/>
                <w:szCs w:val="18"/>
              </w:rPr>
              <w:t>贷款之日起 至债务履行 期届满之日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1"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60"/>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0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12"/>
              <w:jc w:val="both"/>
              <w:rPr>
                <w:rFonts w:ascii="宋体" w:hAnsi="宋体" w:cs="宋体" w:eastAsia="宋体" w:hint="default"/>
                <w:sz w:val="18"/>
                <w:szCs w:val="18"/>
              </w:rPr>
            </w:pPr>
            <w:r>
              <w:rPr>
                <w:rFonts w:ascii="宋体" w:hAnsi="宋体" w:cs="宋体" w:eastAsia="宋体" w:hint="default"/>
                <w:sz w:val="18"/>
                <w:szCs w:val="18"/>
              </w:rPr>
              <w:t>主债权发生 期间届满之 日起两年</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4"/>
              <w:jc w:val="center"/>
              <w:rPr>
                <w:rFonts w:ascii="宋体" w:hAnsi="宋体" w:cs="宋体" w:eastAsia="宋体" w:hint="default"/>
                <w:sz w:val="18"/>
                <w:szCs w:val="18"/>
              </w:rPr>
            </w:pPr>
            <w:r>
              <w:rPr>
                <w:rFonts w:ascii="宋体" w:hAnsi="宋体" w:cs="宋体" w:eastAsia="宋体" w:hint="default"/>
                <w:sz w:val="18"/>
                <w:szCs w:val="18"/>
              </w:rPr>
              <w:t>中广互联（厦门）信</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20,000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30"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12,000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05"/>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97"/>
              <w:jc w:val="center"/>
              <w:rPr>
                <w:rFonts w:ascii="宋体" w:hAnsi="宋体" w:cs="宋体" w:eastAsia="宋体" w:hint="default"/>
                <w:sz w:val="18"/>
                <w:szCs w:val="18"/>
              </w:rPr>
            </w:pPr>
            <w:r>
              <w:rPr>
                <w:rFonts w:ascii="宋体" w:hAnsi="宋体" w:cs="宋体" w:eastAsia="宋体" w:hint="default"/>
                <w:sz w:val="18"/>
                <w:szCs w:val="18"/>
              </w:rPr>
              <w:t>借款期限届</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716"/>
        <w:gridCol w:w="907"/>
        <w:gridCol w:w="929"/>
        <w:gridCol w:w="1314"/>
        <w:gridCol w:w="1048"/>
        <w:gridCol w:w="1050"/>
        <w:gridCol w:w="1049"/>
        <w:gridCol w:w="785"/>
        <w:gridCol w:w="785"/>
      </w:tblGrid>
      <w:tr>
        <w:trPr>
          <w:trHeight w:val="675"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息科技有限公司</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929" w:type="dxa"/>
            <w:tcBorders>
              <w:top w:val="single" w:sz="6" w:space="0" w:color="000000"/>
              <w:left w:val="single" w:sz="6" w:space="0" w:color="000000"/>
              <w:bottom w:val="single" w:sz="6" w:space="0" w:color="000000"/>
              <w:right w:val="single" w:sz="6" w:space="0" w:color="000000"/>
            </w:tcBorders>
          </w:tcPr>
          <w:p>
            <w:pP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6" w:space="0" w:color="000000"/>
              <w:left w:val="single" w:sz="6" w:space="0" w:color="000000"/>
              <w:bottom w:val="single" w:sz="6" w:space="0" w:color="000000"/>
              <w:right w:val="single" w:sz="6" w:space="0" w:color="000000"/>
            </w:tcBorders>
          </w:tcPr>
          <w:p>
            <w:pP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3"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20" w:right="112"/>
              <w:jc w:val="left"/>
              <w:rPr>
                <w:rFonts w:ascii="宋体" w:hAnsi="宋体" w:cs="宋体" w:eastAsia="宋体" w:hint="default"/>
                <w:sz w:val="18"/>
                <w:szCs w:val="18"/>
              </w:rPr>
            </w:pPr>
            <w:r>
              <w:rPr>
                <w:rFonts w:ascii="宋体" w:hAnsi="宋体" w:cs="宋体" w:eastAsia="宋体" w:hint="default"/>
                <w:sz w:val="18"/>
                <w:szCs w:val="18"/>
              </w:rPr>
              <w:t>满之次日起 两年</w:t>
            </w:r>
          </w:p>
        </w:tc>
        <w:tc>
          <w:tcPr>
            <w:tcW w:w="785" w:type="dxa"/>
            <w:tcBorders>
              <w:top w:val="single" w:sz="6" w:space="0" w:color="000000"/>
              <w:left w:val="single" w:sz="6" w:space="0" w:color="000000"/>
              <w:bottom w:val="single" w:sz="6" w:space="0" w:color="000000"/>
              <w:right w:val="single" w:sz="6" w:space="0" w:color="000000"/>
            </w:tcBorders>
          </w:tcPr>
          <w:p>
            <w:pPr/>
          </w:p>
        </w:tc>
        <w:tc>
          <w:tcPr>
            <w:tcW w:w="785"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63"/>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100,000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7"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36"/>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24,455.59</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3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20" w:right="112"/>
              <w:jc w:val="both"/>
              <w:rPr>
                <w:rFonts w:ascii="宋体" w:hAnsi="宋体" w:cs="宋体" w:eastAsia="宋体" w:hint="default"/>
                <w:sz w:val="18"/>
                <w:szCs w:val="18"/>
              </w:rPr>
            </w:pPr>
            <w:r>
              <w:rPr>
                <w:rFonts w:ascii="宋体" w:hAnsi="宋体" w:cs="宋体" w:eastAsia="宋体" w:hint="default"/>
                <w:sz w:val="18"/>
                <w:szCs w:val="18"/>
              </w:rPr>
              <w:t>债务履行期 届满之日起 三年</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5"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63"/>
              <w:jc w:val="left"/>
              <w:rPr>
                <w:rFonts w:ascii="宋体" w:hAnsi="宋体" w:cs="宋体" w:eastAsia="宋体" w:hint="default"/>
                <w:sz w:val="18"/>
                <w:szCs w:val="18"/>
              </w:rPr>
            </w:pPr>
            <w:r>
              <w:rPr>
                <w:rFonts w:ascii="宋体" w:hAnsi="宋体" w:cs="宋体" w:eastAsia="宋体" w:hint="default"/>
                <w:sz w:val="18"/>
                <w:szCs w:val="18"/>
              </w:rPr>
              <w:t>天津卓达科技发展有 限公司</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8,000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7"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20" w:right="112"/>
              <w:jc w:val="both"/>
              <w:rPr>
                <w:rFonts w:ascii="宋体" w:hAnsi="宋体" w:cs="宋体" w:eastAsia="宋体" w:hint="default"/>
                <w:sz w:val="18"/>
                <w:szCs w:val="18"/>
              </w:rPr>
            </w:pPr>
            <w:r>
              <w:rPr>
                <w:rFonts w:ascii="宋体" w:hAnsi="宋体" w:cs="宋体" w:eastAsia="宋体" w:hint="default"/>
                <w:sz w:val="18"/>
                <w:szCs w:val="18"/>
              </w:rPr>
              <w:t>债务履行期 届满之日后 两年止</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63"/>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6"/>
              <w:jc w:val="right"/>
              <w:rPr>
                <w:rFonts w:ascii="Times New Roman" w:hAnsi="Times New Roman" w:cs="Times New Roman" w:eastAsia="Times New Roman" w:hint="default"/>
                <w:sz w:val="18"/>
                <w:szCs w:val="18"/>
              </w:rPr>
            </w:pPr>
            <w:r>
              <w:rPr>
                <w:rFonts w:ascii="Times New Roman"/>
                <w:sz w:val="18"/>
              </w:rPr>
              <w:t>15,000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7"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9"/>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3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20" w:right="112"/>
              <w:jc w:val="both"/>
              <w:rPr>
                <w:rFonts w:ascii="宋体" w:hAnsi="宋体" w:cs="宋体" w:eastAsia="宋体" w:hint="default"/>
                <w:sz w:val="18"/>
                <w:szCs w:val="18"/>
              </w:rPr>
            </w:pPr>
            <w:r>
              <w:rPr>
                <w:rFonts w:ascii="宋体" w:hAnsi="宋体" w:cs="宋体" w:eastAsia="宋体" w:hint="default"/>
                <w:sz w:val="18"/>
                <w:szCs w:val="18"/>
              </w:rPr>
              <w:t>贷款之日起 至债务履行 期届满之日 起三年止</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1"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63"/>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10,000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7"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36"/>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3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20" w:right="112"/>
              <w:jc w:val="both"/>
              <w:rPr>
                <w:rFonts w:ascii="宋体" w:hAnsi="宋体" w:cs="宋体" w:eastAsia="宋体" w:hint="default"/>
                <w:sz w:val="18"/>
                <w:szCs w:val="18"/>
              </w:rPr>
            </w:pPr>
            <w:r>
              <w:rPr>
                <w:rFonts w:ascii="宋体" w:hAnsi="宋体" w:cs="宋体" w:eastAsia="宋体" w:hint="default"/>
                <w:sz w:val="18"/>
                <w:szCs w:val="18"/>
              </w:rPr>
              <w:t>债务履行期 届满之日后 两年止</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6"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63"/>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8,000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7"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20" w:right="112"/>
              <w:jc w:val="both"/>
              <w:rPr>
                <w:rFonts w:ascii="宋体" w:hAnsi="宋体" w:cs="宋体" w:eastAsia="宋体" w:hint="default"/>
                <w:sz w:val="18"/>
                <w:szCs w:val="18"/>
              </w:rPr>
            </w:pPr>
            <w:r>
              <w:rPr>
                <w:rFonts w:ascii="宋体" w:hAnsi="宋体" w:cs="宋体" w:eastAsia="宋体" w:hint="default"/>
                <w:sz w:val="18"/>
                <w:szCs w:val="18"/>
              </w:rPr>
              <w:t>债务履行期 届满之日后 两年止</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1"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63"/>
              <w:jc w:val="left"/>
              <w:rPr>
                <w:rFonts w:ascii="宋体" w:hAnsi="宋体" w:cs="宋体" w:eastAsia="宋体" w:hint="default"/>
                <w:sz w:val="18"/>
                <w:szCs w:val="18"/>
              </w:rPr>
            </w:pPr>
            <w:r>
              <w:rPr>
                <w:rFonts w:ascii="宋体" w:hAnsi="宋体" w:cs="宋体" w:eastAsia="宋体" w:hint="default"/>
                <w:sz w:val="18"/>
                <w:szCs w:val="18"/>
              </w:rPr>
              <w:t>天津卓达科技发展有 限公司</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8,000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7"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36"/>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3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20" w:right="112"/>
              <w:jc w:val="both"/>
              <w:rPr>
                <w:rFonts w:ascii="宋体" w:hAnsi="宋体" w:cs="宋体" w:eastAsia="宋体" w:hint="default"/>
                <w:sz w:val="18"/>
                <w:szCs w:val="18"/>
              </w:rPr>
            </w:pPr>
            <w:r>
              <w:rPr>
                <w:rFonts w:ascii="宋体" w:hAnsi="宋体" w:cs="宋体" w:eastAsia="宋体" w:hint="default"/>
                <w:sz w:val="18"/>
                <w:szCs w:val="18"/>
              </w:rPr>
              <w:t>债务履行期 届满之日后 两年止</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36"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63"/>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5,000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7"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3,000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20" w:right="112"/>
              <w:jc w:val="both"/>
              <w:rPr>
                <w:rFonts w:ascii="宋体" w:hAnsi="宋体" w:cs="宋体" w:eastAsia="宋体" w:hint="default"/>
                <w:sz w:val="18"/>
                <w:szCs w:val="18"/>
              </w:rPr>
            </w:pPr>
            <w:r>
              <w:rPr>
                <w:rFonts w:ascii="宋体" w:hAnsi="宋体" w:cs="宋体" w:eastAsia="宋体" w:hint="default"/>
                <w:sz w:val="18"/>
                <w:szCs w:val="18"/>
              </w:rPr>
              <w:t>主债权发生 期间届满之 日起两年</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1"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63"/>
              <w:jc w:val="left"/>
              <w:rPr>
                <w:rFonts w:ascii="宋体" w:hAnsi="宋体" w:cs="宋体" w:eastAsia="宋体" w:hint="default"/>
                <w:sz w:val="18"/>
                <w:szCs w:val="18"/>
              </w:rPr>
            </w:pPr>
            <w:r>
              <w:rPr>
                <w:rFonts w:ascii="宋体" w:hAnsi="宋体" w:cs="宋体" w:eastAsia="宋体" w:hint="default"/>
                <w:sz w:val="18"/>
                <w:szCs w:val="18"/>
              </w:rPr>
              <w:t>天津卓达科技发展有 限公司</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8,000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7"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36"/>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1,938.73</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3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20" w:right="112"/>
              <w:jc w:val="both"/>
              <w:rPr>
                <w:rFonts w:ascii="宋体" w:hAnsi="宋体" w:cs="宋体" w:eastAsia="宋体" w:hint="default"/>
                <w:sz w:val="18"/>
                <w:szCs w:val="18"/>
              </w:rPr>
            </w:pPr>
            <w:r>
              <w:rPr>
                <w:rFonts w:ascii="宋体" w:hAnsi="宋体" w:cs="宋体" w:eastAsia="宋体" w:hint="default"/>
                <w:sz w:val="18"/>
                <w:szCs w:val="18"/>
              </w:rPr>
              <w:t>债务履行期 届满之日后 两年止</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1" w:hRule="exact"/>
        </w:trPr>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63"/>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5,200</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7"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36"/>
              <w:ind w:left="3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5,200</w:t>
            </w:r>
          </w:p>
        </w:tc>
        <w:tc>
          <w:tcPr>
            <w:tcW w:w="1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33" w:right="100"/>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20" w:right="112"/>
              <w:jc w:val="both"/>
              <w:rPr>
                <w:rFonts w:ascii="宋体" w:hAnsi="宋体" w:cs="宋体" w:eastAsia="宋体" w:hint="default"/>
                <w:sz w:val="18"/>
                <w:szCs w:val="18"/>
              </w:rPr>
            </w:pPr>
            <w:r>
              <w:rPr>
                <w:rFonts w:ascii="宋体" w:hAnsi="宋体" w:cs="宋体" w:eastAsia="宋体" w:hint="default"/>
                <w:sz w:val="18"/>
                <w:szCs w:val="18"/>
              </w:rPr>
              <w:t>主债务履行 期届满之日 起两年</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262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43"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117,500</w:t>
            </w:r>
          </w:p>
        </w:tc>
        <w:tc>
          <w:tcPr>
            <w:tcW w:w="209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85"/>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8"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62,748.99</w:t>
            </w:r>
          </w:p>
        </w:tc>
      </w:tr>
      <w:tr>
        <w:trPr>
          <w:trHeight w:val="721" w:hRule="exact"/>
        </w:trPr>
        <w:tc>
          <w:tcPr>
            <w:tcW w:w="262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43"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316,500</w:t>
            </w:r>
          </w:p>
        </w:tc>
        <w:tc>
          <w:tcPr>
            <w:tcW w:w="209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85"/>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8"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46,594.32</w:t>
            </w:r>
          </w:p>
        </w:tc>
      </w:tr>
      <w:tr>
        <w:trPr>
          <w:trHeight w:val="390"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15"/>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57" w:hRule="exact"/>
        </w:trPr>
        <w:tc>
          <w:tcPr>
            <w:tcW w:w="171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71"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6" w:space="0" w:color="000000"/>
              <w:left w:val="single" w:sz="6" w:space="0" w:color="000000"/>
              <w:right w:val="single" w:sz="6" w:space="0" w:color="000000"/>
            </w:tcBorders>
            <w:shd w:val="clear" w:color="auto" w:fill="D2D2D2"/>
          </w:tcPr>
          <w:p>
            <w:pPr/>
          </w:p>
        </w:tc>
        <w:tc>
          <w:tcPr>
            <w:tcW w:w="1314" w:type="dxa"/>
            <w:vMerge w:val="restart"/>
            <w:tcBorders>
              <w:top w:val="single" w:sz="6" w:space="0" w:color="000000"/>
              <w:left w:val="single" w:sz="6" w:space="0" w:color="000000"/>
              <w:right w:val="single" w:sz="6" w:space="0" w:color="000000"/>
            </w:tcBorders>
            <w:shd w:val="clear" w:color="auto" w:fill="D2D2D2"/>
          </w:tcPr>
          <w:p>
            <w:pPr/>
          </w:p>
        </w:tc>
        <w:tc>
          <w:tcPr>
            <w:tcW w:w="1048" w:type="dxa"/>
            <w:tcBorders>
              <w:top w:val="single" w:sz="6" w:space="0" w:color="000000"/>
              <w:left w:val="single" w:sz="6" w:space="0" w:color="000000"/>
              <w:bottom w:val="nil" w:sz="6" w:space="0" w:color="auto"/>
              <w:right w:val="single" w:sz="6" w:space="0" w:color="000000"/>
            </w:tcBorders>
            <w:shd w:val="clear" w:color="auto" w:fill="D2D2D2"/>
          </w:tcPr>
          <w:p>
            <w:pPr/>
          </w:p>
        </w:tc>
        <w:tc>
          <w:tcPr>
            <w:tcW w:w="1050" w:type="dxa"/>
            <w:vMerge w:val="restart"/>
            <w:tcBorders>
              <w:top w:val="single" w:sz="6" w:space="0" w:color="000000"/>
              <w:left w:val="single" w:sz="6" w:space="0" w:color="000000"/>
              <w:right w:val="single" w:sz="6" w:space="0" w:color="000000"/>
            </w:tcBorders>
            <w:shd w:val="clear" w:color="auto" w:fill="D2D2D2"/>
          </w:tcPr>
          <w:p>
            <w:pPr/>
          </w:p>
        </w:tc>
        <w:tc>
          <w:tcPr>
            <w:tcW w:w="1049" w:type="dxa"/>
            <w:vMerge w:val="restart"/>
            <w:tcBorders>
              <w:top w:val="single" w:sz="6" w:space="0" w:color="000000"/>
              <w:left w:val="single" w:sz="6" w:space="0" w:color="000000"/>
              <w:right w:val="single" w:sz="6" w:space="0" w:color="000000"/>
            </w:tcBorders>
            <w:shd w:val="clear" w:color="auto" w:fill="D2D2D2"/>
          </w:tcPr>
          <w:p>
            <w:pPr/>
          </w:p>
        </w:tc>
        <w:tc>
          <w:tcPr>
            <w:tcW w:w="785" w:type="dxa"/>
            <w:tcBorders>
              <w:top w:val="single" w:sz="6" w:space="0" w:color="000000"/>
              <w:left w:val="single" w:sz="6" w:space="0" w:color="000000"/>
              <w:bottom w:val="nil" w:sz="6" w:space="0" w:color="auto"/>
              <w:right w:val="single" w:sz="6" w:space="0" w:color="000000"/>
            </w:tcBorders>
            <w:shd w:val="clear" w:color="auto" w:fill="D2D2D2"/>
          </w:tcPr>
          <w:p>
            <w:pPr/>
          </w:p>
        </w:tc>
        <w:tc>
          <w:tcPr>
            <w:tcW w:w="785"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65" w:hRule="exact"/>
        </w:trPr>
        <w:tc>
          <w:tcPr>
            <w:tcW w:w="1716" w:type="dxa"/>
            <w:vMerge/>
            <w:tcBorders>
              <w:left w:val="single" w:sz="6" w:space="0" w:color="000000"/>
              <w:right w:val="single" w:sz="6" w:space="0" w:color="000000"/>
            </w:tcBorders>
            <w:shd w:val="clear" w:color="auto" w:fill="D2D2D2"/>
          </w:tcPr>
          <w:p>
            <w:pPr/>
          </w:p>
        </w:tc>
        <w:tc>
          <w:tcPr>
            <w:tcW w:w="907" w:type="dxa"/>
            <w:vMerge/>
            <w:tcBorders>
              <w:left w:val="single" w:sz="6" w:space="0" w:color="000000"/>
              <w:right w:val="single" w:sz="6" w:space="0" w:color="000000"/>
            </w:tcBorders>
            <w:shd w:val="clear" w:color="auto" w:fill="D2D2D2"/>
          </w:tcPr>
          <w:p>
            <w:pPr/>
          </w:p>
        </w:tc>
        <w:tc>
          <w:tcPr>
            <w:tcW w:w="929" w:type="dxa"/>
            <w:vMerge/>
            <w:tcBorders>
              <w:left w:val="single" w:sz="6" w:space="0" w:color="000000"/>
              <w:bottom w:val="nil" w:sz="6" w:space="0" w:color="auto"/>
              <w:right w:val="single" w:sz="6" w:space="0" w:color="000000"/>
            </w:tcBorders>
            <w:shd w:val="clear" w:color="auto" w:fill="D2D2D2"/>
          </w:tcPr>
          <w:p>
            <w:pPr/>
          </w:p>
        </w:tc>
        <w:tc>
          <w:tcPr>
            <w:tcW w:w="1314" w:type="dxa"/>
            <w:vMerge/>
            <w:tcBorders>
              <w:left w:val="single" w:sz="6" w:space="0" w:color="000000"/>
              <w:bottom w:val="nil" w:sz="6" w:space="0" w:color="auto"/>
              <w:right w:val="single" w:sz="6" w:space="0" w:color="000000"/>
            </w:tcBorders>
            <w:shd w:val="clear" w:color="auto" w:fill="D2D2D2"/>
          </w:tcPr>
          <w:p>
            <w:pPr/>
          </w:p>
        </w:tc>
        <w:tc>
          <w:tcPr>
            <w:tcW w:w="1048"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420" w:right="70"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0" w:type="dxa"/>
            <w:vMerge/>
            <w:tcBorders>
              <w:left w:val="single" w:sz="6" w:space="0" w:color="000000"/>
              <w:bottom w:val="nil" w:sz="6" w:space="0" w:color="auto"/>
              <w:right w:val="single" w:sz="6" w:space="0" w:color="000000"/>
            </w:tcBorders>
            <w:shd w:val="clear" w:color="auto" w:fill="D2D2D2"/>
          </w:tcPr>
          <w:p>
            <w:pPr/>
          </w:p>
        </w:tc>
        <w:tc>
          <w:tcPr>
            <w:tcW w:w="1049" w:type="dxa"/>
            <w:vMerge/>
            <w:tcBorders>
              <w:left w:val="single" w:sz="6" w:space="0" w:color="000000"/>
              <w:bottom w:val="nil" w:sz="6" w:space="0" w:color="auto"/>
              <w:right w:val="single" w:sz="6" w:space="0" w:color="000000"/>
            </w:tcBorders>
            <w:shd w:val="clear" w:color="auto" w:fill="D2D2D2"/>
          </w:tcPr>
          <w:p>
            <w:pPr/>
          </w:p>
        </w:tc>
        <w:tc>
          <w:tcPr>
            <w:tcW w:w="78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202" w:right="25"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8" w:right="2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0" w:hRule="exact"/>
        </w:trPr>
        <w:tc>
          <w:tcPr>
            <w:tcW w:w="1716" w:type="dxa"/>
            <w:vMerge/>
            <w:tcBorders>
              <w:left w:val="single" w:sz="6" w:space="0" w:color="000000"/>
              <w:right w:val="single" w:sz="6" w:space="0" w:color="000000"/>
            </w:tcBorders>
            <w:shd w:val="clear" w:color="auto" w:fill="D2D2D2"/>
          </w:tcPr>
          <w:p>
            <w:pPr/>
          </w:p>
        </w:tc>
        <w:tc>
          <w:tcPr>
            <w:tcW w:w="907" w:type="dxa"/>
            <w:vMerge/>
            <w:tcBorders>
              <w:left w:val="single" w:sz="6" w:space="0" w:color="000000"/>
              <w:right w:val="single" w:sz="6" w:space="0" w:color="000000"/>
            </w:tcBorders>
            <w:shd w:val="clear" w:color="auto" w:fill="D2D2D2"/>
          </w:tcPr>
          <w:p>
            <w:pPr/>
          </w:p>
        </w:tc>
        <w:tc>
          <w:tcPr>
            <w:tcW w:w="92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8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8" w:type="dxa"/>
            <w:vMerge/>
            <w:tcBorders>
              <w:left w:val="single" w:sz="6" w:space="0" w:color="000000"/>
              <w:right w:val="single" w:sz="6" w:space="0" w:color="000000"/>
            </w:tcBorders>
            <w:shd w:val="clear" w:color="auto" w:fill="D2D2D2"/>
          </w:tcPr>
          <w:p>
            <w:pPr/>
          </w:p>
        </w:tc>
        <w:tc>
          <w:tcPr>
            <w:tcW w:w="105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24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6" w:space="0" w:color="000000"/>
              <w:right w:val="single" w:sz="6" w:space="0" w:color="000000"/>
            </w:tcBorders>
            <w:shd w:val="clear" w:color="auto" w:fill="D2D2D2"/>
          </w:tcPr>
          <w:p>
            <w:pPr/>
          </w:p>
        </w:tc>
        <w:tc>
          <w:tcPr>
            <w:tcW w:w="785" w:type="dxa"/>
            <w:vMerge/>
            <w:tcBorders>
              <w:left w:val="single" w:sz="6" w:space="0" w:color="000000"/>
              <w:right w:val="single" w:sz="6" w:space="0" w:color="000000"/>
            </w:tcBorders>
            <w:shd w:val="clear" w:color="auto" w:fill="D2D2D2"/>
          </w:tcPr>
          <w:p>
            <w:pPr/>
          </w:p>
        </w:tc>
      </w:tr>
      <w:tr>
        <w:trPr>
          <w:trHeight w:val="150" w:hRule="exact"/>
        </w:trPr>
        <w:tc>
          <w:tcPr>
            <w:tcW w:w="1716" w:type="dxa"/>
            <w:vMerge/>
            <w:tcBorders>
              <w:left w:val="single" w:sz="6" w:space="0" w:color="000000"/>
              <w:right w:val="single" w:sz="6" w:space="0" w:color="000000"/>
            </w:tcBorders>
            <w:shd w:val="clear" w:color="auto" w:fill="D2D2D2"/>
          </w:tcPr>
          <w:p>
            <w:pPr/>
          </w:p>
        </w:tc>
        <w:tc>
          <w:tcPr>
            <w:tcW w:w="907" w:type="dxa"/>
            <w:vMerge/>
            <w:tcBorders>
              <w:left w:val="single" w:sz="6" w:space="0" w:color="000000"/>
              <w:right w:val="single" w:sz="6" w:space="0" w:color="000000"/>
            </w:tcBorders>
            <w:shd w:val="clear" w:color="auto" w:fill="D2D2D2"/>
          </w:tcPr>
          <w:p>
            <w:pPr/>
          </w:p>
        </w:tc>
        <w:tc>
          <w:tcPr>
            <w:tcW w:w="929" w:type="dxa"/>
            <w:vMerge/>
            <w:tcBorders>
              <w:left w:val="single" w:sz="6" w:space="0" w:color="000000"/>
              <w:right w:val="single" w:sz="6" w:space="0" w:color="000000"/>
            </w:tcBorders>
            <w:shd w:val="clear" w:color="auto" w:fill="D2D2D2"/>
          </w:tcPr>
          <w:p>
            <w:pPr/>
          </w:p>
        </w:tc>
        <w:tc>
          <w:tcPr>
            <w:tcW w:w="1314" w:type="dxa"/>
            <w:vMerge w:val="restart"/>
            <w:tcBorders>
              <w:top w:val="nil" w:sz="6" w:space="0" w:color="auto"/>
              <w:left w:val="single" w:sz="6" w:space="0" w:color="000000"/>
              <w:right w:val="single" w:sz="6" w:space="0" w:color="000000"/>
            </w:tcBorders>
            <w:shd w:val="clear" w:color="auto" w:fill="D2D2D2"/>
          </w:tcPr>
          <w:p>
            <w:pPr/>
          </w:p>
        </w:tc>
        <w:tc>
          <w:tcPr>
            <w:tcW w:w="1048" w:type="dxa"/>
            <w:vMerge/>
            <w:tcBorders>
              <w:left w:val="single" w:sz="6" w:space="0" w:color="000000"/>
              <w:bottom w:val="nil" w:sz="6" w:space="0" w:color="auto"/>
              <w:right w:val="single" w:sz="6" w:space="0" w:color="000000"/>
            </w:tcBorders>
            <w:shd w:val="clear" w:color="auto" w:fill="D2D2D2"/>
          </w:tcPr>
          <w:p>
            <w:pPr/>
          </w:p>
        </w:tc>
        <w:tc>
          <w:tcPr>
            <w:tcW w:w="1050" w:type="dxa"/>
            <w:vMerge w:val="restart"/>
            <w:tcBorders>
              <w:top w:val="nil" w:sz="6" w:space="0" w:color="auto"/>
              <w:left w:val="single" w:sz="6" w:space="0" w:color="000000"/>
              <w:right w:val="single" w:sz="6" w:space="0" w:color="000000"/>
            </w:tcBorders>
            <w:shd w:val="clear" w:color="auto" w:fill="D2D2D2"/>
          </w:tcPr>
          <w:p>
            <w:pPr/>
          </w:p>
        </w:tc>
        <w:tc>
          <w:tcPr>
            <w:tcW w:w="1049" w:type="dxa"/>
            <w:vMerge w:val="restart"/>
            <w:tcBorders>
              <w:top w:val="nil" w:sz="6" w:space="0" w:color="auto"/>
              <w:left w:val="single" w:sz="6" w:space="0" w:color="000000"/>
              <w:right w:val="single" w:sz="6" w:space="0" w:color="000000"/>
            </w:tcBorders>
            <w:shd w:val="clear" w:color="auto" w:fill="D2D2D2"/>
          </w:tcPr>
          <w:p>
            <w:pPr/>
          </w:p>
        </w:tc>
        <w:tc>
          <w:tcPr>
            <w:tcW w:w="785" w:type="dxa"/>
            <w:vMerge/>
            <w:tcBorders>
              <w:left w:val="single" w:sz="6" w:space="0" w:color="000000"/>
              <w:bottom w:val="nil" w:sz="6" w:space="0" w:color="auto"/>
              <w:right w:val="single" w:sz="6" w:space="0" w:color="000000"/>
            </w:tcBorders>
            <w:shd w:val="clear" w:color="auto" w:fill="D2D2D2"/>
          </w:tcPr>
          <w:p>
            <w:pPr/>
          </w:p>
        </w:tc>
        <w:tc>
          <w:tcPr>
            <w:tcW w:w="785" w:type="dxa"/>
            <w:vMerge/>
            <w:tcBorders>
              <w:left w:val="single" w:sz="6" w:space="0" w:color="000000"/>
              <w:right w:val="single" w:sz="6" w:space="0" w:color="000000"/>
            </w:tcBorders>
            <w:shd w:val="clear" w:color="auto" w:fill="D2D2D2"/>
          </w:tcPr>
          <w:p>
            <w:pPr/>
          </w:p>
        </w:tc>
      </w:tr>
      <w:tr>
        <w:trPr>
          <w:trHeight w:val="173" w:hRule="exact"/>
        </w:trPr>
        <w:tc>
          <w:tcPr>
            <w:tcW w:w="1716" w:type="dxa"/>
            <w:vMerge/>
            <w:tcBorders>
              <w:left w:val="single" w:sz="6" w:space="0" w:color="000000"/>
              <w:bottom w:val="single" w:sz="6" w:space="0" w:color="000000"/>
              <w:right w:val="single" w:sz="6" w:space="0" w:color="000000"/>
            </w:tcBorders>
            <w:shd w:val="clear" w:color="auto" w:fill="D2D2D2"/>
          </w:tcPr>
          <w:p>
            <w:pPr/>
          </w:p>
        </w:tc>
        <w:tc>
          <w:tcPr>
            <w:tcW w:w="907" w:type="dxa"/>
            <w:vMerge/>
            <w:tcBorders>
              <w:left w:val="single" w:sz="6" w:space="0" w:color="000000"/>
              <w:bottom w:val="single" w:sz="6" w:space="0" w:color="000000"/>
              <w:right w:val="single" w:sz="6" w:space="0" w:color="000000"/>
            </w:tcBorders>
            <w:shd w:val="clear" w:color="auto" w:fill="D2D2D2"/>
          </w:tcPr>
          <w:p>
            <w:pPr/>
          </w:p>
        </w:tc>
        <w:tc>
          <w:tcPr>
            <w:tcW w:w="929" w:type="dxa"/>
            <w:vMerge/>
            <w:tcBorders>
              <w:left w:val="single" w:sz="6" w:space="0" w:color="000000"/>
              <w:bottom w:val="single" w:sz="6" w:space="0" w:color="000000"/>
              <w:right w:val="single" w:sz="6" w:space="0" w:color="000000"/>
            </w:tcBorders>
            <w:shd w:val="clear" w:color="auto" w:fill="D2D2D2"/>
          </w:tcPr>
          <w:p>
            <w:pPr/>
          </w:p>
        </w:tc>
        <w:tc>
          <w:tcPr>
            <w:tcW w:w="1314" w:type="dxa"/>
            <w:vMerge/>
            <w:tcBorders>
              <w:left w:val="single" w:sz="6" w:space="0" w:color="000000"/>
              <w:bottom w:val="single" w:sz="6" w:space="0" w:color="000000"/>
              <w:right w:val="single" w:sz="6" w:space="0" w:color="000000"/>
            </w:tcBorders>
            <w:shd w:val="clear" w:color="auto" w:fill="D2D2D2"/>
          </w:tcPr>
          <w:p>
            <w:pPr/>
          </w:p>
        </w:tc>
        <w:tc>
          <w:tcPr>
            <w:tcW w:w="1048" w:type="dxa"/>
            <w:tcBorders>
              <w:top w:val="nil" w:sz="6" w:space="0" w:color="auto"/>
              <w:left w:val="single" w:sz="6" w:space="0" w:color="000000"/>
              <w:bottom w:val="single" w:sz="6" w:space="0" w:color="000000"/>
              <w:right w:val="single" w:sz="6" w:space="0" w:color="000000"/>
            </w:tcBorders>
            <w:shd w:val="clear" w:color="auto" w:fill="D2D2D2"/>
          </w:tcPr>
          <w:p>
            <w:pPr/>
          </w:p>
        </w:tc>
        <w:tc>
          <w:tcPr>
            <w:tcW w:w="1050" w:type="dxa"/>
            <w:vMerge/>
            <w:tcBorders>
              <w:left w:val="single" w:sz="6" w:space="0" w:color="000000"/>
              <w:bottom w:val="single" w:sz="6" w:space="0" w:color="000000"/>
              <w:right w:val="single" w:sz="6" w:space="0" w:color="000000"/>
            </w:tcBorders>
            <w:shd w:val="clear" w:color="auto" w:fill="D2D2D2"/>
          </w:tcPr>
          <w:p>
            <w:pPr/>
          </w:p>
        </w:tc>
        <w:tc>
          <w:tcPr>
            <w:tcW w:w="1049" w:type="dxa"/>
            <w:vMerge/>
            <w:tcBorders>
              <w:left w:val="single" w:sz="6" w:space="0" w:color="000000"/>
              <w:bottom w:val="single" w:sz="6" w:space="0" w:color="000000"/>
              <w:right w:val="single" w:sz="6" w:space="0" w:color="000000"/>
            </w:tcBorders>
            <w:shd w:val="clear" w:color="auto" w:fill="D2D2D2"/>
          </w:tcPr>
          <w:p>
            <w:pPr/>
          </w:p>
        </w:tc>
        <w:tc>
          <w:tcPr>
            <w:tcW w:w="785" w:type="dxa"/>
            <w:tcBorders>
              <w:top w:val="nil" w:sz="6" w:space="0" w:color="auto"/>
              <w:left w:val="single" w:sz="6" w:space="0" w:color="000000"/>
              <w:bottom w:val="single" w:sz="6" w:space="0" w:color="000000"/>
              <w:right w:val="single" w:sz="6" w:space="0" w:color="000000"/>
            </w:tcBorders>
            <w:shd w:val="clear" w:color="auto" w:fill="D2D2D2"/>
          </w:tcPr>
          <w:p>
            <w:pPr/>
          </w:p>
        </w:tc>
        <w:tc>
          <w:tcPr>
            <w:tcW w:w="785" w:type="dxa"/>
            <w:vMerge/>
            <w:tcBorders>
              <w:left w:val="single" w:sz="6" w:space="0" w:color="000000"/>
              <w:bottom w:val="single" w:sz="6" w:space="0" w:color="000000"/>
              <w:right w:val="single" w:sz="6" w:space="0" w:color="000000"/>
            </w:tcBorders>
            <w:shd w:val="clear" w:color="auto" w:fill="D2D2D2"/>
          </w:tcPr>
          <w:p>
            <w:pPr/>
          </w:p>
        </w:tc>
      </w:tr>
      <w:tr>
        <w:trPr>
          <w:trHeight w:val="413"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383" w:hRule="exact"/>
        </w:trPr>
        <w:tc>
          <w:tcPr>
            <w:tcW w:w="262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5"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tc>
        <w:tc>
          <w:tcPr>
            <w:tcW w:w="2243" w:type="dxa"/>
            <w:gridSpan w:val="2"/>
            <w:tcBorders>
              <w:top w:val="single" w:sz="6" w:space="0" w:color="000000"/>
              <w:left w:val="single" w:sz="12" w:space="0" w:color="D2D2D2"/>
              <w:bottom w:val="single" w:sz="6" w:space="0" w:color="000000"/>
              <w:right w:val="single" w:sz="12" w:space="0" w:color="000000"/>
            </w:tcBorders>
          </w:tcPr>
          <w:p>
            <w:pPr>
              <w:pStyle w:val="TableParagraph"/>
              <w:spacing w:line="240" w:lineRule="auto" w:before="80"/>
              <w:ind w:right="21"/>
              <w:jc w:val="right"/>
              <w:rPr>
                <w:rFonts w:ascii="Times New Roman" w:hAnsi="Times New Roman" w:cs="Times New Roman" w:eastAsia="Times New Roman" w:hint="default"/>
                <w:sz w:val="18"/>
                <w:szCs w:val="18"/>
              </w:rPr>
            </w:pPr>
            <w:r>
              <w:rPr>
                <w:rFonts w:ascii="Times New Roman"/>
                <w:sz w:val="18"/>
              </w:rPr>
              <w:t>117,500</w:t>
            </w:r>
          </w:p>
        </w:tc>
        <w:tc>
          <w:tcPr>
            <w:tcW w:w="209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5" w:right="0"/>
              <w:jc w:val="left"/>
              <w:rPr>
                <w:rFonts w:ascii="宋体" w:hAnsi="宋体" w:cs="宋体" w:eastAsia="宋体" w:hint="default"/>
                <w:sz w:val="18"/>
                <w:szCs w:val="18"/>
              </w:rPr>
            </w:pPr>
            <w:r>
              <w:rPr>
                <w:rFonts w:ascii="宋体" w:hAnsi="宋体" w:cs="宋体" w:eastAsia="宋体" w:hint="default"/>
                <w:sz w:val="18"/>
                <w:szCs w:val="18"/>
              </w:rPr>
              <w:t>报告期内担保实际发生额</w:t>
            </w:r>
          </w:p>
        </w:tc>
        <w:tc>
          <w:tcPr>
            <w:tcW w:w="2618" w:type="dxa"/>
            <w:gridSpan w:val="3"/>
            <w:tcBorders>
              <w:top w:val="single" w:sz="6" w:space="0" w:color="000000"/>
              <w:left w:val="single" w:sz="18" w:space="0" w:color="D2D2D2"/>
              <w:bottom w:val="single" w:sz="6" w:space="0" w:color="000000"/>
              <w:right w:val="single" w:sz="6" w:space="0" w:color="000000"/>
            </w:tcBorders>
          </w:tcPr>
          <w:p>
            <w:pPr>
              <w:pStyle w:val="TableParagraph"/>
              <w:spacing w:line="240" w:lineRule="auto" w:before="80"/>
              <w:ind w:right="13"/>
              <w:jc w:val="right"/>
              <w:rPr>
                <w:rFonts w:ascii="Times New Roman" w:hAnsi="Times New Roman" w:cs="Times New Roman" w:eastAsia="Times New Roman" w:hint="default"/>
                <w:sz w:val="18"/>
                <w:szCs w:val="18"/>
              </w:rPr>
            </w:pPr>
            <w:r>
              <w:rPr>
                <w:rFonts w:ascii="Times New Roman"/>
                <w:sz w:val="18"/>
              </w:rPr>
              <w:t>62,748.99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613"/>
        <w:gridCol w:w="2242"/>
        <w:gridCol w:w="2091"/>
        <w:gridCol w:w="2628"/>
      </w:tblGrid>
      <w:tr>
        <w:trPr>
          <w:trHeight w:val="36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42" w:type="dxa"/>
            <w:tcBorders>
              <w:top w:val="single" w:sz="6" w:space="0" w:color="000000"/>
              <w:left w:val="single" w:sz="12" w:space="0" w:color="D2D2D2"/>
              <w:bottom w:val="single" w:sz="6" w:space="0" w:color="000000"/>
              <w:right w:val="single" w:sz="12" w:space="0" w:color="000000"/>
            </w:tcBorders>
          </w:tcPr>
          <w:p>
            <w:pPr/>
          </w:p>
        </w:tc>
        <w:tc>
          <w:tcPr>
            <w:tcW w:w="20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18"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8" w:type="dxa"/>
            <w:tcBorders>
              <w:top w:val="single" w:sz="6" w:space="0" w:color="000000"/>
              <w:left w:val="single" w:sz="18" w:space="0" w:color="D2D2D2"/>
              <w:bottom w:val="single" w:sz="6" w:space="0" w:color="000000"/>
              <w:right w:val="single" w:sz="6" w:space="0" w:color="000000"/>
            </w:tcBorders>
          </w:tcPr>
          <w:p>
            <w:pPr/>
          </w:p>
        </w:tc>
      </w:tr>
      <w:tr>
        <w:trPr>
          <w:trHeight w:val="72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42" w:type="dxa"/>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316,500</w:t>
            </w:r>
          </w:p>
        </w:tc>
        <w:tc>
          <w:tcPr>
            <w:tcW w:w="20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8" w:right="75"/>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46,594.32</w:t>
            </w:r>
          </w:p>
        </w:tc>
      </w:tr>
      <w:tr>
        <w:trPr>
          <w:trHeight w:val="405" w:hRule="exact"/>
        </w:trPr>
        <w:tc>
          <w:tcPr>
            <w:tcW w:w="48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20"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23.44%</w:t>
            </w:r>
            <w:r>
              <w:rPr>
                <w:rFonts w:ascii="Times New Roman"/>
                <w:sz w:val="18"/>
              </w:rPr>
            </w:r>
          </w:p>
        </w:tc>
      </w:tr>
      <w:tr>
        <w:trPr>
          <w:trHeight w:val="383" w:hRule="exact"/>
        </w:trPr>
        <w:tc>
          <w:tcPr>
            <w:tcW w:w="957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13" w:hRule="exact"/>
        </w:trPr>
        <w:tc>
          <w:tcPr>
            <w:tcW w:w="48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7"/>
              <w:ind w:left="7"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20"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9"/>
              <w:ind w:right="13"/>
              <w:jc w:val="right"/>
              <w:rPr>
                <w:rFonts w:ascii="Times New Roman" w:hAnsi="Times New Roman" w:cs="Times New Roman" w:eastAsia="Times New Roman" w:hint="default"/>
                <w:sz w:val="18"/>
                <w:szCs w:val="18"/>
              </w:rPr>
            </w:pPr>
            <w:r>
              <w:rPr>
                <w:rFonts w:ascii="Times New Roman"/>
                <w:sz w:val="18"/>
              </w:rPr>
              <w:t>0</w:t>
            </w:r>
          </w:p>
        </w:tc>
      </w:tr>
      <w:tr>
        <w:trPr>
          <w:trHeight w:val="721" w:hRule="exact"/>
        </w:trPr>
        <w:tc>
          <w:tcPr>
            <w:tcW w:w="48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7" w:right="13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0"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46,594.32</w:t>
            </w:r>
          </w:p>
        </w:tc>
      </w:tr>
      <w:tr>
        <w:trPr>
          <w:trHeight w:val="405" w:hRule="exact"/>
        </w:trPr>
        <w:tc>
          <w:tcPr>
            <w:tcW w:w="48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20"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48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20"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46,594.32</w:t>
            </w:r>
          </w:p>
        </w:tc>
      </w:tr>
      <w:tr>
        <w:trPr>
          <w:trHeight w:val="721" w:hRule="exact"/>
        </w:trPr>
        <w:tc>
          <w:tcPr>
            <w:tcW w:w="48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27"/>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责任的情况说明（如有）</w:t>
            </w:r>
          </w:p>
        </w:tc>
        <w:tc>
          <w:tcPr>
            <w:tcW w:w="4720"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90" w:hRule="exact"/>
        </w:trPr>
        <w:tc>
          <w:tcPr>
            <w:tcW w:w="48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20" w:type="dxa"/>
            <w:gridSpan w:val="2"/>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5"/>
        <w:ind w:right="0"/>
        <w:jc w:val="left"/>
      </w:pPr>
      <w:r>
        <w:rPr/>
        <w:t>采用复合方式担保的具体情况说明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0"/>
        <w:jc w:val="left"/>
        <w:rPr>
          <w:b w:val="0"/>
          <w:bCs w:val="0"/>
        </w:rPr>
      </w:pPr>
      <w:bookmarkStart w:name="（2）违规对外担保情况" w:id="94"/>
      <w:bookmarkEnd w:id="94"/>
      <w:r>
        <w:rPr>
          <w:b w:val="0"/>
          <w:bCs w:val="0"/>
        </w:rPr>
      </w:r>
      <w:r>
        <w:rPr>
          <w:spacing w:val="5"/>
        </w:rPr>
        <w:t>（</w:t>
      </w:r>
      <w:r>
        <w:rPr>
          <w:rFonts w:ascii="Times New Roman" w:hAnsi="Times New Roman" w:cs="Times New Roman" w:eastAsia="Times New Roman" w:hint="default"/>
          <w:spacing w:val="5"/>
        </w:rPr>
        <w:t>2</w:t>
      </w:r>
      <w:r>
        <w:rPr>
          <w:spacing w:val="5"/>
        </w:rPr>
        <w:t>）违规对外担保情况</w:t>
      </w:r>
      <w:r>
        <w:rPr>
          <w:b w:val="0"/>
          <w:bCs w:val="0"/>
          <w:spacing w:val="5"/>
        </w:rPr>
      </w:r>
    </w:p>
    <w:p>
      <w:pPr>
        <w:spacing w:line="240" w:lineRule="auto" w:before="9"/>
        <w:rPr>
          <w:rFonts w:ascii="宋体" w:hAnsi="宋体" w:cs="宋体" w:eastAsia="宋体" w:hint="default"/>
          <w:b/>
          <w:bCs/>
          <w:sz w:val="26"/>
          <w:szCs w:val="26"/>
        </w:rPr>
      </w:pPr>
    </w:p>
    <w:p>
      <w:pPr>
        <w:pStyle w:val="BodyText"/>
        <w:spacing w:line="316" w:lineRule="auto"/>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公司报告期无违规对外担保情况。</w:t>
      </w:r>
    </w:p>
    <w:p>
      <w:pPr>
        <w:spacing w:line="240" w:lineRule="auto" w:before="1"/>
        <w:rPr>
          <w:rFonts w:ascii="宋体" w:hAnsi="宋体" w:cs="宋体" w:eastAsia="宋体" w:hint="default"/>
          <w:sz w:val="26"/>
          <w:szCs w:val="26"/>
        </w:rPr>
      </w:pPr>
    </w:p>
    <w:p>
      <w:pPr>
        <w:pStyle w:val="Heading5"/>
        <w:spacing w:line="240" w:lineRule="auto"/>
        <w:ind w:right="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spacing w:val="5"/>
        </w:rPr>
        <w:t>3</w:t>
      </w:r>
      <w:r>
        <w:rPr>
          <w:spacing w:val="5"/>
        </w:rPr>
        <w:t>、委托他人进行现金资产管理情况</w:t>
      </w:r>
      <w:r>
        <w:rPr>
          <w:b w:val="0"/>
          <w:bCs w:val="0"/>
          <w:spacing w:val="5"/>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委托理财情况" w:id="96"/>
      <w:bookmarkEnd w:id="96"/>
      <w:r>
        <w:rPr>
          <w:b w:val="0"/>
          <w:bCs w:val="0"/>
        </w:rPr>
      </w:r>
      <w:r>
        <w:rPr>
          <w:spacing w:val="5"/>
        </w:rPr>
        <w:t>（</w:t>
      </w:r>
      <w:r>
        <w:rPr>
          <w:rFonts w:ascii="Times New Roman" w:hAnsi="Times New Roman" w:cs="Times New Roman" w:eastAsia="Times New Roman" w:hint="default"/>
          <w:spacing w:val="5"/>
        </w:rPr>
        <w:t>1</w:t>
      </w:r>
      <w:r>
        <w:rPr>
          <w:spacing w:val="5"/>
        </w:rPr>
        <w:t>）委托理财情况</w:t>
      </w:r>
      <w:r>
        <w:rPr>
          <w:b w:val="0"/>
          <w:bCs w:val="0"/>
          <w:spacing w:val="5"/>
        </w:rPr>
      </w:r>
    </w:p>
    <w:p>
      <w:pPr>
        <w:spacing w:line="240" w:lineRule="auto" w:before="11"/>
        <w:rPr>
          <w:rFonts w:ascii="宋体" w:hAnsi="宋体" w:cs="宋体" w:eastAsia="宋体" w:hint="default"/>
          <w:b/>
          <w:bCs/>
          <w:sz w:val="27"/>
          <w:szCs w:val="27"/>
        </w:rPr>
      </w:pPr>
    </w:p>
    <w:p>
      <w:pPr>
        <w:pStyle w:val="BodyText"/>
        <w:spacing w:line="316"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公司报告期不存在委托理财。</w:t>
      </w:r>
    </w:p>
    <w:p>
      <w:pPr>
        <w:spacing w:line="240" w:lineRule="auto" w:before="0"/>
        <w:rPr>
          <w:rFonts w:ascii="宋体" w:hAnsi="宋体" w:cs="宋体" w:eastAsia="宋体" w:hint="default"/>
          <w:sz w:val="26"/>
          <w:szCs w:val="26"/>
        </w:rPr>
      </w:pPr>
    </w:p>
    <w:p>
      <w:pPr>
        <w:pStyle w:val="Heading5"/>
        <w:spacing w:line="240" w:lineRule="auto"/>
        <w:ind w:right="0"/>
        <w:jc w:val="left"/>
        <w:rPr>
          <w:b w:val="0"/>
          <w:bCs w:val="0"/>
        </w:rPr>
      </w:pPr>
      <w:bookmarkStart w:name="（2）委托贷款情况" w:id="97"/>
      <w:bookmarkEnd w:id="97"/>
      <w:r>
        <w:rPr>
          <w:b w:val="0"/>
          <w:bCs w:val="0"/>
        </w:rPr>
      </w:r>
      <w:r>
        <w:rPr>
          <w:spacing w:val="5"/>
        </w:rPr>
        <w:t>（</w:t>
      </w:r>
      <w:r>
        <w:rPr>
          <w:rFonts w:ascii="Times New Roman" w:hAnsi="Times New Roman" w:cs="Times New Roman" w:eastAsia="Times New Roman" w:hint="default"/>
          <w:spacing w:val="5"/>
        </w:rPr>
        <w:t>2</w:t>
      </w:r>
      <w:r>
        <w:rPr>
          <w:spacing w:val="5"/>
        </w:rPr>
        <w:t>）委托贷款情况</w:t>
      </w:r>
      <w:r>
        <w:rPr>
          <w:b w:val="0"/>
          <w:bCs w:val="0"/>
          <w:spacing w:val="5"/>
        </w:rPr>
      </w:r>
    </w:p>
    <w:p>
      <w:pPr>
        <w:spacing w:line="240" w:lineRule="auto" w:before="9"/>
        <w:rPr>
          <w:rFonts w:ascii="宋体" w:hAnsi="宋体" w:cs="宋体" w:eastAsia="宋体" w:hint="default"/>
          <w:b/>
          <w:bCs/>
          <w:sz w:val="26"/>
          <w:szCs w:val="26"/>
        </w:rPr>
      </w:pPr>
    </w:p>
    <w:p>
      <w:pPr>
        <w:pStyle w:val="BodyText"/>
        <w:spacing w:line="319"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公司报告期不存在委托贷款。</w:t>
      </w: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4、其他重大合同" w:id="98"/>
      <w:bookmarkEnd w:id="98"/>
      <w:r>
        <w:rPr>
          <w:b w:val="0"/>
          <w:bCs w:val="0"/>
        </w:rPr>
      </w:r>
      <w:r>
        <w:rPr>
          <w:rFonts w:ascii="Times New Roman" w:hAnsi="Times New Roman" w:cs="Times New Roman" w:eastAsia="Times New Roman" w:hint="default"/>
          <w:spacing w:val="4"/>
        </w:rPr>
        <w:t>4</w:t>
      </w:r>
      <w:r>
        <w:rPr>
          <w:spacing w:val="4"/>
        </w:rPr>
        <w:t>、其他重大合同</w:t>
      </w:r>
      <w:r>
        <w:rPr>
          <w:b w:val="0"/>
          <w:bCs w:val="0"/>
          <w:spacing w:val="4"/>
        </w:rPr>
      </w:r>
    </w:p>
    <w:p>
      <w:pPr>
        <w:spacing w:line="240" w:lineRule="auto" w:before="9"/>
        <w:rPr>
          <w:rFonts w:ascii="宋体" w:hAnsi="宋体" w:cs="宋体" w:eastAsia="宋体" w:hint="default"/>
          <w:b/>
          <w:bCs/>
          <w:sz w:val="26"/>
          <w:szCs w:val="26"/>
        </w:rPr>
      </w:pPr>
    </w:p>
    <w:p>
      <w:pPr>
        <w:pStyle w:val="BodyText"/>
        <w:spacing w:line="333"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公司报告期不存在其他重大合同。</w:t>
      </w:r>
    </w:p>
    <w:p>
      <w:pPr>
        <w:spacing w:after="0" w:line="333"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both"/>
        <w:rPr>
          <w:b w:val="0"/>
          <w:bCs w:val="0"/>
        </w:rPr>
      </w:pPr>
      <w:bookmarkStart w:name="十八、社会责任情况" w:id="99"/>
      <w:bookmarkEnd w:id="99"/>
      <w:r>
        <w:rPr>
          <w:b w:val="0"/>
          <w:bCs w:val="0"/>
        </w:rPr>
      </w:r>
      <w:r>
        <w:rPr/>
        <w:t>十八、社会责任情况</w:t>
      </w:r>
      <w:r>
        <w:rPr>
          <w:b w:val="0"/>
          <w:bCs w:val="0"/>
        </w:rPr>
      </w:r>
    </w:p>
    <w:p>
      <w:pPr>
        <w:spacing w:line="240" w:lineRule="auto" w:before="3"/>
        <w:rPr>
          <w:rFonts w:ascii="宋体" w:hAnsi="宋体" w:cs="宋体" w:eastAsia="宋体" w:hint="default"/>
          <w:b/>
          <w:bCs/>
          <w:sz w:val="27"/>
          <w:szCs w:val="27"/>
        </w:rPr>
      </w:pPr>
    </w:p>
    <w:p>
      <w:pPr>
        <w:pStyle w:val="Heading6"/>
        <w:spacing w:line="240" w:lineRule="auto"/>
        <w:ind w:left="501" w:right="0"/>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13"/>
          <w:szCs w:val="13"/>
        </w:rPr>
      </w:pPr>
    </w:p>
    <w:p>
      <w:pPr>
        <w:pStyle w:val="BodyText"/>
        <w:spacing w:line="343" w:lineRule="auto"/>
        <w:ind w:right="1118" w:firstLine="360"/>
        <w:jc w:val="both"/>
      </w:pPr>
      <w:r>
        <w:rPr>
          <w:spacing w:val="-2"/>
        </w:rPr>
        <w:t>公司成立于</w:t>
      </w:r>
      <w:r>
        <w:rPr>
          <w:rFonts w:ascii="Times New Roman" w:hAnsi="Times New Roman" w:cs="Times New Roman" w:eastAsia="Times New Roman" w:hint="default"/>
          <w:spacing w:val="-2"/>
        </w:rPr>
        <w:t>2004</w:t>
      </w:r>
      <w:r>
        <w:rPr>
          <w:spacing w:val="-2"/>
        </w:rPr>
        <w:t>年，于</w:t>
      </w:r>
      <w:r>
        <w:rPr>
          <w:rFonts w:ascii="Times New Roman" w:hAnsi="Times New Roman" w:cs="Times New Roman" w:eastAsia="Times New Roman" w:hint="default"/>
          <w:spacing w:val="-2"/>
        </w:rPr>
        <w:t>2010</w:t>
      </w:r>
      <w:r>
        <w:rPr>
          <w:spacing w:val="-2"/>
        </w:rPr>
        <w:t>年在深圳证券交易所上市。自成立以来，公司始终秉承</w:t>
      </w:r>
      <w:r>
        <w:rPr>
          <w:rFonts w:ascii="Times New Roman" w:hAnsi="Times New Roman" w:cs="Times New Roman" w:eastAsia="Times New Roman" w:hint="default"/>
          <w:spacing w:val="-2"/>
        </w:rPr>
        <w:t>“</w:t>
      </w:r>
      <w:r>
        <w:rPr>
          <w:spacing w:val="-2"/>
        </w:rPr>
        <w:t>诚信、进取、合作、分享</w:t>
      </w:r>
      <w:r>
        <w:rPr>
          <w:rFonts w:ascii="Times New Roman" w:hAnsi="Times New Roman" w:cs="Times New Roman" w:eastAsia="Times New Roman" w:hint="default"/>
          <w:spacing w:val="-2"/>
        </w:rPr>
        <w:t>”</w:t>
      </w:r>
      <w:r>
        <w:rPr>
          <w:spacing w:val="-2"/>
        </w:rPr>
        <w:t>的企业价</w:t>
      </w:r>
      <w:r>
        <w:rPr/>
        <w:t> </w:t>
      </w:r>
      <w:r>
        <w:rPr>
          <w:spacing w:val="-2"/>
        </w:rPr>
        <w:t>值观，怀揣</w:t>
      </w:r>
      <w:r>
        <w:rPr>
          <w:rFonts w:ascii="Times New Roman" w:hAnsi="Times New Roman" w:cs="Times New Roman" w:eastAsia="Times New Roman" w:hint="default"/>
          <w:spacing w:val="-2"/>
        </w:rPr>
        <w:t>“</w:t>
      </w:r>
      <w:r>
        <w:rPr>
          <w:spacing w:val="-2"/>
        </w:rPr>
        <w:t>拥抱万物互联、引领中国智造、助力全球创新</w:t>
      </w:r>
      <w:r>
        <w:rPr>
          <w:rFonts w:ascii="Times New Roman" w:hAnsi="Times New Roman" w:cs="Times New Roman" w:eastAsia="Times New Roman" w:hint="default"/>
          <w:spacing w:val="-2"/>
        </w:rPr>
        <w:t>”</w:t>
      </w:r>
      <w:r>
        <w:rPr>
          <w:spacing w:val="-2"/>
        </w:rPr>
        <w:t>的企业愿景。十余年栉风沐雨，公司已发展成一家效率驱动型的</w:t>
      </w:r>
      <w:r>
        <w:rPr>
          <w:spacing w:val="-46"/>
        </w:rPr>
        <w:t> </w:t>
      </w:r>
      <w:r>
        <w:rPr>
          <w:spacing w:val="-46"/>
        </w:rPr>
      </w:r>
      <w:r>
        <w:rPr>
          <w:spacing w:val="-1"/>
        </w:rPr>
        <w:t>一站式</w:t>
      </w:r>
      <w:r>
        <w:rPr>
          <w:rFonts w:ascii="Times New Roman" w:hAnsi="Times New Roman" w:cs="Times New Roman" w:eastAsia="Times New Roman" w:hint="default"/>
          <w:spacing w:val="-1"/>
        </w:rPr>
        <w:t>3C</w:t>
      </w:r>
      <w:r>
        <w:rPr>
          <w:spacing w:val="-1"/>
        </w:rPr>
        <w:t>、</w:t>
      </w:r>
      <w:r>
        <w:rPr>
          <w:rFonts w:ascii="Times New Roman" w:hAnsi="Times New Roman" w:cs="Times New Roman" w:eastAsia="Times New Roman" w:hint="default"/>
          <w:spacing w:val="-1"/>
        </w:rPr>
        <w:t>IOT</w:t>
      </w:r>
      <w:r>
        <w:rPr>
          <w:spacing w:val="-1"/>
        </w:rPr>
        <w:t>产品方案提供商和智能制造软硬一体化整体解决方案提供商，拥有较为完备的产业链布局和深厚的研发与设</w:t>
      </w:r>
      <w:r>
        <w:rPr>
          <w:spacing w:val="-83"/>
        </w:rPr>
        <w:t> </w:t>
      </w:r>
      <w:r>
        <w:rPr>
          <w:spacing w:val="-83"/>
        </w:rPr>
      </w:r>
      <w:r>
        <w:rPr>
          <w:spacing w:val="-1"/>
        </w:rPr>
        <w:t>计实力。公司以</w:t>
      </w:r>
      <w:r>
        <w:rPr>
          <w:rFonts w:ascii="Times New Roman" w:hAnsi="Times New Roman" w:cs="Times New Roman" w:eastAsia="Times New Roman" w:hint="default"/>
          <w:spacing w:val="-1"/>
        </w:rPr>
        <w:t>“</w:t>
      </w:r>
      <w:r>
        <w:rPr>
          <w:spacing w:val="-1"/>
        </w:rPr>
        <w:t>致力产品服务与增值</w:t>
      </w:r>
      <w:r>
        <w:rPr>
          <w:rFonts w:ascii="Times New Roman" w:hAnsi="Times New Roman" w:cs="Times New Roman" w:eastAsia="Times New Roman" w:hint="default"/>
          <w:spacing w:val="-1"/>
        </w:rPr>
        <w:t>”</w:t>
      </w:r>
      <w:r>
        <w:rPr>
          <w:spacing w:val="-1"/>
        </w:rPr>
        <w:t>为公司使命，用先进的生产工艺与技术装备和强大的精密制造能力为广大客户提供优</w:t>
      </w:r>
      <w:r>
        <w:rPr/>
        <w:t> 质服务，拥有良好的声誉和口碑。</w:t>
      </w:r>
    </w:p>
    <w:p>
      <w:pPr>
        <w:pStyle w:val="BodyText"/>
        <w:spacing w:line="352" w:lineRule="auto" w:before="47"/>
        <w:ind w:right="1036" w:firstLine="360"/>
        <w:jc w:val="left"/>
      </w:pPr>
      <w:r>
        <w:rPr>
          <w:spacing w:val="-2"/>
        </w:rPr>
        <w:t>大道之行，天下为公，公司在发展壮大的同时不断强化社会责任理念，积极履行社会责任。</w:t>
      </w:r>
      <w:r>
        <w:rPr>
          <w:rFonts w:ascii="Times New Roman" w:hAnsi="Times New Roman" w:cs="Times New Roman" w:eastAsia="Times New Roman" w:hint="default"/>
          <w:spacing w:val="-2"/>
        </w:rPr>
        <w:t>2019</w:t>
      </w:r>
      <w:r>
        <w:rPr>
          <w:spacing w:val="-2"/>
        </w:rPr>
        <w:t>年度，公司一如既往地</w:t>
      </w:r>
      <w:r>
        <w:rPr/>
        <w:t> </w:t>
      </w:r>
      <w:r>
        <w:rPr>
          <w:spacing w:val="-2"/>
        </w:rPr>
        <w:t>秉持公司价值观，遵守国家法律法规，如依法开展经营活动、缴纳税款等，主动承担社会责任，如践行绿色环保理念、开展</w:t>
      </w:r>
      <w:r>
        <w:rPr>
          <w:spacing w:val="-72"/>
        </w:rPr>
        <w:t> </w:t>
      </w:r>
      <w:r>
        <w:rPr>
          <w:spacing w:val="-72"/>
        </w:rPr>
      </w:r>
      <w:r>
        <w:rPr>
          <w:spacing w:val="-3"/>
        </w:rPr>
        <w:t>员工关怀活动等，通过完善公司治理制度、提升公司经营效益、对标</w:t>
      </w:r>
      <w:r>
        <w:rPr>
          <w:rFonts w:ascii="Times New Roman" w:hAnsi="Times New Roman" w:cs="Times New Roman" w:eastAsia="Times New Roman" w:hint="default"/>
          <w:spacing w:val="-3"/>
        </w:rPr>
        <w:t>ESG</w:t>
      </w:r>
      <w:r>
        <w:rPr>
          <w:spacing w:val="-3"/>
        </w:rPr>
        <w:t>评价体系，实现公司治理与环境、社会的有机统一，</w:t>
      </w:r>
      <w:r>
        <w:rPr>
          <w:spacing w:val="-83"/>
        </w:rPr>
        <w:t> </w:t>
      </w:r>
      <w:r>
        <w:rPr>
          <w:spacing w:val="-83"/>
        </w:rPr>
      </w:r>
      <w:r>
        <w:rPr>
          <w:spacing w:val="-2"/>
        </w:rPr>
        <w:t>有效地维护了公司股东、债权人、员工和供应商等相关者利益，切实推进公司可持续发展和环境友好型发展。</w:t>
      </w:r>
      <w:r>
        <w:rPr>
          <w:rFonts w:ascii="Times New Roman" w:hAnsi="Times New Roman" w:cs="Times New Roman" w:eastAsia="Times New Roman" w:hint="default"/>
          <w:spacing w:val="-2"/>
        </w:rPr>
        <w:t>2019</w:t>
      </w:r>
      <w:r>
        <w:rPr>
          <w:spacing w:val="-2"/>
        </w:rPr>
        <w:t>年度，公</w:t>
      </w:r>
      <w:r>
        <w:rPr>
          <w:spacing w:val="-43"/>
        </w:rPr>
        <w:t> </w:t>
      </w:r>
      <w:r>
        <w:rPr>
          <w:spacing w:val="-43"/>
        </w:rPr>
      </w:r>
      <w:r>
        <w:rPr/>
        <w:t>司履行社会责任的情况具体如下：</w:t>
      </w:r>
    </w:p>
    <w:p>
      <w:pPr>
        <w:pStyle w:val="BodyText"/>
        <w:spacing w:line="240" w:lineRule="auto" w:before="40"/>
        <w:ind w:left="501" w:right="0"/>
        <w:jc w:val="left"/>
      </w:pPr>
      <w:r>
        <w:rPr/>
        <w:t>（一）股东和债券人权益保护</w:t>
      </w:r>
    </w:p>
    <w:p>
      <w:pPr>
        <w:pStyle w:val="BodyText"/>
        <w:spacing w:line="240" w:lineRule="auto" w:before="124"/>
        <w:ind w:left="501" w:right="0"/>
        <w:jc w:val="left"/>
      </w:pPr>
      <w:r>
        <w:rPr>
          <w:rFonts w:ascii="Times New Roman" w:hAnsi="Times New Roman" w:cs="Times New Roman" w:eastAsia="Times New Roman" w:hint="default"/>
        </w:rPr>
        <w:t>1</w:t>
      </w:r>
      <w:r>
        <w:rPr/>
        <w:t>、公司规范运作，保障股东及债权人权益</w:t>
      </w:r>
    </w:p>
    <w:p>
      <w:pPr>
        <w:pStyle w:val="BodyText"/>
        <w:spacing w:line="240" w:lineRule="auto" w:before="111"/>
        <w:ind w:left="501"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43"/>
        </w:rPr>
        <w:t> </w:t>
      </w:r>
      <w:r>
        <w:rPr/>
        <w:t>年，公司严格按照《公司法》、《证券法》、《上市公司治理准则》等法律法规及公司《章程》的要求，不断完</w:t>
      </w:r>
    </w:p>
    <w:p>
      <w:pPr>
        <w:pStyle w:val="BodyText"/>
        <w:spacing w:line="348" w:lineRule="auto" w:before="111"/>
        <w:ind w:right="1098"/>
        <w:jc w:val="both"/>
      </w:pPr>
      <w:r>
        <w:rPr/>
        <w:t>善法人治理体系，确保公司规范运作。 </w:t>
      </w:r>
      <w:r>
        <w:rPr>
          <w:rFonts w:ascii="Times New Roman" w:hAnsi="Times New Roman" w:cs="Times New Roman" w:eastAsia="Times New Roman" w:hint="default"/>
        </w:rPr>
        <w:t>2019 </w:t>
      </w:r>
      <w:r>
        <w:rPr/>
        <w:t>年度，公司共召开股东大会</w:t>
      </w:r>
      <w:r>
        <w:rPr>
          <w:rFonts w:ascii="Times New Roman" w:hAnsi="Times New Roman" w:cs="Times New Roman" w:eastAsia="Times New Roman" w:hint="default"/>
        </w:rPr>
        <w:t>4</w:t>
      </w:r>
      <w:r>
        <w:rPr/>
        <w:t>次，审议议案</w:t>
      </w:r>
      <w:r>
        <w:rPr>
          <w:rFonts w:ascii="Times New Roman" w:hAnsi="Times New Roman" w:cs="Times New Roman" w:eastAsia="Times New Roman" w:hint="default"/>
        </w:rPr>
        <w:t>14</w:t>
      </w:r>
      <w:r>
        <w:rPr/>
        <w:t>项，每次股东大会的召开都提供</w:t>
      </w:r>
      <w:r>
        <w:rPr>
          <w:spacing w:val="-87"/>
        </w:rPr>
        <w:t> </w:t>
      </w:r>
      <w:r>
        <w:rPr>
          <w:spacing w:val="-87"/>
        </w:rPr>
      </w:r>
      <w:r>
        <w:rPr>
          <w:spacing w:val="-2"/>
        </w:rPr>
        <w:t>了网络投票渠道，为股东特别是中小股东行使股东权利畅通渠道；召开董事会</w:t>
      </w:r>
      <w:r>
        <w:rPr>
          <w:rFonts w:ascii="Times New Roman" w:hAnsi="Times New Roman" w:cs="Times New Roman" w:eastAsia="Times New Roman" w:hint="default"/>
          <w:spacing w:val="-2"/>
        </w:rPr>
        <w:t>12</w:t>
      </w:r>
      <w:r>
        <w:rPr>
          <w:spacing w:val="-2"/>
        </w:rPr>
        <w:t>次，审议议案</w:t>
      </w:r>
      <w:r>
        <w:rPr>
          <w:rFonts w:ascii="Times New Roman" w:hAnsi="Times New Roman" w:cs="Times New Roman" w:eastAsia="Times New Roman" w:hint="default"/>
          <w:spacing w:val="-2"/>
        </w:rPr>
        <w:t>62</w:t>
      </w:r>
      <w:r>
        <w:rPr>
          <w:spacing w:val="-2"/>
        </w:rPr>
        <w:t>项；召开监事会</w:t>
      </w:r>
      <w:r>
        <w:rPr>
          <w:rFonts w:ascii="Times New Roman" w:hAnsi="Times New Roman" w:cs="Times New Roman" w:eastAsia="Times New Roman" w:hint="default"/>
          <w:spacing w:val="-2"/>
        </w:rPr>
        <w:t>11</w:t>
      </w:r>
      <w:r>
        <w:rPr>
          <w:spacing w:val="-2"/>
        </w:rPr>
        <w:t>次，审议</w:t>
      </w:r>
      <w:r>
        <w:rPr>
          <w:spacing w:val="-43"/>
        </w:rPr>
        <w:t> </w:t>
      </w:r>
      <w:r>
        <w:rPr>
          <w:spacing w:val="-43"/>
        </w:rPr>
      </w:r>
      <w:r>
        <w:rPr>
          <w:spacing w:val="-1"/>
        </w:rPr>
        <w:t>议案</w:t>
      </w:r>
      <w:r>
        <w:rPr>
          <w:rFonts w:ascii="Times New Roman" w:hAnsi="Times New Roman" w:cs="Times New Roman" w:eastAsia="Times New Roman" w:hint="default"/>
          <w:spacing w:val="-1"/>
        </w:rPr>
        <w:t>33</w:t>
      </w:r>
      <w:r>
        <w:rPr>
          <w:spacing w:val="-1"/>
        </w:rPr>
        <w:t>项。全体董事本着认真负责、科学谨慎的态度审议了各项议题</w:t>
      </w:r>
      <w:r>
        <w:rPr>
          <w:rFonts w:ascii="Times New Roman" w:hAnsi="Times New Roman" w:cs="Times New Roman" w:eastAsia="Times New Roman" w:hint="default"/>
          <w:spacing w:val="-1"/>
        </w:rPr>
        <w:t>,</w:t>
      </w:r>
      <w:r>
        <w:rPr>
          <w:spacing w:val="-1"/>
        </w:rPr>
        <w:t>进行审慎决策</w:t>
      </w:r>
      <w:r>
        <w:rPr>
          <w:rFonts w:ascii="Times New Roman" w:hAnsi="Times New Roman" w:cs="Times New Roman" w:eastAsia="Times New Roman" w:hint="default"/>
          <w:spacing w:val="-1"/>
        </w:rPr>
        <w:t>,</w:t>
      </w:r>
      <w:r>
        <w:rPr>
          <w:spacing w:val="-1"/>
        </w:rPr>
        <w:t>保障了公司经营管理的正常运行</w:t>
      </w:r>
      <w:r>
        <w:rPr>
          <w:rFonts w:ascii="Times New Roman" w:hAnsi="Times New Roman" w:cs="Times New Roman" w:eastAsia="Times New Roman" w:hint="default"/>
          <w:spacing w:val="-1"/>
        </w:rPr>
        <w:t>,</w:t>
      </w:r>
      <w:r>
        <w:rPr>
          <w:spacing w:val="-1"/>
        </w:rPr>
        <w:t>促进了</w:t>
      </w:r>
      <w:r>
        <w:rPr>
          <w:spacing w:val="-54"/>
        </w:rPr>
        <w:t> </w:t>
      </w:r>
      <w:r>
        <w:rPr>
          <w:spacing w:val="-1"/>
        </w:rPr>
        <w:t>公司的持续发展；监事会对公司经营活动、财务状况、公司董事会决策及经营管理层履职的合法合规性进行了全面、有效的</w:t>
      </w:r>
      <w:r>
        <w:rPr/>
        <w:t> 监督，为公司的健康长远发展保驾护航。</w:t>
      </w:r>
      <w:r>
        <w:rPr>
          <w:spacing w:val="-12"/>
        </w:rPr>
        <w:t> </w:t>
      </w:r>
      <w:r>
        <w:rPr/>
        <w:t>公司治理层及经营管理层的勤恳履职为债权人的权益提供了良好的保障。</w:t>
      </w:r>
    </w:p>
    <w:p>
      <w:pPr>
        <w:pStyle w:val="BodyText"/>
        <w:spacing w:line="240" w:lineRule="auto" w:before="44"/>
        <w:ind w:left="501" w:right="0"/>
        <w:jc w:val="left"/>
      </w:pPr>
      <w:r>
        <w:rPr>
          <w:rFonts w:ascii="Times New Roman" w:hAnsi="Times New Roman" w:cs="Times New Roman" w:eastAsia="Times New Roman" w:hint="default"/>
        </w:rPr>
        <w:t>2</w:t>
      </w:r>
      <w:r>
        <w:rPr/>
        <w:t>、修订公司治理制度，完善公司治理体系</w:t>
      </w:r>
    </w:p>
    <w:p>
      <w:pPr>
        <w:pStyle w:val="BodyText"/>
        <w:spacing w:line="240" w:lineRule="auto" w:before="111"/>
        <w:ind w:left="501" w:right="0"/>
        <w:jc w:val="left"/>
      </w:pPr>
      <w:r>
        <w:rPr>
          <w:rFonts w:ascii="Times New Roman" w:hAnsi="Times New Roman" w:cs="Times New Roman" w:eastAsia="Times New Roman" w:hint="default"/>
          <w:spacing w:val="-6"/>
        </w:rPr>
        <w:t>2019</w:t>
      </w:r>
      <w:r>
        <w:rPr>
          <w:spacing w:val="-6"/>
        </w:rPr>
        <w:t>年，公司根据监管规定和完善公司治理的需要，修订了公司《章程》、《股东大会议事规则》、《董事会议事规则》、</w:t>
      </w:r>
    </w:p>
    <w:p>
      <w:pPr>
        <w:pStyle w:val="BodyText"/>
        <w:spacing w:line="367" w:lineRule="auto" w:before="111"/>
        <w:ind w:right="1106"/>
        <w:jc w:val="both"/>
      </w:pPr>
      <w:r>
        <w:rPr>
          <w:spacing w:val="-2"/>
        </w:rPr>
        <w:t>《总经理工作细则》、《董事会秘书工作制度》以及《重大信息内部报告制度》。上述制度的修订完善了公司治理制度，促</w:t>
      </w:r>
      <w:r>
        <w:rPr>
          <w:spacing w:val="-74"/>
        </w:rPr>
        <w:t> </w:t>
      </w:r>
      <w:r>
        <w:rPr>
          <w:spacing w:val="-74"/>
        </w:rPr>
      </w:r>
      <w:r>
        <w:rPr>
          <w:spacing w:val="-2"/>
        </w:rPr>
        <w:t>进公司股东大会、董事会、监事会和高级管理层的健康有效运行，进一步健全了公司治理体系，为公司长远发展提供良好的</w:t>
      </w:r>
      <w:r>
        <w:rPr>
          <w:spacing w:val="-42"/>
        </w:rPr>
        <w:t> </w:t>
      </w:r>
      <w:r>
        <w:rPr>
          <w:spacing w:val="-42"/>
        </w:rPr>
      </w:r>
      <w:r>
        <w:rPr/>
        <w:t>治理环境，为切实维护全体股东及债权人权益提供了更加完善的制度保障。</w:t>
      </w:r>
    </w:p>
    <w:p>
      <w:pPr>
        <w:pStyle w:val="BodyText"/>
        <w:spacing w:line="345" w:lineRule="auto" w:before="29"/>
        <w:ind w:left="501" w:right="1133"/>
        <w:jc w:val="left"/>
      </w:pPr>
      <w:r>
        <w:rPr>
          <w:rFonts w:ascii="Times New Roman" w:hAnsi="Times New Roman" w:cs="Times New Roman" w:eastAsia="Times New Roman" w:hint="default"/>
        </w:rPr>
        <w:t>3</w:t>
      </w:r>
      <w:r>
        <w:rPr/>
        <w:t>、合法合规，认真履行信息披露义务 </w:t>
      </w:r>
      <w:r>
        <w:rPr>
          <w:spacing w:val="-2"/>
        </w:rPr>
        <w:t>公司十分重视信息披露工作，在严格遵守《公司法》、《证券法》、《深圳证券交易所股票上市规则》等法律法规的基</w:t>
      </w:r>
    </w:p>
    <w:p>
      <w:pPr>
        <w:pStyle w:val="BodyText"/>
        <w:spacing w:line="352" w:lineRule="auto" w:before="46"/>
        <w:ind w:right="1128"/>
        <w:jc w:val="both"/>
      </w:pPr>
      <w:r>
        <w:rPr>
          <w:spacing w:val="-2"/>
        </w:rPr>
        <w:t>础上，制定了《信息披露事务管理制度》、《重大信息内部报告制度》、《年报信息披露重大差错责任追究制度》和《内幕</w:t>
      </w:r>
      <w:r>
        <w:rPr>
          <w:spacing w:val="-74"/>
        </w:rPr>
        <w:t> </w:t>
      </w:r>
      <w:r>
        <w:rPr>
          <w:spacing w:val="-74"/>
        </w:rPr>
      </w:r>
      <w:r>
        <w:rPr>
          <w:spacing w:val="-2"/>
        </w:rPr>
        <w:t>信息知情人登记管理制度》等信息披露管理制度，明确了信息披露的标准、信息传递、审核、披露、保密措施以及责任认定</w:t>
      </w:r>
      <w:r>
        <w:rPr>
          <w:spacing w:val="-72"/>
        </w:rPr>
        <w:t> </w:t>
      </w:r>
      <w:r>
        <w:rPr>
          <w:spacing w:val="-72"/>
        </w:rPr>
      </w:r>
      <w:r>
        <w:rPr>
          <w:spacing w:val="-2"/>
        </w:rPr>
        <w:t>等信息披露工作中的关键点，对公开信息披露和重大内部事项沟通进行了有效的控制。</w:t>
      </w:r>
      <w:r>
        <w:rPr>
          <w:rFonts w:ascii="Times New Roman" w:hAnsi="Times New Roman" w:cs="Times New Roman" w:eastAsia="Times New Roman" w:hint="default"/>
          <w:spacing w:val="-2"/>
        </w:rPr>
        <w:t>2019</w:t>
      </w:r>
      <w:r>
        <w:rPr>
          <w:spacing w:val="-2"/>
        </w:rPr>
        <w:t>年度，公司认真履行信息披露义</w:t>
      </w:r>
      <w:r>
        <w:rPr>
          <w:spacing w:val="-62"/>
        </w:rPr>
        <w:t> </w:t>
      </w:r>
      <w:r>
        <w:rPr>
          <w:spacing w:val="-62"/>
        </w:rPr>
      </w:r>
      <w:r>
        <w:rPr/>
        <w:t>务，共发布公告</w:t>
      </w:r>
      <w:r>
        <w:rPr>
          <w:rFonts w:ascii="Times New Roman" w:hAnsi="Times New Roman" w:cs="Times New Roman" w:eastAsia="Times New Roman" w:hint="default"/>
        </w:rPr>
        <w:t>131</w:t>
      </w:r>
      <w:r>
        <w:rPr/>
        <w:t>份，不存在选择性信息披露或提前透露未公开信息的情形，保证了股东和债权人的知情权，降低了股东 </w:t>
      </w:r>
      <w:r>
        <w:rPr>
          <w:spacing w:val="-2"/>
        </w:rPr>
        <w:t>和债权人的风险，有效地保护了股东及债权人权益。在深圳证券交易所对上市公司</w:t>
      </w:r>
      <w:r>
        <w:rPr>
          <w:rFonts w:ascii="Times New Roman" w:hAnsi="Times New Roman" w:cs="Times New Roman" w:eastAsia="Times New Roman" w:hint="default"/>
          <w:spacing w:val="-2"/>
        </w:rPr>
        <w:t>2018</w:t>
      </w:r>
      <w:r>
        <w:rPr>
          <w:spacing w:val="-2"/>
        </w:rPr>
        <w:t>年度信息披露工作考核中，公司考评</w:t>
      </w:r>
      <w:r>
        <w:rPr>
          <w:spacing w:val="-63"/>
        </w:rPr>
        <w:t> </w:t>
      </w:r>
      <w:r>
        <w:rPr>
          <w:spacing w:val="-63"/>
        </w:rPr>
      </w:r>
      <w:r>
        <w:rPr/>
        <w:t>结果良好。</w:t>
      </w:r>
    </w:p>
    <w:p>
      <w:pPr>
        <w:pStyle w:val="BodyText"/>
        <w:spacing w:line="348" w:lineRule="auto" w:before="40"/>
        <w:ind w:left="501" w:right="0"/>
        <w:jc w:val="left"/>
      </w:pPr>
      <w:r>
        <w:rPr>
          <w:rFonts w:ascii="Times New Roman" w:hAnsi="Times New Roman" w:cs="Times New Roman" w:eastAsia="Times New Roman" w:hint="default"/>
        </w:rPr>
        <w:t>4</w:t>
      </w:r>
      <w:r>
        <w:rPr/>
        <w:t>、股东分红机制健全，公司发展、股东权益和债权人权益和谐统一 </w:t>
      </w:r>
      <w:r>
        <w:rPr>
          <w:spacing w:val="-2"/>
        </w:rPr>
        <w:t>公司在努力经营、提升经济效益的同时，兼顾公司未来发展的资金需求和股东的短期、长期利益的平衡。为保持稳定的</w:t>
      </w:r>
    </w:p>
    <w:p>
      <w:pPr>
        <w:pStyle w:val="BodyText"/>
        <w:spacing w:line="240" w:lineRule="auto" w:before="44"/>
        <w:ind w:right="0"/>
        <w:jc w:val="both"/>
      </w:pPr>
      <w:r>
        <w:rPr/>
        <w:t>利润分配，公司制定了《深圳市卓翼科技股份有限公司未来三年（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-2020</w:t>
      </w:r>
      <w:r>
        <w:rPr/>
        <w:t>年）股东回报规划》。</w:t>
      </w:r>
      <w:r>
        <w:rPr>
          <w:rFonts w:ascii="Times New Roman" w:hAnsi="Times New Roman" w:cs="Times New Roman" w:eastAsia="Times New Roman" w:hint="default"/>
        </w:rPr>
        <w:t>2018</w:t>
      </w:r>
      <w:r>
        <w:rPr/>
        <w:t>年度，公司实施</w:t>
      </w:r>
    </w:p>
    <w:p>
      <w:pPr>
        <w:pStyle w:val="BodyText"/>
        <w:spacing w:line="240" w:lineRule="auto" w:before="111"/>
        <w:ind w:right="0"/>
        <w:jc w:val="both"/>
      </w:pPr>
      <w:r>
        <w:rPr>
          <w:rFonts w:ascii="Times New Roman" w:hAnsi="Times New Roman" w:cs="Times New Roman" w:eastAsia="Times New Roman" w:hint="default"/>
        </w:rPr>
        <w:t>2017</w:t>
      </w:r>
      <w:r>
        <w:rPr/>
        <w:t>年度分红，每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0.6</w:t>
      </w:r>
      <w:r>
        <w:rPr/>
        <w:t>元，共计派发现金红利</w:t>
      </w:r>
      <w:r>
        <w:rPr>
          <w:rFonts w:ascii="Times New Roman" w:hAnsi="Times New Roman" w:cs="Times New Roman" w:eastAsia="Times New Roman" w:hint="default"/>
        </w:rPr>
        <w:t>34,862,352.24</w:t>
      </w:r>
      <w:r>
        <w:rPr/>
        <w:t>元。</w:t>
      </w:r>
      <w:r>
        <w:rPr>
          <w:rFonts w:ascii="Times New Roman" w:hAnsi="Times New Roman" w:cs="Times New Roman" w:eastAsia="Times New Roman" w:hint="default"/>
        </w:rPr>
        <w:t>2019</w:t>
      </w:r>
      <w:r>
        <w:rPr/>
        <w:t>年度，公司根据《上市公司回购社会公众股</w:t>
      </w:r>
    </w:p>
    <w:p>
      <w:pPr>
        <w:spacing w:after="0" w:line="240" w:lineRule="auto"/>
        <w:jc w:val="both"/>
        <w:sectPr>
          <w:pgSz w:w="11910" w:h="16850"/>
          <w:pgMar w:header="731" w:footer="981" w:top="1040" w:bottom="1180" w:left="1000" w:right="0"/>
        </w:sectPr>
      </w:pPr>
    </w:p>
    <w:p>
      <w:pPr>
        <w:spacing w:line="240" w:lineRule="auto" w:before="4"/>
        <w:rPr>
          <w:rFonts w:ascii="宋体" w:hAnsi="宋体" w:cs="宋体" w:eastAsia="宋体" w:hint="default"/>
          <w:sz w:val="28"/>
          <w:szCs w:val="28"/>
        </w:rPr>
      </w:pPr>
    </w:p>
    <w:p>
      <w:pPr>
        <w:pStyle w:val="BodyText"/>
        <w:spacing w:line="367" w:lineRule="auto" w:before="44"/>
        <w:ind w:right="1046"/>
        <w:jc w:val="both"/>
      </w:pPr>
      <w:r>
        <w:rPr/>
        <w:t>份管理办法》、《深圳证券交易所上市公司股份回购实施细则》等有关规定，经过有效的审议程序，对公司股份进行回购， 共计回购公司股份</w:t>
      </w:r>
      <w:r>
        <w:rPr>
          <w:rFonts w:ascii="Times New Roman" w:hAnsi="Times New Roman" w:cs="Times New Roman" w:eastAsia="Times New Roman" w:hint="default"/>
        </w:rPr>
        <w:t>9,812,924</w:t>
      </w:r>
      <w:r>
        <w:rPr/>
        <w:t>股，成交总金额为</w:t>
      </w:r>
      <w:r>
        <w:rPr>
          <w:rFonts w:ascii="Times New Roman" w:hAnsi="Times New Roman" w:cs="Times New Roman" w:eastAsia="Times New Roman" w:hint="default"/>
        </w:rPr>
        <w:t>75,252,122.95</w:t>
      </w:r>
      <w:r>
        <w:rPr/>
        <w:t>元（不含交易费用）。</w:t>
      </w:r>
    </w:p>
    <w:p>
      <w:pPr>
        <w:pStyle w:val="BodyText"/>
        <w:spacing w:line="348" w:lineRule="auto" w:before="5"/>
        <w:ind w:left="501" w:right="1133"/>
        <w:jc w:val="left"/>
      </w:pPr>
      <w:r>
        <w:rPr>
          <w:rFonts w:ascii="Times New Roman" w:hAnsi="Times New Roman" w:cs="Times New Roman" w:eastAsia="Times New Roman" w:hint="default"/>
        </w:rPr>
        <w:t>5</w:t>
      </w:r>
      <w:r>
        <w:rPr/>
        <w:t>、重诚实守信用，维护良好企业形象 </w:t>
      </w:r>
      <w:r>
        <w:rPr>
          <w:spacing w:val="-2"/>
        </w:rPr>
        <w:t>公司奉行诚实守信的经营原则，用优异的产品服务品质和重信守约的优良作风，打造了良好的企业形象，减少了不必要</w:t>
      </w:r>
    </w:p>
    <w:p>
      <w:pPr>
        <w:pStyle w:val="BodyText"/>
        <w:spacing w:line="362" w:lineRule="auto" w:before="43"/>
        <w:ind w:right="1106"/>
        <w:jc w:val="both"/>
      </w:pPr>
      <w:r>
        <w:rPr>
          <w:spacing w:val="-2"/>
        </w:rPr>
        <w:t>的经济纠纷，降低了自身经营风险；同时，公司通过科学地计划资金使用和搭建合理的资金期限结构，控制财务风险；在公</w:t>
      </w:r>
      <w:r>
        <w:rPr>
          <w:spacing w:val="-57"/>
        </w:rPr>
        <w:t> </w:t>
      </w:r>
      <w:r>
        <w:rPr>
          <w:spacing w:val="-57"/>
        </w:rPr>
      </w:r>
      <w:r>
        <w:rPr>
          <w:spacing w:val="-2"/>
        </w:rPr>
        <w:t>司对经营风险和财务风险的控制下，公司股东权益和债权人权益得到有效的保护。在追求股东利益最大化的过程中，公司在</w:t>
      </w:r>
      <w:r>
        <w:rPr>
          <w:spacing w:val="-75"/>
        </w:rPr>
        <w:t> </w:t>
      </w:r>
      <w:r>
        <w:rPr>
          <w:spacing w:val="-75"/>
        </w:rPr>
      </w:r>
      <w:r>
        <w:rPr>
          <w:spacing w:val="-2"/>
        </w:rPr>
        <w:t>保证财务状况稳定与公司资产、资金安全的基础上，兼顾债权人的利益，在各项重大经营决策过程，均充分考虑了债权人的</w:t>
      </w:r>
      <w:r>
        <w:rPr>
          <w:spacing w:val="-42"/>
        </w:rPr>
        <w:t> </w:t>
      </w:r>
      <w:r>
        <w:rPr>
          <w:spacing w:val="-42"/>
        </w:rPr>
      </w:r>
      <w:r>
        <w:rPr/>
        <w:t>合法权益。</w:t>
      </w:r>
    </w:p>
    <w:p>
      <w:pPr>
        <w:pStyle w:val="BodyText"/>
        <w:spacing w:line="240" w:lineRule="auto" w:before="33"/>
        <w:ind w:left="501" w:right="0"/>
        <w:jc w:val="left"/>
      </w:pPr>
      <w:r>
        <w:rPr/>
        <w:t>（二）职工权益保护</w:t>
      </w:r>
    </w:p>
    <w:p>
      <w:pPr>
        <w:pStyle w:val="BodyText"/>
        <w:spacing w:line="345" w:lineRule="auto" w:before="125"/>
        <w:ind w:left="501" w:right="0"/>
        <w:jc w:val="left"/>
      </w:pPr>
      <w:r>
        <w:rPr>
          <w:rFonts w:ascii="Times New Roman" w:hAnsi="Times New Roman" w:cs="Times New Roman" w:eastAsia="Times New Roman" w:hint="default"/>
        </w:rPr>
        <w:t>1</w:t>
      </w:r>
      <w:r>
        <w:rPr/>
        <w:t>、以人为本，保护职工权益 公司的发展离不开全体职工的勠力同心，也离不开全体职工的智慧和汗水，公司重视保护职工的合法权益，坚持</w:t>
      </w:r>
      <w:r>
        <w:rPr>
          <w:rFonts w:ascii="Times New Roman" w:hAnsi="Times New Roman" w:cs="Times New Roman" w:eastAsia="Times New Roman" w:hint="default"/>
        </w:rPr>
        <w:t>“</w:t>
      </w:r>
      <w:r>
        <w:rPr/>
        <w:t>以人</w:t>
      </w:r>
    </w:p>
    <w:p>
      <w:pPr>
        <w:pStyle w:val="BodyText"/>
        <w:spacing w:line="352" w:lineRule="auto" w:before="23"/>
        <w:ind w:right="1104"/>
        <w:jc w:val="both"/>
      </w:pPr>
      <w:r>
        <w:rPr/>
        <w:t>为本</w:t>
      </w:r>
      <w:r>
        <w:rPr>
          <w:rFonts w:ascii="Times New Roman" w:hAnsi="Times New Roman" w:cs="Times New Roman" w:eastAsia="Times New Roman" w:hint="default"/>
        </w:rPr>
        <w:t>”</w:t>
      </w:r>
      <w:r>
        <w:rPr/>
        <w:t>的管理理念。在招用职工时，公司坚定不移地贯彻落实《劳动法》、《劳动合同法》，并严格执行国家用工制度、劳</w:t>
      </w:r>
      <w:r>
        <w:rPr>
          <w:spacing w:val="-79"/>
        </w:rPr>
        <w:t> </w:t>
      </w:r>
      <w:r>
        <w:rPr>
          <w:spacing w:val="-79"/>
        </w:rPr>
      </w:r>
      <w:r>
        <w:rPr>
          <w:spacing w:val="-2"/>
        </w:rPr>
        <w:t>动保护制度、社会保障制度等法规政策和制度的要求，与职员签订劳动合同，按照国家及当地主管部门的规定，为企业职员</w:t>
      </w:r>
      <w:r>
        <w:rPr>
          <w:spacing w:val="-42"/>
        </w:rPr>
        <w:t> </w:t>
      </w:r>
      <w:r>
        <w:rPr>
          <w:spacing w:val="-42"/>
        </w:rPr>
      </w:r>
      <w:r>
        <w:rPr>
          <w:spacing w:val="-1"/>
        </w:rPr>
        <w:t>缴纳</w:t>
      </w:r>
      <w:r>
        <w:rPr>
          <w:rFonts w:ascii="Times New Roman" w:hAnsi="Times New Roman" w:cs="Times New Roman" w:eastAsia="Times New Roman" w:hint="default"/>
          <w:spacing w:val="-1"/>
        </w:rPr>
        <w:t>“</w:t>
      </w:r>
      <w:r>
        <w:rPr>
          <w:spacing w:val="-1"/>
        </w:rPr>
        <w:t>五险一金</w:t>
      </w:r>
      <w:r>
        <w:rPr>
          <w:rFonts w:ascii="Times New Roman" w:hAnsi="Times New Roman" w:cs="Times New Roman" w:eastAsia="Times New Roman" w:hint="default"/>
          <w:spacing w:val="-1"/>
        </w:rPr>
        <w:t>”</w:t>
      </w:r>
      <w:r>
        <w:rPr>
          <w:spacing w:val="-1"/>
        </w:rPr>
        <w:t>。在民主生活方面，公司设有工会组织并在监事会中设有职工代表监事，有力地疏通了职工参与民主管理的</w:t>
      </w:r>
      <w:r>
        <w:rPr>
          <w:spacing w:val="-74"/>
        </w:rPr>
        <w:t> </w:t>
      </w:r>
      <w:r>
        <w:rPr>
          <w:spacing w:val="-74"/>
        </w:rPr>
      </w:r>
      <w:r>
        <w:rPr/>
        <w:t>渠道。</w:t>
      </w:r>
    </w:p>
    <w:p>
      <w:pPr>
        <w:pStyle w:val="BodyText"/>
        <w:spacing w:line="348" w:lineRule="auto" w:before="40"/>
        <w:ind w:left="501" w:right="0"/>
        <w:jc w:val="left"/>
      </w:pPr>
      <w:r>
        <w:rPr>
          <w:rFonts w:ascii="Times New Roman" w:hAnsi="Times New Roman" w:cs="Times New Roman" w:eastAsia="Times New Roman" w:hint="default"/>
        </w:rPr>
        <w:t>2</w:t>
      </w:r>
      <w:r>
        <w:rPr/>
        <w:t>、构建有效的培训体系，提升职工职业素养 </w:t>
      </w:r>
      <w:r>
        <w:rPr>
          <w:spacing w:val="-2"/>
        </w:rPr>
        <w:t>公司围绕发展规划和经营目标，构建了有效的培训体系，健全了公司人才培养机制，通过组织业务技能培训、专业知识</w:t>
      </w:r>
    </w:p>
    <w:p>
      <w:pPr>
        <w:pStyle w:val="BodyText"/>
        <w:spacing w:line="367" w:lineRule="auto" w:before="44"/>
        <w:ind w:right="1099"/>
        <w:jc w:val="both"/>
      </w:pPr>
      <w:r>
        <w:rPr>
          <w:spacing w:val="-1"/>
        </w:rPr>
        <w:t>培训等一系列培训课程，营造了良好的学习氛围、提供了充备的学习条件，促进了职工职业能力和管理能力的提升，为建立</w:t>
      </w:r>
      <w:r>
        <w:rPr/>
        <w:t> 一支素质过硬、爱岗敬业的专业人才队伍打下坚实基础。</w:t>
      </w:r>
    </w:p>
    <w:p>
      <w:pPr>
        <w:pStyle w:val="BodyText"/>
        <w:spacing w:line="348" w:lineRule="auto" w:before="14"/>
        <w:ind w:left="501" w:right="0"/>
        <w:jc w:val="left"/>
      </w:pPr>
      <w:r>
        <w:rPr>
          <w:rFonts w:ascii="Times New Roman" w:hAnsi="Times New Roman" w:cs="Times New Roman" w:eastAsia="Times New Roman" w:hint="default"/>
        </w:rPr>
        <w:t>3</w:t>
      </w:r>
      <w:r>
        <w:rPr/>
        <w:t>、丰富的文体活动，充实职员的精神文化生活 </w:t>
      </w:r>
      <w:r>
        <w:rPr>
          <w:spacing w:val="-2"/>
        </w:rPr>
        <w:t>公司在传统佳节、国际节日等重要节日策划开展了多种形式的迎接庆祝活动，在元宵节、三八妇女节、国庆节等重要节</w:t>
      </w:r>
    </w:p>
    <w:p>
      <w:pPr>
        <w:pStyle w:val="BodyText"/>
        <w:spacing w:line="357" w:lineRule="auto" w:before="43"/>
        <w:ind w:right="1106"/>
        <w:jc w:val="both"/>
      </w:pPr>
      <w:r>
        <w:rPr>
          <w:spacing w:val="-2"/>
        </w:rPr>
        <w:t>日分别举办了元宵喜乐会、</w:t>
      </w:r>
      <w:r>
        <w:rPr>
          <w:rFonts w:ascii="Times New Roman" w:hAnsi="Times New Roman" w:cs="Times New Roman" w:eastAsia="Times New Roman" w:hint="default"/>
          <w:spacing w:val="-2"/>
        </w:rPr>
        <w:t>“</w:t>
      </w:r>
      <w:r>
        <w:rPr>
          <w:spacing w:val="-2"/>
        </w:rPr>
        <w:t>女神节</w:t>
      </w:r>
      <w:r>
        <w:rPr>
          <w:rFonts w:ascii="Times New Roman" w:hAnsi="Times New Roman" w:cs="Times New Roman" w:eastAsia="Times New Roman" w:hint="default"/>
          <w:spacing w:val="-2"/>
        </w:rPr>
        <w:t>”</w:t>
      </w:r>
      <w:r>
        <w:rPr>
          <w:spacing w:val="-2"/>
        </w:rPr>
        <w:t>活动、国庆游园会等活动，活跃了节日氛围。公司组织了水彩画培训、瑜伽培训、素质</w:t>
      </w:r>
      <w:r>
        <w:rPr>
          <w:spacing w:val="-48"/>
        </w:rPr>
        <w:t> </w:t>
      </w:r>
      <w:r>
        <w:rPr>
          <w:spacing w:val="-48"/>
        </w:rPr>
      </w:r>
      <w:r>
        <w:rPr>
          <w:spacing w:val="-2"/>
        </w:rPr>
        <w:t>拓展、手工工艺活动、游玩活动，极大地丰富了职工的业余生活，促进职工的身心健康。公司极具人文关怀，通过开展暑期</w:t>
      </w:r>
      <w:r>
        <w:rPr>
          <w:spacing w:val="-72"/>
        </w:rPr>
        <w:t> </w:t>
      </w:r>
      <w:r>
        <w:rPr>
          <w:spacing w:val="-72"/>
        </w:rPr>
      </w:r>
      <w:r>
        <w:rPr>
          <w:spacing w:val="-2"/>
        </w:rPr>
        <w:t>夏令营、亲子活动，增进了职工与子女沟通与了解。公司举办了两场大型文艺晚会，为广大职工带来愉悦的视听盛宴。</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2"/>
        </w:rPr>
        <w:t> </w:t>
      </w:r>
      <w:r>
        <w:rPr>
          <w:spacing w:val="-2"/>
        </w:rPr>
        <w:t>年，公司通过形式多样的文体活动，极大的丰富了职工的精神文化世界，充分展现了公司员工的精神风貌；通过工作外的素</w:t>
      </w:r>
      <w:r>
        <w:rPr>
          <w:spacing w:val="-42"/>
        </w:rPr>
        <w:t> </w:t>
      </w:r>
      <w:r>
        <w:rPr>
          <w:spacing w:val="-42"/>
        </w:rPr>
      </w:r>
      <w:r>
        <w:rPr/>
        <w:t>质拓展，增强了团队的凝聚力和向心力。</w:t>
      </w:r>
    </w:p>
    <w:p>
      <w:pPr>
        <w:pStyle w:val="BodyText"/>
        <w:spacing w:line="240" w:lineRule="auto" w:before="36"/>
        <w:ind w:left="501" w:right="0"/>
        <w:jc w:val="left"/>
      </w:pPr>
      <w:r>
        <w:rPr/>
        <w:t>（三）客户、供应商权益保护</w:t>
      </w:r>
    </w:p>
    <w:p>
      <w:pPr>
        <w:pStyle w:val="BodyText"/>
        <w:spacing w:line="240" w:lineRule="auto" w:before="125"/>
        <w:ind w:left="501" w:right="0"/>
        <w:jc w:val="left"/>
      </w:pPr>
      <w:r>
        <w:rPr>
          <w:rFonts w:ascii="Times New Roman" w:hAnsi="Times New Roman" w:cs="Times New Roman" w:eastAsia="Times New Roman" w:hint="default"/>
        </w:rPr>
        <w:t>1</w:t>
      </w:r>
      <w:r>
        <w:rPr/>
        <w:t>、品质为本，客户至上</w:t>
      </w:r>
    </w:p>
    <w:p>
      <w:pPr>
        <w:pStyle w:val="BodyText"/>
        <w:spacing w:line="345" w:lineRule="auto" w:before="111"/>
        <w:ind w:right="1020" w:firstLine="360"/>
        <w:jc w:val="both"/>
      </w:pPr>
      <w:r>
        <w:rPr>
          <w:spacing w:val="-3"/>
        </w:rPr>
        <w:t>公司</w:t>
      </w:r>
      <w:r>
        <w:rPr>
          <w:rFonts w:ascii="Times New Roman" w:hAnsi="Times New Roman" w:cs="Times New Roman" w:eastAsia="Times New Roman" w:hint="default"/>
          <w:spacing w:val="-3"/>
        </w:rPr>
        <w:t>“</w:t>
      </w:r>
      <w:r>
        <w:rPr>
          <w:spacing w:val="-3"/>
        </w:rPr>
        <w:t>以质量求生存、以信誉求发展、以管理求效益</w:t>
      </w:r>
      <w:r>
        <w:rPr>
          <w:rFonts w:ascii="Times New Roman" w:hAnsi="Times New Roman" w:cs="Times New Roman" w:eastAsia="Times New Roman" w:hint="default"/>
          <w:spacing w:val="-3"/>
        </w:rPr>
        <w:t>”</w:t>
      </w:r>
      <w:r>
        <w:rPr>
          <w:spacing w:val="-3"/>
        </w:rPr>
        <w:t>，把客户诉求放在首要位置。以</w:t>
      </w:r>
      <w:r>
        <w:rPr>
          <w:rFonts w:ascii="Times New Roman" w:hAnsi="Times New Roman" w:cs="Times New Roman" w:eastAsia="Times New Roman" w:hint="default"/>
          <w:spacing w:val="-3"/>
        </w:rPr>
        <w:t>“</w:t>
      </w:r>
      <w:r>
        <w:rPr>
          <w:spacing w:val="-3"/>
        </w:rPr>
        <w:t>致力产品服务与增值</w:t>
      </w:r>
      <w:r>
        <w:rPr>
          <w:rFonts w:ascii="Times New Roman" w:hAnsi="Times New Roman" w:cs="Times New Roman" w:eastAsia="Times New Roman" w:hint="default"/>
          <w:spacing w:val="-3"/>
        </w:rPr>
        <w:t>”</w:t>
      </w:r>
      <w:r>
        <w:rPr>
          <w:spacing w:val="-3"/>
        </w:rPr>
        <w:t>为公司使命，</w:t>
      </w:r>
      <w:r>
        <w:rPr/>
        <w:t> 始终用匠心工艺、精益制造为公司客户提供有品质的优异服务。</w:t>
      </w:r>
    </w:p>
    <w:p>
      <w:pPr>
        <w:pStyle w:val="BodyText"/>
        <w:spacing w:line="350" w:lineRule="auto" w:before="45"/>
        <w:ind w:right="1097" w:firstLine="360"/>
        <w:jc w:val="both"/>
      </w:pPr>
      <w:r>
        <w:rPr>
          <w:spacing w:val="-1"/>
        </w:rPr>
        <w:t>公司视产品品质为公司发展的根本。</w:t>
      </w:r>
      <w:r>
        <w:rPr>
          <w:rFonts w:ascii="Times New Roman" w:hAnsi="Times New Roman" w:cs="Times New Roman" w:eastAsia="Times New Roman" w:hint="default"/>
          <w:spacing w:val="-1"/>
        </w:rPr>
        <w:t>2019</w:t>
      </w:r>
      <w:r>
        <w:rPr>
          <w:spacing w:val="-1"/>
        </w:rPr>
        <w:t>年，公司多次召开品质动员大会，极大的鼓舞了生产热情，为按时向客户交付</w:t>
      </w:r>
      <w:r>
        <w:rPr/>
        <w:t> </w:t>
      </w:r>
      <w:r>
        <w:rPr>
          <w:spacing w:val="-2"/>
        </w:rPr>
        <w:t>质量上乘、品质优异的产品提供了动力。同时，公司品质稽查部门积极收集并总结相关案例，进行分享交流，进一步促进了</w:t>
      </w:r>
      <w:r>
        <w:rPr>
          <w:spacing w:val="-57"/>
        </w:rPr>
        <w:t> </w:t>
      </w:r>
      <w:r>
        <w:rPr>
          <w:spacing w:val="-57"/>
        </w:rPr>
      </w:r>
      <w:r>
        <w:rPr/>
        <w:t>公司产品品质的优化。通过严格的品控管理，公司努力做到了产品让客户放心，质量让客户省心。</w:t>
      </w:r>
    </w:p>
    <w:p>
      <w:pPr>
        <w:pStyle w:val="BodyText"/>
        <w:spacing w:line="345" w:lineRule="auto" w:before="42"/>
        <w:ind w:left="501" w:right="0"/>
        <w:jc w:val="left"/>
      </w:pPr>
      <w:r>
        <w:rPr>
          <w:rFonts w:ascii="Times New Roman" w:hAnsi="Times New Roman" w:cs="Times New Roman" w:eastAsia="Times New Roman" w:hint="default"/>
        </w:rPr>
        <w:t>2</w:t>
      </w:r>
      <w:r>
        <w:rPr/>
        <w:t>、想客户所想，急客户所急 </w:t>
      </w:r>
      <w:r>
        <w:rPr>
          <w:spacing w:val="-4"/>
        </w:rPr>
        <w:t>公司拥有完善的沟通机制与对接程序，对客户新的要求、新的反馈能够迅速反应并快速对接，对客户困难能够积极沟通，</w:t>
      </w:r>
    </w:p>
    <w:p>
      <w:pPr>
        <w:pStyle w:val="BodyText"/>
        <w:spacing w:line="367" w:lineRule="auto" w:before="45"/>
        <w:ind w:right="1121"/>
        <w:jc w:val="both"/>
      </w:pPr>
      <w:r>
        <w:rPr>
          <w:spacing w:val="-2"/>
        </w:rPr>
        <w:t>设身处地为客户着想，做到让客户满意。公司瞄准客户需求，紧跟行业发展趋势，推进公司技术能力和研发能力的提高，积</w:t>
      </w:r>
      <w:r>
        <w:rPr>
          <w:spacing w:val="-57"/>
        </w:rPr>
        <w:t> </w:t>
      </w:r>
      <w:r>
        <w:rPr>
          <w:spacing w:val="-57"/>
        </w:rPr>
      </w:r>
      <w:r>
        <w:rPr/>
        <w:t>极布局新产品和新技术，在满足客户需求的同时，增强公司的可持续发展能力和竞争力。</w:t>
      </w:r>
    </w:p>
    <w:p>
      <w:pPr>
        <w:pStyle w:val="BodyText"/>
        <w:spacing w:line="348" w:lineRule="auto" w:before="29"/>
        <w:ind w:left="501" w:right="1029"/>
        <w:jc w:val="left"/>
      </w:pPr>
      <w:r>
        <w:rPr>
          <w:rFonts w:ascii="Times New Roman" w:hAnsi="Times New Roman" w:cs="Times New Roman" w:eastAsia="Times New Roman" w:hint="default"/>
        </w:rPr>
        <w:t>3</w:t>
      </w:r>
      <w:r>
        <w:rPr/>
        <w:t>、竞争有序，保护供应商权益 公司拥有先进的供应链管理理念和方法，根据公司的品控要求建立了完备的供应链体系，提供竞争有序的供应商平台，</w:t>
      </w:r>
    </w:p>
    <w:p>
      <w:pPr>
        <w:spacing w:after="0" w:line="348" w:lineRule="auto"/>
        <w:jc w:val="left"/>
        <w:sectPr>
          <w:pgSz w:w="11910" w:h="16850"/>
          <w:pgMar w:header="731" w:footer="981" w:top="1040" w:bottom="1180" w:left="1000" w:right="0"/>
        </w:sectPr>
      </w:pPr>
    </w:p>
    <w:p>
      <w:pPr>
        <w:spacing w:line="240" w:lineRule="auto" w:before="4"/>
        <w:rPr>
          <w:rFonts w:ascii="宋体" w:hAnsi="宋体" w:cs="宋体" w:eastAsia="宋体" w:hint="default"/>
          <w:sz w:val="28"/>
          <w:szCs w:val="28"/>
        </w:rPr>
      </w:pPr>
    </w:p>
    <w:p>
      <w:pPr>
        <w:pStyle w:val="BodyText"/>
        <w:spacing w:line="367" w:lineRule="auto" w:before="44"/>
        <w:ind w:right="1136"/>
        <w:jc w:val="both"/>
      </w:pPr>
      <w:r>
        <w:rPr>
          <w:spacing w:val="-2"/>
        </w:rPr>
        <w:t>营造了公平的环境。公司与供应商之间制定并遵守一定的交易行动规范，在与供应商合作过程中，公司积极与各方供应商沟</w:t>
      </w:r>
      <w:r>
        <w:rPr>
          <w:spacing w:val="-75"/>
        </w:rPr>
        <w:t> </w:t>
      </w:r>
      <w:r>
        <w:rPr>
          <w:spacing w:val="-75"/>
        </w:rPr>
      </w:r>
      <w:r>
        <w:rPr>
          <w:spacing w:val="-2"/>
        </w:rPr>
        <w:t>通。对有交易往来的供应商，公司按期结算货款并以反馈客户信息等方式指导供应商进行经营改善，与供应商建立了良好的</w:t>
      </w:r>
      <w:r>
        <w:rPr>
          <w:spacing w:val="-75"/>
        </w:rPr>
        <w:t> </w:t>
      </w:r>
      <w:r>
        <w:rPr>
          <w:spacing w:val="-75"/>
        </w:rPr>
      </w:r>
      <w:r>
        <w:rPr/>
        <w:t>合作伙伴关系。</w:t>
      </w:r>
    </w:p>
    <w:p>
      <w:pPr>
        <w:pStyle w:val="BodyText"/>
        <w:spacing w:line="240" w:lineRule="auto" w:before="29"/>
        <w:ind w:left="501" w:right="0"/>
        <w:jc w:val="left"/>
      </w:pPr>
      <w:r>
        <w:rPr/>
        <w:t>（四）环境保护和可持续发展</w:t>
      </w:r>
    </w:p>
    <w:p>
      <w:pPr>
        <w:pStyle w:val="BodyText"/>
        <w:spacing w:line="352" w:lineRule="auto" w:before="124"/>
        <w:ind w:right="1029" w:firstLine="360"/>
        <w:jc w:val="left"/>
      </w:pPr>
      <w:r>
        <w:rPr/>
        <w:t>公司一贯重视环境保护，在国家生态文明建设的号召下，积极践行</w:t>
      </w:r>
      <w:r>
        <w:rPr>
          <w:rFonts w:ascii="Times New Roman" w:hAnsi="Times New Roman" w:cs="Times New Roman" w:eastAsia="Times New Roman" w:hint="default"/>
        </w:rPr>
        <w:t>“</w:t>
      </w:r>
      <w:r>
        <w:rPr/>
        <w:t>绿水青山就是金山银山</w:t>
      </w:r>
      <w:r>
        <w:rPr>
          <w:rFonts w:ascii="Times New Roman" w:hAnsi="Times New Roman" w:cs="Times New Roman" w:eastAsia="Times New Roman" w:hint="default"/>
        </w:rPr>
        <w:t>”</w:t>
      </w:r>
      <w:r>
        <w:rPr/>
        <w:t>的发展理念，将环保理念融 入公司的经营管理中，采取了包括但不限于以下几个方面的举措。公司建立了网络办公平台，通过构建自身的</w:t>
      </w:r>
      <w:r>
        <w:rPr>
          <w:rFonts w:ascii="Times New Roman" w:hAnsi="Times New Roman" w:cs="Times New Roman" w:eastAsia="Times New Roman" w:hint="default"/>
        </w:rPr>
        <w:t>OA</w:t>
      </w:r>
      <w:r>
        <w:rPr/>
        <w:t>系统，使</w:t>
      </w:r>
      <w:r>
        <w:rPr>
          <w:spacing w:val="-71"/>
        </w:rPr>
        <w:t> </w:t>
      </w:r>
      <w:r>
        <w:rPr/>
        <w:t>用用友</w:t>
      </w:r>
      <w:r>
        <w:rPr>
          <w:rFonts w:ascii="Times New Roman" w:hAnsi="Times New Roman" w:cs="Times New Roman" w:eastAsia="Times New Roman" w:hint="default"/>
        </w:rPr>
        <w:t>U9</w:t>
      </w:r>
      <w:r>
        <w:rPr/>
        <w:t>平台、财务管理系统等信息化工具，推行无纸化办公，在减少资源使用的同时，提高了工作效率；公司建立科学</w:t>
      </w:r>
      <w:r>
        <w:rPr>
          <w:spacing w:val="-44"/>
        </w:rPr>
        <w:t> </w:t>
      </w:r>
      <w:r>
        <w:rPr>
          <w:spacing w:val="-44"/>
        </w:rPr>
      </w:r>
      <w:r>
        <w:rPr/>
        <w:t>系统的设备采购计划与维护保养计划，从设备选型坚持技术先进、经济适用、安全可靠和环保高效为原则。强化生产管理， </w:t>
      </w:r>
      <w:r>
        <w:rPr>
          <w:spacing w:val="-2"/>
        </w:rPr>
        <w:t>积极总结，本着精益求精的态度，梳理生产工作流程，对生产项目物料损耗召开改善会议，在保证产品质量的前提下，减少</w:t>
      </w:r>
      <w:r>
        <w:rPr>
          <w:spacing w:val="-57"/>
        </w:rPr>
        <w:t> </w:t>
      </w:r>
      <w:r>
        <w:rPr>
          <w:spacing w:val="-57"/>
        </w:rPr>
      </w:r>
      <w:r>
        <w:rPr>
          <w:spacing w:val="-2"/>
        </w:rPr>
        <w:t>了不必要的物料浪费，提升了资源使用效率，实现了可持续发展；积极推行节能减排活动，通过宣传、贯彻公司环境保护规</w:t>
      </w:r>
      <w:r>
        <w:rPr>
          <w:spacing w:val="-52"/>
        </w:rPr>
        <w:t> </w:t>
      </w:r>
      <w:r>
        <w:rPr>
          <w:spacing w:val="-52"/>
        </w:rPr>
      </w:r>
      <w:r>
        <w:rPr>
          <w:spacing w:val="-2"/>
        </w:rPr>
        <w:t>定，倡导员工恒念物力维艰，节约每一度电、每一滴水，降低能耗；推行</w:t>
      </w:r>
      <w:r>
        <w:rPr>
          <w:rFonts w:ascii="Times New Roman" w:hAnsi="Times New Roman" w:cs="Times New Roman" w:eastAsia="Times New Roman" w:hint="default"/>
          <w:spacing w:val="-2"/>
        </w:rPr>
        <w:t>“5S”</w:t>
      </w:r>
      <w:r>
        <w:rPr>
          <w:spacing w:val="-2"/>
        </w:rPr>
        <w:t>管理，提倡双面打印，人走灯熄，并组织实施</w:t>
      </w:r>
      <w:r>
        <w:rPr>
          <w:spacing w:val="-56"/>
        </w:rPr>
        <w:t> </w:t>
      </w:r>
      <w:r>
        <w:rPr>
          <w:spacing w:val="-56"/>
        </w:rPr>
      </w:r>
      <w:r>
        <w:rPr/>
        <w:t>了办公区域空调设定温度以及门厅、走廊、楼梯等公共场所照明设备定时巡查的措施，极大地提高了员工的节能环保意识。</w:t>
      </w:r>
    </w:p>
    <w:p>
      <w:pPr>
        <w:pStyle w:val="BodyText"/>
        <w:spacing w:line="367" w:lineRule="auto" w:before="40"/>
        <w:ind w:right="0" w:firstLine="360"/>
        <w:jc w:val="left"/>
      </w:pPr>
      <w:r>
        <w:rPr>
          <w:spacing w:val="-2"/>
        </w:rPr>
        <w:t>公司通过一系列举措，在倡导绿色环保理念的同时，积极践行，打造了公司上下良好的绿色环保氛围，在节约资源损耗</w:t>
      </w:r>
      <w:r>
        <w:rPr/>
        <w:t> 的同时，为公司环境友好型发展提供助力。</w:t>
      </w:r>
    </w:p>
    <w:p>
      <w:pPr>
        <w:pStyle w:val="BodyText"/>
        <w:spacing w:line="240" w:lineRule="auto" w:before="29"/>
        <w:ind w:left="501" w:right="0"/>
        <w:jc w:val="left"/>
      </w:pPr>
      <w:r>
        <w:rPr/>
        <w:t>（五）安全生产</w:t>
      </w:r>
    </w:p>
    <w:p>
      <w:pPr>
        <w:pStyle w:val="BodyText"/>
        <w:spacing w:line="348" w:lineRule="auto" w:before="124"/>
        <w:ind w:right="0"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年，公司持续改进企业安全管理，健全与完善安全生产管理体制，组织安全生产事故应急演练，积极开展安全生 产月活动，落实安全生产责任制，确保安全生产工作顺利推进，推动集团安全管理水平上一个台阶。</w:t>
      </w:r>
    </w:p>
    <w:p>
      <w:pPr>
        <w:pStyle w:val="BodyText"/>
        <w:spacing w:line="350" w:lineRule="auto" w:before="44"/>
        <w:ind w:right="1121" w:firstLine="360"/>
        <w:jc w:val="both"/>
      </w:pPr>
      <w:r>
        <w:rPr>
          <w:rFonts w:ascii="Times New Roman" w:hAnsi="Times New Roman" w:cs="Times New Roman" w:eastAsia="Times New Roman" w:hint="default"/>
        </w:rPr>
        <w:t>1</w:t>
      </w:r>
      <w:r>
        <w:rPr/>
        <w:t>、强化安全生产教育，帮助企业各级职工树立安全</w:t>
      </w:r>
      <w:r>
        <w:rPr>
          <w:rFonts w:ascii="Times New Roman" w:hAnsi="Times New Roman" w:cs="Times New Roman" w:eastAsia="Times New Roman" w:hint="default"/>
        </w:rPr>
        <w:t>“</w:t>
      </w:r>
      <w:r>
        <w:rPr/>
        <w:t>四个不</w:t>
      </w:r>
      <w:r>
        <w:rPr>
          <w:rFonts w:ascii="Times New Roman" w:hAnsi="Times New Roman" w:cs="Times New Roman" w:eastAsia="Times New Roman" w:hint="default"/>
        </w:rPr>
        <w:t>”</w:t>
      </w:r>
      <w:r>
        <w:rPr/>
        <w:t>认识：安全意识，不可淡化；安全思想，不可放松；安全 </w:t>
      </w:r>
      <w:r>
        <w:rPr>
          <w:spacing w:val="-2"/>
        </w:rPr>
        <w:t>教育，不可中断；安全防范，不可忽视。加大企业各级人员的安全生产知识培训学习与抽查考试工作的力度，以进一步促进</w:t>
      </w:r>
      <w:r>
        <w:rPr>
          <w:spacing w:val="-57"/>
        </w:rPr>
        <w:t> </w:t>
      </w:r>
      <w:r>
        <w:rPr>
          <w:spacing w:val="-57"/>
        </w:rPr>
      </w:r>
      <w:r>
        <w:rPr/>
        <w:t>企业各级人员的安全知识掌握与应用。</w:t>
      </w:r>
    </w:p>
    <w:p>
      <w:pPr>
        <w:pStyle w:val="BodyText"/>
        <w:spacing w:line="357" w:lineRule="auto" w:before="42"/>
        <w:ind w:right="1102" w:firstLine="360"/>
        <w:jc w:val="both"/>
      </w:pPr>
      <w:r>
        <w:rPr>
          <w:rFonts w:ascii="Times New Roman" w:hAnsi="Times New Roman" w:cs="Times New Roman" w:eastAsia="Times New Roman" w:hint="default"/>
        </w:rPr>
        <w:t>2</w:t>
      </w:r>
      <w:r>
        <w:rPr/>
        <w:t>、通过定期、不定期的安全综合或专项检查，加大突出问题或整改不落实的考核；同时，强化生产现场的安全检查考 </w:t>
      </w:r>
      <w:r>
        <w:rPr>
          <w:spacing w:val="-2"/>
        </w:rPr>
        <w:t>核，及时发现和制止员工的不安全行为和物的不安全状态；积极开展自查自纠检查活动，深入排查安全隐患并及时治理，把</w:t>
      </w:r>
      <w:r>
        <w:rPr>
          <w:spacing w:val="-39"/>
        </w:rPr>
        <w:t> </w:t>
      </w:r>
      <w:r>
        <w:rPr>
          <w:spacing w:val="-39"/>
        </w:rPr>
      </w:r>
      <w:r>
        <w:rPr/>
        <w:t>事故隐患消灭在萌芽状态。</w:t>
      </w:r>
    </w:p>
    <w:p>
      <w:pPr>
        <w:pStyle w:val="BodyText"/>
        <w:spacing w:line="348" w:lineRule="auto" w:before="36"/>
        <w:ind w:right="1119" w:firstLine="360"/>
        <w:jc w:val="left"/>
      </w:pPr>
      <w:r>
        <w:rPr>
          <w:rFonts w:ascii="Times New Roman" w:hAnsi="Times New Roman" w:cs="Times New Roman" w:eastAsia="Times New Roman" w:hint="default"/>
        </w:rPr>
        <w:t>3</w:t>
      </w:r>
      <w:r>
        <w:rPr/>
        <w:t>、按照安全生产标准化的要求，采取安全生产目标管理和安全生产责任制，层层分解安全生产控制指标，逐级签订安 全责任书，加大安全生产教育力度。</w:t>
      </w:r>
    </w:p>
    <w:p>
      <w:pPr>
        <w:pStyle w:val="BodyText"/>
        <w:spacing w:line="345" w:lineRule="auto" w:before="44"/>
        <w:ind w:right="1119" w:firstLine="360"/>
        <w:jc w:val="left"/>
      </w:pPr>
      <w:r>
        <w:rPr>
          <w:rFonts w:ascii="Times New Roman" w:hAnsi="Times New Roman" w:cs="Times New Roman" w:eastAsia="Times New Roman" w:hint="default"/>
        </w:rPr>
        <w:t>4</w:t>
      </w:r>
      <w:r>
        <w:rPr/>
        <w:t>、加强安全消防设备设施的检查维修保养，督促企业做好安全应急预案演练，形成长效机制，以进一步提高安全生产 应急管理水平和应急救援能力。</w:t>
      </w:r>
    </w:p>
    <w:p>
      <w:pPr>
        <w:pStyle w:val="BodyText"/>
        <w:spacing w:line="367" w:lineRule="auto" w:before="46"/>
        <w:ind w:left="501" w:right="0"/>
        <w:jc w:val="left"/>
      </w:pPr>
      <w:r>
        <w:rPr/>
        <w:t>（六）公共关系和社会责任 </w:t>
      </w:r>
      <w:r>
        <w:rPr>
          <w:spacing w:val="-2"/>
        </w:rPr>
        <w:t>公司一直积极履行作为上市公众公司的社会责任，依法经营，诚信纳税，为社会创造就业，在实现企业目标、自身发展</w:t>
      </w:r>
    </w:p>
    <w:p>
      <w:pPr>
        <w:pStyle w:val="BodyText"/>
        <w:spacing w:line="362" w:lineRule="auto" w:before="29"/>
        <w:ind w:right="1029"/>
        <w:jc w:val="left"/>
      </w:pPr>
      <w:r>
        <w:rPr>
          <w:spacing w:val="-2"/>
        </w:rPr>
        <w:t>的同时，努力回馈社会。公司高度注重与政府部门、监管机关、大众媒体、社会公众的沟通、汇报。主动配合政府部门和监</w:t>
      </w:r>
      <w:r>
        <w:rPr>
          <w:spacing w:val="-73"/>
        </w:rPr>
        <w:t> </w:t>
      </w:r>
      <w:r>
        <w:rPr>
          <w:spacing w:val="-73"/>
        </w:rPr>
      </w:r>
      <w:r>
        <w:rPr>
          <w:spacing w:val="-2"/>
        </w:rPr>
        <w:t>管部门的监督和检查，涉及公司规范运作相关事项特别是重大事项都及时向监管部门汇报和咨询，争取监管部门的支持。公</w:t>
      </w:r>
      <w:r>
        <w:rPr>
          <w:spacing w:val="-75"/>
        </w:rPr>
        <w:t> </w:t>
      </w:r>
      <w:r>
        <w:rPr>
          <w:spacing w:val="-75"/>
        </w:rPr>
      </w:r>
      <w:r>
        <w:rPr>
          <w:spacing w:val="-2"/>
        </w:rPr>
        <w:t>司高度重视与社会公众和媒体的沟通，以积极开放的态度，与股东保持良好的沟通交流，及时、全面、客观地传递公司发展</w:t>
      </w:r>
      <w:r>
        <w:rPr>
          <w:spacing w:val="-57"/>
        </w:rPr>
        <w:t> </w:t>
      </w:r>
      <w:r>
        <w:rPr>
          <w:spacing w:val="-57"/>
        </w:rPr>
      </w:r>
      <w:r>
        <w:rPr>
          <w:spacing w:val="-2"/>
        </w:rPr>
        <w:t>情况、经营业绩、业务亮点及投资价值等。通过业绩说明会、业绩快报等方式让投资者充分了解公司的经营情况，通过投资</w:t>
      </w:r>
      <w:r>
        <w:rPr>
          <w:spacing w:val="-57"/>
        </w:rPr>
        <w:t> </w:t>
      </w:r>
      <w:r>
        <w:rPr>
          <w:spacing w:val="-57"/>
        </w:rPr>
      </w:r>
      <w:r>
        <w:rPr>
          <w:spacing w:val="-2"/>
        </w:rPr>
        <w:t>者调研、电话、投资者关系互动平台、电子邮件等方式与投资者展开交流互动，解答和说明投资者的疑问和关心的问题，增</w:t>
      </w:r>
      <w:r>
        <w:rPr>
          <w:spacing w:val="-48"/>
        </w:rPr>
        <w:t> </w:t>
      </w:r>
      <w:r>
        <w:rPr>
          <w:spacing w:val="-48"/>
        </w:rPr>
      </w:r>
      <w:r>
        <w:rPr>
          <w:spacing w:val="-3"/>
        </w:rPr>
        <w:t>进投资者对公司的了解，赢得了普遍认同。</w:t>
      </w:r>
      <w:r>
        <w:rPr>
          <w:rFonts w:ascii="Times New Roman" w:hAnsi="Times New Roman" w:cs="Times New Roman" w:eastAsia="Times New Roman" w:hint="default"/>
          <w:spacing w:val="-3"/>
        </w:rPr>
        <w:t>2019</w:t>
      </w:r>
      <w:r>
        <w:rPr>
          <w:spacing w:val="-3"/>
        </w:rPr>
        <w:t>年度，公司接待投资者电话来访</w:t>
      </w:r>
      <w:r>
        <w:rPr>
          <w:rFonts w:ascii="Times New Roman" w:hAnsi="Times New Roman" w:cs="Times New Roman" w:eastAsia="Times New Roman" w:hint="default"/>
          <w:spacing w:val="-3"/>
        </w:rPr>
        <w:t>700</w:t>
      </w:r>
      <w:r>
        <w:rPr>
          <w:spacing w:val="-3"/>
        </w:rPr>
        <w:t>余次，回答投资者互动平台问题</w:t>
      </w:r>
      <w:r>
        <w:rPr>
          <w:rFonts w:ascii="Times New Roman" w:hAnsi="Times New Roman" w:cs="Times New Roman" w:eastAsia="Times New Roman" w:hint="default"/>
          <w:spacing w:val="-3"/>
        </w:rPr>
        <w:t>500</w:t>
      </w:r>
      <w:r>
        <w:rPr>
          <w:spacing w:val="-3"/>
        </w:rPr>
        <w:t>余条，</w:t>
      </w:r>
      <w:r>
        <w:rPr>
          <w:spacing w:val="-81"/>
        </w:rPr>
        <w:t> </w:t>
      </w:r>
      <w:r>
        <w:rPr/>
        <w:t>通过良性的互动，不仅解答了投资者疑问，也将投资者对公司诉求和建议及时反馈给了公司经营层。</w:t>
      </w:r>
    </w:p>
    <w:p>
      <w:pPr>
        <w:pStyle w:val="BodyText"/>
        <w:spacing w:line="357" w:lineRule="auto" w:before="33"/>
        <w:ind w:right="0" w:firstLine="360"/>
        <w:jc w:val="left"/>
      </w:pPr>
      <w:r>
        <w:rPr>
          <w:rFonts w:ascii="Times New Roman" w:hAnsi="Times New Roman" w:cs="Times New Roman" w:eastAsia="Times New Roman" w:hint="default"/>
          <w:spacing w:val="-4"/>
        </w:rPr>
        <w:t>2020</w:t>
      </w:r>
      <w:r>
        <w:rPr>
          <w:spacing w:val="-4"/>
        </w:rPr>
        <w:t>年，公司将继续秉承初心，进一步深化企业社会责任理念，持续强化社会责任意识，提高自身经营业绩与管理水平。</w:t>
      </w:r>
      <w:r>
        <w:rPr/>
        <w:t> </w:t>
      </w:r>
      <w:r>
        <w:rPr>
          <w:spacing w:val="-2"/>
        </w:rPr>
        <w:t>公司在健康、持续发展的同时，高扬公司企业文化价值的旗帜，为客户及供应商提供更加专业优质的产品服务与综合解决方</w:t>
      </w:r>
      <w:r>
        <w:rPr>
          <w:spacing w:val="-75"/>
        </w:rPr>
        <w:t> </w:t>
      </w:r>
      <w:r>
        <w:rPr>
          <w:spacing w:val="-75"/>
        </w:rPr>
      </w:r>
      <w:r>
        <w:rPr>
          <w:spacing w:val="-2"/>
        </w:rPr>
        <w:t>案，为员工创造更具人文关怀的公司文化环境，为股东和社会创造更大价值，始终与社会发展同向而行，积极回馈社会，为</w:t>
      </w:r>
    </w:p>
    <w:p>
      <w:pPr>
        <w:spacing w:after="0" w:line="357" w:lineRule="auto"/>
        <w:jc w:val="left"/>
        <w:sectPr>
          <w:pgSz w:w="11910" w:h="16850"/>
          <w:pgMar w:header="731" w:footer="981" w:top="1040" w:bottom="1180" w:left="1000" w:right="0"/>
        </w:sectPr>
      </w:pPr>
    </w:p>
    <w:p>
      <w:pPr>
        <w:spacing w:line="240" w:lineRule="auto" w:before="4"/>
        <w:rPr>
          <w:rFonts w:ascii="宋体" w:hAnsi="宋体" w:cs="宋体" w:eastAsia="宋体" w:hint="default"/>
          <w:sz w:val="28"/>
          <w:szCs w:val="28"/>
        </w:rPr>
      </w:pPr>
    </w:p>
    <w:p>
      <w:pPr>
        <w:pStyle w:val="BodyText"/>
        <w:spacing w:line="240" w:lineRule="auto" w:before="44"/>
        <w:ind w:right="0"/>
        <w:jc w:val="left"/>
      </w:pPr>
      <w:r>
        <w:rPr/>
        <w:t>社会进步贡献自己的一份力量。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pStyle w:val="Heading5"/>
        <w:spacing w:line="240" w:lineRule="auto"/>
        <w:ind w:right="0"/>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spacing w:val="5"/>
        </w:rPr>
        <w:t>2</w:t>
      </w:r>
      <w:r>
        <w:rPr>
          <w:spacing w:val="5"/>
        </w:rPr>
        <w:t>、履行精准扶贫社会责任情况</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3、环境保护相关的情况" w:id="102"/>
      <w:bookmarkEnd w:id="102"/>
      <w:r>
        <w:rPr>
          <w:b w:val="0"/>
          <w:bCs w:val="0"/>
        </w:rPr>
      </w:r>
      <w:r>
        <w:rPr>
          <w:rFonts w:ascii="Times New Roman" w:hAnsi="Times New Roman" w:cs="Times New Roman" w:eastAsia="Times New Roman" w:hint="default"/>
          <w:spacing w:val="5"/>
        </w:rPr>
        <w:t>3</w:t>
      </w:r>
      <w:r>
        <w:rPr>
          <w:spacing w:val="5"/>
        </w:rPr>
        <w:t>、环境保护相关的情况</w:t>
      </w:r>
      <w:r>
        <w:rPr>
          <w:b w:val="0"/>
          <w:bCs w:val="0"/>
          <w:spacing w:val="5"/>
        </w:rPr>
      </w:r>
    </w:p>
    <w:p>
      <w:pPr>
        <w:spacing w:line="240" w:lineRule="auto" w:before="7"/>
        <w:rPr>
          <w:rFonts w:ascii="宋体" w:hAnsi="宋体" w:cs="宋体" w:eastAsia="宋体" w:hint="default"/>
          <w:b/>
          <w:bCs/>
          <w:sz w:val="25"/>
          <w:szCs w:val="25"/>
        </w:rPr>
      </w:pPr>
    </w:p>
    <w:p>
      <w:pPr>
        <w:pStyle w:val="BodyText"/>
        <w:spacing w:line="367" w:lineRule="auto"/>
        <w:ind w:right="5709"/>
        <w:jc w:val="left"/>
      </w:pPr>
      <w:r>
        <w:rPr/>
        <w:t>上市公司及其子公司是否属于环境保护部门公布的重点排污单位 否</w:t>
      </w:r>
    </w:p>
    <w:p>
      <w:pPr>
        <w:pStyle w:val="BodyText"/>
        <w:spacing w:line="321" w:lineRule="auto" w:before="14"/>
        <w:ind w:right="1116" w:firstLine="360"/>
        <w:jc w:val="both"/>
      </w:pPr>
      <w:r>
        <w:rPr>
          <w:spacing w:val="-2"/>
        </w:rPr>
        <w:t>经公司核查，公司及子公司不属于环境保护部门公布的重点排污单位。公司及子公司在日常生产经营中认真执行《中华</w:t>
      </w:r>
      <w:r>
        <w:rPr/>
        <w:t> </w:t>
      </w:r>
      <w:r>
        <w:rPr>
          <w:spacing w:val="-2"/>
        </w:rPr>
        <w:t>人民共和国环境保护法》、《中华人民共和国水污染防治法》、《中华人民共和国大气污染防治法》、《中华人民共和国环</w:t>
      </w:r>
      <w:r>
        <w:rPr>
          <w:spacing w:val="-74"/>
        </w:rPr>
        <w:t> </w:t>
      </w:r>
      <w:r>
        <w:rPr>
          <w:spacing w:val="-74"/>
        </w:rPr>
      </w:r>
      <w:r>
        <w:rPr>
          <w:spacing w:val="-2"/>
        </w:rPr>
        <w:t>境噪声污染防治法》、《中华人民共和国固体废物污染防治法》等环保方面的法律法规，报告期内未出现因违法违规而受到</w:t>
      </w:r>
      <w:r>
        <w:rPr>
          <w:spacing w:val="-53"/>
        </w:rPr>
        <w:t> </w:t>
      </w:r>
      <w:r>
        <w:rPr>
          <w:spacing w:val="-53"/>
        </w:rPr>
      </w:r>
      <w:r>
        <w:rPr/>
        <w:t>处罚的情况。</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126"/>
        <w:ind w:left="501" w:right="0"/>
        <w:jc w:val="left"/>
      </w:pPr>
      <w:r>
        <w:rPr>
          <w:rFonts w:ascii="Times New Roman" w:hAnsi="Times New Roman" w:cs="Times New Roman" w:eastAsia="Times New Roman" w:hint="default"/>
        </w:rPr>
        <w:t>1</w:t>
      </w:r>
      <w:r>
        <w:rPr/>
        <w:t>、变更公司财务负责人及董事</w:t>
      </w:r>
    </w:p>
    <w:p>
      <w:pPr>
        <w:pStyle w:val="BodyText"/>
        <w:spacing w:line="355" w:lineRule="auto" w:before="111"/>
        <w:ind w:right="1106"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w:t>
      </w:r>
      <w:r>
        <w:rPr>
          <w:spacing w:val="-2"/>
        </w:rPr>
        <w:t>日，公司召开第四届董事会第三十三次会议，审议通过了《关于变更公司财务负责人的议案》、《关于选举</w:t>
      </w:r>
      <w:r>
        <w:rPr/>
        <w:t> </w:t>
      </w:r>
      <w:r>
        <w:rPr>
          <w:spacing w:val="-2"/>
        </w:rPr>
        <w:t>公司第四届董事会非独立董事的议案》，昌智先生因调整个人工作重心，进一步推动公司治理结构的完善与优化，特申请辞</w:t>
      </w:r>
      <w:r>
        <w:rPr>
          <w:spacing w:val="-42"/>
        </w:rPr>
        <w:t> </w:t>
      </w:r>
      <w:r>
        <w:rPr>
          <w:spacing w:val="-42"/>
        </w:rPr>
      </w:r>
      <w:r>
        <w:rPr>
          <w:spacing w:val="-2"/>
        </w:rPr>
        <w:t>去其兼任的公司财务负责人职务。为提高公司财务规范运作水平，进一步加强公司财务管理，董事会同意聘任谢从雄先生担</w:t>
      </w:r>
      <w:r>
        <w:rPr>
          <w:spacing w:val="-75"/>
        </w:rPr>
        <w:t> </w:t>
      </w:r>
      <w:r>
        <w:rPr>
          <w:spacing w:val="-75"/>
        </w:rPr>
      </w:r>
      <w:r>
        <w:rPr/>
        <w:t>任公司财务负责人一职。</w:t>
      </w:r>
    </w:p>
    <w:p>
      <w:pPr>
        <w:pStyle w:val="BodyText"/>
        <w:spacing w:line="367" w:lineRule="auto" w:before="38"/>
        <w:ind w:right="1135" w:firstLine="360"/>
        <w:jc w:val="both"/>
      </w:pPr>
      <w:r>
        <w:rPr>
          <w:spacing w:val="-2"/>
        </w:rPr>
        <w:t>曾兆豪先生因个人原因申请辞去其担任的公司第四届董事会非独立董事职务，为保证公司董事会的正常运作，董事会同</w:t>
      </w:r>
      <w:r>
        <w:rPr/>
        <w:t> 意提名卢和忠先生为第四届董事会非独立董事候选人，此事项经</w:t>
      </w:r>
      <w:r>
        <w:rPr>
          <w:rFonts w:ascii="Times New Roman" w:hAnsi="Times New Roman" w:cs="Times New Roman" w:eastAsia="Times New Roman" w:hint="default"/>
        </w:rPr>
        <w:t>2019</w:t>
      </w:r>
      <w:r>
        <w:rPr/>
        <w:t>年第一次临时股东大会批准通过。（注</w:t>
      </w:r>
      <w:r>
        <w:rPr>
          <w:rFonts w:ascii="Times New Roman" w:hAnsi="Times New Roman" w:cs="Times New Roman" w:eastAsia="Times New Roman" w:hint="default"/>
        </w:rPr>
        <w:t>1</w:t>
      </w:r>
      <w:r>
        <w:rPr/>
        <w:t>）</w:t>
      </w:r>
    </w:p>
    <w:p>
      <w:pPr>
        <w:pStyle w:val="BodyText"/>
        <w:spacing w:line="348" w:lineRule="auto" w:before="5"/>
        <w:ind w:left="501" w:right="1119"/>
        <w:jc w:val="left"/>
      </w:pPr>
      <w:r>
        <w:rPr>
          <w:rFonts w:ascii="Times New Roman" w:hAnsi="Times New Roman" w:cs="Times New Roman" w:eastAsia="Times New Roman" w:hint="default"/>
        </w:rPr>
        <w:t>2</w:t>
      </w:r>
      <w:r>
        <w:rPr/>
        <w:t>、部分变更募集资金投资项目实施主体暨对全资孙公司增资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日召开第四届董事会第三十六次会议、第四届监事会第二十六次会议审议通过了《关于部分变更募</w:t>
      </w:r>
    </w:p>
    <w:p>
      <w:pPr>
        <w:pStyle w:val="BodyText"/>
        <w:spacing w:line="357" w:lineRule="auto" w:before="21"/>
        <w:ind w:right="1084"/>
        <w:jc w:val="left"/>
      </w:pPr>
      <w:r>
        <w:rPr>
          <w:spacing w:val="-2"/>
        </w:rPr>
        <w:t>集资金投资项目实施主体暨对全资孙公司增资的议案》，同意公司将部分募集资金投资项目实施主体由公司变更为公司及全</w:t>
      </w:r>
      <w:r>
        <w:rPr>
          <w:spacing w:val="-72"/>
        </w:rPr>
        <w:t> </w:t>
      </w:r>
      <w:r>
        <w:rPr>
          <w:spacing w:val="-72"/>
        </w:rPr>
      </w:r>
      <w:r>
        <w:rPr/>
        <w:t>资孙公司共同实施以及使用募集资金通过全资子公司深圳市中广物联科技有限公司向全资孙公司西安卓华联盛科技有限公</w:t>
      </w:r>
      <w:r>
        <w:rPr>
          <w:spacing w:val="-87"/>
        </w:rPr>
        <w:t> </w:t>
      </w:r>
      <w:r>
        <w:rPr>
          <w:spacing w:val="-87"/>
        </w:rPr>
      </w:r>
      <w:r>
        <w:rPr/>
        <w:t>司增资</w:t>
      </w:r>
      <w:r>
        <w:rPr>
          <w:rFonts w:ascii="Times New Roman" w:hAnsi="Times New Roman" w:cs="Times New Roman" w:eastAsia="Times New Roman" w:hint="default"/>
        </w:rPr>
        <w:t>1,500</w:t>
      </w:r>
      <w:r>
        <w:rPr/>
        <w:t>万元，用于创新支持平台项目，其中</w:t>
      </w:r>
      <w:r>
        <w:rPr>
          <w:rFonts w:ascii="Times New Roman" w:hAnsi="Times New Roman" w:cs="Times New Roman" w:eastAsia="Times New Roman" w:hint="default"/>
        </w:rPr>
        <w:t>900</w:t>
      </w:r>
      <w:r>
        <w:rPr>
          <w:rFonts w:ascii="Times New Roman" w:hAnsi="Times New Roman" w:cs="Times New Roman" w:eastAsia="Times New Roman" w:hint="default"/>
          <w:spacing w:val="35"/>
        </w:rPr>
        <w:t> </w:t>
      </w:r>
      <w:r>
        <w:rPr/>
        <w:t>万元用于向卓华联盛实缴出资，剩余</w:t>
      </w:r>
      <w:r>
        <w:rPr>
          <w:rFonts w:ascii="Times New Roman" w:hAnsi="Times New Roman" w:cs="Times New Roman" w:eastAsia="Times New Roman" w:hint="default"/>
        </w:rPr>
        <w:t>600</w:t>
      </w:r>
      <w:r>
        <w:rPr/>
        <w:t>万元计入卓华联盛资本公积。 本次增资完成后，中广物联、卓华联盛注册资本仍为</w:t>
      </w:r>
      <w:r>
        <w:rPr>
          <w:rFonts w:ascii="Times New Roman" w:hAnsi="Times New Roman" w:cs="Times New Roman" w:eastAsia="Times New Roman" w:hint="default"/>
        </w:rPr>
        <w:t>1,000</w:t>
      </w:r>
      <w:r>
        <w:rPr/>
        <w:t>万元，不发生变化，中广物联仍为公司全资子公司、卓华联盛仍</w:t>
      </w:r>
      <w:r>
        <w:rPr>
          <w:spacing w:val="-85"/>
        </w:rPr>
        <w:t> </w:t>
      </w:r>
      <w:r>
        <w:rPr/>
        <w:t>为公司全资孙公司。（注</w:t>
      </w:r>
      <w:r>
        <w:rPr>
          <w:rFonts w:ascii="Times New Roman" w:hAnsi="Times New Roman" w:cs="Times New Roman" w:eastAsia="Times New Roman" w:hint="default"/>
        </w:rPr>
        <w:t>2</w:t>
      </w:r>
      <w:r>
        <w:rPr/>
        <w:t>）</w:t>
      </w:r>
    </w:p>
    <w:p>
      <w:pPr>
        <w:pStyle w:val="BodyText"/>
        <w:spacing w:line="240" w:lineRule="auto" w:before="13"/>
        <w:ind w:left="501" w:right="0"/>
        <w:jc w:val="left"/>
      </w:pPr>
      <w:r>
        <w:rPr>
          <w:rFonts w:ascii="Times New Roman" w:hAnsi="Times New Roman" w:cs="Times New Roman" w:eastAsia="Times New Roman" w:hint="default"/>
        </w:rPr>
        <w:t>3</w:t>
      </w:r>
      <w:r>
        <w:rPr/>
        <w:t>、控股股东、董监高减持事宜</w:t>
      </w:r>
    </w:p>
    <w:p>
      <w:pPr>
        <w:pStyle w:val="BodyText"/>
        <w:spacing w:line="340" w:lineRule="auto" w:before="111"/>
        <w:ind w:right="1125"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日，公司控股股东夏传武先生通过大宗交易方式减持公司股份</w:t>
      </w:r>
      <w:r>
        <w:rPr>
          <w:rFonts w:ascii="Times New Roman" w:hAnsi="Times New Roman" w:cs="Times New Roman" w:eastAsia="Times New Roman" w:hint="default"/>
        </w:rPr>
        <w:t>11,552,730</w:t>
      </w:r>
      <w:r>
        <w:rPr/>
        <w:t>股，并于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日发布减持 </w:t>
      </w:r>
      <w:r>
        <w:rPr>
          <w:spacing w:val="-3"/>
        </w:rPr>
        <w:t>计划，该减持计划已于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9</w:t>
      </w:r>
      <w:r>
        <w:rPr>
          <w:spacing w:val="-3"/>
        </w:rPr>
        <w:t>日实施完毕。减持计划实施期间，夏传武先生通过集中竞价交易共减持公司股份</w:t>
      </w:r>
      <w:r>
        <w:rPr>
          <w:rFonts w:ascii="Times New Roman" w:hAnsi="Times New Roman" w:cs="Times New Roman" w:eastAsia="Times New Roman" w:hint="default"/>
          <w:spacing w:val="-3"/>
        </w:rPr>
        <w:t>3,549,548</w:t>
      </w:r>
      <w:r>
        <w:rPr>
          <w:rFonts w:ascii="Times New Roman" w:hAnsi="Times New Roman" w:cs="Times New Roman" w:eastAsia="Times New Roman" w:hint="default"/>
          <w:spacing w:val="-27"/>
        </w:rPr>
        <w:t> </w:t>
      </w:r>
      <w:r>
        <w:rPr/>
        <w:t>股。</w:t>
      </w:r>
    </w:p>
    <w:p>
      <w:pPr>
        <w:pStyle w:val="BodyText"/>
        <w:spacing w:line="348" w:lineRule="auto" w:before="49"/>
        <w:ind w:right="1209"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日，夏传武先生发布新的减持计划，截止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日，其通过集中竞价交易减持公司股份</w:t>
      </w:r>
      <w:r>
        <w:rPr>
          <w:rFonts w:ascii="Times New Roman" w:hAnsi="Times New Roman" w:cs="Times New Roman" w:eastAsia="Times New Roman" w:hint="default"/>
        </w:rPr>
        <w:t>1,115,400 </w:t>
      </w:r>
      <w:r>
        <w:rPr/>
        <w:t>股，该次新的减持计划已于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日实施完毕。减持计划实施期间，夏传武先生通过集中竞价交易共减持公司股份 </w:t>
      </w:r>
      <w:r>
        <w:rPr>
          <w:rFonts w:ascii="Times New Roman" w:hAnsi="Times New Roman" w:cs="Times New Roman" w:eastAsia="Times New Roman" w:hint="default"/>
        </w:rPr>
        <w:t>1,115,400</w:t>
      </w:r>
      <w:r>
        <w:rPr/>
        <w:t>股。</w:t>
      </w:r>
    </w:p>
    <w:p>
      <w:pPr>
        <w:pStyle w:val="BodyText"/>
        <w:spacing w:line="240" w:lineRule="auto" w:before="21"/>
        <w:ind w:left="501"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日，公司总经理陈新民先生、董事会秘书魏代英女士发布减持计划，该减持计划已于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日提前终</w:t>
      </w:r>
    </w:p>
    <w:p>
      <w:pPr>
        <w:spacing w:after="0" w:line="240" w:lineRule="auto"/>
        <w:jc w:val="left"/>
        <w:sectPr>
          <w:pgSz w:w="11910" w:h="16850"/>
          <w:pgMar w:header="731" w:footer="981" w:top="1040" w:bottom="1180" w:left="1000" w:right="0"/>
        </w:sectPr>
      </w:pPr>
    </w:p>
    <w:p>
      <w:pPr>
        <w:spacing w:line="240" w:lineRule="auto" w:before="4"/>
        <w:rPr>
          <w:rFonts w:ascii="宋体" w:hAnsi="宋体" w:cs="宋体" w:eastAsia="宋体" w:hint="default"/>
          <w:sz w:val="28"/>
          <w:szCs w:val="28"/>
        </w:rPr>
      </w:pPr>
    </w:p>
    <w:p>
      <w:pPr>
        <w:pStyle w:val="BodyText"/>
        <w:spacing w:line="240" w:lineRule="auto" w:before="44"/>
        <w:ind w:right="0"/>
        <w:jc w:val="left"/>
      </w:pPr>
      <w:r>
        <w:rPr/>
        <w:t>止。减持计划实施期间，陈新民先生、魏代英女士分别减持</w:t>
      </w:r>
      <w:r>
        <w:rPr>
          <w:rFonts w:ascii="Times New Roman" w:hAnsi="Times New Roman" w:cs="Times New Roman" w:eastAsia="Times New Roman" w:hint="default"/>
        </w:rPr>
        <w:t>250,000</w:t>
      </w:r>
      <w:r>
        <w:rPr/>
        <w:t>股、</w:t>
      </w:r>
      <w:r>
        <w:rPr>
          <w:rFonts w:ascii="Times New Roman" w:hAnsi="Times New Roman" w:cs="Times New Roman" w:eastAsia="Times New Roman" w:hint="default"/>
        </w:rPr>
        <w:t>140,625</w:t>
      </w:r>
      <w:r>
        <w:rPr/>
        <w:t>股。（注</w:t>
      </w:r>
      <w:r>
        <w:rPr>
          <w:rFonts w:ascii="Times New Roman" w:hAnsi="Times New Roman" w:cs="Times New Roman" w:eastAsia="Times New Roman" w:hint="default"/>
        </w:rPr>
        <w:t>3</w:t>
      </w:r>
      <w:r>
        <w:rPr/>
        <w:t>）</w:t>
      </w:r>
    </w:p>
    <w:p>
      <w:pPr>
        <w:pStyle w:val="BodyText"/>
        <w:spacing w:line="345" w:lineRule="auto" w:before="111"/>
        <w:ind w:left="501" w:right="1164"/>
        <w:jc w:val="left"/>
      </w:pPr>
      <w:r>
        <w:rPr>
          <w:rFonts w:ascii="Times New Roman" w:hAnsi="Times New Roman" w:cs="Times New Roman" w:eastAsia="Times New Roman" w:hint="default"/>
        </w:rPr>
        <w:t>4</w:t>
      </w:r>
      <w:r>
        <w:rPr/>
        <w:t>、清理资金占用事项 公司参股公司深创谷于</w:t>
      </w:r>
      <w:r>
        <w:rPr>
          <w:rFonts w:ascii="Times New Roman" w:hAnsi="Times New Roman" w:cs="Times New Roman" w:eastAsia="Times New Roman" w:hint="default"/>
        </w:rPr>
        <w:t>2017</w:t>
      </w:r>
      <w:r>
        <w:rPr/>
        <w:t>年被动形成了部分资金占用，金额为</w:t>
      </w:r>
      <w:r>
        <w:rPr>
          <w:rFonts w:ascii="Times New Roman" w:hAnsi="Times New Roman" w:cs="Times New Roman" w:eastAsia="Times New Roman" w:hint="default"/>
        </w:rPr>
        <w:t>470.14</w:t>
      </w:r>
      <w:r>
        <w:rPr/>
        <w:t>万元，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月，公司据此出具了资金占用清</w:t>
      </w:r>
    </w:p>
    <w:p>
      <w:pPr>
        <w:pStyle w:val="BodyText"/>
        <w:spacing w:line="240" w:lineRule="auto" w:before="23"/>
        <w:ind w:right="0"/>
        <w:jc w:val="left"/>
      </w:pPr>
      <w:r>
        <w:rPr/>
        <w:t>偿计划，截止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日，剩余</w:t>
      </w:r>
      <w:r>
        <w:rPr>
          <w:rFonts w:ascii="Times New Roman" w:hAnsi="Times New Roman" w:cs="Times New Roman" w:eastAsia="Times New Roman" w:hint="default"/>
        </w:rPr>
        <w:t>176.69</w:t>
      </w:r>
      <w:r>
        <w:rPr/>
        <w:t>万元尚未清偿。（注</w:t>
      </w:r>
      <w:r>
        <w:rPr>
          <w:rFonts w:ascii="Times New Roman" w:hAnsi="Times New Roman" w:cs="Times New Roman" w:eastAsia="Times New Roman" w:hint="default"/>
        </w:rPr>
        <w:t>4</w:t>
      </w:r>
      <w:r>
        <w:rPr/>
        <w:t>）</w:t>
      </w:r>
    </w:p>
    <w:p>
      <w:pPr>
        <w:pStyle w:val="BodyText"/>
        <w:spacing w:line="240" w:lineRule="auto" w:before="111"/>
        <w:ind w:left="501" w:right="0"/>
        <w:jc w:val="left"/>
      </w:pPr>
      <w:r>
        <w:rPr>
          <w:rFonts w:ascii="Times New Roman" w:hAnsi="Times New Roman" w:cs="Times New Roman" w:eastAsia="Times New Roman" w:hint="default"/>
        </w:rPr>
        <w:t>5</w:t>
      </w:r>
      <w:r>
        <w:rPr/>
        <w:t>、闲置募集资金暂时补充流动资金</w:t>
      </w:r>
    </w:p>
    <w:p>
      <w:pPr>
        <w:pStyle w:val="BodyText"/>
        <w:spacing w:line="340" w:lineRule="auto" w:before="111"/>
        <w:ind w:right="1004"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日，公司召开第四届董事会第三十九次会议及第四届监事会第二十九次会议，审议通过了《关于使用部分 闲置募集资金暂时补充流动资金的议案》，同意公司使用不超过人民币</w:t>
      </w:r>
      <w:r>
        <w:rPr>
          <w:rFonts w:ascii="Times New Roman" w:hAnsi="Times New Roman" w:cs="Times New Roman" w:eastAsia="Times New Roman" w:hint="default"/>
        </w:rPr>
        <w:t>12,000</w:t>
      </w:r>
      <w:r>
        <w:rPr/>
        <w:t>万元闲置募集资金，暂时补充流动资金，用于 </w:t>
      </w:r>
      <w:r>
        <w:rPr>
          <w:spacing w:val="-1"/>
        </w:rPr>
        <w:t>公司主营业务相关的生产经营等，使用期限自董事会审议通过之日起不超过</w:t>
      </w:r>
      <w:r>
        <w:rPr>
          <w:rFonts w:ascii="Times New Roman" w:hAnsi="Times New Roman" w:cs="Times New Roman" w:eastAsia="Times New Roman" w:hint="default"/>
          <w:spacing w:val="-1"/>
        </w:rPr>
        <w:t>12</w:t>
      </w:r>
      <w:r>
        <w:rPr>
          <w:spacing w:val="-1"/>
        </w:rPr>
        <w:t>个月，到期归还至募集资金专用账户。（注</w:t>
      </w:r>
      <w:r>
        <w:rPr>
          <w:rFonts w:ascii="Times New Roman" w:hAnsi="Times New Roman" w:cs="Times New Roman" w:eastAsia="Times New Roman" w:hint="default"/>
          <w:spacing w:val="-1"/>
        </w:rPr>
        <w:t>5</w:t>
      </w:r>
      <w:r>
        <w:rPr>
          <w:spacing w:val="-1"/>
        </w:rPr>
        <w:t>）</w:t>
      </w:r>
    </w:p>
    <w:p>
      <w:pPr>
        <w:pStyle w:val="BodyText"/>
        <w:spacing w:line="240" w:lineRule="auto" w:before="27"/>
        <w:ind w:left="501" w:right="0"/>
        <w:jc w:val="left"/>
      </w:pPr>
      <w:r>
        <w:rPr>
          <w:rFonts w:ascii="Times New Roman" w:hAnsi="Times New Roman" w:cs="Times New Roman" w:eastAsia="Times New Roman" w:hint="default"/>
        </w:rPr>
        <w:t>6</w:t>
      </w:r>
      <w:r>
        <w:rPr/>
        <w:t>、转让参股公司部分股权</w:t>
      </w:r>
    </w:p>
    <w:p>
      <w:pPr>
        <w:pStyle w:val="BodyText"/>
        <w:spacing w:line="348" w:lineRule="auto" w:before="111"/>
        <w:ind w:right="1119"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日，公司召开第四届董事会第三十九次会议及第四届监事会第二十九次会议，审议通过了《关于全资子公 司转让参股公司部分股权的议案》，公司全资子公司将持有的深创谷</w:t>
      </w:r>
      <w:r>
        <w:rPr>
          <w:rFonts w:ascii="Times New Roman" w:hAnsi="Times New Roman" w:cs="Times New Roman" w:eastAsia="Times New Roman" w:hint="default"/>
        </w:rPr>
        <w:t>12.94%</w:t>
      </w:r>
      <w:r>
        <w:rPr/>
        <w:t>的股权分别转让给三位投资者，预计为公司带</w:t>
      </w:r>
      <w:r>
        <w:rPr>
          <w:spacing w:val="-83"/>
        </w:rPr>
        <w:t> </w:t>
      </w:r>
      <w:r>
        <w:rPr/>
        <w:t>来约</w:t>
      </w:r>
      <w:r>
        <w:rPr>
          <w:rFonts w:ascii="Times New Roman" w:hAnsi="Times New Roman" w:cs="Times New Roman" w:eastAsia="Times New Roman" w:hint="default"/>
        </w:rPr>
        <w:t>1220</w:t>
      </w:r>
      <w:r>
        <w:rPr/>
        <w:t>万元投资收益。（注</w:t>
      </w:r>
      <w:r>
        <w:rPr>
          <w:rFonts w:ascii="Times New Roman" w:hAnsi="Times New Roman" w:cs="Times New Roman" w:eastAsia="Times New Roman" w:hint="default"/>
        </w:rPr>
        <w:t>6</w:t>
      </w:r>
      <w:r>
        <w:rPr/>
        <w:t>）</w:t>
      </w:r>
    </w:p>
    <w:p>
      <w:pPr>
        <w:pStyle w:val="BodyText"/>
        <w:spacing w:line="240" w:lineRule="auto" w:before="21"/>
        <w:ind w:left="501" w:right="0"/>
        <w:jc w:val="left"/>
      </w:pPr>
      <w:r>
        <w:rPr>
          <w:rFonts w:ascii="Times New Roman" w:hAnsi="Times New Roman" w:cs="Times New Roman" w:eastAsia="Times New Roman" w:hint="default"/>
        </w:rPr>
        <w:t>7</w:t>
      </w:r>
      <w:r>
        <w:rPr/>
        <w:t>、终止发行股份购买资产事项</w:t>
      </w:r>
    </w:p>
    <w:p>
      <w:pPr>
        <w:pStyle w:val="BodyText"/>
        <w:spacing w:line="360" w:lineRule="auto" w:before="111"/>
        <w:ind w:right="1131"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日，公司召开第四届董事会第三十九次会议及第四届监事会第二十九次会议，审议通过了《关于终止发行 股份购买资产事项的议案》。因宏观经济环境及资本市场情况发</w:t>
      </w:r>
      <w:r>
        <w:rPr>
          <w:spacing w:val="-9"/>
        </w:rPr>
        <w:t> </w:t>
      </w:r>
      <w:r>
        <w:rPr/>
        <w:t>生较大的变化，公司及相关方就本次发行股份购买资产情</w:t>
      </w:r>
      <w:r>
        <w:rPr/>
        <w:t> 况进行了论证，认为继续推进本次发行股份购买资产具有较大不确定性。为维护公司及全体股东尤其是</w:t>
      </w:r>
      <w:r>
        <w:rPr>
          <w:spacing w:val="-5"/>
        </w:rPr>
        <w:t> </w:t>
      </w:r>
      <w:r>
        <w:rPr/>
        <w:t>中小股东的利益，</w:t>
      </w:r>
      <w:r>
        <w:rPr/>
        <w:t> 经与交易对方讨论协商达成一致，董事会同意终止本次发行股份购买资产事项。（注</w:t>
      </w:r>
      <w:r>
        <w:rPr>
          <w:rFonts w:ascii="Times New Roman" w:hAnsi="Times New Roman" w:cs="Times New Roman" w:eastAsia="Times New Roman" w:hint="default"/>
        </w:rPr>
        <w:t>7</w:t>
      </w:r>
      <w:r>
        <w:rPr/>
        <w:t>）</w:t>
      </w:r>
    </w:p>
    <w:p>
      <w:pPr>
        <w:pStyle w:val="BodyText"/>
        <w:spacing w:line="240" w:lineRule="auto" w:before="11"/>
        <w:ind w:left="501" w:right="0"/>
        <w:jc w:val="left"/>
      </w:pPr>
      <w:r>
        <w:rPr>
          <w:rFonts w:ascii="Times New Roman" w:hAnsi="Times New Roman" w:cs="Times New Roman" w:eastAsia="Times New Roman" w:hint="default"/>
        </w:rPr>
        <w:t>8</w:t>
      </w:r>
      <w:r>
        <w:rPr/>
        <w:t>、回购股份延期及实施结果</w:t>
      </w:r>
    </w:p>
    <w:p>
      <w:pPr>
        <w:pStyle w:val="BodyText"/>
        <w:spacing w:line="348" w:lineRule="auto" w:before="111"/>
        <w:ind w:right="1029"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日，公司召开第四届董事会第三十九次会议及第四届监事会第二十九次会议，审议通过了《关于公司股份 回购实施期限延期的议案》。受定期报告窗口期、股价持续超出回购价格上限、公司资金安排计划等多重因素的综合影响， 公司预计无法在既定期限内完成回购，对回购实施期限延期</w:t>
      </w:r>
      <w:r>
        <w:rPr>
          <w:rFonts w:ascii="Times New Roman" w:hAnsi="Times New Roman" w:cs="Times New Roman" w:eastAsia="Times New Roman" w:hint="default"/>
        </w:rPr>
        <w:t>6</w:t>
      </w:r>
      <w:r>
        <w:rPr/>
        <w:t>个月，延长至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日止。截止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日，公司</w:t>
      </w:r>
      <w:r>
        <w:rPr>
          <w:spacing w:val="-83"/>
        </w:rPr>
        <w:t> </w:t>
      </w:r>
      <w:r>
        <w:rPr/>
        <w:t>累计回购股份 </w:t>
      </w:r>
      <w:r>
        <w:rPr>
          <w:rFonts w:ascii="Times New Roman" w:hAnsi="Times New Roman" w:cs="Times New Roman" w:eastAsia="Times New Roman" w:hint="default"/>
        </w:rPr>
        <w:t>9,812,924 </w:t>
      </w:r>
      <w:r>
        <w:rPr/>
        <w:t>股，占公司总股本的 </w:t>
      </w:r>
      <w:r>
        <w:rPr>
          <w:rFonts w:ascii="Times New Roman" w:hAnsi="Times New Roman" w:cs="Times New Roman" w:eastAsia="Times New Roman" w:hint="default"/>
        </w:rPr>
        <w:t>1.70%</w:t>
      </w:r>
      <w:r>
        <w:rPr/>
        <w:t>，最高成交价为 </w:t>
      </w:r>
      <w:r>
        <w:rPr>
          <w:rFonts w:ascii="Times New Roman" w:hAnsi="Times New Roman" w:cs="Times New Roman" w:eastAsia="Times New Roman" w:hint="default"/>
        </w:rPr>
        <w:t>7.98 </w:t>
      </w:r>
      <w:r>
        <w:rPr/>
        <w:t>元</w:t>
      </w:r>
      <w:r>
        <w:rPr>
          <w:rFonts w:ascii="Times New Roman" w:hAnsi="Times New Roman" w:cs="Times New Roman" w:eastAsia="Times New Roman" w:hint="default"/>
        </w:rPr>
        <w:t>/</w:t>
      </w:r>
      <w:r>
        <w:rPr/>
        <w:t>股，最低成交价为 </w:t>
      </w:r>
      <w:r>
        <w:rPr>
          <w:rFonts w:ascii="Times New Roman" w:hAnsi="Times New Roman" w:cs="Times New Roman" w:eastAsia="Times New Roman" w:hint="default"/>
        </w:rPr>
        <w:t>6.91</w:t>
      </w:r>
      <w:r>
        <w:rPr>
          <w:rFonts w:ascii="Times New Roman" w:hAnsi="Times New Roman" w:cs="Times New Roman" w:eastAsia="Times New Roman" w:hint="default"/>
          <w:spacing w:val="27"/>
        </w:rPr>
        <w:t> </w:t>
      </w:r>
      <w:r>
        <w:rPr/>
        <w:t>元</w:t>
      </w:r>
      <w:r>
        <w:rPr>
          <w:rFonts w:ascii="Times New Roman" w:hAnsi="Times New Roman" w:cs="Times New Roman" w:eastAsia="Times New Roman" w:hint="default"/>
        </w:rPr>
        <w:t>/</w:t>
      </w:r>
      <w:r>
        <w:rPr/>
        <w:t>股，成交总金额为</w:t>
      </w:r>
    </w:p>
    <w:p>
      <w:pPr>
        <w:pStyle w:val="BodyText"/>
        <w:spacing w:line="240" w:lineRule="auto" w:before="21"/>
        <w:ind w:right="0"/>
        <w:jc w:val="left"/>
      </w:pPr>
      <w:r>
        <w:rPr>
          <w:rFonts w:ascii="Times New Roman" w:hAnsi="Times New Roman" w:cs="Times New Roman" w:eastAsia="Times New Roman" w:hint="default"/>
        </w:rPr>
        <w:t>75,252,122.95</w:t>
      </w:r>
      <w:r>
        <w:rPr>
          <w:rFonts w:ascii="Times New Roman" w:hAnsi="Times New Roman" w:cs="Times New Roman" w:eastAsia="Times New Roman" w:hint="default"/>
          <w:spacing w:val="31"/>
        </w:rPr>
        <w:t> </w:t>
      </w:r>
      <w:r>
        <w:rPr/>
        <w:t>元。（注</w:t>
      </w:r>
      <w:r>
        <w:rPr>
          <w:rFonts w:ascii="Times New Roman" w:hAnsi="Times New Roman" w:cs="Times New Roman" w:eastAsia="Times New Roman" w:hint="default"/>
        </w:rPr>
        <w:t>8</w:t>
      </w:r>
      <w:r>
        <w:rPr/>
        <w:t>）</w:t>
      </w:r>
    </w:p>
    <w:p>
      <w:pPr>
        <w:pStyle w:val="BodyText"/>
        <w:spacing w:line="348" w:lineRule="auto" w:before="111"/>
        <w:ind w:left="501" w:right="1119"/>
        <w:jc w:val="left"/>
      </w:pPr>
      <w:r>
        <w:rPr>
          <w:rFonts w:ascii="Times New Roman" w:hAnsi="Times New Roman" w:cs="Times New Roman" w:eastAsia="Times New Roman" w:hint="default"/>
        </w:rPr>
        <w:t>9</w:t>
      </w:r>
      <w:r>
        <w:rPr/>
        <w:t>、参股公司科创板上市 公司参股公司宁波容百于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日在上海证券交易所科创板挂牌上市，股票代码为</w:t>
      </w:r>
      <w:r>
        <w:rPr>
          <w:rFonts w:ascii="Times New Roman" w:hAnsi="Times New Roman" w:cs="Times New Roman" w:eastAsia="Times New Roman" w:hint="default"/>
        </w:rPr>
        <w:t>688005</w:t>
      </w:r>
      <w:r>
        <w:rPr/>
        <w:t>，公司通过全资子公司</w:t>
      </w:r>
    </w:p>
    <w:p>
      <w:pPr>
        <w:pStyle w:val="BodyText"/>
        <w:spacing w:line="345" w:lineRule="auto" w:before="21"/>
        <w:ind w:right="1124"/>
        <w:jc w:val="left"/>
      </w:pPr>
      <w:r>
        <w:rPr/>
        <w:t>翼飞投资持有容百科技股份</w:t>
      </w:r>
      <w:r>
        <w:rPr>
          <w:rFonts w:ascii="Times New Roman" w:hAnsi="Times New Roman" w:cs="Times New Roman" w:eastAsia="Times New Roman" w:hint="default"/>
        </w:rPr>
        <w:t>1,869,350</w:t>
      </w:r>
      <w:r>
        <w:rPr/>
        <w:t>股。容百科技上市不会对公司当期产生重大影响。公司将根据企业会计准则等相</w:t>
      </w:r>
      <w:r>
        <w:rPr>
          <w:spacing w:val="-5"/>
        </w:rPr>
        <w:t> </w:t>
      </w:r>
      <w:r>
        <w:rPr/>
        <w:t>关规</w:t>
      </w:r>
      <w:r>
        <w:rPr/>
        <w:t> 定，对上述持股的价值进行确认，其对公司财务状况的实际影响以审计报告结论为准。（注</w:t>
      </w:r>
      <w:r>
        <w:rPr>
          <w:rFonts w:ascii="Times New Roman" w:hAnsi="Times New Roman" w:cs="Times New Roman" w:eastAsia="Times New Roman" w:hint="default"/>
        </w:rPr>
        <w:t>9</w:t>
      </w:r>
      <w:r>
        <w:rPr/>
        <w:t>）</w:t>
      </w:r>
    </w:p>
    <w:p>
      <w:pPr>
        <w:pStyle w:val="BodyText"/>
        <w:spacing w:line="240" w:lineRule="auto" w:before="23"/>
        <w:ind w:left="501" w:right="0"/>
        <w:jc w:val="left"/>
      </w:pPr>
      <w:r>
        <w:rPr>
          <w:rFonts w:ascii="Times New Roman" w:hAnsi="Times New Roman" w:cs="Times New Roman" w:eastAsia="Times New Roman" w:hint="default"/>
        </w:rPr>
        <w:t>10</w:t>
      </w:r>
      <w:r>
        <w:rPr/>
        <w:t>、责令整改事项</w:t>
      </w:r>
    </w:p>
    <w:p>
      <w:pPr>
        <w:pStyle w:val="BodyText"/>
        <w:spacing w:line="360" w:lineRule="auto" w:before="111"/>
        <w:ind w:right="1112"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日，公司收到深圳证监局下发的《行政监管措施决定书》，</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日，公司召开第四届董事会第四十</w:t>
      </w:r>
      <w:r>
        <w:rPr/>
        <w:t> </w:t>
      </w:r>
      <w:r>
        <w:rPr>
          <w:spacing w:val="-2"/>
        </w:rPr>
        <w:t>次会议、第四届监事会第三十次会议，审议通过了《关于深圳证监局对公司采取责令改正措施决定的整改报告的议案》，目</w:t>
      </w:r>
      <w:r>
        <w:rPr>
          <w:spacing w:val="-57"/>
        </w:rPr>
        <w:t> </w:t>
      </w:r>
      <w:r>
        <w:rPr>
          <w:spacing w:val="-57"/>
        </w:rPr>
      </w:r>
      <w:r>
        <w:rPr>
          <w:spacing w:val="-2"/>
        </w:rPr>
        <w:t>前公司已完成相关需整改事项，并将引以为戒，推动合规建设常态化，加强信息披露管理，切实提高公司治理水平，有效维</w:t>
      </w:r>
      <w:r>
        <w:rPr>
          <w:spacing w:val="-54"/>
        </w:rPr>
        <w:t> </w:t>
      </w:r>
      <w:r>
        <w:rPr>
          <w:spacing w:val="-54"/>
        </w:rPr>
      </w:r>
      <w:r>
        <w:rPr/>
        <w:t>护公司及广大投资者的利益，促进公司持续、健康、稳定发展。（注</w:t>
      </w:r>
      <w:r>
        <w:rPr>
          <w:rFonts w:ascii="Times New Roman" w:hAnsi="Times New Roman" w:cs="Times New Roman" w:eastAsia="Times New Roman" w:hint="default"/>
        </w:rPr>
        <w:t>10</w:t>
      </w:r>
      <w:r>
        <w:rPr/>
        <w:t>）</w:t>
      </w:r>
    </w:p>
    <w:p>
      <w:pPr>
        <w:pStyle w:val="BodyText"/>
        <w:spacing w:line="245" w:lineRule="exact"/>
        <w:ind w:left="501" w:right="0"/>
        <w:jc w:val="left"/>
      </w:pPr>
      <w:r>
        <w:rPr>
          <w:rFonts w:ascii="Times New Roman" w:hAnsi="Times New Roman" w:cs="Times New Roman" w:eastAsia="Times New Roman" w:hint="default"/>
        </w:rPr>
        <w:t>11</w:t>
      </w:r>
      <w:r>
        <w:rPr/>
        <w:t>、签订战略合作框架协议及设立全资子公司</w:t>
      </w:r>
    </w:p>
    <w:p>
      <w:pPr>
        <w:pStyle w:val="BodyText"/>
        <w:spacing w:line="352" w:lineRule="auto" w:before="111"/>
        <w:ind w:right="1029"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月，公司与武汉市江夏区人民政府签订了《战略合作框架协议》，公司拟在武汉市江夏区落户智能制造项目， </w:t>
      </w:r>
      <w:r>
        <w:rPr>
          <w:spacing w:val="-2"/>
        </w:rPr>
        <w:t>双方共同落实并推动智能制造项目的顺利实施，促成武汉市江夏区高端制造业聚集发展。同时，为顺利推动此项目落地，公</w:t>
      </w:r>
      <w:r>
        <w:rPr>
          <w:spacing w:val="-42"/>
        </w:rPr>
        <w:t> </w:t>
      </w:r>
      <w:r>
        <w:rPr>
          <w:spacing w:val="-42"/>
        </w:rPr>
      </w:r>
      <w:r>
        <w:rPr>
          <w:spacing w:val="-2"/>
        </w:rPr>
        <w:t>司出资</w:t>
      </w:r>
      <w:r>
        <w:rPr>
          <w:rFonts w:ascii="Times New Roman" w:hAnsi="Times New Roman" w:cs="Times New Roman" w:eastAsia="Times New Roman" w:hint="default"/>
          <w:spacing w:val="-2"/>
        </w:rPr>
        <w:t>1000</w:t>
      </w:r>
      <w:r>
        <w:rPr>
          <w:spacing w:val="-2"/>
        </w:rPr>
        <w:t>万元设立了全资子公司武汉市卓翼智造科技有限公司，用于投资建设智能制造项目。主要进行网络通讯、消费电</w:t>
      </w:r>
      <w:r>
        <w:rPr>
          <w:spacing w:val="-60"/>
        </w:rPr>
        <w:t> </w:t>
      </w:r>
      <w:r>
        <w:rPr>
          <w:spacing w:val="-60"/>
        </w:rPr>
      </w:r>
      <w:r>
        <w:rPr/>
        <w:t>子及智能硬件等产品制造业务。（注</w:t>
      </w:r>
      <w:r>
        <w:rPr>
          <w:rFonts w:ascii="Times New Roman" w:hAnsi="Times New Roman" w:cs="Times New Roman" w:eastAsia="Times New Roman" w:hint="default"/>
        </w:rPr>
        <w:t>11</w:t>
      </w:r>
      <w:r>
        <w:rPr/>
        <w:t>）</w:t>
      </w:r>
    </w:p>
    <w:p>
      <w:pPr>
        <w:pStyle w:val="BodyText"/>
        <w:spacing w:line="240" w:lineRule="auto" w:before="17"/>
        <w:ind w:left="501" w:right="0"/>
        <w:jc w:val="left"/>
      </w:pPr>
      <w:r>
        <w:rPr>
          <w:rFonts w:ascii="Times New Roman" w:hAnsi="Times New Roman" w:cs="Times New Roman" w:eastAsia="Times New Roman" w:hint="default"/>
        </w:rPr>
        <w:t>12</w:t>
      </w:r>
      <w:r>
        <w:rPr/>
        <w:t>、董事会、监事会换届选举</w:t>
      </w:r>
    </w:p>
    <w:p>
      <w:pPr>
        <w:pStyle w:val="BodyText"/>
        <w:spacing w:line="240" w:lineRule="auto" w:before="111"/>
        <w:ind w:left="501"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日，公司召开第四届董事会第四十次会议、第四届监事会第三十次会议，分别审议通过了《关于公司第四</w:t>
      </w:r>
    </w:p>
    <w:p>
      <w:pPr>
        <w:spacing w:after="0" w:line="240" w:lineRule="auto"/>
        <w:jc w:val="left"/>
        <w:sectPr>
          <w:pgSz w:w="11910" w:h="16850"/>
          <w:pgMar w:header="731" w:footer="981" w:top="1040" w:bottom="1180" w:left="1000" w:right="0"/>
        </w:sectPr>
      </w:pPr>
    </w:p>
    <w:p>
      <w:pPr>
        <w:spacing w:line="240" w:lineRule="auto" w:before="4"/>
        <w:rPr>
          <w:rFonts w:ascii="宋体" w:hAnsi="宋体" w:cs="宋体" w:eastAsia="宋体" w:hint="default"/>
          <w:sz w:val="28"/>
          <w:szCs w:val="28"/>
        </w:rPr>
      </w:pPr>
    </w:p>
    <w:p>
      <w:pPr>
        <w:pStyle w:val="BodyText"/>
        <w:spacing w:line="367" w:lineRule="auto" w:before="44"/>
        <w:ind w:right="1141"/>
        <w:jc w:val="both"/>
      </w:pPr>
      <w:r>
        <w:rPr/>
        <w:t>届董事会延期换届的议案》及《关于公司第四届监事会延期换届的议案》，鉴于公司新一届董事会、</w:t>
      </w:r>
      <w:r>
        <w:rPr>
          <w:spacing w:val="-5"/>
        </w:rPr>
        <w:t> </w:t>
      </w:r>
      <w:r>
        <w:rPr/>
        <w:t>监事会的董事、监事</w:t>
      </w:r>
      <w:r>
        <w:rPr/>
        <w:t> 候选人提名工作尚未完成，公司</w:t>
      </w:r>
      <w:r>
        <w:rPr>
          <w:spacing w:val="-12"/>
        </w:rPr>
        <w:t> </w:t>
      </w:r>
      <w:r>
        <w:rPr/>
        <w:t>董事会、监事会换届选举工作将延期进行。同时，独立董事王艳梅女士、易庆国先生即将</w:t>
      </w:r>
      <w:r>
        <w:rPr/>
        <w:t> 因任期届满离任，公司同意提名张学斌先生、崔小乐先生为公司第五届董事会独立董事候选人。</w:t>
      </w:r>
    </w:p>
    <w:p>
      <w:pPr>
        <w:pStyle w:val="BodyText"/>
        <w:spacing w:line="360" w:lineRule="auto" w:before="29"/>
        <w:ind w:right="1121" w:firstLine="360"/>
        <w:jc w:val="both"/>
      </w:pPr>
      <w:r>
        <w:rPr/>
        <w:pict>
          <v:shape style="position:absolute;margin-left:56.325001pt;margin-top:71.639221pt;width:422.4pt;height:570.1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3124"/>
                    <w:gridCol w:w="3034"/>
                  </w:tblGrid>
                  <w:tr>
                    <w:trPr>
                      <w:trHeight w:val="346" w:hRule="exact"/>
                    </w:trPr>
                    <w:tc>
                      <w:tcPr>
                        <w:tcW w:w="22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left="585" w:right="0"/>
                          <w:jc w:val="left"/>
                          <w:rPr>
                            <w:rFonts w:ascii="宋体" w:hAnsi="宋体" w:cs="宋体" w:eastAsia="宋体" w:hint="default"/>
                            <w:sz w:val="18"/>
                            <w:szCs w:val="18"/>
                          </w:rPr>
                        </w:pPr>
                        <w:r>
                          <w:rPr>
                            <w:rFonts w:ascii="宋体" w:hAnsi="宋体" w:cs="宋体" w:eastAsia="宋体" w:hint="default"/>
                            <w:sz w:val="18"/>
                            <w:szCs w:val="18"/>
                          </w:rPr>
                          <w:t>重要事项概述</w:t>
                        </w:r>
                      </w:p>
                    </w:tc>
                    <w:tc>
                      <w:tcPr>
                        <w:tcW w:w="31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14"/>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0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left="420"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96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
                          <w:ind w:right="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r>
                          <w:rPr>
                            <w:rFonts w:ascii="宋体" w:hAnsi="宋体" w:cs="宋体" w:eastAsia="宋体" w:hint="default"/>
                            <w:sz w:val="18"/>
                            <w:szCs w:val="18"/>
                          </w:rPr>
                          <w:t>）变更公司财务负责人 及董事</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
                          <w:ind w:right="13"/>
                          <w:jc w:val="both"/>
                          <w:rPr>
                            <w:rFonts w:ascii="宋体" w:hAnsi="宋体" w:cs="宋体" w:eastAsia="宋体" w:hint="default"/>
                            <w:sz w:val="18"/>
                            <w:szCs w:val="18"/>
                          </w:rPr>
                        </w:pPr>
                        <w:r>
                          <w:rPr>
                            <w:rFonts w:ascii="宋体" w:hAnsi="宋体" w:cs="宋体" w:eastAsia="宋体" w:hint="default"/>
                            <w:spacing w:val="-4"/>
                            <w:sz w:val="18"/>
                            <w:szCs w:val="18"/>
                          </w:rPr>
                          <w:t>披露媒体：《证券时报》、《中国证券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及</w:t>
                        </w:r>
                        <w:r>
                          <w:rPr>
                            <w:rFonts w:ascii="宋体" w:hAnsi="宋体" w:cs="宋体" w:eastAsia="宋体" w:hint="default"/>
                            <w:spacing w:val="-60"/>
                            <w:sz w:val="18"/>
                            <w:szCs w:val="18"/>
                          </w:rPr>
                          <w:t> </w:t>
                        </w:r>
                        <w:r>
                          <w:rPr>
                            <w:rFonts w:ascii="宋体" w:hAnsi="宋体" w:cs="宋体" w:eastAsia="宋体" w:hint="default"/>
                            <w:sz w:val="18"/>
                            <w:szCs w:val="18"/>
                          </w:rPr>
                          <w:t>巨</w:t>
                        </w:r>
                        <w:r>
                          <w:rPr>
                            <w:rFonts w:ascii="宋体" w:hAnsi="宋体" w:cs="宋体" w:eastAsia="宋体" w:hint="default"/>
                            <w:spacing w:val="-45"/>
                            <w:sz w:val="18"/>
                            <w:szCs w:val="18"/>
                          </w:rPr>
                          <w:t> </w:t>
                        </w:r>
                        <w:r>
                          <w:rPr>
                            <w:rFonts w:ascii="宋体" w:hAnsi="宋体" w:cs="宋体" w:eastAsia="宋体" w:hint="default"/>
                            <w:sz w:val="18"/>
                            <w:szCs w:val="18"/>
                          </w:rPr>
                          <w:t>潮</w:t>
                        </w:r>
                        <w:r>
                          <w:rPr>
                            <w:rFonts w:ascii="宋体" w:hAnsi="宋体" w:cs="宋体" w:eastAsia="宋体" w:hint="default"/>
                            <w:spacing w:val="-60"/>
                            <w:sz w:val="18"/>
                            <w:szCs w:val="18"/>
                          </w:rPr>
                          <w:t> </w:t>
                        </w:r>
                        <w:r>
                          <w:rPr>
                            <w:rFonts w:ascii="宋体" w:hAnsi="宋体" w:cs="宋体" w:eastAsia="宋体" w:hint="default"/>
                            <w:sz w:val="18"/>
                            <w:szCs w:val="18"/>
                          </w:rPr>
                          <w:t>资</w:t>
                        </w:r>
                        <w:r>
                          <w:rPr>
                            <w:rFonts w:ascii="宋体" w:hAnsi="宋体" w:cs="宋体" w:eastAsia="宋体" w:hint="default"/>
                            <w:spacing w:val="-45"/>
                            <w:sz w:val="18"/>
                            <w:szCs w:val="18"/>
                          </w:rPr>
                          <w:t> </w:t>
                        </w:r>
                        <w:r>
                          <w:rPr>
                            <w:rFonts w:ascii="宋体" w:hAnsi="宋体" w:cs="宋体" w:eastAsia="宋体" w:hint="default"/>
                            <w:sz w:val="18"/>
                            <w:szCs w:val="18"/>
                          </w:rPr>
                          <w:t>讯</w:t>
                        </w:r>
                        <w:r>
                          <w:rPr>
                            <w:rFonts w:ascii="宋体" w:hAnsi="宋体" w:cs="宋体" w:eastAsia="宋体" w:hint="default"/>
                            <w:spacing w:val="-60"/>
                            <w:sz w:val="18"/>
                            <w:szCs w:val="18"/>
                          </w:rPr>
                          <w:t> </w:t>
                        </w:r>
                        <w:r>
                          <w:rPr>
                            <w:rFonts w:ascii="宋体" w:hAnsi="宋体" w:cs="宋体" w:eastAsia="宋体" w:hint="default"/>
                            <w:sz w:val="18"/>
                            <w:szCs w:val="18"/>
                          </w:rPr>
                          <w:t>网</w:t>
                        </w:r>
                        <w:r>
                          <w:rPr>
                            <w:rFonts w:ascii="宋体" w:hAnsi="宋体" w:cs="宋体" w:eastAsia="宋体" w:hint="default"/>
                            <w:spacing w:val="-45"/>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pacing w:val="-45"/>
                            <w:sz w:val="18"/>
                            <w:szCs w:val="18"/>
                          </w:rPr>
                          <w:t> </w:t>
                        </w:r>
                        <w:r>
                          <w:rPr>
                            <w:rFonts w:ascii="宋体" w:hAnsi="宋体" w:cs="宋体" w:eastAsia="宋体" w:hint="default"/>
                            <w:sz w:val="18"/>
                            <w:szCs w:val="18"/>
                          </w:rPr>
                          <w:t>告</w:t>
                        </w:r>
                        <w:r>
                          <w:rPr>
                            <w:rFonts w:ascii="宋体" w:hAnsi="宋体" w:cs="宋体" w:eastAsia="宋体" w:hint="default"/>
                            <w:spacing w:val="-60"/>
                            <w:sz w:val="18"/>
                            <w:szCs w:val="18"/>
                          </w:rPr>
                          <w:t> </w:t>
                        </w:r>
                        <w:r>
                          <w:rPr>
                            <w:rFonts w:ascii="宋体" w:hAnsi="宋体" w:cs="宋体" w:eastAsia="宋体" w:hint="default"/>
                            <w:sz w:val="18"/>
                            <w:szCs w:val="18"/>
                          </w:rPr>
                          <w:t>编</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2019-005</w:t>
                        </w:r>
                        <w:r>
                          <w:rPr>
                            <w:rFonts w:ascii="宋体" w:hAnsi="宋体" w:cs="宋体" w:eastAsia="宋体" w:hint="default"/>
                            <w:sz w:val="18"/>
                            <w:szCs w:val="18"/>
                          </w:rPr>
                          <w:t>、</w:t>
                        </w:r>
                        <w:r>
                          <w:rPr>
                            <w:rFonts w:ascii="宋体" w:hAnsi="宋体" w:cs="宋体" w:eastAsia="宋体" w:hint="default"/>
                            <w:sz w:val="18"/>
                            <w:szCs w:val="18"/>
                          </w:rPr>
                          <w:t>2019-006</w:t>
                        </w:r>
                      </w:p>
                    </w:tc>
                  </w:tr>
                  <w:tr>
                    <w:trPr>
                      <w:trHeight w:val="97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11"/>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2</w:t>
                        </w:r>
                        <w:r>
                          <w:rPr>
                            <w:rFonts w:ascii="宋体" w:hAnsi="宋体" w:cs="宋体" w:eastAsia="宋体" w:hint="default"/>
                            <w:sz w:val="18"/>
                            <w:szCs w:val="18"/>
                          </w:rPr>
                          <w:t>）部分变更募集资金投 </w:t>
                        </w:r>
                        <w:r>
                          <w:rPr>
                            <w:rFonts w:ascii="宋体" w:hAnsi="宋体" w:cs="宋体" w:eastAsia="宋体" w:hint="default"/>
                            <w:spacing w:val="8"/>
                            <w:sz w:val="18"/>
                            <w:szCs w:val="18"/>
                          </w:rPr>
                          <w:t>资项目实施主体暨对全资孙</w:t>
                        </w:r>
                        <w:r>
                          <w:rPr>
                            <w:rFonts w:ascii="宋体" w:hAnsi="宋体" w:cs="宋体" w:eastAsia="宋体" w:hint="default"/>
                            <w:sz w:val="18"/>
                            <w:szCs w:val="18"/>
                          </w:rPr>
                          <w:t> 公司增资</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0"/>
                          <w:jc w:val="left"/>
                          <w:rPr>
                            <w:rFonts w:ascii="宋体" w:hAnsi="宋体" w:cs="宋体" w:eastAsia="宋体" w:hint="default"/>
                            <w:sz w:val="18"/>
                            <w:szCs w:val="18"/>
                          </w:rPr>
                        </w:pPr>
                        <w:r>
                          <w:rPr>
                            <w:rFonts w:ascii="宋体" w:hAnsi="宋体" w:cs="宋体" w:eastAsia="宋体" w:hint="default"/>
                            <w:spacing w:val="-4"/>
                            <w:sz w:val="18"/>
                            <w:szCs w:val="18"/>
                          </w:rPr>
                          <w:t>披露媒体：《证券时报》、《中国证券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报》及巨潮资讯网；公告编号：</w:t>
                        </w:r>
                        <w:r>
                          <w:rPr>
                            <w:rFonts w:ascii="宋体" w:hAnsi="宋体" w:cs="宋体" w:eastAsia="宋体" w:hint="default"/>
                            <w:spacing w:val="-11"/>
                            <w:sz w:val="18"/>
                            <w:szCs w:val="18"/>
                          </w:rPr>
                          <w:t>2019-035</w:t>
                        </w:r>
                      </w:p>
                    </w:tc>
                  </w:tr>
                  <w:tr>
                    <w:trPr>
                      <w:trHeight w:val="159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3</w:t>
                        </w:r>
                        <w:r>
                          <w:rPr>
                            <w:rFonts w:ascii="宋体" w:hAnsi="宋体" w:cs="宋体" w:eastAsia="宋体" w:hint="default"/>
                            <w:sz w:val="18"/>
                            <w:szCs w:val="18"/>
                          </w:rPr>
                          <w:t>）控股股东、董监高减 持事宜</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4"/>
                          <w:ind w:right="-16"/>
                          <w:jc w:val="both"/>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2019</w:t>
                        </w:r>
                        <w:r>
                          <w:rPr>
                            <w:rFonts w:ascii="宋体" w:hAnsi="宋体" w:cs="宋体" w:eastAsia="宋体" w:hint="default"/>
                            <w:spacing w:val="-61"/>
                            <w:sz w:val="18"/>
                            <w:szCs w:val="18"/>
                          </w:rPr>
                          <w:t> </w:t>
                        </w:r>
                        <w:r>
                          <w:rPr>
                            <w:rFonts w:ascii="宋体" w:hAnsi="宋体" w:cs="宋体" w:eastAsia="宋体" w:hint="default"/>
                            <w:spacing w:val="6"/>
                            <w:sz w:val="18"/>
                            <w:szCs w:val="18"/>
                          </w:rPr>
                          <w:t>年</w:t>
                        </w:r>
                        <w:r>
                          <w:rPr>
                            <w:rFonts w:ascii="宋体" w:hAnsi="宋体" w:cs="宋体" w:eastAsia="宋体" w:hint="default"/>
                            <w:spacing w:val="6"/>
                            <w:sz w:val="18"/>
                            <w:szCs w:val="18"/>
                          </w:rPr>
                          <w:t>7</w:t>
                        </w:r>
                        <w:r>
                          <w:rPr>
                            <w:rFonts w:ascii="宋体" w:hAnsi="宋体" w:cs="宋体" w:eastAsia="宋体" w:hint="default"/>
                            <w:spacing w:val="6"/>
                            <w:sz w:val="18"/>
                            <w:szCs w:val="18"/>
                          </w:rPr>
                          <w:t>月</w:t>
                        </w:r>
                        <w:r>
                          <w:rPr>
                            <w:rFonts w:ascii="宋体" w:hAnsi="宋体" w:cs="宋体" w:eastAsia="宋体" w:hint="default"/>
                            <w:spacing w:val="6"/>
                            <w:sz w:val="18"/>
                            <w:szCs w:val="18"/>
                          </w:rPr>
                          <w:t>10</w:t>
                        </w:r>
                        <w:r>
                          <w:rPr>
                            <w:rFonts w:ascii="宋体" w:hAnsi="宋体" w:cs="宋体" w:eastAsia="宋体" w:hint="default"/>
                            <w:spacing w:val="6"/>
                            <w:sz w:val="18"/>
                            <w:szCs w:val="18"/>
                          </w:rPr>
                          <w:t>日、</w:t>
                        </w:r>
                        <w:r>
                          <w:rPr>
                            <w:rFonts w:ascii="宋体" w:hAnsi="宋体" w:cs="宋体" w:eastAsia="宋体" w:hint="default"/>
                            <w:spacing w:val="-72"/>
                            <w:sz w:val="18"/>
                            <w:szCs w:val="18"/>
                          </w:rPr>
                          <w:t> </w:t>
                        </w:r>
                        <w:r>
                          <w:rPr>
                            <w:rFonts w:ascii="宋体" w:hAnsi="宋体" w:cs="宋体" w:eastAsia="宋体" w:hint="default"/>
                            <w:spacing w:val="5"/>
                            <w:sz w:val="18"/>
                            <w:szCs w:val="18"/>
                          </w:rPr>
                          <w:t>2019</w:t>
                        </w:r>
                        <w:r>
                          <w:rPr>
                            <w:rFonts w:ascii="宋体" w:hAnsi="宋体" w:cs="宋体" w:eastAsia="宋体" w:hint="default"/>
                            <w:spacing w:val="5"/>
                            <w:sz w:val="18"/>
                            <w:szCs w:val="18"/>
                          </w:rPr>
                          <w:t>年</w:t>
                        </w:r>
                        <w:r>
                          <w:rPr>
                            <w:rFonts w:ascii="宋体" w:hAnsi="宋体" w:cs="宋体" w:eastAsia="宋体" w:hint="default"/>
                            <w:spacing w:val="5"/>
                            <w:sz w:val="18"/>
                            <w:szCs w:val="18"/>
                          </w:rPr>
                          <w:t>9</w:t>
                        </w:r>
                        <w:r>
                          <w:rPr>
                            <w:rFonts w:ascii="宋体" w:hAnsi="宋体" w:cs="宋体" w:eastAsia="宋体" w:hint="default"/>
                            <w:spacing w:val="5"/>
                            <w:sz w:val="18"/>
                            <w:szCs w:val="18"/>
                          </w:rPr>
                          <w:t>月</w:t>
                        </w:r>
                        <w:r>
                          <w:rPr>
                            <w:rFonts w:ascii="宋体" w:hAnsi="宋体" w:cs="宋体" w:eastAsia="宋体" w:hint="default"/>
                            <w:spacing w:val="5"/>
                            <w:sz w:val="18"/>
                            <w:szCs w:val="18"/>
                          </w:rPr>
                          <w:t>12</w:t>
                        </w:r>
                        <w:r>
                          <w:rPr>
                            <w:rFonts w:ascii="宋体" w:hAnsi="宋体" w:cs="宋体" w:eastAsia="宋体" w:hint="default"/>
                            <w:spacing w:val="5"/>
                            <w:sz w:val="18"/>
                            <w:szCs w:val="18"/>
                          </w:rPr>
                          <w:t>日、</w:t>
                        </w:r>
                        <w:r>
                          <w:rPr>
                            <w:rFonts w:ascii="宋体" w:hAnsi="宋体" w:cs="宋体" w:eastAsia="宋体" w:hint="default"/>
                            <w:spacing w:val="-72"/>
                            <w:sz w:val="18"/>
                            <w:szCs w:val="18"/>
                          </w:rPr>
                          <w:t> </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9</w:t>
                        </w:r>
                        <w:r>
                          <w:rPr>
                            <w:rFonts w:ascii="宋体" w:hAnsi="宋体" w:cs="宋体" w:eastAsia="宋体" w:hint="default"/>
                            <w:spacing w:val="-86"/>
                            <w:sz w:val="18"/>
                            <w:szCs w:val="18"/>
                          </w:rPr>
                          <w:t> </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10</w:t>
                        </w:r>
                        <w:r>
                          <w:rPr>
                            <w:rFonts w:ascii="宋体" w:hAnsi="宋体" w:cs="宋体" w:eastAsia="宋体" w:hint="default"/>
                            <w:sz w:val="18"/>
                            <w:szCs w:val="18"/>
                          </w:rPr>
                          <w:t>日、</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宋体" w:hAnsi="宋体" w:cs="宋体" w:eastAsia="宋体" w:hint="default"/>
                            <w:sz w:val="18"/>
                            <w:szCs w:val="18"/>
                          </w:rPr>
                          <w:t>17</w:t>
                        </w:r>
                        <w:r>
                          <w:rPr>
                            <w:rFonts w:ascii="宋体" w:hAnsi="宋体" w:cs="宋体" w:eastAsia="宋体" w:hint="default"/>
                            <w:sz w:val="18"/>
                            <w:szCs w:val="18"/>
                          </w:rPr>
                          <w:t>日、</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4</w:t>
                        </w:r>
                        <w:r>
                          <w:rPr>
                            <w:rFonts w:ascii="宋体" w:hAnsi="宋体" w:cs="宋体" w:eastAsia="宋体" w:hint="default"/>
                            <w:sz w:val="18"/>
                            <w:szCs w:val="18"/>
                          </w:rPr>
                          <w:t>日</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right="13"/>
                          <w:jc w:val="both"/>
                          <w:rPr>
                            <w:rFonts w:ascii="宋体" w:hAnsi="宋体" w:cs="宋体" w:eastAsia="宋体" w:hint="default"/>
                            <w:sz w:val="18"/>
                            <w:szCs w:val="18"/>
                          </w:rPr>
                        </w:pPr>
                        <w:r>
                          <w:rPr>
                            <w:rFonts w:ascii="宋体" w:hAnsi="宋体" w:cs="宋体" w:eastAsia="宋体" w:hint="default"/>
                            <w:spacing w:val="-4"/>
                            <w:sz w:val="18"/>
                            <w:szCs w:val="18"/>
                          </w:rPr>
                          <w:t>披露媒体：《证券时报》、《中国证券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及</w:t>
                        </w:r>
                        <w:r>
                          <w:rPr>
                            <w:rFonts w:ascii="宋体" w:hAnsi="宋体" w:cs="宋体" w:eastAsia="宋体" w:hint="default"/>
                            <w:spacing w:val="-60"/>
                            <w:sz w:val="18"/>
                            <w:szCs w:val="18"/>
                          </w:rPr>
                          <w:t> </w:t>
                        </w:r>
                        <w:r>
                          <w:rPr>
                            <w:rFonts w:ascii="宋体" w:hAnsi="宋体" w:cs="宋体" w:eastAsia="宋体" w:hint="default"/>
                            <w:sz w:val="18"/>
                            <w:szCs w:val="18"/>
                          </w:rPr>
                          <w:t>巨</w:t>
                        </w:r>
                        <w:r>
                          <w:rPr>
                            <w:rFonts w:ascii="宋体" w:hAnsi="宋体" w:cs="宋体" w:eastAsia="宋体" w:hint="default"/>
                            <w:spacing w:val="-45"/>
                            <w:sz w:val="18"/>
                            <w:szCs w:val="18"/>
                          </w:rPr>
                          <w:t> </w:t>
                        </w:r>
                        <w:r>
                          <w:rPr>
                            <w:rFonts w:ascii="宋体" w:hAnsi="宋体" w:cs="宋体" w:eastAsia="宋体" w:hint="default"/>
                            <w:sz w:val="18"/>
                            <w:szCs w:val="18"/>
                          </w:rPr>
                          <w:t>潮</w:t>
                        </w:r>
                        <w:r>
                          <w:rPr>
                            <w:rFonts w:ascii="宋体" w:hAnsi="宋体" w:cs="宋体" w:eastAsia="宋体" w:hint="default"/>
                            <w:spacing w:val="-60"/>
                            <w:sz w:val="18"/>
                            <w:szCs w:val="18"/>
                          </w:rPr>
                          <w:t> </w:t>
                        </w:r>
                        <w:r>
                          <w:rPr>
                            <w:rFonts w:ascii="宋体" w:hAnsi="宋体" w:cs="宋体" w:eastAsia="宋体" w:hint="default"/>
                            <w:sz w:val="18"/>
                            <w:szCs w:val="18"/>
                          </w:rPr>
                          <w:t>资</w:t>
                        </w:r>
                        <w:r>
                          <w:rPr>
                            <w:rFonts w:ascii="宋体" w:hAnsi="宋体" w:cs="宋体" w:eastAsia="宋体" w:hint="default"/>
                            <w:spacing w:val="-45"/>
                            <w:sz w:val="18"/>
                            <w:szCs w:val="18"/>
                          </w:rPr>
                          <w:t> </w:t>
                        </w:r>
                        <w:r>
                          <w:rPr>
                            <w:rFonts w:ascii="宋体" w:hAnsi="宋体" w:cs="宋体" w:eastAsia="宋体" w:hint="default"/>
                            <w:sz w:val="18"/>
                            <w:szCs w:val="18"/>
                          </w:rPr>
                          <w:t>讯</w:t>
                        </w:r>
                        <w:r>
                          <w:rPr>
                            <w:rFonts w:ascii="宋体" w:hAnsi="宋体" w:cs="宋体" w:eastAsia="宋体" w:hint="default"/>
                            <w:spacing w:val="-60"/>
                            <w:sz w:val="18"/>
                            <w:szCs w:val="18"/>
                          </w:rPr>
                          <w:t> </w:t>
                        </w:r>
                        <w:r>
                          <w:rPr>
                            <w:rFonts w:ascii="宋体" w:hAnsi="宋体" w:cs="宋体" w:eastAsia="宋体" w:hint="default"/>
                            <w:sz w:val="18"/>
                            <w:szCs w:val="18"/>
                          </w:rPr>
                          <w:t>网</w:t>
                        </w:r>
                        <w:r>
                          <w:rPr>
                            <w:rFonts w:ascii="宋体" w:hAnsi="宋体" w:cs="宋体" w:eastAsia="宋体" w:hint="default"/>
                            <w:spacing w:val="-45"/>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pacing w:val="-45"/>
                            <w:sz w:val="18"/>
                            <w:szCs w:val="18"/>
                          </w:rPr>
                          <w:t> </w:t>
                        </w:r>
                        <w:r>
                          <w:rPr>
                            <w:rFonts w:ascii="宋体" w:hAnsi="宋体" w:cs="宋体" w:eastAsia="宋体" w:hint="default"/>
                            <w:sz w:val="18"/>
                            <w:szCs w:val="18"/>
                          </w:rPr>
                          <w:t>告</w:t>
                        </w:r>
                        <w:r>
                          <w:rPr>
                            <w:rFonts w:ascii="宋体" w:hAnsi="宋体" w:cs="宋体" w:eastAsia="宋体" w:hint="default"/>
                            <w:spacing w:val="-60"/>
                            <w:sz w:val="18"/>
                            <w:szCs w:val="18"/>
                          </w:rPr>
                          <w:t> </w:t>
                        </w:r>
                        <w:r>
                          <w:rPr>
                            <w:rFonts w:ascii="宋体" w:hAnsi="宋体" w:cs="宋体" w:eastAsia="宋体" w:hint="default"/>
                            <w:sz w:val="18"/>
                            <w:szCs w:val="18"/>
                          </w:rPr>
                          <w:t>编</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2019-029</w:t>
                        </w:r>
                        <w:r>
                          <w:rPr>
                            <w:rFonts w:ascii="宋体" w:hAnsi="宋体" w:cs="宋体" w:eastAsia="宋体" w:hint="default"/>
                            <w:spacing w:val="-30"/>
                            <w:sz w:val="18"/>
                            <w:szCs w:val="18"/>
                          </w:rPr>
                          <w:t> </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2019-030</w:t>
                        </w:r>
                        <w:r>
                          <w:rPr>
                            <w:rFonts w:ascii="宋体" w:hAnsi="宋体" w:cs="宋体" w:eastAsia="宋体" w:hint="default"/>
                            <w:spacing w:val="-30"/>
                            <w:sz w:val="18"/>
                            <w:szCs w:val="18"/>
                          </w:rPr>
                          <w:t> </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2019-063</w:t>
                        </w:r>
                        <w:r>
                          <w:rPr>
                            <w:rFonts w:ascii="宋体" w:hAnsi="宋体" w:cs="宋体" w:eastAsia="宋体" w:hint="default"/>
                            <w:spacing w:val="-30"/>
                            <w:sz w:val="18"/>
                            <w:szCs w:val="18"/>
                          </w:rPr>
                          <w:t> </w:t>
                        </w:r>
                        <w:r>
                          <w:rPr>
                            <w:rFonts w:ascii="宋体" w:hAnsi="宋体" w:cs="宋体" w:eastAsia="宋体" w:hint="default"/>
                            <w:sz w:val="18"/>
                            <w:szCs w:val="18"/>
                          </w:rPr>
                          <w:t>、</w:t>
                        </w:r>
                      </w:p>
                      <w:p>
                        <w:pPr>
                          <w:pStyle w:val="TableParagraph"/>
                          <w:spacing w:line="240" w:lineRule="auto" w:before="24"/>
                          <w:ind w:right="0"/>
                          <w:jc w:val="both"/>
                          <w:rPr>
                            <w:rFonts w:ascii="宋体" w:hAnsi="宋体" w:cs="宋体" w:eastAsia="宋体" w:hint="default"/>
                            <w:sz w:val="18"/>
                            <w:szCs w:val="18"/>
                          </w:rPr>
                        </w:pPr>
                        <w:r>
                          <w:rPr>
                            <w:rFonts w:ascii="宋体" w:hAnsi="宋体" w:cs="宋体" w:eastAsia="宋体" w:hint="default"/>
                            <w:sz w:val="18"/>
                            <w:szCs w:val="18"/>
                          </w:rPr>
                          <w:t>2019-083</w:t>
                        </w:r>
                        <w:r>
                          <w:rPr>
                            <w:rFonts w:ascii="宋体" w:hAnsi="宋体" w:cs="宋体" w:eastAsia="宋体" w:hint="default"/>
                            <w:spacing w:val="-30"/>
                            <w:sz w:val="18"/>
                            <w:szCs w:val="18"/>
                          </w:rPr>
                          <w:t> </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2019-102</w:t>
                        </w:r>
                        <w:r>
                          <w:rPr>
                            <w:rFonts w:ascii="宋体" w:hAnsi="宋体" w:cs="宋体" w:eastAsia="宋体" w:hint="default"/>
                            <w:spacing w:val="-30"/>
                            <w:sz w:val="18"/>
                            <w:szCs w:val="18"/>
                          </w:rPr>
                          <w:t> </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2019-103</w:t>
                        </w:r>
                        <w:r>
                          <w:rPr>
                            <w:rFonts w:ascii="宋体" w:hAnsi="宋体" w:cs="宋体" w:eastAsia="宋体" w:hint="default"/>
                            <w:spacing w:val="-30"/>
                            <w:sz w:val="18"/>
                            <w:szCs w:val="18"/>
                          </w:rPr>
                          <w:t> </w:t>
                        </w:r>
                        <w:r>
                          <w:rPr>
                            <w:rFonts w:ascii="宋体" w:hAnsi="宋体" w:cs="宋体" w:eastAsia="宋体" w:hint="default"/>
                            <w:sz w:val="18"/>
                            <w:szCs w:val="18"/>
                          </w:rPr>
                          <w:t>、</w:t>
                        </w:r>
                      </w:p>
                      <w:p>
                        <w:pPr>
                          <w:pStyle w:val="TableParagraph"/>
                          <w:spacing w:line="240" w:lineRule="auto" w:before="80"/>
                          <w:ind w:right="0"/>
                          <w:jc w:val="both"/>
                          <w:rPr>
                            <w:rFonts w:ascii="宋体" w:hAnsi="宋体" w:cs="宋体" w:eastAsia="宋体" w:hint="default"/>
                            <w:sz w:val="18"/>
                            <w:szCs w:val="18"/>
                          </w:rPr>
                        </w:pPr>
                        <w:r>
                          <w:rPr>
                            <w:rFonts w:ascii="宋体" w:hAnsi="宋体" w:cs="宋体" w:eastAsia="宋体" w:hint="default"/>
                            <w:sz w:val="18"/>
                            <w:szCs w:val="18"/>
                          </w:rPr>
                          <w:t>2019-105</w:t>
                        </w:r>
                        <w:r>
                          <w:rPr>
                            <w:rFonts w:ascii="宋体" w:hAnsi="宋体" w:cs="宋体" w:eastAsia="宋体" w:hint="default"/>
                            <w:sz w:val="18"/>
                            <w:szCs w:val="18"/>
                          </w:rPr>
                          <w:t>、</w:t>
                        </w:r>
                        <w:r>
                          <w:rPr>
                            <w:rFonts w:ascii="宋体" w:hAnsi="宋体" w:cs="宋体" w:eastAsia="宋体" w:hint="default"/>
                            <w:sz w:val="18"/>
                            <w:szCs w:val="18"/>
                          </w:rPr>
                          <w:t>2019-121</w:t>
                        </w:r>
                        <w:r>
                          <w:rPr>
                            <w:rFonts w:ascii="宋体" w:hAnsi="宋体" w:cs="宋体" w:eastAsia="宋体" w:hint="default"/>
                            <w:sz w:val="18"/>
                            <w:szCs w:val="18"/>
                          </w:rPr>
                          <w:t>、</w:t>
                        </w:r>
                        <w:r>
                          <w:rPr>
                            <w:rFonts w:ascii="宋体" w:hAnsi="宋体" w:cs="宋体" w:eastAsia="宋体" w:hint="default"/>
                            <w:sz w:val="18"/>
                            <w:szCs w:val="18"/>
                          </w:rPr>
                          <w:t>2020-005</w:t>
                        </w:r>
                      </w:p>
                    </w:tc>
                  </w:tr>
                  <w:tr>
                    <w:trPr>
                      <w:trHeight w:val="97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4</w:t>
                        </w:r>
                        <w:r>
                          <w:rPr>
                            <w:rFonts w:ascii="宋体" w:hAnsi="宋体" w:cs="宋体" w:eastAsia="宋体" w:hint="default"/>
                            <w:sz w:val="18"/>
                            <w:szCs w:val="18"/>
                          </w:rPr>
                          <w:t>）清理资金占用事项</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5"/>
                          <w:jc w:val="left"/>
                          <w:rPr>
                            <w:rFonts w:ascii="宋体" w:hAnsi="宋体" w:cs="宋体" w:eastAsia="宋体" w:hint="default"/>
                            <w:sz w:val="18"/>
                            <w:szCs w:val="18"/>
                          </w:rPr>
                        </w:pPr>
                        <w:r>
                          <w:rPr>
                            <w:rFonts w:ascii="宋体" w:hAnsi="宋体" w:cs="宋体" w:eastAsia="宋体" w:hint="default"/>
                            <w:spacing w:val="5"/>
                            <w:sz w:val="18"/>
                            <w:szCs w:val="18"/>
                          </w:rPr>
                          <w:t>2019</w:t>
                        </w:r>
                        <w:r>
                          <w:rPr>
                            <w:rFonts w:ascii="宋体" w:hAnsi="宋体" w:cs="宋体" w:eastAsia="宋体" w:hint="default"/>
                            <w:spacing w:val="5"/>
                            <w:sz w:val="18"/>
                            <w:szCs w:val="18"/>
                          </w:rPr>
                          <w:t>年</w:t>
                        </w:r>
                        <w:r>
                          <w:rPr>
                            <w:rFonts w:ascii="宋体" w:hAnsi="宋体" w:cs="宋体" w:eastAsia="宋体" w:hint="default"/>
                            <w:spacing w:val="5"/>
                            <w:sz w:val="18"/>
                            <w:szCs w:val="18"/>
                          </w:rPr>
                          <w:t>4</w:t>
                        </w:r>
                        <w:r>
                          <w:rPr>
                            <w:rFonts w:ascii="宋体" w:hAnsi="宋体" w:cs="宋体" w:eastAsia="宋体" w:hint="default"/>
                            <w:spacing w:val="5"/>
                            <w:sz w:val="18"/>
                            <w:szCs w:val="18"/>
                          </w:rPr>
                          <w:t>月</w:t>
                        </w:r>
                        <w:r>
                          <w:rPr>
                            <w:rFonts w:ascii="宋体" w:hAnsi="宋体" w:cs="宋体" w:eastAsia="宋体" w:hint="default"/>
                            <w:spacing w:val="5"/>
                            <w:sz w:val="18"/>
                            <w:szCs w:val="18"/>
                          </w:rPr>
                          <w:t>23</w:t>
                        </w:r>
                        <w:r>
                          <w:rPr>
                            <w:rFonts w:ascii="宋体" w:hAnsi="宋体" w:cs="宋体" w:eastAsia="宋体" w:hint="default"/>
                            <w:spacing w:val="5"/>
                            <w:sz w:val="18"/>
                            <w:szCs w:val="18"/>
                          </w:rPr>
                          <w:t>日、</w:t>
                        </w:r>
                        <w:r>
                          <w:rPr>
                            <w:rFonts w:ascii="宋体" w:hAnsi="宋体" w:cs="宋体" w:eastAsia="宋体" w:hint="default"/>
                            <w:spacing w:val="-74"/>
                            <w:sz w:val="18"/>
                            <w:szCs w:val="18"/>
                          </w:rPr>
                          <w:t> </w:t>
                        </w:r>
                        <w:r>
                          <w:rPr>
                            <w:rFonts w:ascii="宋体" w:hAnsi="宋体" w:cs="宋体" w:eastAsia="宋体" w:hint="default"/>
                            <w:spacing w:val="6"/>
                            <w:sz w:val="18"/>
                            <w:szCs w:val="18"/>
                          </w:rPr>
                          <w:t>2019</w:t>
                        </w:r>
                        <w:r>
                          <w:rPr>
                            <w:rFonts w:ascii="宋体" w:hAnsi="宋体" w:cs="宋体" w:eastAsia="宋体" w:hint="default"/>
                            <w:spacing w:val="6"/>
                            <w:sz w:val="18"/>
                            <w:szCs w:val="18"/>
                          </w:rPr>
                          <w:t>年</w:t>
                        </w:r>
                        <w:r>
                          <w:rPr>
                            <w:rFonts w:ascii="宋体" w:hAnsi="宋体" w:cs="宋体" w:eastAsia="宋体" w:hint="default"/>
                            <w:spacing w:val="6"/>
                            <w:sz w:val="18"/>
                            <w:szCs w:val="18"/>
                          </w:rPr>
                          <w:t>7</w:t>
                        </w:r>
                        <w:r>
                          <w:rPr>
                            <w:rFonts w:ascii="宋体" w:hAnsi="宋体" w:cs="宋体" w:eastAsia="宋体" w:hint="default"/>
                            <w:spacing w:val="6"/>
                            <w:sz w:val="18"/>
                            <w:szCs w:val="18"/>
                          </w:rPr>
                          <w:t>月</w:t>
                        </w:r>
                        <w:r>
                          <w:rPr>
                            <w:rFonts w:ascii="宋体" w:hAnsi="宋体" w:cs="宋体" w:eastAsia="宋体" w:hint="default"/>
                            <w:spacing w:val="6"/>
                            <w:sz w:val="18"/>
                            <w:szCs w:val="18"/>
                          </w:rPr>
                          <w:t>2</w:t>
                        </w:r>
                        <w:r>
                          <w:rPr>
                            <w:rFonts w:ascii="宋体" w:hAnsi="宋体" w:cs="宋体" w:eastAsia="宋体" w:hint="default"/>
                            <w:spacing w:val="6"/>
                            <w:sz w:val="18"/>
                            <w:szCs w:val="18"/>
                          </w:rPr>
                          <w:t>日、</w:t>
                        </w:r>
                        <w:r>
                          <w:rPr>
                            <w:rFonts w:ascii="宋体" w:hAnsi="宋体" w:cs="宋体" w:eastAsia="宋体" w:hint="default"/>
                            <w:spacing w:val="-74"/>
                            <w:sz w:val="18"/>
                            <w:szCs w:val="18"/>
                          </w:rPr>
                          <w:t> </w:t>
                        </w:r>
                        <w:r>
                          <w:rPr>
                            <w:rFonts w:ascii="宋体" w:hAnsi="宋体" w:cs="宋体" w:eastAsia="宋体" w:hint="default"/>
                            <w:sz w:val="18"/>
                            <w:szCs w:val="18"/>
                          </w:rPr>
                          <w:t>2019 </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3"/>
                          <w:jc w:val="both"/>
                          <w:rPr>
                            <w:rFonts w:ascii="宋体" w:hAnsi="宋体" w:cs="宋体" w:eastAsia="宋体" w:hint="default"/>
                            <w:sz w:val="18"/>
                            <w:szCs w:val="18"/>
                          </w:rPr>
                        </w:pPr>
                        <w:r>
                          <w:rPr>
                            <w:rFonts w:ascii="宋体" w:hAnsi="宋体" w:cs="宋体" w:eastAsia="宋体" w:hint="default"/>
                            <w:spacing w:val="-4"/>
                            <w:sz w:val="18"/>
                            <w:szCs w:val="18"/>
                          </w:rPr>
                          <w:t>披露媒体：《证券时报》、《中国证券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及</w:t>
                        </w:r>
                        <w:r>
                          <w:rPr>
                            <w:rFonts w:ascii="宋体" w:hAnsi="宋体" w:cs="宋体" w:eastAsia="宋体" w:hint="default"/>
                            <w:spacing w:val="-60"/>
                            <w:sz w:val="18"/>
                            <w:szCs w:val="18"/>
                          </w:rPr>
                          <w:t> </w:t>
                        </w:r>
                        <w:r>
                          <w:rPr>
                            <w:rFonts w:ascii="宋体" w:hAnsi="宋体" w:cs="宋体" w:eastAsia="宋体" w:hint="default"/>
                            <w:sz w:val="18"/>
                            <w:szCs w:val="18"/>
                          </w:rPr>
                          <w:t>巨</w:t>
                        </w:r>
                        <w:r>
                          <w:rPr>
                            <w:rFonts w:ascii="宋体" w:hAnsi="宋体" w:cs="宋体" w:eastAsia="宋体" w:hint="default"/>
                            <w:spacing w:val="-45"/>
                            <w:sz w:val="18"/>
                            <w:szCs w:val="18"/>
                          </w:rPr>
                          <w:t> </w:t>
                        </w:r>
                        <w:r>
                          <w:rPr>
                            <w:rFonts w:ascii="宋体" w:hAnsi="宋体" w:cs="宋体" w:eastAsia="宋体" w:hint="default"/>
                            <w:sz w:val="18"/>
                            <w:szCs w:val="18"/>
                          </w:rPr>
                          <w:t>潮</w:t>
                        </w:r>
                        <w:r>
                          <w:rPr>
                            <w:rFonts w:ascii="宋体" w:hAnsi="宋体" w:cs="宋体" w:eastAsia="宋体" w:hint="default"/>
                            <w:spacing w:val="-60"/>
                            <w:sz w:val="18"/>
                            <w:szCs w:val="18"/>
                          </w:rPr>
                          <w:t> </w:t>
                        </w:r>
                        <w:r>
                          <w:rPr>
                            <w:rFonts w:ascii="宋体" w:hAnsi="宋体" w:cs="宋体" w:eastAsia="宋体" w:hint="default"/>
                            <w:sz w:val="18"/>
                            <w:szCs w:val="18"/>
                          </w:rPr>
                          <w:t>资</w:t>
                        </w:r>
                        <w:r>
                          <w:rPr>
                            <w:rFonts w:ascii="宋体" w:hAnsi="宋体" w:cs="宋体" w:eastAsia="宋体" w:hint="default"/>
                            <w:spacing w:val="-45"/>
                            <w:sz w:val="18"/>
                            <w:szCs w:val="18"/>
                          </w:rPr>
                          <w:t> </w:t>
                        </w:r>
                        <w:r>
                          <w:rPr>
                            <w:rFonts w:ascii="宋体" w:hAnsi="宋体" w:cs="宋体" w:eastAsia="宋体" w:hint="default"/>
                            <w:sz w:val="18"/>
                            <w:szCs w:val="18"/>
                          </w:rPr>
                          <w:t>讯</w:t>
                        </w:r>
                        <w:r>
                          <w:rPr>
                            <w:rFonts w:ascii="宋体" w:hAnsi="宋体" w:cs="宋体" w:eastAsia="宋体" w:hint="default"/>
                            <w:spacing w:val="-60"/>
                            <w:sz w:val="18"/>
                            <w:szCs w:val="18"/>
                          </w:rPr>
                          <w:t> </w:t>
                        </w:r>
                        <w:r>
                          <w:rPr>
                            <w:rFonts w:ascii="宋体" w:hAnsi="宋体" w:cs="宋体" w:eastAsia="宋体" w:hint="default"/>
                            <w:sz w:val="18"/>
                            <w:szCs w:val="18"/>
                          </w:rPr>
                          <w:t>网</w:t>
                        </w:r>
                        <w:r>
                          <w:rPr>
                            <w:rFonts w:ascii="宋体" w:hAnsi="宋体" w:cs="宋体" w:eastAsia="宋体" w:hint="default"/>
                            <w:spacing w:val="-45"/>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pacing w:val="-45"/>
                            <w:sz w:val="18"/>
                            <w:szCs w:val="18"/>
                          </w:rPr>
                          <w:t> </w:t>
                        </w:r>
                        <w:r>
                          <w:rPr>
                            <w:rFonts w:ascii="宋体" w:hAnsi="宋体" w:cs="宋体" w:eastAsia="宋体" w:hint="default"/>
                            <w:sz w:val="18"/>
                            <w:szCs w:val="18"/>
                          </w:rPr>
                          <w:t>告</w:t>
                        </w:r>
                        <w:r>
                          <w:rPr>
                            <w:rFonts w:ascii="宋体" w:hAnsi="宋体" w:cs="宋体" w:eastAsia="宋体" w:hint="default"/>
                            <w:spacing w:val="-60"/>
                            <w:sz w:val="18"/>
                            <w:szCs w:val="18"/>
                          </w:rPr>
                          <w:t> </w:t>
                        </w:r>
                        <w:r>
                          <w:rPr>
                            <w:rFonts w:ascii="宋体" w:hAnsi="宋体" w:cs="宋体" w:eastAsia="宋体" w:hint="default"/>
                            <w:sz w:val="18"/>
                            <w:szCs w:val="18"/>
                          </w:rPr>
                          <w:t>编</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2019-051</w:t>
                        </w:r>
                        <w:r>
                          <w:rPr>
                            <w:rFonts w:ascii="宋体" w:hAnsi="宋体" w:cs="宋体" w:eastAsia="宋体" w:hint="default"/>
                            <w:sz w:val="18"/>
                            <w:szCs w:val="18"/>
                          </w:rPr>
                          <w:t>、</w:t>
                        </w:r>
                        <w:r>
                          <w:rPr>
                            <w:rFonts w:ascii="宋体" w:hAnsi="宋体" w:cs="宋体" w:eastAsia="宋体" w:hint="default"/>
                            <w:sz w:val="18"/>
                            <w:szCs w:val="18"/>
                          </w:rPr>
                          <w:t>2019-082</w:t>
                        </w:r>
                        <w:r>
                          <w:rPr>
                            <w:rFonts w:ascii="宋体" w:hAnsi="宋体" w:cs="宋体" w:eastAsia="宋体" w:hint="default"/>
                            <w:sz w:val="18"/>
                            <w:szCs w:val="18"/>
                          </w:rPr>
                          <w:t>、</w:t>
                        </w:r>
                        <w:r>
                          <w:rPr>
                            <w:rFonts w:ascii="宋体" w:hAnsi="宋体" w:cs="宋体" w:eastAsia="宋体" w:hint="default"/>
                            <w:sz w:val="18"/>
                            <w:szCs w:val="18"/>
                          </w:rPr>
                          <w:t>2019-099</w:t>
                        </w:r>
                      </w:p>
                    </w:tc>
                  </w:tr>
                  <w:tr>
                    <w:trPr>
                      <w:trHeight w:val="66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5</w:t>
                        </w:r>
                        <w:r>
                          <w:rPr>
                            <w:rFonts w:ascii="宋体" w:hAnsi="宋体" w:cs="宋体" w:eastAsia="宋体" w:hint="default"/>
                            <w:sz w:val="18"/>
                            <w:szCs w:val="18"/>
                          </w:rPr>
                          <w:t>）闲置募集资金暂时补 充流动资金</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0"/>
                          <w:jc w:val="left"/>
                          <w:rPr>
                            <w:rFonts w:ascii="宋体" w:hAnsi="宋体" w:cs="宋体" w:eastAsia="宋体" w:hint="default"/>
                            <w:sz w:val="18"/>
                            <w:szCs w:val="18"/>
                          </w:rPr>
                        </w:pPr>
                        <w:r>
                          <w:rPr>
                            <w:rFonts w:ascii="宋体" w:hAnsi="宋体" w:cs="宋体" w:eastAsia="宋体" w:hint="default"/>
                            <w:spacing w:val="-4"/>
                            <w:sz w:val="18"/>
                            <w:szCs w:val="18"/>
                          </w:rPr>
                          <w:t>披露媒体：《证券时报》、《中国证券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报》及巨潮资讯网；公告编号：</w:t>
                        </w:r>
                        <w:r>
                          <w:rPr>
                            <w:rFonts w:ascii="宋体" w:hAnsi="宋体" w:cs="宋体" w:eastAsia="宋体" w:hint="default"/>
                            <w:spacing w:val="-11"/>
                            <w:sz w:val="18"/>
                            <w:szCs w:val="18"/>
                          </w:rPr>
                          <w:t>2019-068</w:t>
                        </w:r>
                      </w:p>
                    </w:tc>
                  </w:tr>
                  <w:tr>
                    <w:trPr>
                      <w:trHeight w:val="6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6</w:t>
                        </w:r>
                        <w:r>
                          <w:rPr>
                            <w:rFonts w:ascii="宋体" w:hAnsi="宋体" w:cs="宋体" w:eastAsia="宋体" w:hint="default"/>
                            <w:sz w:val="18"/>
                            <w:szCs w:val="18"/>
                          </w:rPr>
                          <w:t>）转让参股公司部分股 权</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0"/>
                          <w:jc w:val="left"/>
                          <w:rPr>
                            <w:rFonts w:ascii="宋体" w:hAnsi="宋体" w:cs="宋体" w:eastAsia="宋体" w:hint="default"/>
                            <w:sz w:val="18"/>
                            <w:szCs w:val="18"/>
                          </w:rPr>
                        </w:pPr>
                        <w:r>
                          <w:rPr>
                            <w:rFonts w:ascii="宋体" w:hAnsi="宋体" w:cs="宋体" w:eastAsia="宋体" w:hint="default"/>
                            <w:spacing w:val="-4"/>
                            <w:sz w:val="18"/>
                            <w:szCs w:val="18"/>
                          </w:rPr>
                          <w:t>披露媒体：《证券时报》、《中国证券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报》及巨潮资讯网；公告编号：</w:t>
                        </w:r>
                        <w:r>
                          <w:rPr>
                            <w:rFonts w:ascii="宋体" w:hAnsi="宋体" w:cs="宋体" w:eastAsia="宋体" w:hint="default"/>
                            <w:spacing w:val="-11"/>
                            <w:sz w:val="18"/>
                            <w:szCs w:val="18"/>
                          </w:rPr>
                          <w:t>2019-069</w:t>
                        </w:r>
                      </w:p>
                    </w:tc>
                  </w:tr>
                  <w:tr>
                    <w:trPr>
                      <w:trHeight w:val="66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right="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7</w:t>
                        </w:r>
                        <w:r>
                          <w:rPr>
                            <w:rFonts w:ascii="宋体" w:hAnsi="宋体" w:cs="宋体" w:eastAsia="宋体" w:hint="default"/>
                            <w:sz w:val="18"/>
                            <w:szCs w:val="18"/>
                          </w:rPr>
                          <w:t>）终止发行股份购买资 产事项</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right="0"/>
                          <w:jc w:val="left"/>
                          <w:rPr>
                            <w:rFonts w:ascii="宋体" w:hAnsi="宋体" w:cs="宋体" w:eastAsia="宋体" w:hint="default"/>
                            <w:sz w:val="18"/>
                            <w:szCs w:val="18"/>
                          </w:rPr>
                        </w:pPr>
                        <w:r>
                          <w:rPr>
                            <w:rFonts w:ascii="宋体" w:hAnsi="宋体" w:cs="宋体" w:eastAsia="宋体" w:hint="default"/>
                            <w:spacing w:val="-4"/>
                            <w:sz w:val="18"/>
                            <w:szCs w:val="18"/>
                          </w:rPr>
                          <w:t>披露媒体：《证券时报》、《中国证券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报》及巨潮资讯网；公告编号：</w:t>
                        </w:r>
                        <w:r>
                          <w:rPr>
                            <w:rFonts w:ascii="宋体" w:hAnsi="宋体" w:cs="宋体" w:eastAsia="宋体" w:hint="default"/>
                            <w:spacing w:val="-11"/>
                            <w:sz w:val="18"/>
                            <w:szCs w:val="18"/>
                          </w:rPr>
                          <w:t>2019-070</w:t>
                        </w:r>
                      </w:p>
                    </w:tc>
                  </w:tr>
                  <w:tr>
                    <w:trPr>
                      <w:trHeight w:val="97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right="1"/>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8</w:t>
                        </w:r>
                        <w:r>
                          <w:rPr>
                            <w:rFonts w:ascii="宋体" w:hAnsi="宋体" w:cs="宋体" w:eastAsia="宋体" w:hint="default"/>
                            <w:sz w:val="18"/>
                            <w:szCs w:val="18"/>
                          </w:rPr>
                          <w:t>）回购股份延期及实施 结果</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11</w:t>
                        </w: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right="13"/>
                          <w:jc w:val="both"/>
                          <w:rPr>
                            <w:rFonts w:ascii="宋体" w:hAnsi="宋体" w:cs="宋体" w:eastAsia="宋体" w:hint="default"/>
                            <w:sz w:val="18"/>
                            <w:szCs w:val="18"/>
                          </w:rPr>
                        </w:pPr>
                        <w:r>
                          <w:rPr>
                            <w:rFonts w:ascii="宋体" w:hAnsi="宋体" w:cs="宋体" w:eastAsia="宋体" w:hint="default"/>
                            <w:spacing w:val="-4"/>
                            <w:sz w:val="18"/>
                            <w:szCs w:val="18"/>
                          </w:rPr>
                          <w:t>披露媒体：《证券时报》、《中国证券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及</w:t>
                        </w:r>
                        <w:r>
                          <w:rPr>
                            <w:rFonts w:ascii="宋体" w:hAnsi="宋体" w:cs="宋体" w:eastAsia="宋体" w:hint="default"/>
                            <w:spacing w:val="-60"/>
                            <w:sz w:val="18"/>
                            <w:szCs w:val="18"/>
                          </w:rPr>
                          <w:t> </w:t>
                        </w:r>
                        <w:r>
                          <w:rPr>
                            <w:rFonts w:ascii="宋体" w:hAnsi="宋体" w:cs="宋体" w:eastAsia="宋体" w:hint="default"/>
                            <w:sz w:val="18"/>
                            <w:szCs w:val="18"/>
                          </w:rPr>
                          <w:t>巨</w:t>
                        </w:r>
                        <w:r>
                          <w:rPr>
                            <w:rFonts w:ascii="宋体" w:hAnsi="宋体" w:cs="宋体" w:eastAsia="宋体" w:hint="default"/>
                            <w:spacing w:val="-45"/>
                            <w:sz w:val="18"/>
                            <w:szCs w:val="18"/>
                          </w:rPr>
                          <w:t> </w:t>
                        </w:r>
                        <w:r>
                          <w:rPr>
                            <w:rFonts w:ascii="宋体" w:hAnsi="宋体" w:cs="宋体" w:eastAsia="宋体" w:hint="default"/>
                            <w:sz w:val="18"/>
                            <w:szCs w:val="18"/>
                          </w:rPr>
                          <w:t>潮</w:t>
                        </w:r>
                        <w:r>
                          <w:rPr>
                            <w:rFonts w:ascii="宋体" w:hAnsi="宋体" w:cs="宋体" w:eastAsia="宋体" w:hint="default"/>
                            <w:spacing w:val="-60"/>
                            <w:sz w:val="18"/>
                            <w:szCs w:val="18"/>
                          </w:rPr>
                          <w:t> </w:t>
                        </w:r>
                        <w:r>
                          <w:rPr>
                            <w:rFonts w:ascii="宋体" w:hAnsi="宋体" w:cs="宋体" w:eastAsia="宋体" w:hint="default"/>
                            <w:sz w:val="18"/>
                            <w:szCs w:val="18"/>
                          </w:rPr>
                          <w:t>资</w:t>
                        </w:r>
                        <w:r>
                          <w:rPr>
                            <w:rFonts w:ascii="宋体" w:hAnsi="宋体" w:cs="宋体" w:eastAsia="宋体" w:hint="default"/>
                            <w:spacing w:val="-45"/>
                            <w:sz w:val="18"/>
                            <w:szCs w:val="18"/>
                          </w:rPr>
                          <w:t> </w:t>
                        </w:r>
                        <w:r>
                          <w:rPr>
                            <w:rFonts w:ascii="宋体" w:hAnsi="宋体" w:cs="宋体" w:eastAsia="宋体" w:hint="default"/>
                            <w:sz w:val="18"/>
                            <w:szCs w:val="18"/>
                          </w:rPr>
                          <w:t>讯</w:t>
                        </w:r>
                        <w:r>
                          <w:rPr>
                            <w:rFonts w:ascii="宋体" w:hAnsi="宋体" w:cs="宋体" w:eastAsia="宋体" w:hint="default"/>
                            <w:spacing w:val="-60"/>
                            <w:sz w:val="18"/>
                            <w:szCs w:val="18"/>
                          </w:rPr>
                          <w:t> </w:t>
                        </w:r>
                        <w:r>
                          <w:rPr>
                            <w:rFonts w:ascii="宋体" w:hAnsi="宋体" w:cs="宋体" w:eastAsia="宋体" w:hint="default"/>
                            <w:sz w:val="18"/>
                            <w:szCs w:val="18"/>
                          </w:rPr>
                          <w:t>网</w:t>
                        </w:r>
                        <w:r>
                          <w:rPr>
                            <w:rFonts w:ascii="宋体" w:hAnsi="宋体" w:cs="宋体" w:eastAsia="宋体" w:hint="default"/>
                            <w:spacing w:val="-45"/>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pacing w:val="-45"/>
                            <w:sz w:val="18"/>
                            <w:szCs w:val="18"/>
                          </w:rPr>
                          <w:t> </w:t>
                        </w:r>
                        <w:r>
                          <w:rPr>
                            <w:rFonts w:ascii="宋体" w:hAnsi="宋体" w:cs="宋体" w:eastAsia="宋体" w:hint="default"/>
                            <w:sz w:val="18"/>
                            <w:szCs w:val="18"/>
                          </w:rPr>
                          <w:t>告</w:t>
                        </w:r>
                        <w:r>
                          <w:rPr>
                            <w:rFonts w:ascii="宋体" w:hAnsi="宋体" w:cs="宋体" w:eastAsia="宋体" w:hint="default"/>
                            <w:spacing w:val="-60"/>
                            <w:sz w:val="18"/>
                            <w:szCs w:val="18"/>
                          </w:rPr>
                          <w:t> </w:t>
                        </w:r>
                        <w:r>
                          <w:rPr>
                            <w:rFonts w:ascii="宋体" w:hAnsi="宋体" w:cs="宋体" w:eastAsia="宋体" w:hint="default"/>
                            <w:sz w:val="18"/>
                            <w:szCs w:val="18"/>
                          </w:rPr>
                          <w:t>编</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2019-071</w:t>
                        </w:r>
                        <w:r>
                          <w:rPr>
                            <w:rFonts w:ascii="宋体" w:hAnsi="宋体" w:cs="宋体" w:eastAsia="宋体" w:hint="default"/>
                            <w:sz w:val="18"/>
                            <w:szCs w:val="18"/>
                          </w:rPr>
                          <w:t>、</w:t>
                        </w:r>
                        <w:r>
                          <w:rPr>
                            <w:rFonts w:ascii="宋体" w:hAnsi="宋体" w:cs="宋体" w:eastAsia="宋体" w:hint="default"/>
                            <w:sz w:val="18"/>
                            <w:szCs w:val="18"/>
                          </w:rPr>
                          <w:t>2019-119</w:t>
                        </w:r>
                      </w:p>
                    </w:tc>
                  </w:tr>
                  <w:tr>
                    <w:trPr>
                      <w:trHeight w:val="660"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9</w:t>
                        </w:r>
                        <w:r>
                          <w:rPr>
                            <w:rFonts w:ascii="宋体" w:hAnsi="宋体" w:cs="宋体" w:eastAsia="宋体" w:hint="default"/>
                            <w:sz w:val="18"/>
                            <w:szCs w:val="18"/>
                          </w:rPr>
                          <w:t>）参股公司科创板上市</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22</w:t>
                        </w:r>
                        <w:r>
                          <w:rPr>
                            <w:rFonts w:ascii="宋体" w:hAnsi="宋体" w:cs="宋体" w:eastAsia="宋体" w:hint="default"/>
                            <w:sz w:val="18"/>
                            <w:szCs w:val="18"/>
                          </w:rPr>
                          <w:t>日</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0"/>
                          <w:jc w:val="left"/>
                          <w:rPr>
                            <w:rFonts w:ascii="宋体" w:hAnsi="宋体" w:cs="宋体" w:eastAsia="宋体" w:hint="default"/>
                            <w:sz w:val="18"/>
                            <w:szCs w:val="18"/>
                          </w:rPr>
                        </w:pPr>
                        <w:r>
                          <w:rPr>
                            <w:rFonts w:ascii="宋体" w:hAnsi="宋体" w:cs="宋体" w:eastAsia="宋体" w:hint="default"/>
                            <w:spacing w:val="-4"/>
                            <w:sz w:val="18"/>
                            <w:szCs w:val="18"/>
                          </w:rPr>
                          <w:t>披露媒体：《证券时报》、《中国证券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报》及巨潮资讯网；公告编号：</w:t>
                        </w:r>
                        <w:r>
                          <w:rPr>
                            <w:rFonts w:ascii="宋体" w:hAnsi="宋体" w:cs="宋体" w:eastAsia="宋体" w:hint="default"/>
                            <w:spacing w:val="-11"/>
                            <w:sz w:val="18"/>
                            <w:szCs w:val="18"/>
                          </w:rPr>
                          <w:t>2019-084</w:t>
                        </w:r>
                      </w:p>
                    </w:tc>
                  </w:tr>
                  <w:tr>
                    <w:trPr>
                      <w:trHeight w:val="64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10</w:t>
                        </w:r>
                        <w:r>
                          <w:rPr>
                            <w:rFonts w:ascii="宋体" w:hAnsi="宋体" w:cs="宋体" w:eastAsia="宋体" w:hint="default"/>
                            <w:sz w:val="18"/>
                            <w:szCs w:val="18"/>
                          </w:rPr>
                          <w:t>）责令整改事项</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27</w:t>
                        </w:r>
                        <w:r>
                          <w:rPr>
                            <w:rFonts w:ascii="宋体" w:hAnsi="宋体" w:cs="宋体" w:eastAsia="宋体" w:hint="default"/>
                            <w:sz w:val="18"/>
                            <w:szCs w:val="18"/>
                          </w:rPr>
                          <w:t>日</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0"/>
                          <w:jc w:val="left"/>
                          <w:rPr>
                            <w:rFonts w:ascii="宋体" w:hAnsi="宋体" w:cs="宋体" w:eastAsia="宋体" w:hint="default"/>
                            <w:sz w:val="18"/>
                            <w:szCs w:val="18"/>
                          </w:rPr>
                        </w:pPr>
                        <w:r>
                          <w:rPr>
                            <w:rFonts w:ascii="宋体" w:hAnsi="宋体" w:cs="宋体" w:eastAsia="宋体" w:hint="default"/>
                            <w:spacing w:val="-4"/>
                            <w:sz w:val="18"/>
                            <w:szCs w:val="18"/>
                          </w:rPr>
                          <w:t>披露媒体：《证券时报》、《中国证券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报》及巨潮资讯网；公告编号：</w:t>
                        </w:r>
                        <w:r>
                          <w:rPr>
                            <w:rFonts w:ascii="宋体" w:hAnsi="宋体" w:cs="宋体" w:eastAsia="宋体" w:hint="default"/>
                            <w:spacing w:val="-11"/>
                            <w:sz w:val="18"/>
                            <w:szCs w:val="18"/>
                          </w:rPr>
                          <w:t>2019-087</w:t>
                        </w:r>
                      </w:p>
                    </w:tc>
                  </w:tr>
                  <w:tr>
                    <w:trPr>
                      <w:trHeight w:val="976"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2"/>
                          <w:jc w:val="left"/>
                          <w:rPr>
                            <w:rFonts w:ascii="宋体" w:hAnsi="宋体" w:cs="宋体" w:eastAsia="宋体" w:hint="default"/>
                            <w:sz w:val="18"/>
                            <w:szCs w:val="18"/>
                          </w:rPr>
                        </w:pPr>
                        <w:r>
                          <w:rPr>
                            <w:rFonts w:ascii="宋体" w:hAnsi="宋体" w:cs="宋体" w:eastAsia="宋体" w:hint="default"/>
                            <w:spacing w:val="7"/>
                            <w:sz w:val="18"/>
                            <w:szCs w:val="18"/>
                          </w:rPr>
                          <w:t>（注</w:t>
                        </w:r>
                        <w:r>
                          <w:rPr>
                            <w:rFonts w:ascii="宋体" w:hAnsi="宋体" w:cs="宋体" w:eastAsia="宋体" w:hint="default"/>
                            <w:spacing w:val="7"/>
                            <w:sz w:val="18"/>
                            <w:szCs w:val="18"/>
                          </w:rPr>
                          <w:t>11</w:t>
                        </w:r>
                        <w:r>
                          <w:rPr>
                            <w:rFonts w:ascii="宋体" w:hAnsi="宋体" w:cs="宋体" w:eastAsia="宋体" w:hint="default"/>
                            <w:spacing w:val="7"/>
                            <w:sz w:val="18"/>
                            <w:szCs w:val="18"/>
                          </w:rPr>
                          <w:t>）签订战略合作框架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协议及设立全资子公司</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w:t>
                        </w:r>
                        <w:r>
                          <w:rPr>
                            <w:rFonts w:ascii="宋体" w:hAnsi="宋体" w:cs="宋体" w:eastAsia="宋体" w:hint="default"/>
                            <w:sz w:val="18"/>
                            <w:szCs w:val="18"/>
                          </w:rPr>
                          <w:t>日、</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3"/>
                          <w:jc w:val="both"/>
                          <w:rPr>
                            <w:rFonts w:ascii="宋体" w:hAnsi="宋体" w:cs="宋体" w:eastAsia="宋体" w:hint="default"/>
                            <w:sz w:val="18"/>
                            <w:szCs w:val="18"/>
                          </w:rPr>
                        </w:pPr>
                        <w:r>
                          <w:rPr>
                            <w:rFonts w:ascii="宋体" w:hAnsi="宋体" w:cs="宋体" w:eastAsia="宋体" w:hint="default"/>
                            <w:spacing w:val="-4"/>
                            <w:sz w:val="18"/>
                            <w:szCs w:val="18"/>
                          </w:rPr>
                          <w:t>披露媒体：《证券时报》、《中国证券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及</w:t>
                        </w:r>
                        <w:r>
                          <w:rPr>
                            <w:rFonts w:ascii="宋体" w:hAnsi="宋体" w:cs="宋体" w:eastAsia="宋体" w:hint="default"/>
                            <w:spacing w:val="-60"/>
                            <w:sz w:val="18"/>
                            <w:szCs w:val="18"/>
                          </w:rPr>
                          <w:t> </w:t>
                        </w:r>
                        <w:r>
                          <w:rPr>
                            <w:rFonts w:ascii="宋体" w:hAnsi="宋体" w:cs="宋体" w:eastAsia="宋体" w:hint="default"/>
                            <w:sz w:val="18"/>
                            <w:szCs w:val="18"/>
                          </w:rPr>
                          <w:t>巨</w:t>
                        </w:r>
                        <w:r>
                          <w:rPr>
                            <w:rFonts w:ascii="宋体" w:hAnsi="宋体" w:cs="宋体" w:eastAsia="宋体" w:hint="default"/>
                            <w:spacing w:val="-45"/>
                            <w:sz w:val="18"/>
                            <w:szCs w:val="18"/>
                          </w:rPr>
                          <w:t> </w:t>
                        </w:r>
                        <w:r>
                          <w:rPr>
                            <w:rFonts w:ascii="宋体" w:hAnsi="宋体" w:cs="宋体" w:eastAsia="宋体" w:hint="default"/>
                            <w:sz w:val="18"/>
                            <w:szCs w:val="18"/>
                          </w:rPr>
                          <w:t>潮</w:t>
                        </w:r>
                        <w:r>
                          <w:rPr>
                            <w:rFonts w:ascii="宋体" w:hAnsi="宋体" w:cs="宋体" w:eastAsia="宋体" w:hint="default"/>
                            <w:spacing w:val="-60"/>
                            <w:sz w:val="18"/>
                            <w:szCs w:val="18"/>
                          </w:rPr>
                          <w:t> </w:t>
                        </w:r>
                        <w:r>
                          <w:rPr>
                            <w:rFonts w:ascii="宋体" w:hAnsi="宋体" w:cs="宋体" w:eastAsia="宋体" w:hint="default"/>
                            <w:sz w:val="18"/>
                            <w:szCs w:val="18"/>
                          </w:rPr>
                          <w:t>资</w:t>
                        </w:r>
                        <w:r>
                          <w:rPr>
                            <w:rFonts w:ascii="宋体" w:hAnsi="宋体" w:cs="宋体" w:eastAsia="宋体" w:hint="default"/>
                            <w:spacing w:val="-45"/>
                            <w:sz w:val="18"/>
                            <w:szCs w:val="18"/>
                          </w:rPr>
                          <w:t> </w:t>
                        </w:r>
                        <w:r>
                          <w:rPr>
                            <w:rFonts w:ascii="宋体" w:hAnsi="宋体" w:cs="宋体" w:eastAsia="宋体" w:hint="default"/>
                            <w:sz w:val="18"/>
                            <w:szCs w:val="18"/>
                          </w:rPr>
                          <w:t>讯</w:t>
                        </w:r>
                        <w:r>
                          <w:rPr>
                            <w:rFonts w:ascii="宋体" w:hAnsi="宋体" w:cs="宋体" w:eastAsia="宋体" w:hint="default"/>
                            <w:spacing w:val="-60"/>
                            <w:sz w:val="18"/>
                            <w:szCs w:val="18"/>
                          </w:rPr>
                          <w:t> </w:t>
                        </w:r>
                        <w:r>
                          <w:rPr>
                            <w:rFonts w:ascii="宋体" w:hAnsi="宋体" w:cs="宋体" w:eastAsia="宋体" w:hint="default"/>
                            <w:sz w:val="18"/>
                            <w:szCs w:val="18"/>
                          </w:rPr>
                          <w:t>网</w:t>
                        </w:r>
                        <w:r>
                          <w:rPr>
                            <w:rFonts w:ascii="宋体" w:hAnsi="宋体" w:cs="宋体" w:eastAsia="宋体" w:hint="default"/>
                            <w:spacing w:val="-45"/>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pacing w:val="-45"/>
                            <w:sz w:val="18"/>
                            <w:szCs w:val="18"/>
                          </w:rPr>
                          <w:t> </w:t>
                        </w:r>
                        <w:r>
                          <w:rPr>
                            <w:rFonts w:ascii="宋体" w:hAnsi="宋体" w:cs="宋体" w:eastAsia="宋体" w:hint="default"/>
                            <w:sz w:val="18"/>
                            <w:szCs w:val="18"/>
                          </w:rPr>
                          <w:t>告</w:t>
                        </w:r>
                        <w:r>
                          <w:rPr>
                            <w:rFonts w:ascii="宋体" w:hAnsi="宋体" w:cs="宋体" w:eastAsia="宋体" w:hint="default"/>
                            <w:spacing w:val="-60"/>
                            <w:sz w:val="18"/>
                            <w:szCs w:val="18"/>
                          </w:rPr>
                          <w:t> </w:t>
                        </w:r>
                        <w:r>
                          <w:rPr>
                            <w:rFonts w:ascii="宋体" w:hAnsi="宋体" w:cs="宋体" w:eastAsia="宋体" w:hint="default"/>
                            <w:sz w:val="18"/>
                            <w:szCs w:val="18"/>
                          </w:rPr>
                          <w:t>编</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2019-120</w:t>
                        </w:r>
                        <w:r>
                          <w:rPr>
                            <w:rFonts w:ascii="宋体" w:hAnsi="宋体" w:cs="宋体" w:eastAsia="宋体" w:hint="default"/>
                            <w:sz w:val="18"/>
                            <w:szCs w:val="18"/>
                          </w:rPr>
                          <w:t>、</w:t>
                        </w:r>
                        <w:r>
                          <w:rPr>
                            <w:rFonts w:ascii="宋体" w:hAnsi="宋体" w:cs="宋体" w:eastAsia="宋体" w:hint="default"/>
                            <w:sz w:val="18"/>
                            <w:szCs w:val="18"/>
                          </w:rPr>
                          <w:t>2019-122</w:t>
                        </w:r>
                      </w:p>
                    </w:tc>
                  </w:tr>
                  <w:tr>
                    <w:trPr>
                      <w:trHeight w:val="1291"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12"/>
                          <w:jc w:val="left"/>
                          <w:rPr>
                            <w:rFonts w:ascii="宋体" w:hAnsi="宋体" w:cs="宋体" w:eastAsia="宋体" w:hint="default"/>
                            <w:sz w:val="18"/>
                            <w:szCs w:val="18"/>
                          </w:rPr>
                        </w:pPr>
                        <w:r>
                          <w:rPr>
                            <w:rFonts w:ascii="宋体" w:hAnsi="宋体" w:cs="宋体" w:eastAsia="宋体" w:hint="default"/>
                            <w:spacing w:val="7"/>
                            <w:sz w:val="18"/>
                            <w:szCs w:val="18"/>
                          </w:rPr>
                          <w:t>（注</w:t>
                        </w:r>
                        <w:r>
                          <w:rPr>
                            <w:rFonts w:ascii="宋体" w:hAnsi="宋体" w:cs="宋体" w:eastAsia="宋体" w:hint="default"/>
                            <w:spacing w:val="7"/>
                            <w:sz w:val="18"/>
                            <w:szCs w:val="18"/>
                          </w:rPr>
                          <w:t>12</w:t>
                        </w:r>
                        <w:r>
                          <w:rPr>
                            <w:rFonts w:ascii="宋体" w:hAnsi="宋体" w:cs="宋体" w:eastAsia="宋体" w:hint="default"/>
                            <w:spacing w:val="7"/>
                            <w:sz w:val="18"/>
                            <w:szCs w:val="18"/>
                          </w:rPr>
                          <w:t>）董事会、监事会换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届选举</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7</w:t>
                        </w:r>
                        <w:r>
                          <w:rPr>
                            <w:rFonts w:ascii="宋体" w:hAnsi="宋体" w:cs="宋体" w:eastAsia="宋体" w:hint="default"/>
                            <w:spacing w:val="-3"/>
                            <w:sz w:val="18"/>
                            <w:szCs w:val="18"/>
                          </w:rPr>
                          <w:t>月</w:t>
                        </w:r>
                        <w:r>
                          <w:rPr>
                            <w:rFonts w:ascii="宋体" w:hAnsi="宋体" w:cs="宋体" w:eastAsia="宋体" w:hint="default"/>
                            <w:spacing w:val="-3"/>
                            <w:sz w:val="18"/>
                            <w:szCs w:val="18"/>
                          </w:rPr>
                          <w:t>27</w:t>
                        </w:r>
                        <w:r>
                          <w:rPr>
                            <w:rFonts w:ascii="宋体" w:hAnsi="宋体" w:cs="宋体" w:eastAsia="宋体" w:hint="default"/>
                            <w:spacing w:val="-3"/>
                            <w:sz w:val="18"/>
                            <w:szCs w:val="18"/>
                          </w:rPr>
                          <w:t>日、</w:t>
                        </w:r>
                        <w:r>
                          <w:rPr>
                            <w:rFonts w:ascii="宋体" w:hAnsi="宋体" w:cs="宋体" w:eastAsia="宋体" w:hint="default"/>
                            <w:spacing w:val="-3"/>
                            <w:sz w:val="18"/>
                            <w:szCs w:val="18"/>
                          </w:rPr>
                          <w:t>2019</w:t>
                        </w:r>
                        <w:r>
                          <w:rPr>
                            <w:rFonts w:ascii="宋体" w:hAnsi="宋体" w:cs="宋体" w:eastAsia="宋体" w:hint="default"/>
                            <w:spacing w:val="-3"/>
                            <w:sz w:val="18"/>
                            <w:szCs w:val="18"/>
                          </w:rPr>
                          <w:t>年</w:t>
                        </w:r>
                        <w:r>
                          <w:rPr>
                            <w:rFonts w:ascii="宋体" w:hAnsi="宋体" w:cs="宋体" w:eastAsia="宋体" w:hint="default"/>
                            <w:spacing w:val="-3"/>
                            <w:sz w:val="18"/>
                            <w:szCs w:val="18"/>
                          </w:rPr>
                          <w:t>12</w:t>
                        </w:r>
                        <w:r>
                          <w:rPr>
                            <w:rFonts w:ascii="宋体" w:hAnsi="宋体" w:cs="宋体" w:eastAsia="宋体" w:hint="default"/>
                            <w:spacing w:val="-3"/>
                            <w:sz w:val="18"/>
                            <w:szCs w:val="18"/>
                          </w:rPr>
                          <w:t>月</w:t>
                        </w:r>
                        <w:r>
                          <w:rPr>
                            <w:rFonts w:ascii="宋体" w:hAnsi="宋体" w:cs="宋体" w:eastAsia="宋体" w:hint="default"/>
                            <w:spacing w:val="-3"/>
                            <w:sz w:val="18"/>
                            <w:szCs w:val="18"/>
                          </w:rPr>
                          <w:t>24</w:t>
                        </w:r>
                        <w:r>
                          <w:rPr>
                            <w:rFonts w:ascii="宋体" w:hAnsi="宋体" w:cs="宋体" w:eastAsia="宋体" w:hint="default"/>
                            <w:spacing w:val="-3"/>
                            <w:sz w:val="18"/>
                            <w:szCs w:val="18"/>
                          </w:rPr>
                          <w:t>日、</w:t>
                        </w:r>
                        <w:r>
                          <w:rPr>
                            <w:rFonts w:ascii="宋体" w:hAnsi="宋体" w:cs="宋体" w:eastAsia="宋体" w:hint="default"/>
                            <w:spacing w:val="-3"/>
                            <w:sz w:val="18"/>
                            <w:szCs w:val="18"/>
                          </w:rPr>
                          <w:t>2020</w:t>
                        </w:r>
                      </w:p>
                      <w:p>
                        <w:pPr>
                          <w:pStyle w:val="TableParagraph"/>
                          <w:spacing w:line="240" w:lineRule="auto" w:before="80"/>
                          <w:ind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5"/>
                          <w:ind w:right="13"/>
                          <w:jc w:val="both"/>
                          <w:rPr>
                            <w:rFonts w:ascii="宋体" w:hAnsi="宋体" w:cs="宋体" w:eastAsia="宋体" w:hint="default"/>
                            <w:sz w:val="18"/>
                            <w:szCs w:val="18"/>
                          </w:rPr>
                        </w:pPr>
                        <w:r>
                          <w:rPr>
                            <w:rFonts w:ascii="宋体" w:hAnsi="宋体" w:cs="宋体" w:eastAsia="宋体" w:hint="default"/>
                            <w:spacing w:val="-4"/>
                            <w:sz w:val="18"/>
                            <w:szCs w:val="18"/>
                          </w:rPr>
                          <w:t>披露媒体：《证券时报》、《中国证券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及</w:t>
                        </w:r>
                        <w:r>
                          <w:rPr>
                            <w:rFonts w:ascii="宋体" w:hAnsi="宋体" w:cs="宋体" w:eastAsia="宋体" w:hint="default"/>
                            <w:spacing w:val="-60"/>
                            <w:sz w:val="18"/>
                            <w:szCs w:val="18"/>
                          </w:rPr>
                          <w:t> </w:t>
                        </w:r>
                        <w:r>
                          <w:rPr>
                            <w:rFonts w:ascii="宋体" w:hAnsi="宋体" w:cs="宋体" w:eastAsia="宋体" w:hint="default"/>
                            <w:sz w:val="18"/>
                            <w:szCs w:val="18"/>
                          </w:rPr>
                          <w:t>巨</w:t>
                        </w:r>
                        <w:r>
                          <w:rPr>
                            <w:rFonts w:ascii="宋体" w:hAnsi="宋体" w:cs="宋体" w:eastAsia="宋体" w:hint="default"/>
                            <w:spacing w:val="-45"/>
                            <w:sz w:val="18"/>
                            <w:szCs w:val="18"/>
                          </w:rPr>
                          <w:t> </w:t>
                        </w:r>
                        <w:r>
                          <w:rPr>
                            <w:rFonts w:ascii="宋体" w:hAnsi="宋体" w:cs="宋体" w:eastAsia="宋体" w:hint="default"/>
                            <w:sz w:val="18"/>
                            <w:szCs w:val="18"/>
                          </w:rPr>
                          <w:t>潮</w:t>
                        </w:r>
                        <w:r>
                          <w:rPr>
                            <w:rFonts w:ascii="宋体" w:hAnsi="宋体" w:cs="宋体" w:eastAsia="宋体" w:hint="default"/>
                            <w:spacing w:val="-60"/>
                            <w:sz w:val="18"/>
                            <w:szCs w:val="18"/>
                          </w:rPr>
                          <w:t> </w:t>
                        </w:r>
                        <w:r>
                          <w:rPr>
                            <w:rFonts w:ascii="宋体" w:hAnsi="宋体" w:cs="宋体" w:eastAsia="宋体" w:hint="default"/>
                            <w:sz w:val="18"/>
                            <w:szCs w:val="18"/>
                          </w:rPr>
                          <w:t>资</w:t>
                        </w:r>
                        <w:r>
                          <w:rPr>
                            <w:rFonts w:ascii="宋体" w:hAnsi="宋体" w:cs="宋体" w:eastAsia="宋体" w:hint="default"/>
                            <w:spacing w:val="-45"/>
                            <w:sz w:val="18"/>
                            <w:szCs w:val="18"/>
                          </w:rPr>
                          <w:t> </w:t>
                        </w:r>
                        <w:r>
                          <w:rPr>
                            <w:rFonts w:ascii="宋体" w:hAnsi="宋体" w:cs="宋体" w:eastAsia="宋体" w:hint="default"/>
                            <w:sz w:val="18"/>
                            <w:szCs w:val="18"/>
                          </w:rPr>
                          <w:t>讯</w:t>
                        </w:r>
                        <w:r>
                          <w:rPr>
                            <w:rFonts w:ascii="宋体" w:hAnsi="宋体" w:cs="宋体" w:eastAsia="宋体" w:hint="default"/>
                            <w:spacing w:val="-60"/>
                            <w:sz w:val="18"/>
                            <w:szCs w:val="18"/>
                          </w:rPr>
                          <w:t> </w:t>
                        </w:r>
                        <w:r>
                          <w:rPr>
                            <w:rFonts w:ascii="宋体" w:hAnsi="宋体" w:cs="宋体" w:eastAsia="宋体" w:hint="default"/>
                            <w:sz w:val="18"/>
                            <w:szCs w:val="18"/>
                          </w:rPr>
                          <w:t>网</w:t>
                        </w:r>
                        <w:r>
                          <w:rPr>
                            <w:rFonts w:ascii="宋体" w:hAnsi="宋体" w:cs="宋体" w:eastAsia="宋体" w:hint="default"/>
                            <w:spacing w:val="-45"/>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公</w:t>
                        </w:r>
                        <w:r>
                          <w:rPr>
                            <w:rFonts w:ascii="宋体" w:hAnsi="宋体" w:cs="宋体" w:eastAsia="宋体" w:hint="default"/>
                            <w:spacing w:val="-45"/>
                            <w:sz w:val="18"/>
                            <w:szCs w:val="18"/>
                          </w:rPr>
                          <w:t> </w:t>
                        </w:r>
                        <w:r>
                          <w:rPr>
                            <w:rFonts w:ascii="宋体" w:hAnsi="宋体" w:cs="宋体" w:eastAsia="宋体" w:hint="default"/>
                            <w:sz w:val="18"/>
                            <w:szCs w:val="18"/>
                          </w:rPr>
                          <w:t>告</w:t>
                        </w:r>
                        <w:r>
                          <w:rPr>
                            <w:rFonts w:ascii="宋体" w:hAnsi="宋体" w:cs="宋体" w:eastAsia="宋体" w:hint="default"/>
                            <w:spacing w:val="-60"/>
                            <w:sz w:val="18"/>
                            <w:szCs w:val="18"/>
                          </w:rPr>
                          <w:t> </w:t>
                        </w:r>
                        <w:r>
                          <w:rPr>
                            <w:rFonts w:ascii="宋体" w:hAnsi="宋体" w:cs="宋体" w:eastAsia="宋体" w:hint="default"/>
                            <w:sz w:val="18"/>
                            <w:szCs w:val="18"/>
                          </w:rPr>
                          <w:t>编</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z w:val="18"/>
                            <w:szCs w:val="18"/>
                          </w:rPr>
                          <w:t> </w:t>
                        </w:r>
                        <w:r>
                          <w:rPr>
                            <w:rFonts w:ascii="宋体" w:hAnsi="宋体" w:cs="宋体" w:eastAsia="宋体" w:hint="default"/>
                            <w:sz w:val="18"/>
                            <w:szCs w:val="18"/>
                          </w:rPr>
                          <w:t>2019-088</w:t>
                        </w:r>
                        <w:r>
                          <w:rPr>
                            <w:rFonts w:ascii="宋体" w:hAnsi="宋体" w:cs="宋体" w:eastAsia="宋体" w:hint="default"/>
                            <w:spacing w:val="-30"/>
                            <w:sz w:val="18"/>
                            <w:szCs w:val="18"/>
                          </w:rPr>
                          <w:t> </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2019-089</w:t>
                        </w:r>
                        <w:r>
                          <w:rPr>
                            <w:rFonts w:ascii="宋体" w:hAnsi="宋体" w:cs="宋体" w:eastAsia="宋体" w:hint="default"/>
                            <w:spacing w:val="-30"/>
                            <w:sz w:val="18"/>
                            <w:szCs w:val="18"/>
                          </w:rPr>
                          <w:t> </w:t>
                        </w:r>
                        <w:r>
                          <w:rPr>
                            <w:rFonts w:ascii="宋体" w:hAnsi="宋体" w:cs="宋体" w:eastAsia="宋体" w:hint="default"/>
                            <w:sz w:val="18"/>
                            <w:szCs w:val="18"/>
                          </w:rPr>
                          <w:t>、</w:t>
                        </w:r>
                        <w:r>
                          <w:rPr>
                            <w:rFonts w:ascii="宋体" w:hAnsi="宋体" w:cs="宋体" w:eastAsia="宋体" w:hint="default"/>
                            <w:spacing w:val="-30"/>
                            <w:sz w:val="18"/>
                            <w:szCs w:val="18"/>
                          </w:rPr>
                          <w:t> </w:t>
                        </w:r>
                        <w:r>
                          <w:rPr>
                            <w:rFonts w:ascii="宋体" w:hAnsi="宋体" w:cs="宋体" w:eastAsia="宋体" w:hint="default"/>
                            <w:sz w:val="18"/>
                            <w:szCs w:val="18"/>
                          </w:rPr>
                          <w:t>2019-125</w:t>
                        </w:r>
                        <w:r>
                          <w:rPr>
                            <w:rFonts w:ascii="宋体" w:hAnsi="宋体" w:cs="宋体" w:eastAsia="宋体" w:hint="default"/>
                            <w:spacing w:val="-30"/>
                            <w:sz w:val="18"/>
                            <w:szCs w:val="18"/>
                          </w:rPr>
                          <w:t> </w:t>
                        </w:r>
                        <w:r>
                          <w:rPr>
                            <w:rFonts w:ascii="宋体" w:hAnsi="宋体" w:cs="宋体" w:eastAsia="宋体" w:hint="default"/>
                            <w:sz w:val="18"/>
                            <w:szCs w:val="18"/>
                          </w:rPr>
                          <w:t>、</w:t>
                        </w:r>
                      </w:p>
                      <w:p>
                        <w:pPr>
                          <w:pStyle w:val="TableParagraph"/>
                          <w:spacing w:line="240" w:lineRule="auto" w:before="24"/>
                          <w:ind w:right="0"/>
                          <w:jc w:val="both"/>
                          <w:rPr>
                            <w:rFonts w:ascii="宋体" w:hAnsi="宋体" w:cs="宋体" w:eastAsia="宋体" w:hint="default"/>
                            <w:sz w:val="18"/>
                            <w:szCs w:val="18"/>
                          </w:rPr>
                        </w:pPr>
                        <w:r>
                          <w:rPr>
                            <w:rFonts w:ascii="宋体" w:hAnsi="宋体" w:cs="宋体" w:eastAsia="宋体" w:hint="default"/>
                            <w:sz w:val="18"/>
                            <w:szCs w:val="18"/>
                          </w:rPr>
                          <w:t>2019-126</w:t>
                        </w:r>
                        <w:r>
                          <w:rPr>
                            <w:rFonts w:ascii="宋体" w:hAnsi="宋体" w:cs="宋体" w:eastAsia="宋体" w:hint="default"/>
                            <w:sz w:val="18"/>
                            <w:szCs w:val="18"/>
                          </w:rPr>
                          <w:t>、</w:t>
                        </w:r>
                        <w:r>
                          <w:rPr>
                            <w:rFonts w:ascii="宋体" w:hAnsi="宋体" w:cs="宋体" w:eastAsia="宋体" w:hint="default"/>
                            <w:sz w:val="18"/>
                            <w:szCs w:val="18"/>
                          </w:rPr>
                          <w:t>2019-127</w:t>
                        </w:r>
                        <w:r>
                          <w:rPr>
                            <w:rFonts w:ascii="宋体" w:hAnsi="宋体" w:cs="宋体" w:eastAsia="宋体" w:hint="default"/>
                            <w:sz w:val="18"/>
                            <w:szCs w:val="18"/>
                          </w:rPr>
                          <w:t>、</w:t>
                        </w:r>
                        <w:r>
                          <w:rPr>
                            <w:rFonts w:ascii="宋体" w:hAnsi="宋体" w:cs="宋体" w:eastAsia="宋体" w:hint="default"/>
                            <w:sz w:val="18"/>
                            <w:szCs w:val="18"/>
                          </w:rPr>
                          <w:t>2020-001</w:t>
                        </w:r>
                      </w:p>
                    </w:tc>
                  </w:tr>
                </w:tbl>
                <w:p>
                  <w:pPr/>
                </w:p>
              </w:txbxContent>
            </v:textbox>
            <w10:wrap type="none"/>
          </v:shape>
        </w:pic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日，公司召开第四届董事会第四十四次会议审议通过了《关于公司换届选举第五届董事会非独立董事的议</w:t>
      </w:r>
      <w:r>
        <w:rPr/>
        <w:t> </w:t>
      </w:r>
      <w:r>
        <w:rPr>
          <w:spacing w:val="-2"/>
        </w:rPr>
        <w:t>案》和《关于公司换届选举第五届董事会独立董事的议案》，召开第四届监事会第三十四次会议审议通过了《关于公司换届</w:t>
      </w:r>
      <w:r>
        <w:rPr>
          <w:spacing w:val="-57"/>
        </w:rPr>
        <w:t> </w:t>
      </w:r>
      <w:r>
        <w:rPr>
          <w:spacing w:val="-57"/>
        </w:rPr>
      </w:r>
      <w:r>
        <w:rPr>
          <w:spacing w:val="-2"/>
        </w:rPr>
        <w:t>选举第五届监事会股东代表监事的议案》，召开职工代表大会选举出公司第五届监事会职工代表监事，并经相关股东大会审</w:t>
      </w:r>
      <w:r>
        <w:rPr>
          <w:spacing w:val="-75"/>
        </w:rPr>
        <w:t> </w:t>
      </w:r>
      <w:r>
        <w:rPr>
          <w:spacing w:val="-75"/>
        </w:rPr>
      </w:r>
      <w:r>
        <w:rPr/>
        <w:t>议通过。（注</w:t>
      </w:r>
      <w:r>
        <w:rPr>
          <w:rFonts w:ascii="Times New Roman" w:hAnsi="Times New Roman" w:cs="Times New Roman" w:eastAsia="Times New Roman" w:hint="default"/>
        </w:rPr>
        <w:t>12</w:t>
      </w:r>
      <w:r>
        <w:rPr/>
        <w:t>）</w:t>
      </w:r>
    </w:p>
    <w:p>
      <w:pPr>
        <w:spacing w:after="0" w:line="360"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0"/>
        <w:jc w:val="left"/>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3"/>
        <w:rPr>
          <w:rFonts w:ascii="宋体" w:hAnsi="宋体" w:cs="宋体" w:eastAsia="宋体" w:hint="default"/>
          <w:b/>
          <w:bCs/>
          <w:sz w:val="27"/>
          <w:szCs w:val="27"/>
        </w:rPr>
      </w:pPr>
    </w:p>
    <w:p>
      <w:pPr>
        <w:pStyle w:val="BodyText"/>
        <w:spacing w:line="348" w:lineRule="auto"/>
        <w:ind w:left="501" w:right="813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宋体" w:hAnsi="宋体" w:cs="宋体" w:eastAsia="宋体" w:hint="default"/>
        </w:rPr>
        <w:t>1</w:t>
      </w:r>
      <w:r>
        <w:rPr/>
        <w:t>、对外投资设立全资孙公司</w:t>
      </w:r>
    </w:p>
    <w:p>
      <w:pPr>
        <w:pStyle w:val="BodyText"/>
        <w:spacing w:line="367" w:lineRule="auto" w:before="43"/>
        <w:ind w:right="1105" w:firstLine="360"/>
        <w:jc w:val="both"/>
      </w:pPr>
      <w:r>
        <w:rPr>
          <w:spacing w:val="-2"/>
        </w:rPr>
        <w:t>公司的全资子公司深圳市中广物联科技有限公司为满足发展需要，推进落实公司的战略规划，出资人民币</w:t>
      </w:r>
      <w:r>
        <w:rPr>
          <w:rFonts w:ascii="宋体" w:hAnsi="宋体" w:cs="宋体" w:eastAsia="宋体" w:hint="default"/>
          <w:spacing w:val="-2"/>
        </w:rPr>
        <w:t>1000</w:t>
      </w:r>
      <w:r>
        <w:rPr>
          <w:spacing w:val="-2"/>
        </w:rPr>
        <w:t>万元在陕</w:t>
      </w:r>
      <w:r>
        <w:rPr/>
        <w:t> </w:t>
      </w:r>
      <w:r>
        <w:rPr>
          <w:spacing w:val="-2"/>
        </w:rPr>
        <w:t>西省西安市设立全资子公司——西安卓华联盛科技有限公司。公司根据实际经营需要，为了进一步配合公司的发展战略，建</w:t>
      </w:r>
      <w:r>
        <w:rPr>
          <w:spacing w:val="-73"/>
        </w:rPr>
        <w:t> </w:t>
      </w:r>
      <w:r>
        <w:rPr>
          <w:spacing w:val="-73"/>
        </w:rPr>
      </w:r>
      <w:r>
        <w:rPr>
          <w:spacing w:val="-2"/>
        </w:rPr>
        <w:t>设西安研发基地。该公司的设立将有利于公司为华为提供配套研发支持，提高公司产品研发效率和创新能力，满足多样化的</w:t>
      </w:r>
      <w:r>
        <w:rPr>
          <w:spacing w:val="-75"/>
        </w:rPr>
        <w:t> </w:t>
      </w:r>
      <w:r>
        <w:rPr>
          <w:spacing w:val="-75"/>
        </w:rPr>
      </w:r>
      <w:r>
        <w:rPr>
          <w:spacing w:val="-2"/>
        </w:rPr>
        <w:t>市场需求，并依托公司的产品研发、应用技术及产能多地域布局等优势，来更好地实施业务发展战略、加快落实公司的战略</w:t>
      </w:r>
      <w:r>
        <w:rPr>
          <w:spacing w:val="-42"/>
        </w:rPr>
        <w:t> </w:t>
      </w:r>
      <w:r>
        <w:rPr>
          <w:spacing w:val="-42"/>
        </w:rPr>
      </w:r>
      <w:r>
        <w:rPr/>
        <w:t>部署。新公司成立后将有利于公司未来整体发展及研发能力的提升，符合公司的长远规划。（注</w:t>
      </w:r>
      <w:r>
        <w:rPr>
          <w:rFonts w:ascii="宋体" w:hAnsi="宋体" w:cs="宋体" w:eastAsia="宋体" w:hint="default"/>
        </w:rPr>
        <w:t>1</w:t>
      </w:r>
      <w:r>
        <w:rPr/>
        <w:t>）</w:t>
      </w:r>
    </w:p>
    <w:p>
      <w:pPr>
        <w:pStyle w:val="BodyText"/>
        <w:spacing w:line="367" w:lineRule="auto" w:before="29"/>
        <w:ind w:left="501" w:right="1085"/>
        <w:jc w:val="left"/>
      </w:pPr>
      <w:r>
        <w:rPr>
          <w:rFonts w:ascii="宋体" w:hAnsi="宋体" w:cs="宋体" w:eastAsia="宋体" w:hint="default"/>
        </w:rPr>
        <w:t>2</w:t>
      </w:r>
      <w:r>
        <w:rPr/>
        <w:t>、公司参股公司注销 </w:t>
      </w:r>
      <w:r>
        <w:rPr>
          <w:spacing w:val="-1"/>
        </w:rPr>
        <w:t>翼智（厦门）信息科技有限公司成立于</w:t>
      </w:r>
      <w:r>
        <w:rPr>
          <w:rFonts w:ascii="宋体" w:hAnsi="宋体" w:cs="宋体" w:eastAsia="宋体" w:hint="default"/>
          <w:spacing w:val="-1"/>
        </w:rPr>
        <w:t>2016</w:t>
      </w:r>
      <w:r>
        <w:rPr>
          <w:spacing w:val="-1"/>
        </w:rPr>
        <w:t>年</w:t>
      </w:r>
      <w:r>
        <w:rPr>
          <w:rFonts w:ascii="宋体" w:hAnsi="宋体" w:cs="宋体" w:eastAsia="宋体" w:hint="default"/>
          <w:spacing w:val="-1"/>
        </w:rPr>
        <w:t>4</w:t>
      </w:r>
      <w:r>
        <w:rPr>
          <w:spacing w:val="-1"/>
        </w:rPr>
        <w:t>月，注册资本</w:t>
      </w:r>
      <w:r>
        <w:rPr>
          <w:rFonts w:ascii="宋体" w:hAnsi="宋体" w:cs="宋体" w:eastAsia="宋体" w:hint="default"/>
          <w:spacing w:val="-1"/>
        </w:rPr>
        <w:t>200</w:t>
      </w:r>
      <w:r>
        <w:rPr>
          <w:spacing w:val="-1"/>
        </w:rPr>
        <w:t>万元人民币，公司通过全资子公司深圳市翼飞投资有限</w:t>
      </w:r>
    </w:p>
    <w:p>
      <w:pPr>
        <w:pStyle w:val="BodyText"/>
        <w:spacing w:line="240" w:lineRule="auto" w:before="29"/>
        <w:ind w:right="0"/>
        <w:jc w:val="left"/>
      </w:pPr>
      <w:r>
        <w:rPr/>
        <w:t>公司持有其</w:t>
      </w:r>
      <w:r>
        <w:rPr>
          <w:rFonts w:ascii="宋体" w:hAnsi="宋体" w:cs="宋体" w:eastAsia="宋体" w:hint="default"/>
        </w:rPr>
        <w:t>40%</w:t>
      </w:r>
      <w:r>
        <w:rPr/>
        <w:t>股权，该公司已于</w:t>
      </w:r>
      <w:r>
        <w:rPr>
          <w:rFonts w:ascii="宋体" w:hAnsi="宋体" w:cs="宋体" w:eastAsia="宋体" w:hint="default"/>
        </w:rPr>
        <w:t>2019</w:t>
      </w:r>
      <w:r>
        <w:rPr/>
        <w:t>年</w:t>
      </w:r>
      <w:r>
        <w:rPr>
          <w:rFonts w:ascii="宋体" w:hAnsi="宋体" w:cs="宋体" w:eastAsia="宋体" w:hint="default"/>
        </w:rPr>
        <w:t>12</w:t>
      </w:r>
      <w:r>
        <w:rPr/>
        <w:t>月决议注销。</w:t>
      </w:r>
    </w:p>
    <w:p>
      <w:pPr>
        <w:spacing w:line="240" w:lineRule="auto" w:before="9"/>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268"/>
        <w:gridCol w:w="3124"/>
        <w:gridCol w:w="3034"/>
      </w:tblGrid>
      <w:tr>
        <w:trPr>
          <w:trHeight w:val="345" w:hRule="exact"/>
        </w:trPr>
        <w:tc>
          <w:tcPr>
            <w:tcW w:w="22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left="585" w:right="0"/>
              <w:jc w:val="left"/>
              <w:rPr>
                <w:rFonts w:ascii="宋体" w:hAnsi="宋体" w:cs="宋体" w:eastAsia="宋体" w:hint="default"/>
                <w:sz w:val="18"/>
                <w:szCs w:val="18"/>
              </w:rPr>
            </w:pPr>
            <w:r>
              <w:rPr>
                <w:rFonts w:ascii="宋体" w:hAnsi="宋体" w:cs="宋体" w:eastAsia="宋体" w:hint="default"/>
                <w:sz w:val="18"/>
                <w:szCs w:val="18"/>
              </w:rPr>
              <w:t>重要事项概述</w:t>
            </w:r>
          </w:p>
        </w:tc>
        <w:tc>
          <w:tcPr>
            <w:tcW w:w="312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14"/>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0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left="420" w:right="0"/>
              <w:jc w:val="left"/>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653"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22"/>
              <w:ind w:right="1"/>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）对外投资设立全资孙 公司</w:t>
            </w:r>
          </w:p>
        </w:tc>
        <w:tc>
          <w:tcPr>
            <w:tcW w:w="3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3034"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7"/>
              <w:ind w:right="13"/>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披露媒体：《证券时报》、《中国证券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0"/>
                <w:sz w:val="18"/>
                <w:szCs w:val="18"/>
              </w:rPr>
              <w:t>报》及巨潮资讯网；公告编号：</w:t>
            </w:r>
            <w:r>
              <w:rPr>
                <w:rFonts w:ascii="Times New Roman" w:hAnsi="Times New Roman" w:cs="Times New Roman" w:eastAsia="Times New Roman" w:hint="default"/>
                <w:spacing w:val="-10"/>
                <w:sz w:val="18"/>
                <w:szCs w:val="18"/>
              </w:rPr>
              <w:t>2019-010</w:t>
            </w:r>
          </w:p>
        </w:tc>
      </w:tr>
    </w:tbl>
    <w:p>
      <w:pPr>
        <w:spacing w:after="0" w:line="336"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left="3040" w:right="0"/>
        <w:jc w:val="left"/>
        <w:rPr>
          <w:b w:val="0"/>
          <w:bCs w:val="0"/>
        </w:rPr>
      </w:pPr>
      <w:bookmarkStart w:name="第六节股份变动及股东情况" w:id="105"/>
      <w:bookmarkEnd w:id="105"/>
      <w:r>
        <w:rPr>
          <w:b w:val="0"/>
          <w:bCs w:val="0"/>
        </w:rPr>
      </w:r>
      <w:bookmarkStart w:name="_bookmark5" w:id="106"/>
      <w:bookmarkEnd w:id="106"/>
      <w:r>
        <w:rPr>
          <w:b w:val="0"/>
          <w:bCs w:val="0"/>
        </w:rPr>
      </w:r>
      <w:r>
        <w:rPr>
          <w:spacing w:val="5"/>
        </w:rPr>
        <w:t>第六节股份变动及股东情况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股份变动情况" w:id="108"/>
      <w:bookmarkEnd w:id="108"/>
      <w:r>
        <w:rPr>
          <w:b w:val="0"/>
          <w:bCs w:val="0"/>
        </w:rPr>
      </w:r>
      <w:r>
        <w:rPr>
          <w:rFonts w:ascii="Times New Roman" w:hAnsi="Times New Roman" w:cs="Times New Roman" w:eastAsia="Times New Roman" w:hint="default"/>
          <w:spacing w:val="4"/>
        </w:rPr>
        <w:t>1</w:t>
      </w:r>
      <w:r>
        <w:rPr>
          <w:spacing w:val="4"/>
        </w:rPr>
        <w:t>、股份变动情况</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222"/>
        <w:gridCol w:w="819"/>
        <w:gridCol w:w="826"/>
        <w:gridCol w:w="826"/>
        <w:gridCol w:w="826"/>
        <w:gridCol w:w="826"/>
        <w:gridCol w:w="811"/>
        <w:gridCol w:w="826"/>
        <w:gridCol w:w="796"/>
        <w:gridCol w:w="796"/>
      </w:tblGrid>
      <w:tr>
        <w:trPr>
          <w:trHeight w:val="405"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6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222" w:type="dxa"/>
            <w:vMerge w:val="restart"/>
            <w:tcBorders>
              <w:top w:val="nil" w:sz="6" w:space="0" w:color="auto"/>
              <w:left w:val="single" w:sz="6" w:space="0" w:color="000000"/>
              <w:right w:val="single" w:sz="6" w:space="0" w:color="000000"/>
            </w:tcBorders>
            <w:shd w:val="clear" w:color="auto" w:fill="D2D2D2"/>
          </w:tcPr>
          <w:p>
            <w:pPr/>
          </w:p>
        </w:tc>
        <w:tc>
          <w:tcPr>
            <w:tcW w:w="819"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99" w:right="5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95" w:hRule="exact"/>
        </w:trPr>
        <w:tc>
          <w:tcPr>
            <w:tcW w:w="2222" w:type="dxa"/>
            <w:vMerge/>
            <w:tcBorders>
              <w:left w:val="single" w:sz="6" w:space="0" w:color="000000"/>
              <w:bottom w:val="nil" w:sz="6" w:space="0" w:color="auto"/>
              <w:right w:val="single" w:sz="6" w:space="0" w:color="000000"/>
            </w:tcBorders>
            <w:shd w:val="clear" w:color="auto" w:fill="D2D2D2"/>
          </w:tcPr>
          <w:p>
            <w:pPr/>
          </w:p>
        </w:tc>
        <w:tc>
          <w:tcPr>
            <w:tcW w:w="81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6" w:type="dxa"/>
            <w:vMerge/>
            <w:tcBorders>
              <w:left w:val="single" w:sz="6" w:space="0" w:color="000000"/>
              <w:right w:val="single" w:sz="6" w:space="0" w:color="000000"/>
            </w:tcBorders>
            <w:shd w:val="clear" w:color="auto" w:fill="D2D2D2"/>
          </w:tcPr>
          <w:p>
            <w:pPr/>
          </w:p>
        </w:tc>
        <w:tc>
          <w:tcPr>
            <w:tcW w:w="81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5" w:hRule="exact"/>
        </w:trPr>
        <w:tc>
          <w:tcPr>
            <w:tcW w:w="2222" w:type="dxa"/>
            <w:vMerge w:val="restart"/>
            <w:tcBorders>
              <w:top w:val="nil" w:sz="6" w:space="0" w:color="auto"/>
              <w:left w:val="single" w:sz="6" w:space="0" w:color="000000"/>
              <w:right w:val="single" w:sz="6" w:space="0" w:color="000000"/>
            </w:tcBorders>
            <w:shd w:val="clear" w:color="auto" w:fill="D2D2D2"/>
          </w:tcPr>
          <w:p>
            <w:pPr/>
          </w:p>
        </w:tc>
        <w:tc>
          <w:tcPr>
            <w:tcW w:w="819"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right w:val="single" w:sz="6" w:space="0" w:color="000000"/>
            </w:tcBorders>
            <w:shd w:val="clear" w:color="auto" w:fill="D2D2D2"/>
          </w:tcPr>
          <w:p>
            <w:pPr/>
          </w:p>
        </w:tc>
        <w:tc>
          <w:tcPr>
            <w:tcW w:w="811"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r>
      <w:tr>
        <w:trPr>
          <w:trHeight w:val="158" w:hRule="exact"/>
        </w:trPr>
        <w:tc>
          <w:tcPr>
            <w:tcW w:w="2222" w:type="dxa"/>
            <w:vMerge/>
            <w:tcBorders>
              <w:left w:val="single" w:sz="6" w:space="0" w:color="000000"/>
              <w:bottom w:val="single" w:sz="6" w:space="0" w:color="000000"/>
              <w:right w:val="single" w:sz="6" w:space="0" w:color="000000"/>
            </w:tcBorders>
            <w:shd w:val="clear" w:color="auto" w:fill="D2D2D2"/>
          </w:tcPr>
          <w:p>
            <w:pPr/>
          </w:p>
        </w:tc>
        <w:tc>
          <w:tcPr>
            <w:tcW w:w="819"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vMerge/>
            <w:tcBorders>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180,093,5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31.05%</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-21,793,3</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55</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-21,793,3</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55</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158,300,1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69</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27.39%</w:t>
            </w:r>
          </w:p>
        </w:tc>
      </w:tr>
      <w:tr>
        <w:trPr>
          <w:trHeight w:val="406"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179,591,0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30.96%</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-21,290,8</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55</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-21,290,8</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55</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158,300,1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69</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27.39%</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50,131,88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8.64%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50,131,88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8.67%</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3"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129,459,1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43</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22.32%</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-21,290,8</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55</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-21,290,8</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55</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108,168,2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88</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18.72%</w:t>
            </w:r>
          </w:p>
        </w:tc>
      </w:tr>
      <w:tr>
        <w:trPr>
          <w:trHeight w:val="391"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39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6"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502,500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0.09%</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-502,500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-502,500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9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502,500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0.09%</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-502,500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-502,500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399,878,1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68.95%</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19,728,35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19,728,35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419,606,5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35</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72.61%</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399,878,1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68.95%</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19,728,35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19,728,35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419,606,5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35</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72.61%</w:t>
            </w:r>
          </w:p>
        </w:tc>
      </w:tr>
      <w:tr>
        <w:trPr>
          <w:trHeight w:val="406"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1"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579,971,7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100.00%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-2,065,00</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-2,065,00</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577,906,7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r>
      <w:tr>
        <w:trPr>
          <w:trHeight w:val="405"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股份变动的原因</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501" w:right="0"/>
        <w:jc w:val="left"/>
      </w:pPr>
      <w:r>
        <w:rPr>
          <w:rFonts w:ascii="Times New Roman" w:hAnsi="Times New Roman" w:cs="Times New Roman" w:eastAsia="Times New Roman" w:hint="default"/>
        </w:rPr>
        <w:t>1</w:t>
      </w:r>
      <w:r>
        <w:rPr/>
        <w:t>、本报告期减少</w:t>
      </w:r>
      <w:r>
        <w:rPr>
          <w:rFonts w:ascii="Times New Roman" w:hAnsi="Times New Roman" w:cs="Times New Roman" w:eastAsia="Times New Roman" w:hint="default"/>
        </w:rPr>
        <w:t>21,793,355</w:t>
      </w:r>
      <w:r>
        <w:rPr/>
        <w:t>股限售股份，其中高管锁定股减少</w:t>
      </w:r>
      <w:r>
        <w:rPr>
          <w:rFonts w:ascii="Times New Roman" w:hAnsi="Times New Roman" w:cs="Times New Roman" w:eastAsia="Times New Roman" w:hint="default"/>
        </w:rPr>
        <w:t>19,728,355</w:t>
      </w:r>
      <w:r>
        <w:rPr/>
        <w:t>股，限制性股票减少</w:t>
      </w:r>
      <w:r>
        <w:rPr>
          <w:rFonts w:ascii="Times New Roman" w:hAnsi="Times New Roman" w:cs="Times New Roman" w:eastAsia="Times New Roman" w:hint="default"/>
        </w:rPr>
        <w:t>2,065,000</w:t>
      </w:r>
      <w:r>
        <w:rPr/>
        <w:t>股。</w:t>
      </w:r>
    </w:p>
    <w:p>
      <w:pPr>
        <w:pStyle w:val="BodyText"/>
        <w:spacing w:line="240" w:lineRule="auto" w:before="66"/>
        <w:ind w:left="501" w:right="0"/>
        <w:jc w:val="left"/>
      </w:pPr>
      <w:r>
        <w:rPr>
          <w:rFonts w:ascii="Times New Roman" w:hAnsi="Times New Roman" w:cs="Times New Roman" w:eastAsia="Times New Roman" w:hint="default"/>
        </w:rPr>
        <w:t>2</w:t>
      </w:r>
      <w:r>
        <w:rPr/>
        <w:t>、根据公司《</w:t>
      </w:r>
      <w:r>
        <w:rPr>
          <w:rFonts w:ascii="Times New Roman" w:hAnsi="Times New Roman" w:cs="Times New Roman" w:eastAsia="Times New Roman" w:hint="default"/>
        </w:rPr>
        <w:t>2017</w:t>
      </w:r>
      <w:r>
        <w:rPr/>
        <w:t>年股票期权与限制性股票激励计划（草案）》的相关规定，公司对不再符合公司股权激励条件的原</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88" w:lineRule="auto" w:before="44"/>
        <w:ind w:right="0"/>
        <w:jc w:val="left"/>
      </w:pPr>
      <w:r>
        <w:rPr>
          <w:spacing w:val="-1"/>
        </w:rPr>
        <w:t>激励对象持有的限制性股票共计</w:t>
      </w:r>
      <w:r>
        <w:rPr>
          <w:rFonts w:ascii="Times New Roman" w:hAnsi="Times New Roman" w:cs="Times New Roman" w:eastAsia="Times New Roman" w:hint="default"/>
          <w:spacing w:val="-1"/>
        </w:rPr>
        <w:t>765,000</w:t>
      </w:r>
      <w:r>
        <w:rPr>
          <w:spacing w:val="-1"/>
        </w:rPr>
        <w:t>股进行回购注销，并于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22</w:t>
      </w:r>
      <w:r>
        <w:rPr>
          <w:spacing w:val="-1"/>
        </w:rPr>
        <w:t>日在中国证券登记结算有限责任公司深圳分公司</w:t>
      </w:r>
      <w:r>
        <w:rPr>
          <w:spacing w:val="-55"/>
        </w:rPr>
        <w:t> </w:t>
      </w:r>
      <w:r>
        <w:rPr/>
        <w:t>办理完成回购注销手续。</w:t>
      </w:r>
    </w:p>
    <w:p>
      <w:pPr>
        <w:pStyle w:val="BodyText"/>
        <w:spacing w:line="295" w:lineRule="auto" w:before="59"/>
        <w:ind w:right="1097" w:firstLine="360"/>
        <w:jc w:val="both"/>
      </w:pPr>
      <w:r>
        <w:rPr>
          <w:rFonts w:ascii="Times New Roman" w:hAnsi="Times New Roman" w:cs="Times New Roman" w:eastAsia="Times New Roman" w:hint="default"/>
        </w:rPr>
        <w:t>3</w:t>
      </w:r>
      <w:r>
        <w:rPr/>
        <w:t>、根据公司《</w:t>
      </w:r>
      <w:r>
        <w:rPr>
          <w:rFonts w:ascii="Times New Roman" w:hAnsi="Times New Roman" w:cs="Times New Roman" w:eastAsia="Times New Roman" w:hint="default"/>
        </w:rPr>
        <w:t>2017</w:t>
      </w:r>
      <w:r>
        <w:rPr/>
        <w:t>年股票期权与限制性股票激励计划（草案）》的相关规定，因公司原激励对象部分员工不再符合公 </w:t>
      </w:r>
      <w:r>
        <w:rPr>
          <w:spacing w:val="-1"/>
        </w:rPr>
        <w:t>司股权激励条件，同时，公司股权激励计划未达到第二期解锁条件，公司对合计</w:t>
      </w:r>
      <w:r>
        <w:rPr>
          <w:rFonts w:ascii="Times New Roman" w:hAnsi="Times New Roman" w:cs="Times New Roman" w:eastAsia="Times New Roman" w:hint="default"/>
          <w:spacing w:val="-1"/>
        </w:rPr>
        <w:t>1,300,000</w:t>
      </w:r>
      <w:r>
        <w:rPr>
          <w:spacing w:val="-1"/>
        </w:rPr>
        <w:t>股限制性股票进行回购注销，并于</w:t>
      </w:r>
      <w:r>
        <w:rPr>
          <w:spacing w:val="-84"/>
        </w:rPr>
        <w:t> </w:t>
      </w:r>
      <w:r>
        <w:rPr>
          <w:spacing w:val="-84"/>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日在中国证券登记结算有限责任公司深圳分公司办理完成回购注销手续。</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股份变动的批准情况</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302" w:lineRule="auto" w:before="96"/>
        <w:ind w:right="1135" w:firstLine="360"/>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日召开第四届董事会第三十三次会议和第四届监事会第二十四次会议，会议审议通过了《关于注 销部分股票期权及回购注销部分限制性股票的议案》，并经</w:t>
      </w:r>
      <w:r>
        <w:rPr>
          <w:rFonts w:ascii="Times New Roman" w:hAnsi="Times New Roman" w:cs="Times New Roman" w:eastAsia="Times New Roman" w:hint="default"/>
        </w:rPr>
        <w:t>2019</w:t>
      </w:r>
      <w:r>
        <w:rPr/>
        <w:t>年第一次临时股东大会审批通过。</w:t>
      </w:r>
    </w:p>
    <w:p>
      <w:pPr>
        <w:pStyle w:val="BodyText"/>
        <w:spacing w:line="302" w:lineRule="auto" w:before="14"/>
        <w:ind w:right="1134" w:firstLine="360"/>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日召开第四届董事会第三十七次会议和第四届监事会第二十七次会议，会议审议通过了《关于注</w:t>
      </w:r>
      <w:r>
        <w:rPr/>
        <w:t> 销部分股票期权及回购注销部分限制性股票的议案》，并经</w:t>
      </w:r>
      <w:r>
        <w:rPr>
          <w:rFonts w:ascii="Times New Roman" w:hAnsi="Times New Roman" w:cs="Times New Roman" w:eastAsia="Times New Roman" w:hint="default"/>
        </w:rPr>
        <w:t>2018</w:t>
      </w:r>
      <w:r>
        <w:rPr/>
        <w:t>年度股东大会审批通过。</w:t>
      </w:r>
    </w:p>
    <w:p>
      <w:pPr>
        <w:pStyle w:val="BodyText"/>
        <w:spacing w:line="240" w:lineRule="auto" w:before="44"/>
        <w:ind w:right="0"/>
        <w:jc w:val="left"/>
      </w:pPr>
      <w:r>
        <w:rPr/>
        <w:t>股份变动的过户情况</w:t>
      </w:r>
    </w:p>
    <w:p>
      <w:pPr>
        <w:pStyle w:val="BodyText"/>
        <w:spacing w:line="333" w:lineRule="auto" w:before="124"/>
        <w:ind w:left="501" w:right="107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截止本报告期末，上述需回购注销的</w:t>
      </w:r>
      <w:r>
        <w:rPr>
          <w:rFonts w:ascii="Times New Roman" w:hAnsi="Times New Roman" w:cs="Times New Roman" w:eastAsia="Times New Roman" w:hint="default"/>
        </w:rPr>
        <w:t>765,000</w:t>
      </w:r>
      <w:r>
        <w:rPr/>
        <w:t>股、</w:t>
      </w:r>
      <w:r>
        <w:rPr>
          <w:rFonts w:ascii="Times New Roman" w:hAnsi="Times New Roman" w:cs="Times New Roman" w:eastAsia="Times New Roman" w:hint="default"/>
        </w:rPr>
        <w:t>1,300,000</w:t>
      </w:r>
      <w:r>
        <w:rPr/>
        <w:t>股限制性股票已回购至公司专户，并分别于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w:t>
      </w:r>
    </w:p>
    <w:p>
      <w:pPr>
        <w:pStyle w:val="BodyText"/>
        <w:spacing w:line="238" w:lineRule="exact"/>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日在中国证券登记结算有限责任公司深圳分公司办理完成回购注销手续。</w:t>
      </w:r>
    </w:p>
    <w:p>
      <w:pPr>
        <w:pStyle w:val="BodyText"/>
        <w:spacing w:line="240" w:lineRule="auto" w:before="96"/>
        <w:ind w:right="0"/>
        <w:jc w:val="left"/>
      </w:pPr>
      <w:r>
        <w:rPr/>
        <w:t>股份回购的实施进展情况</w:t>
      </w:r>
    </w:p>
    <w:p>
      <w:pPr>
        <w:pStyle w:val="BodyText"/>
        <w:spacing w:line="331" w:lineRule="auto" w:before="125"/>
        <w:ind w:left="501" w:right="111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日召开第四届董事会第三十二次会议，审议通过了《关于回购公司股份的预案》，并于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p>
    <w:p>
      <w:pPr>
        <w:pStyle w:val="BodyText"/>
        <w:spacing w:line="304" w:lineRule="auto"/>
        <w:ind w:right="0"/>
        <w:jc w:val="left"/>
      </w:pPr>
      <w:r>
        <w:rPr>
          <w:rFonts w:ascii="Times New Roman" w:hAnsi="Times New Roman" w:cs="Times New Roman" w:eastAsia="Times New Roman" w:hint="default"/>
          <w:spacing w:val="-2"/>
        </w:rPr>
        <w:t>23</w:t>
      </w:r>
      <w:r>
        <w:rPr>
          <w:spacing w:val="-2"/>
        </w:rPr>
        <w:t>日召开</w:t>
      </w:r>
      <w:r>
        <w:rPr>
          <w:rFonts w:ascii="Times New Roman" w:hAnsi="Times New Roman" w:cs="Times New Roman" w:eastAsia="Times New Roman" w:hint="default"/>
          <w:spacing w:val="-2"/>
        </w:rPr>
        <w:t>2018</w:t>
      </w:r>
      <w:r>
        <w:rPr>
          <w:spacing w:val="-2"/>
        </w:rPr>
        <w:t>年第七次临时股东大会审议通过上述议案。公司拟使用自有资金以集中竞价交易方式回购部分公司股份，回购</w:t>
      </w:r>
      <w:r>
        <w:rPr>
          <w:spacing w:val="-63"/>
        </w:rPr>
        <w:t> </w:t>
      </w:r>
      <w:r>
        <w:rPr>
          <w:spacing w:val="-63"/>
        </w:rPr>
      </w:r>
      <w:r>
        <w:rPr/>
        <w:t>总金额不低于人民币</w:t>
      </w:r>
      <w:r>
        <w:rPr>
          <w:rFonts w:ascii="Times New Roman" w:hAnsi="Times New Roman" w:cs="Times New Roman" w:eastAsia="Times New Roman" w:hint="default"/>
        </w:rPr>
        <w:t>15,000</w:t>
      </w:r>
      <w:r>
        <w:rPr/>
        <w:t>万元、最高不超过人民币</w:t>
      </w:r>
      <w:r>
        <w:rPr>
          <w:rFonts w:ascii="Times New Roman" w:hAnsi="Times New Roman" w:cs="Times New Roman" w:eastAsia="Times New Roman" w:hint="default"/>
        </w:rPr>
        <w:t>30,000</w:t>
      </w:r>
      <w:r>
        <w:rPr/>
        <w:t>万元，回购价格不高于人民币</w:t>
      </w:r>
      <w:r>
        <w:rPr>
          <w:rFonts w:ascii="Times New Roman" w:hAnsi="Times New Roman" w:cs="Times New Roman" w:eastAsia="Times New Roman" w:hint="default"/>
        </w:rPr>
        <w:t>9</w:t>
      </w:r>
      <w:r>
        <w:rPr/>
        <w:t>元</w:t>
      </w:r>
      <w:r>
        <w:rPr>
          <w:rFonts w:ascii="Times New Roman" w:hAnsi="Times New Roman" w:cs="Times New Roman" w:eastAsia="Times New Roman" w:hint="default"/>
        </w:rPr>
        <w:t>/</w:t>
      </w:r>
      <w:r>
        <w:rPr/>
        <w:t>股（含</w:t>
      </w:r>
      <w:r>
        <w:rPr>
          <w:rFonts w:ascii="Times New Roman" w:hAnsi="Times New Roman" w:cs="Times New Roman" w:eastAsia="Times New Roman" w:hint="default"/>
        </w:rPr>
        <w:t>9</w:t>
      </w:r>
      <w:r>
        <w:rPr/>
        <w:t>元</w:t>
      </w:r>
      <w:r>
        <w:rPr>
          <w:rFonts w:ascii="Times New Roman" w:hAnsi="Times New Roman" w:cs="Times New Roman" w:eastAsia="Times New Roman" w:hint="default"/>
        </w:rPr>
        <w:t>/</w:t>
      </w:r>
      <w:r>
        <w:rPr/>
        <w:t>股），回购股份期 </w:t>
      </w:r>
      <w:r>
        <w:rPr>
          <w:spacing w:val="-2"/>
        </w:rPr>
        <w:t>限为自股东大会审议通过回购股份方案之日起不超过</w:t>
      </w:r>
      <w:r>
        <w:rPr>
          <w:rFonts w:ascii="Times New Roman" w:hAnsi="Times New Roman" w:cs="Times New Roman" w:eastAsia="Times New Roman" w:hint="default"/>
          <w:spacing w:val="-2"/>
        </w:rPr>
        <w:t>6</w:t>
      </w:r>
      <w:r>
        <w:rPr>
          <w:spacing w:val="-2"/>
        </w:rPr>
        <w:t>个月。公司于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13</w:t>
      </w:r>
      <w:r>
        <w:rPr>
          <w:spacing w:val="-2"/>
        </w:rPr>
        <w:t>日披露了《关于回购公司股份的报告书》。</w:t>
      </w:r>
      <w:r>
        <w:rPr>
          <w:spacing w:val="-59"/>
        </w:rPr>
        <w:t> </w:t>
      </w:r>
      <w:r>
        <w:rPr>
          <w:spacing w:val="-59"/>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日，公司首次通过股票回购专用证券账户以集中竞价交易方式回购公司股份</w:t>
      </w:r>
      <w:r>
        <w:rPr>
          <w:rFonts w:ascii="Times New Roman" w:hAnsi="Times New Roman" w:cs="Times New Roman" w:eastAsia="Times New Roman" w:hint="default"/>
        </w:rPr>
        <w:t>1,602,669</w:t>
      </w:r>
      <w:r>
        <w:rPr/>
        <w:t>股，占公司总股本的</w:t>
      </w:r>
    </w:p>
    <w:p>
      <w:pPr>
        <w:pStyle w:val="BodyText"/>
        <w:spacing w:line="295" w:lineRule="auto"/>
        <w:ind w:right="0"/>
        <w:jc w:val="left"/>
      </w:pPr>
      <w:r>
        <w:rPr>
          <w:rFonts w:ascii="Times New Roman" w:hAnsi="Times New Roman" w:cs="Times New Roman" w:eastAsia="Times New Roman" w:hint="default"/>
        </w:rPr>
        <w:t>0.28%</w:t>
      </w:r>
      <w:r>
        <w:rPr/>
        <w:t>，最高成交价为</w:t>
      </w:r>
      <w:r>
        <w:rPr>
          <w:rFonts w:ascii="Times New Roman" w:hAnsi="Times New Roman" w:cs="Times New Roman" w:eastAsia="Times New Roman" w:hint="default"/>
        </w:rPr>
        <w:t>7.79</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7.54</w:t>
      </w:r>
      <w:r>
        <w:rPr/>
        <w:t>元</w:t>
      </w:r>
      <w:r>
        <w:rPr>
          <w:rFonts w:ascii="Times New Roman" w:hAnsi="Times New Roman" w:cs="Times New Roman" w:eastAsia="Times New Roman" w:hint="default"/>
        </w:rPr>
        <w:t>/</w:t>
      </w:r>
      <w:r>
        <w:rPr/>
        <w:t>股，成交总金额为</w:t>
      </w:r>
      <w:r>
        <w:rPr>
          <w:rFonts w:ascii="Times New Roman" w:hAnsi="Times New Roman" w:cs="Times New Roman" w:eastAsia="Times New Roman" w:hint="default"/>
        </w:rPr>
        <w:t>12,256,105.09</w:t>
      </w:r>
      <w:r>
        <w:rPr/>
        <w:t>元（不含交易费用），并于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rFonts w:ascii="Times New Roman" w:hAnsi="Times New Roman" w:cs="Times New Roman" w:eastAsia="Times New Roman" w:hint="default"/>
          <w:w w:val="99"/>
        </w:rPr>
        <w:t> </w:t>
      </w:r>
      <w:r>
        <w:rPr/>
        <w:t>月</w:t>
      </w:r>
      <w:r>
        <w:rPr>
          <w:rFonts w:ascii="Times New Roman" w:hAnsi="Times New Roman" w:cs="Times New Roman" w:eastAsia="Times New Roman" w:hint="default"/>
        </w:rPr>
        <w:t>23</w:t>
      </w:r>
      <w:r>
        <w:rPr/>
        <w:t>日披露了《关于首次回购公司股份的公告》。公司于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w:t>
      </w:r>
      <w:r>
        <w:rPr>
          <w:rFonts w:ascii="Times New Roman" w:hAnsi="Times New Roman" w:cs="Times New Roman" w:eastAsia="Times New Roman" w:hint="default"/>
        </w:rPr>
        <w:t>2019</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日</w:t>
      </w:r>
      <w:r>
        <w:rPr>
          <w:w w:val="99"/>
        </w:rPr>
        <w:t> </w:t>
      </w:r>
      <w:r>
        <w:rPr/>
        <w:t>分别披露了《关于回购公司股份的进展公告》。</w:t>
      </w:r>
    </w:p>
    <w:p>
      <w:pPr>
        <w:pStyle w:val="BodyText"/>
        <w:spacing w:line="240" w:lineRule="auto" w:before="53"/>
        <w:ind w:left="501"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25</w:t>
      </w:r>
      <w:r>
        <w:rPr>
          <w:rFonts w:ascii="Times New Roman" w:hAnsi="Times New Roman" w:cs="Times New Roman" w:eastAsia="Times New Roman" w:hint="default"/>
          <w:spacing w:val="11"/>
        </w:rPr>
        <w:t> </w:t>
      </w:r>
      <w:r>
        <w:rPr>
          <w:spacing w:val="-3"/>
        </w:rPr>
        <w:t>日，公司召开了第四届董事会第三十九次会议审议通过了《关于公司股份回购实施期限延期的议案》，</w:t>
      </w:r>
    </w:p>
    <w:p>
      <w:pPr>
        <w:pStyle w:val="BodyText"/>
        <w:spacing w:line="240" w:lineRule="auto" w:before="66"/>
        <w:ind w:right="0"/>
        <w:jc w:val="left"/>
        <w:rPr>
          <w:rFonts w:ascii="Times New Roman" w:hAnsi="Times New Roman" w:cs="Times New Roman" w:eastAsia="Times New Roman" w:hint="default"/>
        </w:rPr>
      </w:pPr>
      <w:r>
        <w:rPr/>
        <w:t>同意对股份回购实施期限延期六个月，延长至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23 </w:t>
      </w:r>
      <w:r>
        <w:rPr/>
        <w:t>日止，即回购实施期限自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23 </w:t>
      </w:r>
      <w:r>
        <w:rPr/>
        <w:t>日起至</w:t>
      </w:r>
      <w:r>
        <w:rPr>
          <w:spacing w:val="67"/>
        </w:rPr>
        <w:t> </w:t>
      </w:r>
      <w:r>
        <w:rPr>
          <w:rFonts w:ascii="Times New Roman" w:hAnsi="Times New Roman" w:cs="Times New Roman" w:eastAsia="Times New Roman" w:hint="default"/>
        </w:rPr>
        <w:t>2019</w:t>
      </w:r>
    </w:p>
    <w:p>
      <w:pPr>
        <w:pStyle w:val="BodyText"/>
        <w:spacing w:line="240" w:lineRule="auto" w:before="51"/>
        <w:ind w:right="0"/>
        <w:jc w:val="left"/>
        <w:rPr>
          <w:rFonts w:ascii="Times New Roman" w:hAnsi="Times New Roman" w:cs="Times New Roman" w:eastAsia="Times New Roman" w:hint="default"/>
        </w:rPr>
      </w:pP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23 </w:t>
      </w:r>
      <w:r>
        <w:rPr/>
        <w:t>日止。公司分别于</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 </w:t>
      </w:r>
      <w:r>
        <w:rPr>
          <w:spacing w:val="-3"/>
        </w:rPr>
        <w:t>日、</w:t>
      </w:r>
      <w:r>
        <w:rPr>
          <w:rFonts w:ascii="Times New Roman" w:hAnsi="Times New Roman" w:cs="Times New Roman" w:eastAsia="Times New Roman" w:hint="default"/>
          <w:spacing w:val="-3"/>
        </w:rPr>
        <w:t>2019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 </w:t>
      </w:r>
      <w:r>
        <w:rPr>
          <w:spacing w:val="-3"/>
        </w:rPr>
        <w:t>日、</w:t>
      </w:r>
      <w:r>
        <w:rPr>
          <w:rFonts w:ascii="Times New Roman" w:hAnsi="Times New Roman" w:cs="Times New Roman" w:eastAsia="Times New Roman" w:hint="default"/>
          <w:spacing w:val="-3"/>
        </w:rPr>
        <w:t>2019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 </w:t>
      </w:r>
      <w:r>
        <w:rPr>
          <w:spacing w:val="-3"/>
        </w:rPr>
        <w:t>日、</w:t>
      </w:r>
      <w:r>
        <w:rPr>
          <w:rFonts w:ascii="Times New Roman" w:hAnsi="Times New Roman" w:cs="Times New Roman" w:eastAsia="Times New Roman" w:hint="default"/>
          <w:spacing w:val="-3"/>
        </w:rPr>
        <w:t>2019</w:t>
      </w:r>
      <w:r>
        <w:rPr>
          <w:spacing w:val="-3"/>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4 </w:t>
      </w:r>
      <w:r>
        <w:rPr>
          <w:spacing w:val="-3"/>
        </w:rPr>
        <w:t>日、</w:t>
      </w:r>
      <w:r>
        <w:rPr>
          <w:rFonts w:ascii="Times New Roman" w:hAnsi="Times New Roman" w:cs="Times New Roman" w:eastAsia="Times New Roman" w:hint="default"/>
          <w:spacing w:val="-3"/>
        </w:rPr>
        <w:t>2019  </w:t>
      </w:r>
      <w:r>
        <w:rPr/>
        <w:t>年</w:t>
      </w:r>
      <w:r>
        <w:rPr>
          <w:spacing w:val="82"/>
        </w:rPr>
        <w:t> </w:t>
      </w:r>
      <w:r>
        <w:rPr>
          <w:rFonts w:ascii="Times New Roman" w:hAnsi="Times New Roman" w:cs="Times New Roman" w:eastAsia="Times New Roman" w:hint="default"/>
        </w:rPr>
        <w:t>10</w:t>
      </w:r>
    </w:p>
    <w:p>
      <w:pPr>
        <w:pStyle w:val="BodyText"/>
        <w:spacing w:line="304" w:lineRule="auto" w:before="66"/>
        <w:ind w:right="1088"/>
        <w:jc w:val="left"/>
      </w:pPr>
      <w:r>
        <w:rPr/>
        <w:t>月 </w:t>
      </w:r>
      <w:r>
        <w:rPr>
          <w:rFonts w:ascii="Times New Roman" w:hAnsi="Times New Roman" w:cs="Times New Roman" w:eastAsia="Times New Roman" w:hint="default"/>
        </w:rPr>
        <w:t>8 </w:t>
      </w:r>
      <w:r>
        <w:rPr/>
        <w:t>日、</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 </w:t>
      </w:r>
      <w:r>
        <w:rPr/>
        <w:t>日披露了《关于回购公司股份的进展公告》，于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34"/>
        </w:rPr>
        <w:t> </w:t>
      </w:r>
      <w:r>
        <w:rPr/>
        <w:t>日披露了《关于回购公司股份 比例达</w:t>
      </w:r>
      <w:r>
        <w:rPr>
          <w:spacing w:val="-15"/>
        </w:rPr>
        <w:t> </w:t>
      </w:r>
      <w:r>
        <w:rPr>
          <w:rFonts w:ascii="Times New Roman" w:hAnsi="Times New Roman" w:cs="Times New Roman" w:eastAsia="Times New Roman" w:hint="default"/>
        </w:rPr>
        <w:t>1%</w:t>
      </w:r>
      <w:r>
        <w:rPr/>
        <w:t>暨回购进展公告》。</w:t>
      </w:r>
    </w:p>
    <w:p>
      <w:pPr>
        <w:pStyle w:val="BodyText"/>
        <w:spacing w:line="240" w:lineRule="auto" w:before="12"/>
        <w:ind w:left="501"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16"/>
        </w:rPr>
        <w:t> </w:t>
      </w:r>
      <w:r>
        <w:rPr/>
        <w:t>日，公司本次回购股份期限届满，公司披露了《关于回购期限届满暨股份回购实施结果的公告》，公</w:t>
      </w:r>
    </w:p>
    <w:p>
      <w:pPr>
        <w:pStyle w:val="BodyText"/>
        <w:spacing w:line="240" w:lineRule="auto" w:before="66"/>
        <w:ind w:right="0"/>
        <w:jc w:val="left"/>
        <w:rPr>
          <w:rFonts w:ascii="Times New Roman" w:hAnsi="Times New Roman" w:cs="Times New Roman" w:eastAsia="Times New Roman" w:hint="default"/>
        </w:rPr>
      </w:pPr>
      <w:r>
        <w:rPr/>
        <w:t>司通过股份回购专用账户以集中竞价交易方式累计回购股份 </w:t>
      </w:r>
      <w:r>
        <w:rPr>
          <w:rFonts w:ascii="Times New Roman" w:hAnsi="Times New Roman" w:cs="Times New Roman" w:eastAsia="Times New Roman" w:hint="default"/>
        </w:rPr>
        <w:t>9,812,924 </w:t>
      </w:r>
      <w:r>
        <w:rPr/>
        <w:t>股，占公司总股本的 </w:t>
      </w:r>
      <w:r>
        <w:rPr>
          <w:rFonts w:ascii="Times New Roman" w:hAnsi="Times New Roman" w:cs="Times New Roman" w:eastAsia="Times New Roman" w:hint="default"/>
        </w:rPr>
        <w:t>1.70%</w:t>
      </w:r>
      <w:r>
        <w:rPr/>
        <w:t>，最高成交价为 </w:t>
      </w:r>
      <w:r>
        <w:rPr>
          <w:rFonts w:ascii="Times New Roman" w:hAnsi="Times New Roman" w:cs="Times New Roman" w:eastAsia="Times New Roman" w:hint="default"/>
        </w:rPr>
        <w:t>7.98</w:t>
      </w:r>
      <w:r>
        <w:rPr>
          <w:rFonts w:ascii="Times New Roman" w:hAnsi="Times New Roman" w:cs="Times New Roman" w:eastAsia="Times New Roman" w:hint="default"/>
          <w:spacing w:val="24"/>
        </w:rPr>
        <w:t> </w:t>
      </w:r>
      <w:r>
        <w:rPr/>
        <w:t>元</w:t>
      </w:r>
      <w:r>
        <w:rPr>
          <w:rFonts w:ascii="Times New Roman" w:hAnsi="Times New Roman" w:cs="Times New Roman" w:eastAsia="Times New Roman" w:hint="default"/>
        </w:rPr>
        <w:t>/</w:t>
      </w:r>
    </w:p>
    <w:p>
      <w:pPr>
        <w:pStyle w:val="BodyText"/>
        <w:spacing w:line="240" w:lineRule="auto" w:before="51"/>
        <w:ind w:right="0"/>
        <w:jc w:val="left"/>
      </w:pPr>
      <w:r>
        <w:rPr/>
        <w:t>股，最低成交价为 </w:t>
      </w:r>
      <w:r>
        <w:rPr>
          <w:rFonts w:ascii="Times New Roman" w:hAnsi="Times New Roman" w:cs="Times New Roman" w:eastAsia="Times New Roman" w:hint="default"/>
        </w:rPr>
        <w:t>6.91  </w:t>
      </w:r>
      <w:r>
        <w:rPr/>
        <w:t>元</w:t>
      </w:r>
      <w:r>
        <w:rPr>
          <w:rFonts w:ascii="Times New Roman" w:hAnsi="Times New Roman" w:cs="Times New Roman" w:eastAsia="Times New Roman" w:hint="default"/>
        </w:rPr>
        <w:t>/</w:t>
      </w:r>
      <w:r>
        <w:rPr/>
        <w:t>股，成交总金额为 </w:t>
      </w:r>
      <w:r>
        <w:rPr>
          <w:rFonts w:ascii="Times New Roman" w:hAnsi="Times New Roman" w:cs="Times New Roman" w:eastAsia="Times New Roman" w:hint="default"/>
        </w:rPr>
        <w:t>75,252,122.95</w:t>
      </w:r>
      <w:r>
        <w:rPr>
          <w:rFonts w:ascii="Times New Roman" w:hAnsi="Times New Roman" w:cs="Times New Roman" w:eastAsia="Times New Roman" w:hint="default"/>
          <w:spacing w:val="-15"/>
        </w:rPr>
        <w:t> </w:t>
      </w:r>
      <w:r>
        <w:rPr/>
        <w:t>元（不含交易费用）。</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240" w:lineRule="auto"/>
        <w:ind w:right="0"/>
        <w:jc w:val="left"/>
      </w:pPr>
      <w:r>
        <w:rPr/>
        <w:t>采用集中竞价方式减持回购股份的实施进展情况</w:t>
      </w:r>
    </w:p>
    <w:p>
      <w:pPr>
        <w:pStyle w:val="BodyText"/>
        <w:spacing w:line="333" w:lineRule="auto" w:before="124"/>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股份变动对最近一年和最近一期基本每股收益和稀释每股收益、归属于公司普通股股东的每股净资产等财务指标的影响</w:t>
      </w:r>
    </w:p>
    <w:p>
      <w:pPr>
        <w:pStyle w:val="BodyText"/>
        <w:spacing w:line="240" w:lineRule="auto" w:before="5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562"/>
        <w:gridCol w:w="2132"/>
        <w:gridCol w:w="1983"/>
        <w:gridCol w:w="1982"/>
        <w:gridCol w:w="1997"/>
      </w:tblGrid>
      <w:tr>
        <w:trPr>
          <w:trHeight w:val="421" w:hRule="exact"/>
        </w:trPr>
        <w:tc>
          <w:tcPr>
            <w:tcW w:w="156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25" w:right="0"/>
              <w:jc w:val="left"/>
              <w:rPr>
                <w:rFonts w:ascii="宋体" w:hAnsi="宋体" w:cs="宋体" w:eastAsia="宋体" w:hint="default"/>
                <w:sz w:val="18"/>
                <w:szCs w:val="18"/>
              </w:rPr>
            </w:pPr>
            <w:r>
              <w:rPr>
                <w:rFonts w:ascii="宋体" w:hAnsi="宋体" w:cs="宋体" w:eastAsia="宋体" w:hint="default"/>
                <w:sz w:val="18"/>
                <w:szCs w:val="18"/>
              </w:rPr>
              <w:t>财务指标名称</w:t>
            </w:r>
          </w:p>
        </w:tc>
        <w:tc>
          <w:tcPr>
            <w:tcW w:w="411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398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735" w:hRule="exact"/>
        </w:trPr>
        <w:tc>
          <w:tcPr>
            <w:tcW w:w="1562" w:type="dxa"/>
            <w:vMerge/>
            <w:tcBorders>
              <w:left w:val="single" w:sz="6" w:space="0" w:color="000000"/>
              <w:bottom w:val="single" w:sz="6" w:space="0" w:color="000000"/>
              <w:right w:val="single" w:sz="6" w:space="0" w:color="000000"/>
            </w:tcBorders>
            <w:shd w:val="clear" w:color="auto" w:fill="D9D9D9"/>
          </w:tcPr>
          <w:p>
            <w:pPr/>
          </w:p>
        </w:tc>
        <w:tc>
          <w:tcPr>
            <w:tcW w:w="21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0" w:lineRule="auto" w:before="74"/>
              <w:ind w:left="480" w:right="-45" w:hanging="481"/>
              <w:jc w:val="left"/>
              <w:rPr>
                <w:rFonts w:ascii="宋体" w:hAnsi="宋体" w:cs="宋体" w:eastAsia="宋体" w:hint="default"/>
                <w:sz w:val="18"/>
                <w:szCs w:val="18"/>
              </w:rPr>
            </w:pPr>
            <w:r>
              <w:rPr>
                <w:rFonts w:ascii="宋体" w:hAnsi="宋体" w:cs="宋体" w:eastAsia="宋体" w:hint="default"/>
                <w:sz w:val="18"/>
                <w:szCs w:val="18"/>
              </w:rPr>
              <w:t>按新股本（</w:t>
            </w:r>
            <w:r>
              <w:rPr>
                <w:rFonts w:ascii="Times New Roman" w:hAnsi="Times New Roman" w:cs="Times New Roman" w:eastAsia="Times New Roman" w:hint="default"/>
                <w:sz w:val="18"/>
                <w:szCs w:val="18"/>
              </w:rPr>
              <w:t>577,906,704</w:t>
            </w:r>
            <w:r>
              <w:rPr>
                <w:rFonts w:ascii="宋体" w:hAnsi="宋体" w:cs="宋体" w:eastAsia="宋体" w:hint="default"/>
                <w:sz w:val="18"/>
                <w:szCs w:val="18"/>
              </w:rPr>
              <w:t>股） 计算（元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0" w:lineRule="auto" w:before="74"/>
              <w:ind w:left="240" w:right="88" w:hanging="166"/>
              <w:jc w:val="left"/>
              <w:rPr>
                <w:rFonts w:ascii="宋体" w:hAnsi="宋体" w:cs="宋体" w:eastAsia="宋体" w:hint="default"/>
                <w:sz w:val="18"/>
                <w:szCs w:val="18"/>
              </w:rPr>
            </w:pPr>
            <w:r>
              <w:rPr>
                <w:rFonts w:ascii="宋体" w:hAnsi="宋体" w:cs="宋体" w:eastAsia="宋体" w:hint="default"/>
                <w:sz w:val="18"/>
                <w:szCs w:val="18"/>
              </w:rPr>
              <w:t>按原股本（</w:t>
            </w:r>
            <w:r>
              <w:rPr>
                <w:rFonts w:ascii="Times New Roman" w:hAnsi="Times New Roman" w:cs="Times New Roman" w:eastAsia="Times New Roman" w:hint="default"/>
                <w:sz w:val="18"/>
                <w:szCs w:val="18"/>
              </w:rPr>
              <w:t>579,971,704 </w:t>
            </w:r>
            <w:r>
              <w:rPr>
                <w:rFonts w:ascii="宋体" w:hAnsi="宋体" w:cs="宋体" w:eastAsia="宋体" w:hint="default"/>
                <w:sz w:val="18"/>
                <w:szCs w:val="18"/>
              </w:rPr>
              <w:t>股）计算（元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0" w:lineRule="auto" w:before="74"/>
              <w:ind w:left="240" w:right="89" w:hanging="166"/>
              <w:jc w:val="left"/>
              <w:rPr>
                <w:rFonts w:ascii="宋体" w:hAnsi="宋体" w:cs="宋体" w:eastAsia="宋体" w:hint="default"/>
                <w:sz w:val="18"/>
                <w:szCs w:val="18"/>
              </w:rPr>
            </w:pPr>
            <w:r>
              <w:rPr>
                <w:rFonts w:ascii="宋体" w:hAnsi="宋体" w:cs="宋体" w:eastAsia="宋体" w:hint="default"/>
                <w:sz w:val="18"/>
                <w:szCs w:val="18"/>
              </w:rPr>
              <w:t>按新股本（</w:t>
            </w:r>
            <w:r>
              <w:rPr>
                <w:rFonts w:ascii="Times New Roman" w:hAnsi="Times New Roman" w:cs="Times New Roman" w:eastAsia="Times New Roman" w:hint="default"/>
                <w:sz w:val="18"/>
                <w:szCs w:val="18"/>
              </w:rPr>
              <w:t>577,906,704 </w:t>
            </w:r>
            <w:r>
              <w:rPr>
                <w:rFonts w:ascii="宋体" w:hAnsi="宋体" w:cs="宋体" w:eastAsia="宋体" w:hint="default"/>
                <w:sz w:val="18"/>
                <w:szCs w:val="18"/>
              </w:rPr>
              <w:t>股）计算（元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0" w:lineRule="auto" w:before="74"/>
              <w:ind w:left="255" w:right="89" w:hanging="166"/>
              <w:jc w:val="left"/>
              <w:rPr>
                <w:rFonts w:ascii="宋体" w:hAnsi="宋体" w:cs="宋体" w:eastAsia="宋体" w:hint="default"/>
                <w:sz w:val="18"/>
                <w:szCs w:val="18"/>
              </w:rPr>
            </w:pPr>
            <w:r>
              <w:rPr>
                <w:rFonts w:ascii="宋体" w:hAnsi="宋体" w:cs="宋体" w:eastAsia="宋体" w:hint="default"/>
                <w:sz w:val="18"/>
                <w:szCs w:val="18"/>
              </w:rPr>
              <w:t>按原股本（</w:t>
            </w:r>
            <w:r>
              <w:rPr>
                <w:rFonts w:ascii="Times New Roman" w:hAnsi="Times New Roman" w:cs="Times New Roman" w:eastAsia="Times New Roman" w:hint="default"/>
                <w:sz w:val="18"/>
                <w:szCs w:val="18"/>
              </w:rPr>
              <w:t>579,971,704 </w:t>
            </w:r>
            <w:r>
              <w:rPr>
                <w:rFonts w:ascii="宋体" w:hAnsi="宋体" w:cs="宋体" w:eastAsia="宋体" w:hint="default"/>
                <w:sz w:val="18"/>
                <w:szCs w:val="18"/>
              </w:rPr>
              <w:t>股）计算（元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9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62"/>
        <w:gridCol w:w="2132"/>
        <w:gridCol w:w="1983"/>
        <w:gridCol w:w="1982"/>
        <w:gridCol w:w="1997"/>
      </w:tblGrid>
      <w:tr>
        <w:trPr>
          <w:trHeight w:val="420"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5"/>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28"/>
              <w:jc w:val="center"/>
              <w:rPr>
                <w:rFonts w:ascii="Times New Roman" w:hAnsi="Times New Roman" w:cs="Times New Roman" w:eastAsia="Times New Roman" w:hint="default"/>
                <w:sz w:val="18"/>
                <w:szCs w:val="18"/>
              </w:rPr>
            </w:pPr>
            <w:r>
              <w:rPr>
                <w:rFonts w:ascii="Times New Roman"/>
                <w:sz w:val="18"/>
              </w:rPr>
              <w:t>0.09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824"/>
              <w:jc w:val="right"/>
              <w:rPr>
                <w:rFonts w:ascii="Times New Roman" w:hAnsi="Times New Roman" w:cs="Times New Roman" w:eastAsia="Times New Roman" w:hint="default"/>
                <w:sz w:val="18"/>
                <w:szCs w:val="18"/>
              </w:rPr>
            </w:pPr>
            <w:r>
              <w:rPr>
                <w:rFonts w:ascii="Times New Roman"/>
                <w:sz w:val="18"/>
              </w:rPr>
              <w:t>0.09</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-0.18</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4" w:right="0"/>
              <w:jc w:val="center"/>
              <w:rPr>
                <w:rFonts w:ascii="Times New Roman" w:hAnsi="Times New Roman" w:cs="Times New Roman" w:eastAsia="Times New Roman" w:hint="default"/>
                <w:sz w:val="18"/>
                <w:szCs w:val="18"/>
              </w:rPr>
            </w:pPr>
            <w:r>
              <w:rPr>
                <w:rFonts w:ascii="Times New Roman"/>
                <w:sz w:val="18"/>
              </w:rPr>
              <w:t>-0.18</w:t>
            </w:r>
          </w:p>
        </w:tc>
      </w:tr>
      <w:tr>
        <w:trPr>
          <w:trHeight w:val="435"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5"/>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28"/>
              <w:jc w:val="center"/>
              <w:rPr>
                <w:rFonts w:ascii="Times New Roman" w:hAnsi="Times New Roman" w:cs="Times New Roman" w:eastAsia="Times New Roman" w:hint="default"/>
                <w:sz w:val="18"/>
                <w:szCs w:val="18"/>
              </w:rPr>
            </w:pPr>
            <w:r>
              <w:rPr>
                <w:rFonts w:ascii="Times New Roman"/>
                <w:sz w:val="18"/>
              </w:rPr>
              <w:t>0.09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824"/>
              <w:jc w:val="right"/>
              <w:rPr>
                <w:rFonts w:ascii="Times New Roman" w:hAnsi="Times New Roman" w:cs="Times New Roman" w:eastAsia="Times New Roman" w:hint="default"/>
                <w:sz w:val="18"/>
                <w:szCs w:val="18"/>
              </w:rPr>
            </w:pPr>
            <w:r>
              <w:rPr>
                <w:rFonts w:ascii="Times New Roman"/>
                <w:sz w:val="18"/>
              </w:rPr>
              <w:t>0.09</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-0.18</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4" w:right="0"/>
              <w:jc w:val="center"/>
              <w:rPr>
                <w:rFonts w:ascii="Times New Roman" w:hAnsi="Times New Roman" w:cs="Times New Roman" w:eastAsia="Times New Roman" w:hint="default"/>
                <w:sz w:val="18"/>
                <w:szCs w:val="18"/>
              </w:rPr>
            </w:pPr>
            <w:r>
              <w:rPr>
                <w:rFonts w:ascii="Times New Roman"/>
                <w:sz w:val="18"/>
              </w:rPr>
              <w:t>-0.18</w:t>
            </w:r>
          </w:p>
        </w:tc>
      </w:tr>
      <w:tr>
        <w:trPr>
          <w:trHeight w:val="735" w:hRule="exact"/>
        </w:trPr>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0"/>
              <w:ind w:left="45" w:right="60"/>
              <w:jc w:val="left"/>
              <w:rPr>
                <w:rFonts w:ascii="宋体" w:hAnsi="宋体" w:cs="宋体" w:eastAsia="宋体" w:hint="default"/>
                <w:sz w:val="18"/>
                <w:szCs w:val="18"/>
              </w:rPr>
            </w:pPr>
            <w:r>
              <w:rPr>
                <w:rFonts w:ascii="宋体" w:hAnsi="宋体" w:cs="宋体" w:eastAsia="宋体" w:hint="default"/>
                <w:sz w:val="18"/>
                <w:szCs w:val="18"/>
              </w:rPr>
              <w:t>归属于公司普通股 股东的每股净资产</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28"/>
              <w:jc w:val="center"/>
              <w:rPr>
                <w:rFonts w:ascii="Times New Roman" w:hAnsi="Times New Roman" w:cs="Times New Roman" w:eastAsia="Times New Roman" w:hint="default"/>
                <w:sz w:val="18"/>
                <w:szCs w:val="18"/>
              </w:rPr>
            </w:pPr>
            <w:r>
              <w:rPr>
                <w:rFonts w:ascii="Times New Roman"/>
                <w:sz w:val="18"/>
              </w:rPr>
              <w:t>3.44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824"/>
              <w:jc w:val="right"/>
              <w:rPr>
                <w:rFonts w:ascii="Times New Roman" w:hAnsi="Times New Roman" w:cs="Times New Roman" w:eastAsia="Times New Roman" w:hint="default"/>
                <w:sz w:val="18"/>
                <w:szCs w:val="18"/>
              </w:rPr>
            </w:pPr>
            <w:r>
              <w:rPr>
                <w:rFonts w:ascii="Times New Roman"/>
                <w:sz w:val="18"/>
              </w:rPr>
              <w:t>3.43</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3.43</w:t>
            </w:r>
          </w:p>
        </w:tc>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4" w:right="0"/>
              <w:jc w:val="center"/>
              <w:rPr>
                <w:rFonts w:ascii="Times New Roman" w:hAnsi="Times New Roman" w:cs="Times New Roman" w:eastAsia="Times New Roman" w:hint="default"/>
                <w:sz w:val="18"/>
                <w:szCs w:val="18"/>
              </w:rPr>
            </w:pPr>
            <w:r>
              <w:rPr>
                <w:rFonts w:ascii="Times New Roman"/>
                <w:sz w:val="18"/>
              </w:rPr>
              <w:t>3.42</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t>公司认为必要或证券监管机构要求披露的其他内容</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2、限售股份变动情况" w:id="109"/>
      <w:bookmarkEnd w:id="109"/>
      <w:r>
        <w:rPr>
          <w:b w:val="0"/>
          <w:bCs w:val="0"/>
        </w:rPr>
      </w:r>
      <w:r>
        <w:rPr>
          <w:rFonts w:ascii="Times New Roman" w:hAnsi="Times New Roman" w:cs="Times New Roman" w:eastAsia="Times New Roman" w:hint="default"/>
          <w:spacing w:val="4"/>
        </w:rPr>
        <w:t>2</w:t>
      </w:r>
      <w:r>
        <w:rPr>
          <w:spacing w:val="4"/>
        </w:rPr>
        <w:t>、限售股份变动情况</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单位：股</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585" w:right="59"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571" w:right="60"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597"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113,534,850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19,750,230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93,784,620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、高管锁定股</w:t>
            </w:r>
          </w:p>
          <w:p>
            <w:pPr>
              <w:pStyle w:val="TableParagraph"/>
              <w:spacing w:line="288" w:lineRule="auto" w:before="51"/>
              <w:ind w:left="15" w:right="2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、非公开发行限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售股份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29"/>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、高管锁定股按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法律法规的规定 解锁</w:t>
            </w:r>
          </w:p>
          <w:p>
            <w:pPr>
              <w:pStyle w:val="TableParagraph"/>
              <w:spacing w:line="240" w:lineRule="auto" w:before="51"/>
              <w:ind w:left="15" w:right="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、该股东持有的</w:t>
            </w:r>
          </w:p>
          <w:p>
            <w:pPr>
              <w:pStyle w:val="TableParagraph"/>
              <w:spacing w:line="300" w:lineRule="auto" w:before="66"/>
              <w:ind w:left="15" w:right="13"/>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年度非公开 发行限售股份已 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日解除限售。</w:t>
            </w:r>
          </w:p>
        </w:tc>
      </w:tr>
      <w:tr>
        <w:trPr>
          <w:trHeight w:val="1652"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5" w:right="74"/>
              <w:jc w:val="both"/>
              <w:rPr>
                <w:rFonts w:ascii="宋体" w:hAnsi="宋体" w:cs="宋体" w:eastAsia="宋体" w:hint="default"/>
                <w:sz w:val="18"/>
                <w:szCs w:val="18"/>
              </w:rPr>
            </w:pPr>
            <w:r>
              <w:rPr>
                <w:rFonts w:ascii="宋体" w:hAnsi="宋体" w:cs="宋体" w:eastAsia="宋体" w:hint="default"/>
                <w:sz w:val="18"/>
                <w:szCs w:val="18"/>
              </w:rPr>
              <w:t>深圳市上元星晖 电子产业股权投 资基金企业（有 限合伙）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24,327,784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24,327,784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7" w:lineRule="auto"/>
              <w:ind w:left="15" w:right="74"/>
              <w:jc w:val="left"/>
              <w:rPr>
                <w:rFonts w:ascii="宋体" w:hAnsi="宋体" w:cs="宋体" w:eastAsia="宋体" w:hint="default"/>
                <w:sz w:val="18"/>
                <w:szCs w:val="18"/>
              </w:rPr>
            </w:pPr>
            <w:r>
              <w:rPr>
                <w:rFonts w:ascii="宋体" w:hAnsi="宋体" w:cs="宋体" w:eastAsia="宋体" w:hint="default"/>
                <w:sz w:val="18"/>
                <w:szCs w:val="18"/>
              </w:rPr>
              <w:t>非公开发行限售 股份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9"/>
              <w:ind w:left="15" w:right="13"/>
              <w:jc w:val="left"/>
              <w:rPr>
                <w:rFonts w:ascii="宋体" w:hAnsi="宋体" w:cs="宋体" w:eastAsia="宋体" w:hint="default"/>
                <w:sz w:val="18"/>
                <w:szCs w:val="18"/>
              </w:rPr>
            </w:pPr>
            <w:r>
              <w:rPr>
                <w:rFonts w:ascii="宋体" w:hAnsi="宋体" w:cs="宋体" w:eastAsia="宋体" w:hint="default"/>
                <w:sz w:val="18"/>
                <w:szCs w:val="18"/>
              </w:rPr>
              <w:t>该股东持有的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年度非公开 发行限售股份已</w:t>
            </w:r>
          </w:p>
          <w:p>
            <w:pPr>
              <w:pStyle w:val="TableParagraph"/>
              <w:spacing w:line="240" w:lineRule="auto" w:before="2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165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14" w:lineRule="auto"/>
              <w:ind w:left="15" w:right="74"/>
              <w:jc w:val="both"/>
              <w:rPr>
                <w:rFonts w:ascii="宋体" w:hAnsi="宋体" w:cs="宋体" w:eastAsia="宋体" w:hint="default"/>
                <w:sz w:val="18"/>
                <w:szCs w:val="18"/>
              </w:rPr>
            </w:pPr>
            <w:r>
              <w:rPr>
                <w:rFonts w:ascii="宋体" w:hAnsi="宋体" w:cs="宋体" w:eastAsia="宋体" w:hint="default"/>
                <w:sz w:val="18"/>
                <w:szCs w:val="18"/>
              </w:rPr>
              <w:t>深圳市中科祥瑞 资本管理合伙企 业（有限合伙）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21,804,097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21,804,097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07" w:lineRule="auto"/>
              <w:ind w:left="15" w:right="74"/>
              <w:jc w:val="left"/>
              <w:rPr>
                <w:rFonts w:ascii="宋体" w:hAnsi="宋体" w:cs="宋体" w:eastAsia="宋体" w:hint="default"/>
                <w:sz w:val="18"/>
                <w:szCs w:val="18"/>
              </w:rPr>
            </w:pPr>
            <w:r>
              <w:rPr>
                <w:rFonts w:ascii="宋体" w:hAnsi="宋体" w:cs="宋体" w:eastAsia="宋体" w:hint="default"/>
                <w:sz w:val="18"/>
                <w:szCs w:val="18"/>
              </w:rPr>
              <w:t>非公开发行限售 股份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9"/>
              <w:ind w:left="15" w:right="13"/>
              <w:jc w:val="left"/>
              <w:rPr>
                <w:rFonts w:ascii="宋体" w:hAnsi="宋体" w:cs="宋体" w:eastAsia="宋体" w:hint="default"/>
                <w:sz w:val="18"/>
                <w:szCs w:val="18"/>
              </w:rPr>
            </w:pPr>
            <w:r>
              <w:rPr>
                <w:rFonts w:ascii="宋体" w:hAnsi="宋体" w:cs="宋体" w:eastAsia="宋体" w:hint="default"/>
                <w:sz w:val="18"/>
                <w:szCs w:val="18"/>
              </w:rPr>
              <w:t>该股东持有的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年度非公开 发行限售股份已</w:t>
            </w:r>
          </w:p>
          <w:p>
            <w:pPr>
              <w:pStyle w:val="TableParagraph"/>
              <w:spacing w:line="240" w:lineRule="auto" w:before="2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165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王卫</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7,103,393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7,103,393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非公开发行限售 股份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9"/>
              <w:ind w:left="15" w:right="13"/>
              <w:jc w:val="left"/>
              <w:rPr>
                <w:rFonts w:ascii="宋体" w:hAnsi="宋体" w:cs="宋体" w:eastAsia="宋体" w:hint="default"/>
                <w:sz w:val="18"/>
                <w:szCs w:val="18"/>
              </w:rPr>
            </w:pPr>
            <w:r>
              <w:rPr>
                <w:rFonts w:ascii="宋体" w:hAnsi="宋体" w:cs="宋体" w:eastAsia="宋体" w:hint="default"/>
                <w:sz w:val="18"/>
                <w:szCs w:val="18"/>
              </w:rPr>
              <w:t>该股东持有的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年度非公开 发行限售股份已</w:t>
            </w:r>
          </w:p>
          <w:p>
            <w:pPr>
              <w:pStyle w:val="TableParagraph"/>
              <w:spacing w:line="240" w:lineRule="auto" w:before="2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12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21" w:lineRule="auto"/>
              <w:ind w:left="15" w:right="74"/>
              <w:jc w:val="both"/>
              <w:rPr>
                <w:rFonts w:ascii="宋体" w:hAnsi="宋体" w:cs="宋体" w:eastAsia="宋体" w:hint="default"/>
                <w:sz w:val="18"/>
                <w:szCs w:val="18"/>
              </w:rPr>
            </w:pPr>
            <w:r>
              <w:rPr>
                <w:rFonts w:ascii="宋体" w:hAnsi="宋体" w:cs="宋体" w:eastAsia="宋体" w:hint="default"/>
                <w:sz w:val="18"/>
                <w:szCs w:val="18"/>
              </w:rPr>
              <w:t>深圳市聚睿投资 管理企业（有限 合伙）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非公开发行限售 股份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9"/>
              <w:ind w:left="15" w:right="13"/>
              <w:jc w:val="left"/>
              <w:rPr>
                <w:rFonts w:ascii="宋体" w:hAnsi="宋体" w:cs="宋体" w:eastAsia="宋体" w:hint="default"/>
                <w:sz w:val="18"/>
                <w:szCs w:val="18"/>
              </w:rPr>
            </w:pPr>
            <w:r>
              <w:rPr>
                <w:rFonts w:ascii="宋体" w:hAnsi="宋体" w:cs="宋体" w:eastAsia="宋体" w:hint="default"/>
                <w:sz w:val="18"/>
                <w:szCs w:val="18"/>
              </w:rPr>
              <w:t>该股东持有的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年度非公开 发行限售股份已</w:t>
            </w:r>
          </w:p>
          <w:p>
            <w:pPr>
              <w:pStyle w:val="TableParagraph"/>
              <w:spacing w:line="240" w:lineRule="auto" w:before="2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60" w:hRule="exact"/>
        </w:trPr>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165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王杏才</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3,000,000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7" w:lineRule="auto"/>
              <w:ind w:left="15" w:right="74"/>
              <w:jc w:val="left"/>
              <w:rPr>
                <w:rFonts w:ascii="宋体" w:hAnsi="宋体" w:cs="宋体" w:eastAsia="宋体" w:hint="default"/>
                <w:sz w:val="18"/>
                <w:szCs w:val="18"/>
              </w:rPr>
            </w:pPr>
            <w:r>
              <w:rPr>
                <w:rFonts w:ascii="宋体" w:hAnsi="宋体" w:cs="宋体" w:eastAsia="宋体" w:hint="default"/>
                <w:sz w:val="18"/>
                <w:szCs w:val="18"/>
              </w:rPr>
              <w:t>非公开发行限售 股份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3"/>
              <w:jc w:val="left"/>
              <w:rPr>
                <w:rFonts w:ascii="宋体" w:hAnsi="宋体" w:cs="宋体" w:eastAsia="宋体" w:hint="default"/>
                <w:sz w:val="18"/>
                <w:szCs w:val="18"/>
              </w:rPr>
            </w:pPr>
            <w:r>
              <w:rPr>
                <w:rFonts w:ascii="宋体" w:hAnsi="宋体" w:cs="宋体" w:eastAsia="宋体" w:hint="default"/>
                <w:sz w:val="18"/>
                <w:szCs w:val="18"/>
              </w:rPr>
              <w:t>该股东持有的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年度非公开 发行限售股份已</w:t>
            </w:r>
          </w:p>
          <w:p>
            <w:pPr>
              <w:pStyle w:val="TableParagraph"/>
              <w:spacing w:line="240" w:lineRule="auto" w:before="4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165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07" w:lineRule="auto"/>
              <w:ind w:left="15" w:right="74"/>
              <w:jc w:val="left"/>
              <w:rPr>
                <w:rFonts w:ascii="宋体" w:hAnsi="宋体" w:cs="宋体" w:eastAsia="宋体" w:hint="default"/>
                <w:sz w:val="18"/>
                <w:szCs w:val="18"/>
              </w:rPr>
            </w:pPr>
            <w:r>
              <w:rPr>
                <w:rFonts w:ascii="宋体" w:hAnsi="宋体" w:cs="宋体" w:eastAsia="宋体" w:hint="default"/>
                <w:sz w:val="18"/>
                <w:szCs w:val="18"/>
              </w:rPr>
              <w:t>非公开发行限售 股份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3"/>
              <w:jc w:val="left"/>
              <w:rPr>
                <w:rFonts w:ascii="宋体" w:hAnsi="宋体" w:cs="宋体" w:eastAsia="宋体" w:hint="default"/>
                <w:sz w:val="18"/>
                <w:szCs w:val="18"/>
              </w:rPr>
            </w:pPr>
            <w:r>
              <w:rPr>
                <w:rFonts w:ascii="宋体" w:hAnsi="宋体" w:cs="宋体" w:eastAsia="宋体" w:hint="default"/>
                <w:sz w:val="18"/>
                <w:szCs w:val="18"/>
              </w:rPr>
              <w:t>该股东持有的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年度非公开 发行限售股份已</w:t>
            </w:r>
          </w:p>
          <w:p>
            <w:pPr>
              <w:pStyle w:val="TableParagraph"/>
              <w:spacing w:line="240" w:lineRule="auto" w:before="4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日解除限售。</w:t>
            </w:r>
          </w:p>
        </w:tc>
      </w:tr>
      <w:tr>
        <w:trPr>
          <w:trHeight w:val="3844"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5"/>
              <w:jc w:val="right"/>
              <w:rPr>
                <w:rFonts w:ascii="Times New Roman" w:hAnsi="Times New Roman" w:cs="Times New Roman" w:eastAsia="Times New Roman" w:hint="default"/>
                <w:sz w:val="18"/>
                <w:szCs w:val="18"/>
              </w:rPr>
            </w:pPr>
            <w:r>
              <w:rPr>
                <w:rFonts w:ascii="Times New Roman"/>
                <w:sz w:val="18"/>
              </w:rPr>
              <w:t>955,275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30"/>
              <w:jc w:val="right"/>
              <w:rPr>
                <w:rFonts w:ascii="Times New Roman" w:hAnsi="Times New Roman" w:cs="Times New Roman" w:eastAsia="Times New Roman" w:hint="default"/>
                <w:sz w:val="18"/>
                <w:szCs w:val="18"/>
              </w:rPr>
            </w:pPr>
            <w:r>
              <w:rPr>
                <w:rFonts w:ascii="Times New Roman"/>
                <w:sz w:val="18"/>
              </w:rPr>
              <w:t>90,000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30"/>
              <w:jc w:val="right"/>
              <w:rPr>
                <w:rFonts w:ascii="Times New Roman" w:hAnsi="Times New Roman" w:cs="Times New Roman" w:eastAsia="Times New Roman" w:hint="default"/>
                <w:sz w:val="18"/>
                <w:szCs w:val="18"/>
              </w:rPr>
            </w:pPr>
            <w:r>
              <w:rPr>
                <w:rFonts w:ascii="Times New Roman"/>
                <w:sz w:val="18"/>
              </w:rPr>
              <w:t>865,275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、高管锁定股</w:t>
            </w:r>
          </w:p>
          <w:p>
            <w:pPr>
              <w:pStyle w:val="TableParagraph"/>
              <w:spacing w:line="290" w:lineRule="auto" w:before="51"/>
              <w:ind w:left="15" w:right="28"/>
              <w:jc w:val="both"/>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年度股权 激励限售股，</w:t>
            </w:r>
          </w:p>
          <w:p>
            <w:pPr>
              <w:pStyle w:val="TableParagraph"/>
              <w:spacing w:line="314" w:lineRule="auto" w:before="56"/>
              <w:ind w:left="15"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月因股 权激励计划解锁 条件中的公司业 绩条件未达到， 公司决定回购注 销授予其所持有 的限制性股票</w:t>
            </w:r>
          </w:p>
          <w:p>
            <w:pPr>
              <w:pStyle w:val="TableParagraph"/>
              <w:spacing w:line="240" w:lineRule="auto" w:before="24"/>
              <w:ind w:left="15"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90,000</w:t>
            </w:r>
          </w:p>
          <w:p>
            <w:pPr>
              <w:pStyle w:val="TableParagraph"/>
              <w:spacing w:line="240" w:lineRule="auto" w:before="51"/>
              <w:ind w:left="1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73" w:lineRule="auto"/>
              <w:ind w:left="15" w:right="29"/>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、高管锁定股按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法律法规的规定</w:t>
            </w:r>
          </w:p>
          <w:p>
            <w:pPr>
              <w:pStyle w:val="TableParagraph"/>
              <w:spacing w:line="304" w:lineRule="auto" w:before="69"/>
              <w:ind w:left="15" w:right="13"/>
              <w:jc w:val="both"/>
              <w:rPr>
                <w:rFonts w:ascii="宋体" w:hAnsi="宋体" w:cs="宋体" w:eastAsia="宋体" w:hint="default"/>
                <w:sz w:val="18"/>
                <w:szCs w:val="18"/>
              </w:rPr>
            </w:pPr>
            <w:r>
              <w:rPr>
                <w:rFonts w:ascii="宋体" w:hAnsi="宋体" w:cs="宋体" w:eastAsia="宋体" w:hint="default"/>
                <w:sz w:val="18"/>
                <w:szCs w:val="18"/>
              </w:rPr>
              <w:t>解锁。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年度股权激 励限售股解除限 售时间为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p>
          <w:p>
            <w:pPr>
              <w:pStyle w:val="TableParagraph"/>
              <w:spacing w:line="240" w:lineRule="auto" w:before="12"/>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3828"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5"/>
              <w:jc w:val="right"/>
              <w:rPr>
                <w:rFonts w:ascii="Times New Roman" w:hAnsi="Times New Roman" w:cs="Times New Roman" w:eastAsia="Times New Roman" w:hint="default"/>
                <w:sz w:val="18"/>
                <w:szCs w:val="18"/>
              </w:rPr>
            </w:pPr>
            <w:r>
              <w:rPr>
                <w:rFonts w:ascii="Times New Roman"/>
                <w:sz w:val="18"/>
              </w:rPr>
              <w:t>596,875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8"/>
              <w:jc w:val="right"/>
              <w:rPr>
                <w:rFonts w:ascii="Times New Roman" w:hAnsi="Times New Roman" w:cs="Times New Roman" w:eastAsia="Times New Roman" w:hint="default"/>
                <w:sz w:val="18"/>
                <w:szCs w:val="18"/>
              </w:rPr>
            </w:pPr>
            <w:r>
              <w:rPr>
                <w:rFonts w:ascii="Times New Roman"/>
                <w:sz w:val="18"/>
              </w:rPr>
              <w:t>21,875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30"/>
              <w:jc w:val="right"/>
              <w:rPr>
                <w:rFonts w:ascii="Times New Roman" w:hAnsi="Times New Roman" w:cs="Times New Roman" w:eastAsia="Times New Roman" w:hint="default"/>
                <w:sz w:val="18"/>
                <w:szCs w:val="18"/>
              </w:rPr>
            </w:pPr>
            <w:r>
              <w:rPr>
                <w:rFonts w:ascii="Times New Roman"/>
                <w:sz w:val="18"/>
              </w:rPr>
              <w:t>140,000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30"/>
              <w:jc w:val="right"/>
              <w:rPr>
                <w:rFonts w:ascii="Times New Roman" w:hAnsi="Times New Roman" w:cs="Times New Roman" w:eastAsia="Times New Roman" w:hint="default"/>
                <w:sz w:val="18"/>
                <w:szCs w:val="18"/>
              </w:rPr>
            </w:pPr>
            <w:r>
              <w:rPr>
                <w:rFonts w:ascii="Times New Roman"/>
                <w:sz w:val="18"/>
              </w:rPr>
              <w:t>478,750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、高管锁定股</w:t>
            </w:r>
          </w:p>
          <w:p>
            <w:pPr>
              <w:pStyle w:val="TableParagraph"/>
              <w:spacing w:line="312" w:lineRule="auto" w:before="66"/>
              <w:ind w:left="15" w:right="28"/>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年度股权 激励限售股，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月因股 权激励计划解锁 条件中的公司业 绩条件未达到， 公司决定回购注 销授予其所持有 的限制性股票</w:t>
            </w:r>
          </w:p>
          <w:p>
            <w:pPr>
              <w:pStyle w:val="TableParagraph"/>
              <w:spacing w:line="240" w:lineRule="auto" w:before="4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40%</w:t>
            </w:r>
            <w:r>
              <w:rPr>
                <w:rFonts w:ascii="宋体" w:hAnsi="宋体" w:cs="宋体" w:eastAsia="宋体" w:hint="default"/>
                <w:spacing w:val="-3"/>
                <w:sz w:val="18"/>
                <w:szCs w:val="18"/>
              </w:rPr>
              <w:t>，即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140,000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2" w:lineRule="auto"/>
              <w:ind w:left="15" w:right="28"/>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、高管锁定股按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法律法规的规定 解锁。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312" w:lineRule="auto"/>
              <w:ind w:left="15" w:right="2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年度股权激 励限售股解除限 售时间为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2019</w:t>
            </w:r>
          </w:p>
          <w:p>
            <w:pPr>
              <w:pStyle w:val="TableParagraph"/>
              <w:spacing w:line="240" w:lineRule="auto" w:before="6"/>
              <w:ind w:left="15"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2552"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卢和忠</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5"/>
              <w:jc w:val="right"/>
              <w:rPr>
                <w:rFonts w:ascii="Times New Roman" w:hAnsi="Times New Roman" w:cs="Times New Roman" w:eastAsia="Times New Roman" w:hint="default"/>
                <w:sz w:val="18"/>
                <w:szCs w:val="18"/>
              </w:rPr>
            </w:pPr>
            <w:r>
              <w:rPr>
                <w:rFonts w:ascii="Times New Roman"/>
                <w:sz w:val="18"/>
              </w:rPr>
              <w:t>487,500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30"/>
              <w:jc w:val="right"/>
              <w:rPr>
                <w:rFonts w:ascii="Times New Roman" w:hAnsi="Times New Roman" w:cs="Times New Roman" w:eastAsia="Times New Roman" w:hint="default"/>
                <w:sz w:val="18"/>
                <w:szCs w:val="18"/>
              </w:rPr>
            </w:pPr>
            <w:r>
              <w:rPr>
                <w:rFonts w:ascii="Times New Roman"/>
                <w:sz w:val="18"/>
              </w:rPr>
              <w:t>260,000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30"/>
              <w:jc w:val="right"/>
              <w:rPr>
                <w:rFonts w:ascii="Times New Roman" w:hAnsi="Times New Roman" w:cs="Times New Roman" w:eastAsia="Times New Roman" w:hint="default"/>
                <w:sz w:val="18"/>
                <w:szCs w:val="18"/>
              </w:rPr>
            </w:pPr>
            <w:r>
              <w:rPr>
                <w:rFonts w:ascii="Times New Roman"/>
                <w:sz w:val="18"/>
              </w:rPr>
              <w:t>227,500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9"/>
              <w:ind w:left="15"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年度股权激 励限售股，</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月因股权激 励计划解锁条件 中的公司业绩条 件未达到，公司 决定回购注销授 予其所持有的限</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2" w:lineRule="auto"/>
              <w:ind w:left="15" w:right="2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年度股权激 励限售股解除限 售时间为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2019</w:t>
            </w:r>
          </w:p>
          <w:p>
            <w:pPr>
              <w:pStyle w:val="TableParagraph"/>
              <w:spacing w:line="241" w:lineRule="exact"/>
              <w:ind w:left="15"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bl>
    <w:p>
      <w:pPr>
        <w:spacing w:after="0" w:line="241" w:lineRule="exact"/>
        <w:jc w:val="both"/>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675" w:hRule="exact"/>
        </w:trPr>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14"/>
              <w:ind w:left="15" w:right="59"/>
              <w:jc w:val="left"/>
              <w:rPr>
                <w:rFonts w:ascii="宋体" w:hAnsi="宋体" w:cs="宋体" w:eastAsia="宋体" w:hint="default"/>
                <w:sz w:val="18"/>
                <w:szCs w:val="18"/>
              </w:rPr>
            </w:pPr>
            <w:r>
              <w:rPr>
                <w:rFonts w:ascii="宋体" w:hAnsi="宋体" w:cs="宋体" w:eastAsia="宋体" w:hint="default"/>
                <w:sz w:val="18"/>
                <w:szCs w:val="18"/>
              </w:rPr>
              <w:t>制性股票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 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260,000 </w:t>
            </w:r>
            <w:r>
              <w:rPr>
                <w:rFonts w:ascii="宋体" w:hAnsi="宋体" w:cs="宋体" w:eastAsia="宋体" w:hint="default"/>
                <w:sz w:val="18"/>
                <w:szCs w:val="18"/>
              </w:rPr>
              <w:t>股。</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212"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07" w:lineRule="auto"/>
              <w:ind w:left="15" w:right="74"/>
              <w:jc w:val="left"/>
              <w:rPr>
                <w:rFonts w:ascii="宋体" w:hAnsi="宋体" w:cs="宋体" w:eastAsia="宋体" w:hint="default"/>
                <w:sz w:val="18"/>
                <w:szCs w:val="18"/>
              </w:rPr>
            </w:pPr>
            <w:r>
              <w:rPr>
                <w:rFonts w:ascii="宋体" w:hAnsi="宋体" w:cs="宋体" w:eastAsia="宋体" w:hint="default"/>
                <w:sz w:val="18"/>
                <w:szCs w:val="18"/>
              </w:rPr>
              <w:t>其他限制性股票 激励对象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2,283,750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1,575,000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708,750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年度股权激 励限售股，因部 分激励对象不再</w:t>
            </w:r>
          </w:p>
          <w:p>
            <w:pPr>
              <w:pStyle w:val="TableParagraph"/>
              <w:spacing w:line="321" w:lineRule="auto" w:before="37"/>
              <w:ind w:left="15" w:right="13"/>
              <w:jc w:val="left"/>
              <w:rPr>
                <w:rFonts w:ascii="宋体" w:hAnsi="宋体" w:cs="宋体" w:eastAsia="宋体" w:hint="default"/>
                <w:sz w:val="18"/>
                <w:szCs w:val="18"/>
              </w:rPr>
            </w:pPr>
            <w:r>
              <w:rPr>
                <w:rFonts w:ascii="宋体" w:hAnsi="宋体" w:cs="宋体" w:eastAsia="宋体" w:hint="default"/>
                <w:sz w:val="18"/>
                <w:szCs w:val="18"/>
              </w:rPr>
              <w:t>符合激励条件和 股权激励计划解 锁条件中的公司 业绩条件未达 到，公司回购注 销</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1,575,000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股限</w:t>
            </w:r>
          </w:p>
          <w:p>
            <w:pPr>
              <w:pStyle w:val="TableParagraph"/>
              <w:spacing w:line="204" w:lineRule="exact"/>
              <w:ind w:left="15" w:right="0"/>
              <w:jc w:val="left"/>
              <w:rPr>
                <w:rFonts w:ascii="宋体" w:hAnsi="宋体" w:cs="宋体" w:eastAsia="宋体" w:hint="default"/>
                <w:sz w:val="18"/>
                <w:szCs w:val="18"/>
              </w:rPr>
            </w:pPr>
            <w:r>
              <w:rPr>
                <w:rFonts w:ascii="宋体" w:hAnsi="宋体" w:cs="宋体" w:eastAsia="宋体" w:hint="default"/>
                <w:sz w:val="18"/>
                <w:szCs w:val="18"/>
              </w:rPr>
              <w:t>制性股票。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73" w:lineRule="auto"/>
              <w:ind w:left="15"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年度股权激 励限售股解除限</w:t>
            </w:r>
          </w:p>
          <w:p>
            <w:pPr>
              <w:pStyle w:val="TableParagraph"/>
              <w:spacing w:line="240" w:lineRule="auto" w:before="69"/>
              <w:ind w:left="15" w:right="0"/>
              <w:jc w:val="left"/>
              <w:rPr>
                <w:rFonts w:ascii="宋体" w:hAnsi="宋体" w:cs="宋体" w:eastAsia="宋体" w:hint="default"/>
                <w:sz w:val="18"/>
                <w:szCs w:val="18"/>
              </w:rPr>
            </w:pPr>
            <w:r>
              <w:rPr>
                <w:rFonts w:ascii="宋体" w:hAnsi="宋体" w:cs="宋体" w:eastAsia="宋体" w:hint="default"/>
                <w:sz w:val="18"/>
                <w:szCs w:val="18"/>
              </w:rPr>
              <w:t>售时间为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180,093,524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21,875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21,815,230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158,300,169</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7"/>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both"/>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spacing w:val="5"/>
        </w:rPr>
        <w:t>1</w:t>
      </w:r>
      <w:r>
        <w:rPr>
          <w:spacing w:val="5"/>
        </w:rPr>
        <w:t>、报告期内证券发行（不含优先股）情况</w:t>
      </w:r>
      <w:r>
        <w:rPr>
          <w:b w:val="0"/>
          <w:bCs w:val="0"/>
          <w:spacing w:val="5"/>
        </w:rPr>
      </w:r>
    </w:p>
    <w:p>
      <w:pPr>
        <w:spacing w:line="240" w:lineRule="auto" w:before="1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34"/>
        <w:ind w:right="0"/>
        <w:jc w:val="both"/>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spacing w:val="5"/>
        </w:rPr>
        <w:t>2</w:t>
      </w:r>
      <w:r>
        <w:rPr>
          <w:spacing w:val="5"/>
        </w:rPr>
        <w:t>、公司股份总数及股东结构的变动、公司资产和负债结构的变动情况说明</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312" w:lineRule="auto" w:before="96"/>
        <w:ind w:right="1106"/>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w:t>
      </w:r>
      <w:r>
        <w:rPr>
          <w:spacing w:val="-2"/>
        </w:rPr>
        <w:t>日，公司召开第四届董事会第三十三次会议和第四届监事会第二十四次会议，并于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日召开</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4"/>
        </w:rPr>
        <w:t> </w:t>
      </w:r>
      <w:r>
        <w:rPr>
          <w:spacing w:val="-2"/>
        </w:rPr>
        <w:t>年第一次临时股东大会，会议审议通过了《关于注销部分股票期权及回购注销部分限制性股票的议案》，对不再符合公司股</w:t>
      </w:r>
      <w:r>
        <w:rPr>
          <w:spacing w:val="-42"/>
        </w:rPr>
        <w:t> </w:t>
      </w:r>
      <w:r>
        <w:rPr>
          <w:spacing w:val="-42"/>
        </w:rPr>
      </w:r>
      <w:r>
        <w:rPr/>
        <w:t>权激励条件的原激励对象持有的股票期权共计</w:t>
      </w:r>
      <w:r>
        <w:rPr>
          <w:rFonts w:ascii="Times New Roman" w:hAnsi="Times New Roman" w:cs="Times New Roman" w:eastAsia="Times New Roman" w:hint="default"/>
        </w:rPr>
        <w:t>1,995,000</w:t>
      </w:r>
      <w:r>
        <w:rPr/>
        <w:t>份，持有的限制性股票共计</w:t>
      </w:r>
      <w:r>
        <w:rPr>
          <w:rFonts w:ascii="Times New Roman" w:hAnsi="Times New Roman" w:cs="Times New Roman" w:eastAsia="Times New Roman" w:hint="default"/>
        </w:rPr>
        <w:t>765,000</w:t>
      </w:r>
      <w:r>
        <w:rPr/>
        <w:t>股进行注销</w:t>
      </w:r>
      <w:r>
        <w:rPr>
          <w:rFonts w:ascii="Times New Roman" w:hAnsi="Times New Roman" w:cs="Times New Roman" w:eastAsia="Times New Roman" w:hint="default"/>
        </w:rPr>
        <w:t>/</w:t>
      </w:r>
      <w:r>
        <w:rPr/>
        <w:t>回购注销，上述股票</w:t>
      </w:r>
    </w:p>
    <w:p>
      <w:pPr>
        <w:pStyle w:val="BodyText"/>
        <w:spacing w:line="302" w:lineRule="auto" w:before="6"/>
        <w:ind w:right="1118"/>
        <w:jc w:val="left"/>
      </w:pPr>
      <w:r>
        <w:rPr>
          <w:spacing w:val="-2"/>
        </w:rPr>
        <w:t>期权注销事宜已于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日完成，限制性股票回购注销已于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日完成。限制性股票回购注销完成后，公司总</w:t>
      </w:r>
      <w:r>
        <w:rPr>
          <w:spacing w:val="-57"/>
        </w:rPr>
        <w:t> </w:t>
      </w:r>
      <w:r>
        <w:rPr>
          <w:spacing w:val="-57"/>
        </w:rPr>
      </w:r>
      <w:r>
        <w:rPr/>
        <w:t>股本由 </w:t>
      </w:r>
      <w:r>
        <w:rPr>
          <w:rFonts w:ascii="Times New Roman" w:hAnsi="Times New Roman" w:cs="Times New Roman" w:eastAsia="Times New Roman" w:hint="default"/>
        </w:rPr>
        <w:t>579,971,704  </w:t>
      </w:r>
      <w:r>
        <w:rPr/>
        <w:t>股变更为 </w:t>
      </w:r>
      <w:r>
        <w:rPr>
          <w:rFonts w:ascii="Times New Roman" w:hAnsi="Times New Roman" w:cs="Times New Roman" w:eastAsia="Times New Roman" w:hint="default"/>
        </w:rPr>
        <w:t>579,206,704</w:t>
      </w:r>
      <w:r>
        <w:rPr>
          <w:rFonts w:ascii="Times New Roman" w:hAnsi="Times New Roman" w:cs="Times New Roman" w:eastAsia="Times New Roman" w:hint="default"/>
          <w:spacing w:val="-13"/>
        </w:rPr>
        <w:t> </w:t>
      </w:r>
      <w:r>
        <w:rPr/>
        <w:t>股。</w:t>
      </w:r>
    </w:p>
    <w:p>
      <w:pPr>
        <w:pStyle w:val="BodyText"/>
        <w:spacing w:line="312" w:lineRule="auto"/>
        <w:ind w:right="1106"/>
        <w:jc w:val="both"/>
        <w:rPr>
          <w:rFonts w:ascii="Times New Roman" w:hAnsi="Times New Roman" w:cs="Times New Roman" w:eastAsia="Times New Roman" w:hint="default"/>
        </w:rPr>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19</w:t>
      </w:r>
      <w:r>
        <w:rPr>
          <w:spacing w:val="-3"/>
        </w:rPr>
        <w:t>日，公司召开第四届董事会第三十七次会议和第四届监事会第二十七次会议，并于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14</w:t>
      </w:r>
      <w:r>
        <w:rPr>
          <w:spacing w:val="-3"/>
        </w:rPr>
        <w:t>日召开</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28"/>
        </w:rPr>
        <w:t> </w:t>
      </w:r>
      <w:r>
        <w:rPr>
          <w:spacing w:val="-2"/>
        </w:rPr>
        <w:t>年度股东大会，会议审议通过了《关于注销部分股票期权及回购注销部分限制性股票的议案》，公司对不再符合股权激励条</w:t>
      </w:r>
      <w:r>
        <w:rPr>
          <w:spacing w:val="-42"/>
        </w:rPr>
        <w:t> </w:t>
      </w:r>
      <w:r>
        <w:rPr>
          <w:spacing w:val="-42"/>
        </w:rPr>
      </w:r>
      <w:r>
        <w:rPr/>
        <w:t>件的原激励对象持有的和未达到第二期行权</w:t>
      </w:r>
      <w:r>
        <w:rPr>
          <w:rFonts w:ascii="Times New Roman" w:hAnsi="Times New Roman" w:cs="Times New Roman" w:eastAsia="Times New Roman" w:hint="default"/>
        </w:rPr>
        <w:t>/</w:t>
      </w:r>
      <w:r>
        <w:rPr/>
        <w:t>解锁条件的股票期权共计 </w:t>
      </w:r>
      <w:r>
        <w:rPr>
          <w:rFonts w:ascii="Times New Roman" w:hAnsi="Times New Roman" w:cs="Times New Roman" w:eastAsia="Times New Roman" w:hint="default"/>
        </w:rPr>
        <w:t>3,536,200  </w:t>
      </w:r>
      <w:r>
        <w:rPr>
          <w:spacing w:val="-3"/>
        </w:rPr>
        <w:t>份、限制性股票共计</w:t>
      </w:r>
      <w:r>
        <w:rPr>
          <w:rFonts w:ascii="Times New Roman" w:hAnsi="Times New Roman" w:cs="Times New Roman" w:eastAsia="Times New Roman" w:hint="default"/>
          <w:spacing w:val="-3"/>
        </w:rPr>
        <w:t>1,300,000</w:t>
      </w:r>
      <w:r>
        <w:rPr>
          <w:rFonts w:ascii="Times New Roman" w:hAnsi="Times New Roman" w:cs="Times New Roman" w:eastAsia="Times New Roman" w:hint="default"/>
          <w:spacing w:val="13"/>
        </w:rPr>
        <w:t> </w:t>
      </w:r>
      <w:r>
        <w:rPr/>
        <w:t>股进行注销</w:t>
      </w:r>
      <w:r>
        <w:rPr>
          <w:rFonts w:ascii="Times New Roman" w:hAnsi="Times New Roman" w:cs="Times New Roman" w:eastAsia="Times New Roman" w:hint="default"/>
        </w:rPr>
        <w:t>/</w:t>
      </w:r>
    </w:p>
    <w:p>
      <w:pPr>
        <w:pStyle w:val="BodyText"/>
        <w:spacing w:line="304" w:lineRule="auto" w:before="6"/>
        <w:ind w:right="1119"/>
        <w:jc w:val="left"/>
      </w:pPr>
      <w:r>
        <w:rPr/>
        <w:t>回购注销，上述股票期权注销事宜已于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日完成，限制性股票回购注销已于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日完成。限制性股票回购</w:t>
      </w:r>
      <w:r>
        <w:rPr>
          <w:spacing w:val="-85"/>
        </w:rPr>
        <w:t> </w:t>
      </w:r>
      <w:r>
        <w:rPr/>
        <w:t>注销完成后，公司总股本由 </w:t>
      </w:r>
      <w:r>
        <w:rPr>
          <w:rFonts w:ascii="Times New Roman" w:hAnsi="Times New Roman" w:cs="Times New Roman" w:eastAsia="Times New Roman" w:hint="default"/>
        </w:rPr>
        <w:t>579,206,704  </w:t>
      </w:r>
      <w:r>
        <w:rPr/>
        <w:t>股变更为 </w:t>
      </w:r>
      <w:r>
        <w:rPr>
          <w:rFonts w:ascii="Times New Roman" w:hAnsi="Times New Roman" w:cs="Times New Roman" w:eastAsia="Times New Roman" w:hint="default"/>
        </w:rPr>
        <w:t>577,906,704</w:t>
      </w:r>
      <w:r>
        <w:rPr>
          <w:rFonts w:ascii="Times New Roman" w:hAnsi="Times New Roman" w:cs="Times New Roman" w:eastAsia="Times New Roman" w:hint="default"/>
          <w:spacing w:val="-11"/>
        </w:rPr>
        <w:t> </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0"/>
        <w:ind w:right="0"/>
        <w:jc w:val="both"/>
        <w:rPr>
          <w:b w:val="0"/>
          <w:bCs w:val="0"/>
        </w:rPr>
      </w:pPr>
      <w:bookmarkStart w:name="3、现存的内部职工股情况" w:id="113"/>
      <w:bookmarkEnd w:id="113"/>
      <w:r>
        <w:rPr>
          <w:b w:val="0"/>
          <w:bCs w:val="0"/>
        </w:rPr>
      </w:r>
      <w:r>
        <w:rPr>
          <w:rFonts w:ascii="Times New Roman" w:hAnsi="Times New Roman" w:cs="Times New Roman" w:eastAsia="Times New Roman" w:hint="default"/>
          <w:spacing w:val="5"/>
        </w:rPr>
        <w:t>3</w:t>
      </w:r>
      <w:r>
        <w:rPr>
          <w:spacing w:val="5"/>
        </w:rPr>
        <w:t>、现存的内部职工股情况</w:t>
      </w:r>
      <w:r>
        <w:rPr>
          <w:b w:val="0"/>
          <w:bCs w:val="0"/>
          <w:spacing w:val="5"/>
        </w:rPr>
      </w:r>
    </w:p>
    <w:p>
      <w:pPr>
        <w:spacing w:line="240" w:lineRule="auto" w:before="1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both"/>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both"/>
        <w:rPr>
          <w:b w:val="0"/>
          <w:bCs w:val="0"/>
        </w:rPr>
      </w:pPr>
      <w:bookmarkStart w:name="1、公司股东数量及持股情况" w:id="115"/>
      <w:bookmarkEnd w:id="115"/>
      <w:r>
        <w:rPr>
          <w:b w:val="0"/>
          <w:bCs w:val="0"/>
        </w:rPr>
      </w:r>
      <w:r>
        <w:rPr>
          <w:rFonts w:ascii="Times New Roman" w:hAnsi="Times New Roman" w:cs="Times New Roman" w:eastAsia="Times New Roman" w:hint="default"/>
          <w:spacing w:val="4"/>
        </w:rPr>
        <w:t>1</w:t>
      </w:r>
      <w:r>
        <w:rPr>
          <w:spacing w:val="4"/>
        </w:rPr>
        <w:t>、公司股东数量及持股情况</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left="0" w:right="1110"/>
        <w:jc w:val="right"/>
      </w:pPr>
      <w:r>
        <w:rPr/>
        <w:t>单位：股</w:t>
      </w:r>
    </w:p>
    <w:p>
      <w:pPr>
        <w:spacing w:after="0" w:line="240" w:lineRule="auto"/>
        <w:jc w:val="right"/>
        <w:sectPr>
          <w:pgSz w:w="11910" w:h="16850"/>
          <w:pgMar w:header="731" w:footer="981" w:top="1040" w:bottom="1180" w:left="1000" w:right="0"/>
        </w:sectPr>
      </w:pPr>
    </w:p>
    <w:p>
      <w:pPr>
        <w:spacing w:line="240" w:lineRule="auto" w:before="0"/>
        <w:rPr>
          <w:rFonts w:ascii="宋体" w:hAnsi="宋体" w:cs="宋体" w:eastAsia="宋体" w:hint="default"/>
          <w:sz w:val="20"/>
          <w:szCs w:val="20"/>
        </w:rPr>
      </w:pPr>
      <w:r>
        <w:rPr/>
        <w:pict>
          <v:shape style="position:absolute;margin-left:56.325001pt;margin-top:72.080002pt;width:480.25pt;height:697.35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2"/>
                    <w:gridCol w:w="270"/>
                    <w:gridCol w:w="931"/>
                    <w:gridCol w:w="300"/>
                    <w:gridCol w:w="860"/>
                    <w:gridCol w:w="897"/>
                    <w:gridCol w:w="338"/>
                    <w:gridCol w:w="593"/>
                    <w:gridCol w:w="586"/>
                    <w:gridCol w:w="406"/>
                    <w:gridCol w:w="811"/>
                    <w:gridCol w:w="331"/>
                    <w:gridCol w:w="848"/>
                    <w:gridCol w:w="143"/>
                    <w:gridCol w:w="1066"/>
                  </w:tblGrid>
                  <w:tr>
                    <w:trPr>
                      <w:trHeight w:val="158" w:hRule="exact"/>
                    </w:trPr>
                    <w:tc>
                      <w:tcPr>
                        <w:tcW w:w="1202" w:type="dxa"/>
                        <w:vMerge w:val="restart"/>
                        <w:tcBorders>
                          <w:top w:val="single" w:sz="6" w:space="0" w:color="000000"/>
                          <w:left w:val="single" w:sz="6" w:space="0" w:color="000000"/>
                          <w:right w:val="single" w:sz="6" w:space="0" w:color="000000"/>
                        </w:tcBorders>
                        <w:shd w:val="clear" w:color="auto" w:fill="D2D2D2"/>
                      </w:tcPr>
                      <w:p>
                        <w:pPr/>
                      </w:p>
                    </w:tc>
                    <w:tc>
                      <w:tcPr>
                        <w:tcW w:w="1202" w:type="dxa"/>
                        <w:gridSpan w:val="2"/>
                        <w:vMerge w:val="restart"/>
                        <w:tcBorders>
                          <w:top w:val="single" w:sz="6" w:space="0" w:color="000000"/>
                          <w:left w:val="single" w:sz="12" w:space="0" w:color="D2D2D2"/>
                          <w:right w:val="single" w:sz="12"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56,397</w:t>
                        </w:r>
                      </w:p>
                    </w:tc>
                    <w:tc>
                      <w:tcPr>
                        <w:tcW w:w="1160" w:type="dxa"/>
                        <w:gridSpan w:val="2"/>
                        <w:vMerge w:val="restart"/>
                        <w:tcBorders>
                          <w:top w:val="single" w:sz="6" w:space="0" w:color="000000"/>
                          <w:left w:val="single" w:sz="6" w:space="0" w:color="000000"/>
                          <w:right w:val="single" w:sz="6" w:space="0" w:color="000000"/>
                        </w:tcBorders>
                        <w:shd w:val="clear" w:color="auto" w:fill="D2D2D2"/>
                      </w:tcPr>
                      <w:p>
                        <w:pPr/>
                      </w:p>
                    </w:tc>
                    <w:tc>
                      <w:tcPr>
                        <w:tcW w:w="1235" w:type="dxa"/>
                        <w:gridSpan w:val="2"/>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02" w:right="0"/>
                          <w:jc w:val="left"/>
                          <w:rPr>
                            <w:rFonts w:ascii="Times New Roman" w:hAnsi="Times New Roman" w:cs="Times New Roman" w:eastAsia="Times New Roman" w:hint="default"/>
                            <w:sz w:val="18"/>
                            <w:szCs w:val="18"/>
                          </w:rPr>
                        </w:pPr>
                        <w:r>
                          <w:rPr>
                            <w:rFonts w:ascii="Times New Roman"/>
                            <w:sz w:val="18"/>
                          </w:rPr>
                          <w:t>56,236</w:t>
                        </w:r>
                      </w:p>
                    </w:tc>
                    <w:tc>
                      <w:tcPr>
                        <w:tcW w:w="1179"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216" w:type="dxa"/>
                        <w:gridSpan w:val="2"/>
                        <w:vMerge w:val="restart"/>
                        <w:tcBorders>
                          <w:top w:val="single" w:sz="6" w:space="0" w:color="000000"/>
                          <w:left w:val="single" w:sz="12" w:space="0" w:color="D2D2D2"/>
                          <w:right w:val="single" w:sz="18"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17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19" w:lineRule="auto" w:before="44"/>
                          <w:ind w:left="15" w:right="22"/>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0"/>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9" w:type="dxa"/>
                        <w:gridSpan w:val="2"/>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202" w:type="dxa"/>
                        <w:gridSpan w:val="2"/>
                        <w:vMerge/>
                        <w:tcBorders>
                          <w:left w:val="single" w:sz="12" w:space="0" w:color="D2D2D2"/>
                          <w:right w:val="single" w:sz="12" w:space="0" w:color="D2D2D2"/>
                        </w:tcBorders>
                      </w:tcPr>
                      <w:p>
                        <w:pPr/>
                      </w:p>
                    </w:tc>
                    <w:tc>
                      <w:tcPr>
                        <w:tcW w:w="1160" w:type="dxa"/>
                        <w:gridSpan w:val="2"/>
                        <w:vMerge/>
                        <w:tcBorders>
                          <w:left w:val="single" w:sz="6" w:space="0" w:color="000000"/>
                          <w:bottom w:val="nil" w:sz="6" w:space="0" w:color="auto"/>
                          <w:right w:val="single" w:sz="6" w:space="0" w:color="000000"/>
                        </w:tcBorders>
                        <w:shd w:val="clear" w:color="auto" w:fill="D2D2D2"/>
                      </w:tcPr>
                      <w:p>
                        <w:pPr/>
                      </w:p>
                    </w:tc>
                    <w:tc>
                      <w:tcPr>
                        <w:tcW w:w="1235" w:type="dxa"/>
                        <w:gridSpan w:val="2"/>
                        <w:vMerge/>
                        <w:tcBorders>
                          <w:left w:val="single" w:sz="6" w:space="0" w:color="000000"/>
                          <w:right w:val="single" w:sz="6" w:space="0" w:color="000000"/>
                        </w:tcBorders>
                      </w:tcPr>
                      <w:p>
                        <w:pPr/>
                      </w:p>
                    </w:tc>
                    <w:tc>
                      <w:tcPr>
                        <w:tcW w:w="1179"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7" w:right="74"/>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36" w:lineRule="auto" w:before="24"/>
                          <w:ind w:left="7" w:right="74"/>
                          <w:jc w:val="both"/>
                          <w:rPr>
                            <w:rFonts w:ascii="宋体" w:hAnsi="宋体" w:cs="宋体" w:eastAsia="宋体" w:hint="default"/>
                            <w:sz w:val="18"/>
                            <w:szCs w:val="18"/>
                          </w:rPr>
                        </w:pPr>
                        <w:r>
                          <w:rPr>
                            <w:rFonts w:ascii="宋体" w:hAnsi="宋体" w:cs="宋体" w:eastAsia="宋体" w:hint="default"/>
                            <w:sz w:val="18"/>
                            <w:szCs w:val="18"/>
                          </w:rPr>
                          <w:t>（如有）（参 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1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gridSpan w:val="2"/>
                        <w:vMerge/>
                        <w:tcBorders>
                          <w:left w:val="single" w:sz="12" w:space="0" w:color="000000"/>
                          <w:right w:val="single" w:sz="6" w:space="0" w:color="000000"/>
                        </w:tcBorders>
                      </w:tcPr>
                      <w:p>
                        <w:pPr/>
                      </w:p>
                    </w:tc>
                  </w:tr>
                  <w:tr>
                    <w:trPr>
                      <w:trHeight w:val="315" w:hRule="exact"/>
                    </w:trPr>
                    <w:tc>
                      <w:tcPr>
                        <w:tcW w:w="1202" w:type="dxa"/>
                        <w:vMerge/>
                        <w:tcBorders>
                          <w:left w:val="single" w:sz="6" w:space="0" w:color="000000"/>
                          <w:bottom w:val="nil" w:sz="6" w:space="0" w:color="auto"/>
                          <w:right w:val="single" w:sz="6" w:space="0" w:color="000000"/>
                        </w:tcBorders>
                        <w:shd w:val="clear" w:color="auto" w:fill="D2D2D2"/>
                      </w:tcPr>
                      <w:p>
                        <w:pPr/>
                      </w:p>
                    </w:tc>
                    <w:tc>
                      <w:tcPr>
                        <w:tcW w:w="1202" w:type="dxa"/>
                        <w:gridSpan w:val="2"/>
                        <w:vMerge/>
                        <w:tcBorders>
                          <w:left w:val="single" w:sz="12" w:space="0" w:color="D2D2D2"/>
                          <w:right w:val="single" w:sz="12" w:space="0" w:color="D2D2D2"/>
                        </w:tcBorders>
                      </w:tcPr>
                      <w:p>
                        <w:pPr/>
                      </w:p>
                    </w:tc>
                    <w:tc>
                      <w:tcPr>
                        <w:tcW w:w="1160"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15" w:right="48"/>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35" w:type="dxa"/>
                        <w:gridSpan w:val="2"/>
                        <w:vMerge/>
                        <w:tcBorders>
                          <w:left w:val="single" w:sz="6" w:space="0" w:color="000000"/>
                          <w:right w:val="single" w:sz="6" w:space="0" w:color="000000"/>
                        </w:tcBorders>
                      </w:tcPr>
                      <w:p>
                        <w:pPr/>
                      </w:p>
                    </w:tc>
                    <w:tc>
                      <w:tcPr>
                        <w:tcW w:w="1179" w:type="dxa"/>
                        <w:gridSpan w:val="2"/>
                        <w:vMerge/>
                        <w:tcBorders>
                          <w:left w:val="single" w:sz="6" w:space="0" w:color="000000"/>
                          <w:right w:val="single" w:sz="6" w:space="0" w:color="000000"/>
                        </w:tcBorders>
                        <w:shd w:val="clear" w:color="auto" w:fill="D2D2D2"/>
                      </w:tcPr>
                      <w:p>
                        <w:pPr/>
                      </w:p>
                    </w:tc>
                    <w:tc>
                      <w:tcPr>
                        <w:tcW w:w="121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gridSpan w:val="2"/>
                        <w:vMerge/>
                        <w:tcBorders>
                          <w:left w:val="single" w:sz="12" w:space="0" w:color="000000"/>
                          <w:right w:val="single" w:sz="6" w:space="0" w:color="000000"/>
                        </w:tcBorders>
                      </w:tcPr>
                      <w:p>
                        <w:pPr/>
                      </w:p>
                    </w:tc>
                  </w:tr>
                  <w:tr>
                    <w:trPr>
                      <w:trHeight w:val="705" w:hRule="exact"/>
                    </w:trPr>
                    <w:tc>
                      <w:tcPr>
                        <w:tcW w:w="12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2" w:type="dxa"/>
                        <w:gridSpan w:val="2"/>
                        <w:vMerge/>
                        <w:tcBorders>
                          <w:left w:val="single" w:sz="12" w:space="0" w:color="D2D2D2"/>
                          <w:right w:val="single" w:sz="12" w:space="0" w:color="D2D2D2"/>
                        </w:tcBorders>
                      </w:tcPr>
                      <w:p>
                        <w:pPr/>
                      </w:p>
                    </w:tc>
                    <w:tc>
                      <w:tcPr>
                        <w:tcW w:w="1160" w:type="dxa"/>
                        <w:gridSpan w:val="2"/>
                        <w:vMerge/>
                        <w:tcBorders>
                          <w:left w:val="single" w:sz="6" w:space="0" w:color="000000"/>
                          <w:right w:val="single" w:sz="6" w:space="0" w:color="000000"/>
                        </w:tcBorders>
                        <w:shd w:val="clear" w:color="auto" w:fill="D2D2D2"/>
                      </w:tcPr>
                      <w:p>
                        <w:pPr/>
                      </w:p>
                    </w:tc>
                    <w:tc>
                      <w:tcPr>
                        <w:tcW w:w="1235" w:type="dxa"/>
                        <w:gridSpan w:val="2"/>
                        <w:vMerge/>
                        <w:tcBorders>
                          <w:left w:val="single" w:sz="6" w:space="0" w:color="000000"/>
                          <w:right w:val="single" w:sz="6" w:space="0" w:color="000000"/>
                        </w:tcBorders>
                      </w:tcPr>
                      <w:p>
                        <w:pPr/>
                      </w:p>
                    </w:tc>
                    <w:tc>
                      <w:tcPr>
                        <w:tcW w:w="1179" w:type="dxa"/>
                        <w:gridSpan w:val="2"/>
                        <w:vMerge/>
                        <w:tcBorders>
                          <w:left w:val="single" w:sz="6" w:space="0" w:color="000000"/>
                          <w:right w:val="single" w:sz="6" w:space="0" w:color="000000"/>
                        </w:tcBorders>
                        <w:shd w:val="clear" w:color="auto" w:fill="D2D2D2"/>
                      </w:tcPr>
                      <w:p>
                        <w:pPr/>
                      </w:p>
                    </w:tc>
                    <w:tc>
                      <w:tcPr>
                        <w:tcW w:w="121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gridSpan w:val="2"/>
                        <w:vMerge/>
                        <w:tcBorders>
                          <w:left w:val="single" w:sz="12" w:space="0" w:color="000000"/>
                          <w:right w:val="single" w:sz="6" w:space="0" w:color="000000"/>
                        </w:tcBorders>
                      </w:tcPr>
                      <w:p>
                        <w:pPr/>
                      </w:p>
                    </w:tc>
                  </w:tr>
                  <w:tr>
                    <w:trPr>
                      <w:trHeight w:val="315" w:hRule="exact"/>
                    </w:trPr>
                    <w:tc>
                      <w:tcPr>
                        <w:tcW w:w="1202" w:type="dxa"/>
                        <w:vMerge w:val="restart"/>
                        <w:tcBorders>
                          <w:top w:val="nil" w:sz="6" w:space="0" w:color="auto"/>
                          <w:left w:val="single" w:sz="6" w:space="0" w:color="000000"/>
                          <w:right w:val="single" w:sz="6" w:space="0" w:color="000000"/>
                        </w:tcBorders>
                        <w:shd w:val="clear" w:color="auto" w:fill="D2D2D2"/>
                      </w:tcPr>
                      <w:p>
                        <w:pPr/>
                      </w:p>
                    </w:tc>
                    <w:tc>
                      <w:tcPr>
                        <w:tcW w:w="1202" w:type="dxa"/>
                        <w:gridSpan w:val="2"/>
                        <w:vMerge/>
                        <w:tcBorders>
                          <w:left w:val="single" w:sz="12" w:space="0" w:color="D2D2D2"/>
                          <w:right w:val="single" w:sz="12" w:space="0" w:color="D2D2D2"/>
                        </w:tcBorders>
                      </w:tcPr>
                      <w:p>
                        <w:pPr/>
                      </w:p>
                    </w:tc>
                    <w:tc>
                      <w:tcPr>
                        <w:tcW w:w="1160" w:type="dxa"/>
                        <w:gridSpan w:val="2"/>
                        <w:vMerge/>
                        <w:tcBorders>
                          <w:left w:val="single" w:sz="6" w:space="0" w:color="000000"/>
                          <w:bottom w:val="nil" w:sz="6" w:space="0" w:color="auto"/>
                          <w:right w:val="single" w:sz="6" w:space="0" w:color="000000"/>
                        </w:tcBorders>
                        <w:shd w:val="clear" w:color="auto" w:fill="D2D2D2"/>
                      </w:tcPr>
                      <w:p>
                        <w:pPr/>
                      </w:p>
                    </w:tc>
                    <w:tc>
                      <w:tcPr>
                        <w:tcW w:w="1235" w:type="dxa"/>
                        <w:gridSpan w:val="2"/>
                        <w:vMerge/>
                        <w:tcBorders>
                          <w:left w:val="single" w:sz="6" w:space="0" w:color="000000"/>
                          <w:right w:val="single" w:sz="6" w:space="0" w:color="000000"/>
                        </w:tcBorders>
                      </w:tcPr>
                      <w:p>
                        <w:pPr/>
                      </w:p>
                    </w:tc>
                    <w:tc>
                      <w:tcPr>
                        <w:tcW w:w="1179" w:type="dxa"/>
                        <w:gridSpan w:val="2"/>
                        <w:vMerge/>
                        <w:tcBorders>
                          <w:left w:val="single" w:sz="6" w:space="0" w:color="000000"/>
                          <w:right w:val="single" w:sz="6" w:space="0" w:color="000000"/>
                        </w:tcBorders>
                        <w:shd w:val="clear" w:color="auto" w:fill="D2D2D2"/>
                      </w:tcPr>
                      <w:p>
                        <w:pPr/>
                      </w:p>
                    </w:tc>
                    <w:tc>
                      <w:tcPr>
                        <w:tcW w:w="121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gridSpan w:val="2"/>
                        <w:vMerge/>
                        <w:tcBorders>
                          <w:left w:val="single" w:sz="12" w:space="0" w:color="000000"/>
                          <w:right w:val="single" w:sz="6" w:space="0" w:color="000000"/>
                        </w:tcBorders>
                      </w:tcPr>
                      <w:p>
                        <w:pPr/>
                      </w:p>
                    </w:tc>
                  </w:tr>
                  <w:tr>
                    <w:trPr>
                      <w:trHeight w:val="151" w:hRule="exact"/>
                    </w:trPr>
                    <w:tc>
                      <w:tcPr>
                        <w:tcW w:w="1202" w:type="dxa"/>
                        <w:vMerge/>
                        <w:tcBorders>
                          <w:left w:val="single" w:sz="6" w:space="0" w:color="000000"/>
                          <w:right w:val="single" w:sz="6" w:space="0" w:color="000000"/>
                        </w:tcBorders>
                        <w:shd w:val="clear" w:color="auto" w:fill="D2D2D2"/>
                      </w:tcPr>
                      <w:p>
                        <w:pPr/>
                      </w:p>
                    </w:tc>
                    <w:tc>
                      <w:tcPr>
                        <w:tcW w:w="1202" w:type="dxa"/>
                        <w:gridSpan w:val="2"/>
                        <w:vMerge/>
                        <w:tcBorders>
                          <w:left w:val="single" w:sz="12" w:space="0" w:color="D2D2D2"/>
                          <w:right w:val="single" w:sz="12" w:space="0" w:color="D2D2D2"/>
                        </w:tcBorders>
                      </w:tcPr>
                      <w:p>
                        <w:pPr/>
                      </w:p>
                    </w:tc>
                    <w:tc>
                      <w:tcPr>
                        <w:tcW w:w="1160" w:type="dxa"/>
                        <w:gridSpan w:val="2"/>
                        <w:vMerge w:val="restart"/>
                        <w:tcBorders>
                          <w:top w:val="nil" w:sz="6" w:space="0" w:color="auto"/>
                          <w:left w:val="single" w:sz="6" w:space="0" w:color="000000"/>
                          <w:right w:val="single" w:sz="6" w:space="0" w:color="000000"/>
                        </w:tcBorders>
                        <w:shd w:val="clear" w:color="auto" w:fill="D2D2D2"/>
                      </w:tcPr>
                      <w:p>
                        <w:pPr/>
                      </w:p>
                    </w:tc>
                    <w:tc>
                      <w:tcPr>
                        <w:tcW w:w="1235" w:type="dxa"/>
                        <w:gridSpan w:val="2"/>
                        <w:vMerge/>
                        <w:tcBorders>
                          <w:left w:val="single" w:sz="6" w:space="0" w:color="000000"/>
                          <w:right w:val="single" w:sz="6" w:space="0" w:color="000000"/>
                        </w:tcBorders>
                      </w:tcPr>
                      <w:p>
                        <w:pPr/>
                      </w:p>
                    </w:tc>
                    <w:tc>
                      <w:tcPr>
                        <w:tcW w:w="1179" w:type="dxa"/>
                        <w:gridSpan w:val="2"/>
                        <w:vMerge/>
                        <w:tcBorders>
                          <w:left w:val="single" w:sz="6" w:space="0" w:color="000000"/>
                          <w:bottom w:val="nil" w:sz="6" w:space="0" w:color="auto"/>
                          <w:right w:val="single" w:sz="6" w:space="0" w:color="000000"/>
                        </w:tcBorders>
                        <w:shd w:val="clear" w:color="auto" w:fill="D2D2D2"/>
                      </w:tcPr>
                      <w:p>
                        <w:pPr/>
                      </w:p>
                    </w:tc>
                    <w:tc>
                      <w:tcPr>
                        <w:tcW w:w="121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gridSpan w:val="2"/>
                        <w:vMerge/>
                        <w:tcBorders>
                          <w:left w:val="single" w:sz="12" w:space="0" w:color="000000"/>
                          <w:right w:val="single" w:sz="6" w:space="0" w:color="000000"/>
                        </w:tcBorders>
                      </w:tcPr>
                      <w:p>
                        <w:pPr/>
                      </w:p>
                    </w:tc>
                  </w:tr>
                  <w:tr>
                    <w:trPr>
                      <w:trHeight w:val="172"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202" w:type="dxa"/>
                        <w:gridSpan w:val="2"/>
                        <w:vMerge/>
                        <w:tcBorders>
                          <w:left w:val="single" w:sz="12" w:space="0" w:color="D2D2D2"/>
                          <w:bottom w:val="single" w:sz="6" w:space="0" w:color="000000"/>
                          <w:right w:val="single" w:sz="12" w:space="0" w:color="D2D2D2"/>
                        </w:tcBorders>
                      </w:tcPr>
                      <w:p>
                        <w:pPr/>
                      </w:p>
                    </w:tc>
                    <w:tc>
                      <w:tcPr>
                        <w:tcW w:w="1160" w:type="dxa"/>
                        <w:gridSpan w:val="2"/>
                        <w:vMerge/>
                        <w:tcBorders>
                          <w:left w:val="single" w:sz="6" w:space="0" w:color="000000"/>
                          <w:bottom w:val="single" w:sz="6" w:space="0" w:color="000000"/>
                          <w:right w:val="single" w:sz="6" w:space="0" w:color="000000"/>
                        </w:tcBorders>
                        <w:shd w:val="clear" w:color="auto" w:fill="D2D2D2"/>
                      </w:tcPr>
                      <w:p>
                        <w:pPr/>
                      </w:p>
                    </w:tc>
                    <w:tc>
                      <w:tcPr>
                        <w:tcW w:w="1235" w:type="dxa"/>
                        <w:gridSpan w:val="2"/>
                        <w:vMerge/>
                        <w:tcBorders>
                          <w:left w:val="single" w:sz="6" w:space="0" w:color="000000"/>
                          <w:bottom w:val="single" w:sz="6" w:space="0" w:color="000000"/>
                          <w:right w:val="single" w:sz="6" w:space="0" w:color="000000"/>
                        </w:tcBorders>
                      </w:tcPr>
                      <w:p>
                        <w:pPr/>
                      </w:p>
                    </w:tc>
                    <w:tc>
                      <w:tcPr>
                        <w:tcW w:w="1179"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216" w:type="dxa"/>
                        <w:gridSpan w:val="2"/>
                        <w:vMerge/>
                        <w:tcBorders>
                          <w:left w:val="single" w:sz="12" w:space="0" w:color="D2D2D2"/>
                          <w:bottom w:val="single" w:sz="6" w:space="0" w:color="000000"/>
                          <w:right w:val="single" w:sz="18" w:space="0" w:color="D2D2D2"/>
                        </w:tcBorders>
                      </w:tcPr>
                      <w:p>
                        <w:pPr/>
                      </w:p>
                    </w:tc>
                    <w:tc>
                      <w:tcPr>
                        <w:tcW w:w="1179" w:type="dxa"/>
                        <w:gridSpan w:val="2"/>
                        <w:vMerge/>
                        <w:tcBorders>
                          <w:left w:val="single" w:sz="6" w:space="0" w:color="000000"/>
                          <w:bottom w:val="single" w:sz="6" w:space="0" w:color="000000"/>
                          <w:right w:val="single" w:sz="6" w:space="0" w:color="000000"/>
                        </w:tcBorders>
                        <w:shd w:val="clear" w:color="auto" w:fill="D2D2D2"/>
                      </w:tcPr>
                      <w:p>
                        <w:pPr/>
                      </w:p>
                    </w:tc>
                    <w:tc>
                      <w:tcPr>
                        <w:tcW w:w="1209" w:type="dxa"/>
                        <w:gridSpan w:val="2"/>
                        <w:vMerge/>
                        <w:tcBorders>
                          <w:left w:val="single" w:sz="12" w:space="0" w:color="000000"/>
                          <w:bottom w:val="single" w:sz="6" w:space="0" w:color="000000"/>
                          <w:right w:val="single" w:sz="6" w:space="0" w:color="000000"/>
                        </w:tcBorders>
                      </w:tcPr>
                      <w:p>
                        <w:pPr/>
                      </w:p>
                    </w:tc>
                  </w:tr>
                  <w:tr>
                    <w:trPr>
                      <w:trHeight w:val="405" w:hRule="exact"/>
                    </w:trPr>
                    <w:tc>
                      <w:tcPr>
                        <w:tcW w:w="9582"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48"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158" w:hRule="exact"/>
                    </w:trPr>
                    <w:tc>
                      <w:tcPr>
                        <w:tcW w:w="1472" w:type="dxa"/>
                        <w:gridSpan w:val="2"/>
                        <w:vMerge w:val="restart"/>
                        <w:tcBorders>
                          <w:top w:val="single" w:sz="6" w:space="0" w:color="000000"/>
                          <w:left w:val="single" w:sz="6" w:space="0" w:color="000000"/>
                          <w:right w:val="single" w:sz="6" w:space="0" w:color="000000"/>
                        </w:tcBorders>
                        <w:shd w:val="clear" w:color="auto" w:fill="D2D2D2"/>
                      </w:tcPr>
                      <w:p>
                        <w:pPr/>
                      </w:p>
                    </w:tc>
                    <w:tc>
                      <w:tcPr>
                        <w:tcW w:w="1232" w:type="dxa"/>
                        <w:gridSpan w:val="2"/>
                        <w:vMerge w:val="restart"/>
                        <w:tcBorders>
                          <w:top w:val="single" w:sz="6" w:space="0" w:color="000000"/>
                          <w:left w:val="single" w:sz="6" w:space="0" w:color="000000"/>
                          <w:right w:val="single" w:sz="6" w:space="0" w:color="000000"/>
                        </w:tcBorders>
                        <w:shd w:val="clear" w:color="auto" w:fill="D2D2D2"/>
                      </w:tcPr>
                      <w:p>
                        <w:pPr/>
                      </w:p>
                    </w:tc>
                    <w:tc>
                      <w:tcPr>
                        <w:tcW w:w="860" w:type="dxa"/>
                        <w:vMerge w:val="restart"/>
                        <w:tcBorders>
                          <w:top w:val="single" w:sz="6" w:space="0" w:color="000000"/>
                          <w:left w:val="single" w:sz="6" w:space="0" w:color="000000"/>
                          <w:right w:val="single" w:sz="6" w:space="0" w:color="000000"/>
                        </w:tcBorders>
                        <w:shd w:val="clear" w:color="auto" w:fill="D2D2D2"/>
                      </w:tcPr>
                      <w:p>
                        <w:pPr/>
                      </w:p>
                    </w:tc>
                    <w:tc>
                      <w:tcPr>
                        <w:tcW w:w="897"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90" w:right="105"/>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9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4" w:right="28" w:hanging="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41"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20" w:right="104"/>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1" w:hRule="exact"/>
                    </w:trPr>
                    <w:tc>
                      <w:tcPr>
                        <w:tcW w:w="1472" w:type="dxa"/>
                        <w:gridSpan w:val="2"/>
                        <w:vMerge/>
                        <w:tcBorders>
                          <w:left w:val="single" w:sz="6" w:space="0" w:color="000000"/>
                          <w:bottom w:val="nil" w:sz="6" w:space="0" w:color="auto"/>
                          <w:right w:val="single" w:sz="6" w:space="0" w:color="000000"/>
                        </w:tcBorders>
                        <w:shd w:val="clear" w:color="auto" w:fill="D2D2D2"/>
                      </w:tcPr>
                      <w:p>
                        <w:pPr/>
                      </w:p>
                    </w:tc>
                    <w:tc>
                      <w:tcPr>
                        <w:tcW w:w="1232" w:type="dxa"/>
                        <w:gridSpan w:val="2"/>
                        <w:vMerge/>
                        <w:tcBorders>
                          <w:left w:val="single" w:sz="6" w:space="0" w:color="000000"/>
                          <w:bottom w:val="nil" w:sz="6" w:space="0" w:color="auto"/>
                          <w:right w:val="single" w:sz="6" w:space="0" w:color="000000"/>
                        </w:tcBorders>
                        <w:shd w:val="clear" w:color="auto" w:fill="D2D2D2"/>
                      </w:tcPr>
                      <w:p>
                        <w:pPr/>
                      </w:p>
                    </w:tc>
                    <w:tc>
                      <w:tcPr>
                        <w:tcW w:w="860" w:type="dxa"/>
                        <w:vMerge/>
                        <w:tcBorders>
                          <w:left w:val="single" w:sz="6" w:space="0" w:color="000000"/>
                          <w:bottom w:val="nil" w:sz="6" w:space="0" w:color="auto"/>
                          <w:right w:val="single" w:sz="6" w:space="0" w:color="000000"/>
                        </w:tcBorders>
                        <w:shd w:val="clear" w:color="auto" w:fill="D2D2D2"/>
                      </w:tcPr>
                      <w:p>
                        <w:pPr/>
                      </w:p>
                    </w:tc>
                    <w:tc>
                      <w:tcPr>
                        <w:tcW w:w="897"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71" w:right="90"/>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31" w:type="dxa"/>
                        <w:gridSpan w:val="2"/>
                        <w:vMerge/>
                        <w:tcBorders>
                          <w:left w:val="single" w:sz="6" w:space="0" w:color="000000"/>
                          <w:right w:val="single" w:sz="6" w:space="0" w:color="000000"/>
                        </w:tcBorders>
                        <w:shd w:val="clear" w:color="auto" w:fill="D2D2D2"/>
                      </w:tcPr>
                      <w:p>
                        <w:pPr/>
                      </w:p>
                    </w:tc>
                    <w:tc>
                      <w:tcPr>
                        <w:tcW w:w="992" w:type="dxa"/>
                        <w:gridSpan w:val="2"/>
                        <w:vMerge/>
                        <w:tcBorders>
                          <w:left w:val="single" w:sz="6" w:space="0" w:color="000000"/>
                          <w:right w:val="single" w:sz="6" w:space="0" w:color="000000"/>
                        </w:tcBorders>
                        <w:shd w:val="clear" w:color="auto" w:fill="D2D2D2"/>
                      </w:tcPr>
                      <w:p>
                        <w:pPr/>
                      </w:p>
                    </w:tc>
                    <w:tc>
                      <w:tcPr>
                        <w:tcW w:w="1141" w:type="dxa"/>
                        <w:gridSpan w:val="2"/>
                        <w:vMerge/>
                        <w:tcBorders>
                          <w:left w:val="single" w:sz="6" w:space="0" w:color="000000"/>
                          <w:right w:val="single" w:sz="6" w:space="0" w:color="000000"/>
                        </w:tcBorders>
                        <w:shd w:val="clear" w:color="auto" w:fill="D2D2D2"/>
                      </w:tcPr>
                      <w:p>
                        <w:pPr/>
                      </w:p>
                    </w:tc>
                    <w:tc>
                      <w:tcPr>
                        <w:tcW w:w="2057" w:type="dxa"/>
                        <w:gridSpan w:val="3"/>
                        <w:vMerge/>
                        <w:tcBorders>
                          <w:left w:val="single" w:sz="6" w:space="0" w:color="000000"/>
                          <w:bottom w:val="single" w:sz="6" w:space="0" w:color="000000"/>
                          <w:right w:val="single" w:sz="6" w:space="0" w:color="000000"/>
                        </w:tcBorders>
                        <w:shd w:val="clear" w:color="auto" w:fill="D2D2D2"/>
                      </w:tcPr>
                      <w:p>
                        <w:pPr/>
                      </w:p>
                    </w:tc>
                  </w:tr>
                  <w:tr>
                    <w:trPr>
                      <w:trHeight w:val="349" w:hRule="exact"/>
                    </w:trPr>
                    <w:tc>
                      <w:tcPr>
                        <w:tcW w:w="1472"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
                          <w:ind w:left="3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32" w:type="dxa"/>
                        <w:gridSpan w:val="2"/>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
                          <w:ind w:left="2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
                          <w:ind w:right="77"/>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897" w:type="dxa"/>
                        <w:vMerge/>
                        <w:tcBorders>
                          <w:left w:val="single" w:sz="6" w:space="0" w:color="000000"/>
                          <w:right w:val="single" w:sz="6" w:space="0" w:color="000000"/>
                        </w:tcBorders>
                        <w:shd w:val="clear" w:color="auto" w:fill="D2D2D2"/>
                      </w:tcPr>
                      <w:p>
                        <w:pPr/>
                      </w:p>
                    </w:tc>
                    <w:tc>
                      <w:tcPr>
                        <w:tcW w:w="931" w:type="dxa"/>
                        <w:gridSpan w:val="2"/>
                        <w:vMerge/>
                        <w:tcBorders>
                          <w:left w:val="single" w:sz="6" w:space="0" w:color="000000"/>
                          <w:right w:val="single" w:sz="6" w:space="0" w:color="000000"/>
                        </w:tcBorders>
                        <w:shd w:val="clear" w:color="auto" w:fill="D2D2D2"/>
                      </w:tcPr>
                      <w:p>
                        <w:pPr/>
                      </w:p>
                    </w:tc>
                    <w:tc>
                      <w:tcPr>
                        <w:tcW w:w="992" w:type="dxa"/>
                        <w:gridSpan w:val="2"/>
                        <w:vMerge/>
                        <w:tcBorders>
                          <w:left w:val="single" w:sz="6" w:space="0" w:color="000000"/>
                          <w:right w:val="single" w:sz="6" w:space="0" w:color="000000"/>
                        </w:tcBorders>
                        <w:shd w:val="clear" w:color="auto" w:fill="D2D2D2"/>
                      </w:tcPr>
                      <w:p>
                        <w:pPr/>
                      </w:p>
                    </w:tc>
                    <w:tc>
                      <w:tcPr>
                        <w:tcW w:w="1141" w:type="dxa"/>
                        <w:gridSpan w:val="2"/>
                        <w:vMerge/>
                        <w:tcBorders>
                          <w:left w:val="single" w:sz="6" w:space="0" w:color="000000"/>
                          <w:right w:val="single" w:sz="6" w:space="0" w:color="000000"/>
                        </w:tcBorders>
                        <w:shd w:val="clear" w:color="auto" w:fill="D2D2D2"/>
                      </w:tcPr>
                      <w:p>
                        <w:pPr/>
                      </w:p>
                    </w:tc>
                    <w:tc>
                      <w:tcPr>
                        <w:tcW w:w="991"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65" w:hRule="exact"/>
                    </w:trPr>
                    <w:tc>
                      <w:tcPr>
                        <w:tcW w:w="1472" w:type="dxa"/>
                        <w:gridSpan w:val="2"/>
                        <w:vMerge/>
                        <w:tcBorders>
                          <w:left w:val="single" w:sz="6" w:space="0" w:color="000000"/>
                          <w:right w:val="single" w:sz="6" w:space="0" w:color="000000"/>
                        </w:tcBorders>
                        <w:shd w:val="clear" w:color="auto" w:fill="D2D2D2"/>
                      </w:tcPr>
                      <w:p>
                        <w:pPr/>
                      </w:p>
                    </w:tc>
                    <w:tc>
                      <w:tcPr>
                        <w:tcW w:w="1232" w:type="dxa"/>
                        <w:gridSpan w:val="2"/>
                        <w:vMerge w:val="restart"/>
                        <w:tcBorders>
                          <w:top w:val="nil" w:sz="6" w:space="0" w:color="auto"/>
                          <w:left w:val="single" w:sz="6" w:space="0" w:color="000000"/>
                          <w:right w:val="single" w:sz="6" w:space="0" w:color="000000"/>
                        </w:tcBorders>
                        <w:shd w:val="clear" w:color="auto" w:fill="D2D2D2"/>
                      </w:tcPr>
                      <w:p>
                        <w:pPr/>
                      </w:p>
                    </w:tc>
                    <w:tc>
                      <w:tcPr>
                        <w:tcW w:w="860" w:type="dxa"/>
                        <w:vMerge w:val="restart"/>
                        <w:tcBorders>
                          <w:top w:val="nil" w:sz="6" w:space="0" w:color="auto"/>
                          <w:left w:val="single" w:sz="6" w:space="0" w:color="000000"/>
                          <w:right w:val="single" w:sz="6" w:space="0" w:color="000000"/>
                        </w:tcBorders>
                        <w:shd w:val="clear" w:color="auto" w:fill="D2D2D2"/>
                      </w:tcPr>
                      <w:p>
                        <w:pPr/>
                      </w:p>
                    </w:tc>
                    <w:tc>
                      <w:tcPr>
                        <w:tcW w:w="897" w:type="dxa"/>
                        <w:vMerge/>
                        <w:tcBorders>
                          <w:left w:val="single" w:sz="6" w:space="0" w:color="000000"/>
                          <w:bottom w:val="nil" w:sz="6" w:space="0" w:color="auto"/>
                          <w:right w:val="single" w:sz="6" w:space="0" w:color="000000"/>
                        </w:tcBorders>
                        <w:shd w:val="clear" w:color="auto" w:fill="D2D2D2"/>
                      </w:tcPr>
                      <w:p>
                        <w:pPr/>
                      </w:p>
                    </w:tc>
                    <w:tc>
                      <w:tcPr>
                        <w:tcW w:w="931" w:type="dxa"/>
                        <w:gridSpan w:val="2"/>
                        <w:vMerge/>
                        <w:tcBorders>
                          <w:left w:val="single" w:sz="6" w:space="0" w:color="000000"/>
                          <w:right w:val="single" w:sz="6" w:space="0" w:color="000000"/>
                        </w:tcBorders>
                        <w:shd w:val="clear" w:color="auto" w:fill="D2D2D2"/>
                      </w:tcPr>
                      <w:p>
                        <w:pPr/>
                      </w:p>
                    </w:tc>
                    <w:tc>
                      <w:tcPr>
                        <w:tcW w:w="992" w:type="dxa"/>
                        <w:gridSpan w:val="2"/>
                        <w:vMerge/>
                        <w:tcBorders>
                          <w:left w:val="single" w:sz="6" w:space="0" w:color="000000"/>
                          <w:right w:val="single" w:sz="6" w:space="0" w:color="000000"/>
                        </w:tcBorders>
                        <w:shd w:val="clear" w:color="auto" w:fill="D2D2D2"/>
                      </w:tcPr>
                      <w:p>
                        <w:pPr/>
                      </w:p>
                    </w:tc>
                    <w:tc>
                      <w:tcPr>
                        <w:tcW w:w="1141" w:type="dxa"/>
                        <w:gridSpan w:val="2"/>
                        <w:vMerge/>
                        <w:tcBorders>
                          <w:left w:val="single" w:sz="6" w:space="0" w:color="000000"/>
                          <w:right w:val="single" w:sz="6" w:space="0" w:color="000000"/>
                        </w:tcBorders>
                        <w:shd w:val="clear" w:color="auto" w:fill="D2D2D2"/>
                      </w:tcPr>
                      <w:p>
                        <w:pPr/>
                      </w:p>
                    </w:tc>
                    <w:tc>
                      <w:tcPr>
                        <w:tcW w:w="991" w:type="dxa"/>
                        <w:gridSpan w:val="2"/>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58" w:hRule="exact"/>
                    </w:trPr>
                    <w:tc>
                      <w:tcPr>
                        <w:tcW w:w="1472" w:type="dxa"/>
                        <w:gridSpan w:val="2"/>
                        <w:vMerge/>
                        <w:tcBorders>
                          <w:left w:val="single" w:sz="6" w:space="0" w:color="000000"/>
                          <w:bottom w:val="single" w:sz="6" w:space="0" w:color="000000"/>
                          <w:right w:val="single" w:sz="6" w:space="0" w:color="000000"/>
                        </w:tcBorders>
                        <w:shd w:val="clear" w:color="auto" w:fill="D2D2D2"/>
                      </w:tcPr>
                      <w:p>
                        <w:pPr/>
                      </w:p>
                    </w:tc>
                    <w:tc>
                      <w:tcPr>
                        <w:tcW w:w="1232" w:type="dxa"/>
                        <w:gridSpan w:val="2"/>
                        <w:vMerge/>
                        <w:tcBorders>
                          <w:left w:val="single" w:sz="6" w:space="0" w:color="000000"/>
                          <w:bottom w:val="single" w:sz="6" w:space="0" w:color="000000"/>
                          <w:right w:val="single" w:sz="6" w:space="0" w:color="000000"/>
                        </w:tcBorders>
                        <w:shd w:val="clear" w:color="auto" w:fill="D2D2D2"/>
                      </w:tcPr>
                      <w:p>
                        <w:pPr/>
                      </w:p>
                    </w:tc>
                    <w:tc>
                      <w:tcPr>
                        <w:tcW w:w="860" w:type="dxa"/>
                        <w:vMerge/>
                        <w:tcBorders>
                          <w:left w:val="single" w:sz="6" w:space="0" w:color="000000"/>
                          <w:bottom w:val="single" w:sz="6" w:space="0" w:color="000000"/>
                          <w:right w:val="single" w:sz="6" w:space="0" w:color="000000"/>
                        </w:tcBorders>
                        <w:shd w:val="clear" w:color="auto" w:fill="D2D2D2"/>
                      </w:tcPr>
                      <w:p>
                        <w:pPr/>
                      </w:p>
                    </w:tc>
                    <w:tc>
                      <w:tcPr>
                        <w:tcW w:w="897"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gridSpan w:val="2"/>
                        <w:vMerge/>
                        <w:tcBorders>
                          <w:left w:val="single" w:sz="6" w:space="0" w:color="000000"/>
                          <w:bottom w:val="single" w:sz="6" w:space="0" w:color="000000"/>
                          <w:right w:val="single" w:sz="6" w:space="0" w:color="000000"/>
                        </w:tcBorders>
                        <w:shd w:val="clear" w:color="auto" w:fill="D2D2D2"/>
                      </w:tcPr>
                      <w:p>
                        <w:pPr/>
                      </w:p>
                    </w:tc>
                    <w:tc>
                      <w:tcPr>
                        <w:tcW w:w="992" w:type="dxa"/>
                        <w:gridSpan w:val="2"/>
                        <w:vMerge/>
                        <w:tcBorders>
                          <w:left w:val="single" w:sz="6" w:space="0" w:color="000000"/>
                          <w:bottom w:val="single" w:sz="6" w:space="0" w:color="000000"/>
                          <w:right w:val="single" w:sz="6" w:space="0" w:color="000000"/>
                        </w:tcBorders>
                        <w:shd w:val="clear" w:color="auto" w:fill="D2D2D2"/>
                      </w:tcPr>
                      <w:p>
                        <w:pPr/>
                      </w:p>
                    </w:tc>
                    <w:tc>
                      <w:tcPr>
                        <w:tcW w:w="1141" w:type="dxa"/>
                        <w:gridSpan w:val="2"/>
                        <w:vMerge/>
                        <w:tcBorders>
                          <w:left w:val="single" w:sz="6" w:space="0" w:color="000000"/>
                          <w:bottom w:val="single" w:sz="6" w:space="0" w:color="000000"/>
                          <w:right w:val="single" w:sz="6" w:space="0" w:color="000000"/>
                        </w:tcBorders>
                        <w:shd w:val="clear" w:color="auto" w:fill="D2D2D2"/>
                      </w:tcPr>
                      <w:p>
                        <w:pPr/>
                      </w:p>
                    </w:tc>
                    <w:tc>
                      <w:tcPr>
                        <w:tcW w:w="991" w:type="dxa"/>
                        <w:gridSpan w:val="2"/>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472" w:type="dxa"/>
                        <w:gridSpan w:val="2"/>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1232" w:type="dxa"/>
                        <w:gridSpan w:val="2"/>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16.84%</w:t>
                        </w:r>
                      </w:p>
                    </w:tc>
                    <w:tc>
                      <w:tcPr>
                        <w:tcW w:w="89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97,317,172</w:t>
                        </w:r>
                      </w:p>
                    </w:tc>
                    <w:tc>
                      <w:tcPr>
                        <w:tcW w:w="931" w:type="dxa"/>
                        <w:gridSpan w:val="2"/>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-16,217,678</w:t>
                        </w:r>
                      </w:p>
                    </w:tc>
                    <w:tc>
                      <w:tcPr>
                        <w:tcW w:w="992" w:type="dxa"/>
                        <w:gridSpan w:val="2"/>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93,784,620</w:t>
                        </w:r>
                      </w:p>
                    </w:tc>
                    <w:tc>
                      <w:tcPr>
                        <w:tcW w:w="1141" w:type="dxa"/>
                        <w:gridSpan w:val="2"/>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3,532,552</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95,753,930</w:t>
                        </w:r>
                      </w:p>
                    </w:tc>
                  </w:tr>
                  <w:tr>
                    <w:trPr>
                      <w:trHeight w:val="406" w:hRule="exact"/>
                    </w:trPr>
                    <w:tc>
                      <w:tcPr>
                        <w:tcW w:w="1472" w:type="dxa"/>
                        <w:gridSpan w:val="2"/>
                        <w:vMerge/>
                        <w:tcBorders>
                          <w:left w:val="single" w:sz="6" w:space="0" w:color="000000"/>
                          <w:bottom w:val="single" w:sz="6" w:space="0" w:color="000000"/>
                          <w:right w:val="single" w:sz="6" w:space="0" w:color="000000"/>
                        </w:tcBorders>
                      </w:tcPr>
                      <w:p>
                        <w:pPr/>
                      </w:p>
                    </w:tc>
                    <w:tc>
                      <w:tcPr>
                        <w:tcW w:w="1232" w:type="dxa"/>
                        <w:gridSpan w:val="2"/>
                        <w:vMerge/>
                        <w:tcBorders>
                          <w:left w:val="single" w:sz="6" w:space="0" w:color="000000"/>
                          <w:bottom w:val="single" w:sz="6" w:space="0" w:color="000000"/>
                          <w:right w:val="single" w:sz="6" w:space="0" w:color="000000"/>
                        </w:tcBorders>
                      </w:tcPr>
                      <w:p>
                        <w:pPr/>
                      </w:p>
                    </w:tc>
                    <w:tc>
                      <w:tcPr>
                        <w:tcW w:w="860" w:type="dxa"/>
                        <w:vMerge/>
                        <w:tcBorders>
                          <w:left w:val="single" w:sz="6" w:space="0" w:color="000000"/>
                          <w:bottom w:val="single" w:sz="6" w:space="0" w:color="000000"/>
                          <w:right w:val="single" w:sz="6" w:space="0" w:color="000000"/>
                        </w:tcBorders>
                      </w:tcPr>
                      <w:p>
                        <w:pPr/>
                      </w:p>
                    </w:tc>
                    <w:tc>
                      <w:tcPr>
                        <w:tcW w:w="897" w:type="dxa"/>
                        <w:vMerge/>
                        <w:tcBorders>
                          <w:left w:val="single" w:sz="6" w:space="0" w:color="000000"/>
                          <w:bottom w:val="single" w:sz="6" w:space="0" w:color="000000"/>
                          <w:right w:val="single" w:sz="6" w:space="0" w:color="000000"/>
                        </w:tcBorders>
                      </w:tcPr>
                      <w:p>
                        <w:pPr/>
                      </w:p>
                    </w:tc>
                    <w:tc>
                      <w:tcPr>
                        <w:tcW w:w="931" w:type="dxa"/>
                        <w:gridSpan w:val="2"/>
                        <w:vMerge/>
                        <w:tcBorders>
                          <w:left w:val="single" w:sz="6" w:space="0" w:color="000000"/>
                          <w:bottom w:val="single" w:sz="6" w:space="0" w:color="000000"/>
                          <w:right w:val="single" w:sz="6" w:space="0" w:color="000000"/>
                        </w:tcBorders>
                      </w:tcPr>
                      <w:p>
                        <w:pPr/>
                      </w:p>
                    </w:tc>
                    <w:tc>
                      <w:tcPr>
                        <w:tcW w:w="992" w:type="dxa"/>
                        <w:gridSpan w:val="2"/>
                        <w:vMerge/>
                        <w:tcBorders>
                          <w:left w:val="single" w:sz="6" w:space="0" w:color="000000"/>
                          <w:bottom w:val="single" w:sz="6" w:space="0" w:color="000000"/>
                          <w:right w:val="single" w:sz="6" w:space="0" w:color="000000"/>
                        </w:tcBorders>
                      </w:tcPr>
                      <w:p>
                        <w:pPr/>
                      </w:p>
                    </w:tc>
                    <w:tc>
                      <w:tcPr>
                        <w:tcW w:w="1141" w:type="dxa"/>
                        <w:gridSpan w:val="2"/>
                        <w:vMerge/>
                        <w:tcBorders>
                          <w:left w:val="single" w:sz="6" w:space="0" w:color="000000"/>
                          <w:bottom w:val="single" w:sz="6" w:space="0" w:color="000000"/>
                          <w:right w:val="single" w:sz="6" w:space="0" w:color="000000"/>
                        </w:tcBorders>
                      </w:tcPr>
                      <w:p>
                        <w:pP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97,317,172</w:t>
                        </w:r>
                      </w:p>
                    </w:tc>
                  </w:tr>
                  <w:tr>
                    <w:trPr>
                      <w:trHeight w:val="1336"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29"/>
                          <w:jc w:val="left"/>
                          <w:rPr>
                            <w:rFonts w:ascii="宋体" w:hAnsi="宋体" w:cs="宋体" w:eastAsia="宋体" w:hint="default"/>
                            <w:sz w:val="18"/>
                            <w:szCs w:val="18"/>
                          </w:rPr>
                        </w:pPr>
                        <w:r>
                          <w:rPr>
                            <w:rFonts w:ascii="宋体" w:hAnsi="宋体" w:cs="宋体" w:eastAsia="宋体" w:hint="default"/>
                            <w:sz w:val="18"/>
                            <w:szCs w:val="18"/>
                          </w:rPr>
                          <w:t>深圳市上元星晖 电子产业股权投 </w:t>
                        </w:r>
                        <w:r>
                          <w:rPr>
                            <w:rFonts w:ascii="宋体" w:hAnsi="宋体" w:cs="宋体" w:eastAsia="宋体" w:hint="default"/>
                            <w:spacing w:val="-4"/>
                            <w:sz w:val="18"/>
                            <w:szCs w:val="18"/>
                          </w:rPr>
                          <w:t>资基金企业（有限</w:t>
                        </w:r>
                        <w:r>
                          <w:rPr>
                            <w:rFonts w:ascii="宋体" w:hAnsi="宋体" w:cs="宋体" w:eastAsia="宋体" w:hint="default"/>
                            <w:sz w:val="18"/>
                            <w:szCs w:val="18"/>
                          </w:rPr>
                          <w:t> 合伙）</w:t>
                        </w:r>
                      </w:p>
                    </w:tc>
                    <w:tc>
                      <w:tcPr>
                        <w:tcW w:w="1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11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w w:val="95"/>
                            <w:sz w:val="18"/>
                          </w:rPr>
                          <w:t>4.21%</w:t>
                        </w:r>
                        <w:r>
                          <w:rPr>
                            <w:rFonts w:ascii="Times New Roman"/>
                            <w:sz w:val="18"/>
                          </w:rPr>
                        </w:r>
                      </w:p>
                    </w:tc>
                    <w:tc>
                      <w:tcPr>
                        <w:tcW w:w="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24,327,784</w:t>
                        </w:r>
                      </w:p>
                    </w:tc>
                    <w:tc>
                      <w:tcPr>
                        <w:tcW w:w="9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24,327,784</w:t>
                        </w:r>
                      </w:p>
                    </w:tc>
                    <w:tc>
                      <w:tcPr>
                        <w:tcW w:w="11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24,320,000</w:t>
                        </w:r>
                      </w:p>
                    </w:tc>
                  </w:tr>
                  <w:tr>
                    <w:trPr>
                      <w:trHeight w:val="1021"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79"/>
                          <w:jc w:val="both"/>
                          <w:rPr>
                            <w:rFonts w:ascii="宋体" w:hAnsi="宋体" w:cs="宋体" w:eastAsia="宋体" w:hint="default"/>
                            <w:sz w:val="18"/>
                            <w:szCs w:val="18"/>
                          </w:rPr>
                        </w:pPr>
                        <w:r>
                          <w:rPr>
                            <w:rFonts w:ascii="宋体" w:hAnsi="宋体" w:cs="宋体" w:eastAsia="宋体" w:hint="default"/>
                            <w:sz w:val="18"/>
                            <w:szCs w:val="18"/>
                          </w:rPr>
                          <w:t>深圳市中科祥瑞 资本管理合伙企 业（有限合伙）</w:t>
                        </w:r>
                      </w:p>
                    </w:tc>
                    <w:tc>
                      <w:tcPr>
                        <w:tcW w:w="1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11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3.77%</w:t>
                        </w:r>
                      </w:p>
                    </w:tc>
                    <w:tc>
                      <w:tcPr>
                        <w:tcW w:w="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21,804,097</w:t>
                        </w:r>
                      </w:p>
                    </w:tc>
                    <w:tc>
                      <w:tcPr>
                        <w:tcW w:w="9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21,804,097</w:t>
                        </w:r>
                      </w:p>
                    </w:tc>
                    <w:tc>
                      <w:tcPr>
                        <w:tcW w:w="11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21,804,097</w:t>
                        </w:r>
                      </w:p>
                    </w:tc>
                  </w:tr>
                  <w:tr>
                    <w:trPr>
                      <w:trHeight w:val="405"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李国辉</w:t>
                        </w:r>
                      </w:p>
                    </w:tc>
                    <w:tc>
                      <w:tcPr>
                        <w:tcW w:w="1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w w:val="95"/>
                            <w:sz w:val="18"/>
                          </w:rPr>
                          <w:t>1.42%</w:t>
                        </w:r>
                        <w:r>
                          <w:rPr>
                            <w:rFonts w:ascii="Times New Roman"/>
                            <w:sz w:val="18"/>
                          </w:rPr>
                        </w:r>
                      </w:p>
                    </w:tc>
                    <w:tc>
                      <w:tcPr>
                        <w:tcW w:w="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8,228,920</w:t>
                        </w:r>
                      </w:p>
                    </w:tc>
                    <w:tc>
                      <w:tcPr>
                        <w:tcW w:w="9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90" w:right="0"/>
                          <w:jc w:val="left"/>
                          <w:rPr>
                            <w:rFonts w:ascii="Times New Roman" w:hAnsi="Times New Roman" w:cs="Times New Roman" w:eastAsia="Times New Roman" w:hint="default"/>
                            <w:sz w:val="18"/>
                            <w:szCs w:val="18"/>
                          </w:rPr>
                        </w:pPr>
                        <w:r>
                          <w:rPr>
                            <w:rFonts w:ascii="Times New Roman"/>
                            <w:sz w:val="18"/>
                          </w:rPr>
                          <w:t>8,228,920</w:t>
                        </w:r>
                      </w:p>
                    </w:tc>
                    <w:tc>
                      <w:tcPr>
                        <w:tcW w:w="991" w:type="dxa"/>
                        <w:gridSpan w:val="2"/>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王卫</w:t>
                        </w:r>
                      </w:p>
                    </w:tc>
                    <w:tc>
                      <w:tcPr>
                        <w:tcW w:w="1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w w:val="95"/>
                            <w:sz w:val="18"/>
                          </w:rPr>
                          <w:t>1.23%</w:t>
                        </w:r>
                        <w:r>
                          <w:rPr>
                            <w:rFonts w:ascii="Times New Roman"/>
                            <w:sz w:val="18"/>
                          </w:rPr>
                        </w:r>
                      </w:p>
                    </w:tc>
                    <w:tc>
                      <w:tcPr>
                        <w:tcW w:w="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7,103,393</w:t>
                        </w:r>
                      </w:p>
                    </w:tc>
                    <w:tc>
                      <w:tcPr>
                        <w:tcW w:w="9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40" w:right="0"/>
                          <w:jc w:val="left"/>
                          <w:rPr>
                            <w:rFonts w:ascii="Times New Roman" w:hAnsi="Times New Roman" w:cs="Times New Roman" w:eastAsia="Times New Roman" w:hint="default"/>
                            <w:sz w:val="18"/>
                            <w:szCs w:val="18"/>
                          </w:rPr>
                        </w:pPr>
                        <w:r>
                          <w:rPr>
                            <w:rFonts w:ascii="Times New Roman"/>
                            <w:sz w:val="18"/>
                          </w:rPr>
                          <w:t>7,103,393</w:t>
                        </w:r>
                      </w:p>
                    </w:tc>
                    <w:tc>
                      <w:tcPr>
                        <w:tcW w:w="11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7,100,000</w:t>
                        </w:r>
                      </w:p>
                    </w:tc>
                  </w:tr>
                  <w:tr>
                    <w:trPr>
                      <w:trHeight w:val="1336"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79"/>
                          <w:jc w:val="both"/>
                          <w:rPr>
                            <w:rFonts w:ascii="宋体" w:hAnsi="宋体" w:cs="宋体" w:eastAsia="宋体" w:hint="default"/>
                            <w:sz w:val="18"/>
                            <w:szCs w:val="18"/>
                          </w:rPr>
                        </w:pPr>
                        <w:r>
                          <w:rPr>
                            <w:rFonts w:ascii="宋体" w:hAnsi="宋体" w:cs="宋体" w:eastAsia="宋体" w:hint="default"/>
                            <w:sz w:val="18"/>
                            <w:szCs w:val="18"/>
                          </w:rPr>
                          <w:t>百年人寿保险股 份有限公司－百 年人寿－传统保 险产品</w:t>
                        </w:r>
                      </w:p>
                    </w:tc>
                    <w:tc>
                      <w:tcPr>
                        <w:tcW w:w="1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15" w:right="11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w w:val="95"/>
                            <w:sz w:val="18"/>
                          </w:rPr>
                          <w:t>1.16%</w:t>
                        </w:r>
                        <w:r>
                          <w:rPr>
                            <w:rFonts w:ascii="Times New Roman"/>
                            <w:sz w:val="18"/>
                          </w:rPr>
                        </w:r>
                      </w:p>
                    </w:tc>
                    <w:tc>
                      <w:tcPr>
                        <w:tcW w:w="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6,692,401</w:t>
                        </w:r>
                      </w:p>
                    </w:tc>
                    <w:tc>
                      <w:tcPr>
                        <w:tcW w:w="9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1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6,692,401</w:t>
                        </w:r>
                      </w:p>
                    </w:tc>
                    <w:tc>
                      <w:tcPr>
                        <w:tcW w:w="991" w:type="dxa"/>
                        <w:gridSpan w:val="2"/>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魏杰</w:t>
                        </w:r>
                      </w:p>
                    </w:tc>
                    <w:tc>
                      <w:tcPr>
                        <w:tcW w:w="1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2"/>
                          <w:jc w:val="right"/>
                          <w:rPr>
                            <w:rFonts w:ascii="Times New Roman" w:hAnsi="Times New Roman" w:cs="Times New Roman" w:eastAsia="Times New Roman" w:hint="default"/>
                            <w:sz w:val="18"/>
                            <w:szCs w:val="18"/>
                          </w:rPr>
                        </w:pPr>
                        <w:r>
                          <w:rPr>
                            <w:rFonts w:ascii="Times New Roman"/>
                            <w:w w:val="95"/>
                            <w:sz w:val="18"/>
                          </w:rPr>
                          <w:t>1.15%</w:t>
                        </w:r>
                        <w:r>
                          <w:rPr>
                            <w:rFonts w:ascii="Times New Roman"/>
                            <w:sz w:val="18"/>
                          </w:rPr>
                        </w:r>
                      </w:p>
                    </w:tc>
                    <w:tc>
                      <w:tcPr>
                        <w:tcW w:w="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6,640,000</w:t>
                        </w:r>
                      </w:p>
                    </w:tc>
                    <w:tc>
                      <w:tcPr>
                        <w:tcW w:w="9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-150,000</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90" w:right="0"/>
                          <w:jc w:val="left"/>
                          <w:rPr>
                            <w:rFonts w:ascii="Times New Roman" w:hAnsi="Times New Roman" w:cs="Times New Roman" w:eastAsia="Times New Roman" w:hint="default"/>
                            <w:sz w:val="18"/>
                            <w:szCs w:val="18"/>
                          </w:rPr>
                        </w:pPr>
                        <w:r>
                          <w:rPr>
                            <w:rFonts w:ascii="Times New Roman"/>
                            <w:sz w:val="18"/>
                          </w:rPr>
                          <w:t>6,640,000</w:t>
                        </w:r>
                      </w:p>
                    </w:tc>
                    <w:tc>
                      <w:tcPr>
                        <w:tcW w:w="991" w:type="dxa"/>
                        <w:gridSpan w:val="2"/>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28" w:lineRule="auto" w:before="29"/>
                          <w:ind w:left="15" w:right="30"/>
                          <w:jc w:val="left"/>
                          <w:rPr>
                            <w:rFonts w:ascii="宋体" w:hAnsi="宋体" w:cs="宋体" w:eastAsia="宋体" w:hint="default"/>
                            <w:sz w:val="18"/>
                            <w:szCs w:val="18"/>
                          </w:rPr>
                        </w:pPr>
                        <w:r>
                          <w:rPr>
                            <w:rFonts w:ascii="宋体" w:hAnsi="宋体" w:cs="宋体" w:eastAsia="宋体" w:hint="default"/>
                            <w:sz w:val="18"/>
                            <w:szCs w:val="18"/>
                          </w:rPr>
                          <w:t>深圳市上元资本 管理有限公司－ 上元</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号私募基金</w:t>
                        </w:r>
                      </w:p>
                    </w:tc>
                    <w:tc>
                      <w:tcPr>
                        <w:tcW w:w="1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07" w:lineRule="auto"/>
                          <w:ind w:left="15" w:right="11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w w:val="95"/>
                            <w:sz w:val="18"/>
                          </w:rPr>
                          <w:t>0.82%</w:t>
                        </w:r>
                        <w:r>
                          <w:rPr>
                            <w:rFonts w:ascii="Times New Roman"/>
                            <w:sz w:val="18"/>
                          </w:rPr>
                        </w:r>
                      </w:p>
                    </w:tc>
                    <w:tc>
                      <w:tcPr>
                        <w:tcW w:w="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4,726,835</w:t>
                        </w:r>
                      </w:p>
                    </w:tc>
                    <w:tc>
                      <w:tcPr>
                        <w:tcW w:w="9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-7,563,800</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1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4,726,835</w:t>
                        </w:r>
                      </w:p>
                    </w:tc>
                    <w:tc>
                      <w:tcPr>
                        <w:tcW w:w="991" w:type="dxa"/>
                        <w:gridSpan w:val="2"/>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29"/>
                          <w:jc w:val="left"/>
                          <w:rPr>
                            <w:rFonts w:ascii="宋体" w:hAnsi="宋体" w:cs="宋体" w:eastAsia="宋体" w:hint="default"/>
                            <w:sz w:val="18"/>
                            <w:szCs w:val="18"/>
                          </w:rPr>
                        </w:pPr>
                        <w:r>
                          <w:rPr>
                            <w:rFonts w:ascii="宋体" w:hAnsi="宋体" w:cs="宋体" w:eastAsia="宋体" w:hint="default"/>
                            <w:sz w:val="18"/>
                            <w:szCs w:val="18"/>
                          </w:rPr>
                          <w:t>深圳市聚睿投资 </w:t>
                        </w:r>
                        <w:r>
                          <w:rPr>
                            <w:rFonts w:ascii="宋体" w:hAnsi="宋体" w:cs="宋体" w:eastAsia="宋体" w:hint="default"/>
                            <w:spacing w:val="-4"/>
                            <w:sz w:val="18"/>
                            <w:szCs w:val="18"/>
                          </w:rPr>
                          <w:t>管理企业（有限合</w:t>
                        </w:r>
                        <w:r>
                          <w:rPr>
                            <w:rFonts w:ascii="宋体" w:hAnsi="宋体" w:cs="宋体" w:eastAsia="宋体" w:hint="default"/>
                            <w:sz w:val="18"/>
                            <w:szCs w:val="18"/>
                          </w:rPr>
                          <w:t> 伙）</w:t>
                        </w:r>
                      </w:p>
                    </w:tc>
                    <w:tc>
                      <w:tcPr>
                        <w:tcW w:w="1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1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w w:val="95"/>
                            <w:sz w:val="18"/>
                          </w:rPr>
                          <w:t>0.69%</w:t>
                        </w:r>
                        <w:r>
                          <w:rPr>
                            <w:rFonts w:ascii="Times New Roman"/>
                            <w:sz w:val="18"/>
                          </w:rPr>
                        </w:r>
                      </w:p>
                    </w:tc>
                    <w:tc>
                      <w:tcPr>
                        <w:tcW w:w="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4,000,000</w:t>
                        </w:r>
                      </w:p>
                    </w:tc>
                    <w:tc>
                      <w:tcPr>
                        <w:tcW w:w="9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4,000,000</w:t>
                        </w:r>
                      </w:p>
                    </w:tc>
                    <w:tc>
                      <w:tcPr>
                        <w:tcW w:w="11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4,000,000</w:t>
                        </w:r>
                      </w:p>
                    </w:tc>
                  </w:tr>
                  <w:tr>
                    <w:trPr>
                      <w:trHeight w:val="391"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王杏才</w:t>
                        </w:r>
                      </w:p>
                    </w:tc>
                    <w:tc>
                      <w:tcPr>
                        <w:tcW w:w="12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2"/>
                          <w:jc w:val="right"/>
                          <w:rPr>
                            <w:rFonts w:ascii="Times New Roman" w:hAnsi="Times New Roman" w:cs="Times New Roman" w:eastAsia="Times New Roman" w:hint="default"/>
                            <w:sz w:val="18"/>
                            <w:szCs w:val="18"/>
                          </w:rPr>
                        </w:pPr>
                        <w:r>
                          <w:rPr>
                            <w:rFonts w:ascii="Times New Roman"/>
                            <w:w w:val="95"/>
                            <w:sz w:val="18"/>
                          </w:rPr>
                          <w:t>0.52%</w:t>
                        </w:r>
                        <w:r>
                          <w:rPr>
                            <w:rFonts w:ascii="Times New Roman"/>
                            <w:sz w:val="18"/>
                          </w:rPr>
                        </w:r>
                      </w:p>
                    </w:tc>
                    <w:tc>
                      <w:tcPr>
                        <w:tcW w:w="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3,000,000</w:t>
                        </w:r>
                      </w:p>
                    </w:tc>
                    <w:tc>
                      <w:tcPr>
                        <w:tcW w:w="9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0</w:t>
                        </w:r>
                      </w:p>
                    </w:tc>
                    <w:tc>
                      <w:tcPr>
                        <w:tcW w:w="9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40" w:right="0"/>
                          <w:jc w:val="left"/>
                          <w:rPr>
                            <w:rFonts w:ascii="Times New Roman" w:hAnsi="Times New Roman" w:cs="Times New Roman" w:eastAsia="Times New Roman" w:hint="default"/>
                            <w:sz w:val="18"/>
                            <w:szCs w:val="18"/>
                          </w:rPr>
                        </w:pPr>
                        <w:r>
                          <w:rPr>
                            <w:rFonts w:ascii="Times New Roman"/>
                            <w:sz w:val="18"/>
                          </w:rPr>
                          <w:t>3,000,000</w:t>
                        </w:r>
                      </w:p>
                    </w:tc>
                    <w:tc>
                      <w:tcPr>
                        <w:tcW w:w="114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351" w:hRule="exact"/>
                    </w:trPr>
                    <w:tc>
                      <w:tcPr>
                        <w:tcW w:w="2704" w:type="dxa"/>
                        <w:gridSpan w:val="4"/>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36" w:lineRule="auto"/>
                          <w:ind w:left="15" w:right="11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7"/>
                            <w:sz w:val="18"/>
                            <w:szCs w:val="18"/>
                          </w:rPr>
                          <w:t>名股东的情况（如有</w:t>
                        </w:r>
                      </w:p>
                      <w:p>
                        <w:pPr>
                          <w:pStyle w:val="TableParagraph"/>
                          <w:spacing w:line="236" w:lineRule="exact"/>
                          <w:ind w:left="15"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878" w:type="dxa"/>
                        <w:gridSpan w:val="11"/>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深圳市上元星晖电子产业股权投资基金企业（有限合伙）、深圳市中科祥瑞资本管理合</w:t>
                        </w:r>
                      </w:p>
                      <w:p>
                        <w:pPr>
                          <w:pStyle w:val="TableParagraph"/>
                          <w:spacing w:line="200" w:lineRule="exact" w:before="95"/>
                          <w:ind w:left="7" w:right="0"/>
                          <w:jc w:val="left"/>
                          <w:rPr>
                            <w:rFonts w:ascii="宋体" w:hAnsi="宋体" w:cs="宋体" w:eastAsia="宋体" w:hint="default"/>
                            <w:sz w:val="18"/>
                            <w:szCs w:val="18"/>
                          </w:rPr>
                        </w:pPr>
                        <w:r>
                          <w:rPr>
                            <w:rFonts w:ascii="宋体" w:hAnsi="宋体" w:cs="宋体" w:eastAsia="宋体" w:hint="default"/>
                            <w:sz w:val="18"/>
                            <w:szCs w:val="18"/>
                          </w:rPr>
                          <w:t>伙企业（有限合伙）、王卫为公司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年度非公开发行股票认购对象，所持股份自新</w:t>
                        </w:r>
                      </w:p>
                      <w:p>
                        <w:pPr>
                          <w:pStyle w:val="TableParagraph"/>
                          <w:spacing w:line="143"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6" w:lineRule="exact"/>
                          <w:ind w:left="7" w:right="0"/>
                          <w:jc w:val="left"/>
                          <w:rPr>
                            <w:rFonts w:ascii="宋体" w:hAnsi="宋体" w:cs="宋体" w:eastAsia="宋体" w:hint="default"/>
                            <w:sz w:val="18"/>
                            <w:szCs w:val="18"/>
                          </w:rPr>
                        </w:pPr>
                        <w:r>
                          <w:rPr>
                            <w:rFonts w:ascii="宋体" w:hAnsi="宋体" w:cs="宋体" w:eastAsia="宋体" w:hint="default"/>
                            <w:sz w:val="18"/>
                            <w:szCs w:val="18"/>
                          </w:rPr>
                          <w:t>股上市日期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日之日起，三十六个月内不得进行转让。该部分股票已于</w:t>
                        </w:r>
                      </w:p>
                      <w:p>
                        <w:pPr>
                          <w:pStyle w:val="TableParagraph"/>
                          <w:spacing w:line="240" w:lineRule="auto" w:before="6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日解除限售。</w:t>
                        </w:r>
                      </w:p>
                    </w:tc>
                  </w:tr>
                  <w:tr>
                    <w:trPr>
                      <w:trHeight w:val="1021" w:hRule="exact"/>
                    </w:trPr>
                    <w:tc>
                      <w:tcPr>
                        <w:tcW w:w="270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15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78" w:type="dxa"/>
                        <w:gridSpan w:val="11"/>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、夏传武先生是本公司的控股股东、实际控制人；</w:t>
                        </w:r>
                      </w:p>
                      <w:p>
                        <w:pPr>
                          <w:pStyle w:val="TableParagraph"/>
                          <w:spacing w:line="290" w:lineRule="auto" w:before="96"/>
                          <w:ind w:left="15"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、公司控股股东、实际控制人与其他前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名股东不存在关联关系，不属于一致行动人 </w:t>
                        </w:r>
                        <w:r>
                          <w:rPr>
                            <w:rFonts w:ascii="宋体" w:hAnsi="宋体" w:cs="宋体" w:eastAsia="宋体" w:hint="default"/>
                            <w:spacing w:val="-1"/>
                            <w:sz w:val="18"/>
                            <w:szCs w:val="18"/>
                          </w:rPr>
                          <w:t>其中深圳市上元资本管理有限公司是深圳市上元星晖电子产业股权投资基金企业（有限</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spacing w:line="615" w:lineRule="exact"/>
        <w:ind w:left="2860"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341.7pt;height:30.8pt;mso-position-horizontal-relative:char;mso-position-vertical-relative:line" coordorigin="0,0" coordsize="6834,616">
            <v:group style="position:absolute;left:0;top:0;width:6834;height:300" coordorigin="0,0" coordsize="6834,300">
              <v:shape style="position:absolute;left:0;top:0;width:6834;height:300" coordorigin="0,0" coordsize="6834,300" path="m0,300l6833,300,6833,0,0,0,0,300xe" filled="true" fillcolor="#ffffff" stroked="false">
                <v:path arrowok="t"/>
                <v:fill type="solid"/>
              </v:shape>
            </v:group>
            <v:group style="position:absolute;left:0;top:300;width:6834;height:316" coordorigin="0,300" coordsize="6834,316">
              <v:shape style="position:absolute;left:0;top:300;width:6834;height:316" coordorigin="0,300" coordsize="6834,316" path="m0,615l6833,615,6833,300,0,300,0,615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44"/>
        <w:ind w:left="0" w:right="1114"/>
        <w:jc w:val="right"/>
      </w:pPr>
      <w:r>
        <w:rPr/>
        <w:t>；</w:t>
      </w:r>
    </w:p>
    <w:p>
      <w:pPr>
        <w:spacing w:after="0" w:line="240" w:lineRule="auto"/>
        <w:jc w:val="right"/>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704"/>
        <w:gridCol w:w="180"/>
        <w:gridCol w:w="3995"/>
        <w:gridCol w:w="1352"/>
        <w:gridCol w:w="1352"/>
      </w:tblGrid>
      <w:tr>
        <w:trPr>
          <w:trHeight w:val="1306" w:hRule="exact"/>
        </w:trPr>
        <w:tc>
          <w:tcPr>
            <w:tcW w:w="270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878" w:type="dxa"/>
            <w:gridSpan w:val="4"/>
            <w:tcBorders>
              <w:top w:val="single" w:sz="6" w:space="0" w:color="000000"/>
              <w:left w:val="single" w:sz="6" w:space="0" w:color="000000"/>
              <w:bottom w:val="single" w:sz="6" w:space="0" w:color="000000"/>
              <w:right w:val="single" w:sz="6" w:space="0" w:color="000000"/>
            </w:tcBorders>
          </w:tcPr>
          <w:p>
            <w:pPr>
              <w:pStyle w:val="TableParagraph"/>
              <w:spacing w:line="297" w:lineRule="auto" w:before="14"/>
              <w:ind w:left="15" w:right="-52"/>
              <w:jc w:val="left"/>
              <w:rPr>
                <w:rFonts w:ascii="宋体" w:hAnsi="宋体" w:cs="宋体" w:eastAsia="宋体" w:hint="default"/>
                <w:sz w:val="18"/>
                <w:szCs w:val="18"/>
              </w:rPr>
            </w:pPr>
            <w:r>
              <w:rPr>
                <w:rFonts w:ascii="宋体" w:hAnsi="宋体" w:cs="宋体" w:eastAsia="宋体" w:hint="default"/>
                <w:sz w:val="18"/>
                <w:szCs w:val="18"/>
              </w:rPr>
              <w:t>合伙）的普通合伙人，持有上元星晖</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股份，上元星晖全体合伙人委托上元资本为执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行事务合伙人，代表上元星晖执行合伙事务，故认定上元资本与上元星晖为一致行动人；</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本公司未知上述其他股东之间是否存在关联关系，也未知上述股东是否属于《上市公司</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股东持股变动信息披露管理办法》中规定的一致行动人。</w:t>
            </w:r>
          </w:p>
        </w:tc>
      </w:tr>
      <w:tr>
        <w:trPr>
          <w:trHeight w:val="391"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5"/>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2" w:hRule="exact"/>
        </w:trPr>
        <w:tc>
          <w:tcPr>
            <w:tcW w:w="2884"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399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0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5" w:hRule="exact"/>
        </w:trPr>
        <w:tc>
          <w:tcPr>
            <w:tcW w:w="2884"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4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3" w:type="dxa"/>
            <w:gridSpan w:val="2"/>
            <w:vMerge/>
            <w:tcBorders>
              <w:left w:val="single" w:sz="6" w:space="0" w:color="000000"/>
              <w:bottom w:val="single" w:sz="6" w:space="0" w:color="000000"/>
              <w:right w:val="single" w:sz="6" w:space="0" w:color="000000"/>
            </w:tcBorders>
            <w:shd w:val="clear" w:color="auto" w:fill="D2D2D2"/>
          </w:tcPr>
          <w:p>
            <w:pPr/>
          </w:p>
        </w:tc>
      </w:tr>
      <w:tr>
        <w:trPr>
          <w:trHeight w:val="210" w:hRule="exact"/>
        </w:trPr>
        <w:tc>
          <w:tcPr>
            <w:tcW w:w="2884" w:type="dxa"/>
            <w:gridSpan w:val="2"/>
            <w:vMerge/>
            <w:tcBorders>
              <w:left w:val="single" w:sz="6" w:space="0" w:color="000000"/>
              <w:right w:val="single" w:sz="6" w:space="0" w:color="000000"/>
            </w:tcBorders>
            <w:shd w:val="clear" w:color="auto" w:fill="D2D2D2"/>
          </w:tcPr>
          <w:p>
            <w:pPr/>
          </w:p>
        </w:tc>
        <w:tc>
          <w:tcPr>
            <w:tcW w:w="3995" w:type="dxa"/>
            <w:vMerge/>
            <w:tcBorders>
              <w:left w:val="single" w:sz="6" w:space="0" w:color="000000"/>
              <w:bottom w:val="nil" w:sz="6" w:space="0" w:color="auto"/>
              <w:right w:val="single" w:sz="6" w:space="0" w:color="000000"/>
            </w:tcBorders>
            <w:shd w:val="clear" w:color="auto" w:fill="D2D2D2"/>
          </w:tcPr>
          <w:p>
            <w:pPr/>
          </w:p>
        </w:tc>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31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2" w:hRule="exact"/>
        </w:trPr>
        <w:tc>
          <w:tcPr>
            <w:tcW w:w="2884" w:type="dxa"/>
            <w:gridSpan w:val="2"/>
            <w:vMerge/>
            <w:tcBorders>
              <w:left w:val="single" w:sz="6" w:space="0" w:color="000000"/>
              <w:bottom w:val="single" w:sz="6" w:space="0" w:color="000000"/>
              <w:right w:val="single" w:sz="6" w:space="0" w:color="000000"/>
            </w:tcBorders>
            <w:shd w:val="clear" w:color="auto" w:fill="D2D2D2"/>
          </w:tcPr>
          <w:p>
            <w:pPr/>
          </w:p>
        </w:tc>
        <w:tc>
          <w:tcPr>
            <w:tcW w:w="399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52" w:type="dxa"/>
            <w:vMerge/>
            <w:tcBorders>
              <w:left w:val="single" w:sz="6" w:space="0" w:color="000000"/>
              <w:bottom w:val="single" w:sz="6" w:space="0" w:color="000000"/>
              <w:right w:val="single" w:sz="6" w:space="0" w:color="000000"/>
            </w:tcBorders>
            <w:shd w:val="clear" w:color="auto" w:fill="D2D2D2"/>
          </w:tcPr>
          <w:p>
            <w:pPr/>
          </w:p>
        </w:tc>
        <w:tc>
          <w:tcPr>
            <w:tcW w:w="135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李国辉</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8,228,920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8,228,920</w:t>
            </w:r>
          </w:p>
        </w:tc>
      </w:tr>
      <w:tr>
        <w:trPr>
          <w:trHeight w:val="705"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51"/>
              <w:jc w:val="left"/>
              <w:rPr>
                <w:rFonts w:ascii="宋体" w:hAnsi="宋体" w:cs="宋体" w:eastAsia="宋体" w:hint="default"/>
                <w:sz w:val="18"/>
                <w:szCs w:val="18"/>
              </w:rPr>
            </w:pPr>
            <w:r>
              <w:rPr>
                <w:rFonts w:ascii="宋体" w:hAnsi="宋体" w:cs="宋体" w:eastAsia="宋体" w:hint="default"/>
                <w:sz w:val="18"/>
                <w:szCs w:val="18"/>
              </w:rPr>
              <w:t>百年人寿保险股份有限公司－百年 人寿－传统保险产品</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6,692,401</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6,692,401</w:t>
            </w:r>
          </w:p>
        </w:tc>
      </w:tr>
      <w:tr>
        <w:trPr>
          <w:trHeight w:val="406"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魏杰</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6,640,000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6,640,000</w:t>
            </w:r>
          </w:p>
        </w:tc>
      </w:tr>
      <w:tr>
        <w:trPr>
          <w:trHeight w:val="721"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51"/>
              <w:jc w:val="left"/>
              <w:rPr>
                <w:rFonts w:ascii="宋体" w:hAnsi="宋体" w:cs="宋体" w:eastAsia="宋体" w:hint="default"/>
                <w:sz w:val="18"/>
                <w:szCs w:val="18"/>
              </w:rPr>
            </w:pPr>
            <w:r>
              <w:rPr>
                <w:rFonts w:ascii="宋体" w:hAnsi="宋体" w:cs="宋体" w:eastAsia="宋体" w:hint="default"/>
                <w:sz w:val="18"/>
                <w:szCs w:val="18"/>
              </w:rPr>
              <w:t>深圳市上元资本管理有限公司－上 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号私募基金</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4,726,835</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4,726,835</w:t>
            </w:r>
          </w:p>
        </w:tc>
      </w:tr>
      <w:tr>
        <w:trPr>
          <w:trHeight w:val="405"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3,532,552</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3,532,552</w:t>
            </w:r>
          </w:p>
        </w:tc>
      </w:tr>
      <w:tr>
        <w:trPr>
          <w:trHeight w:val="390"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UBS</w:t>
            </w:r>
            <w:r>
              <w:rPr>
                <w:rFonts w:ascii="Times New Roman"/>
                <w:spacing w:val="-4"/>
                <w:sz w:val="18"/>
              </w:rPr>
              <w:t> </w:t>
            </w:r>
            <w:r>
              <w:rPr>
                <w:rFonts w:ascii="Times New Roman"/>
                <w:sz w:val="18"/>
              </w:rPr>
              <w:t>AG</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1,908,365</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1,908,365</w:t>
            </w:r>
          </w:p>
        </w:tc>
      </w:tr>
      <w:tr>
        <w:trPr>
          <w:trHeight w:val="406"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胡振</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1,617,200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1,617,200</w:t>
            </w:r>
          </w:p>
        </w:tc>
      </w:tr>
      <w:tr>
        <w:trPr>
          <w:trHeight w:val="405"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钟楚洪</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1,474,400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1,474,400</w:t>
            </w:r>
          </w:p>
        </w:tc>
      </w:tr>
      <w:tr>
        <w:trPr>
          <w:trHeight w:val="1021"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51"/>
              <w:jc w:val="both"/>
              <w:rPr>
                <w:rFonts w:ascii="宋体" w:hAnsi="宋体" w:cs="宋体" w:eastAsia="宋体" w:hint="default"/>
                <w:sz w:val="18"/>
                <w:szCs w:val="18"/>
              </w:rPr>
            </w:pPr>
            <w:r>
              <w:rPr>
                <w:rFonts w:ascii="宋体" w:hAnsi="宋体" w:cs="宋体" w:eastAsia="宋体" w:hint="default"/>
                <w:sz w:val="18"/>
                <w:szCs w:val="18"/>
              </w:rPr>
              <w:t>中国工商银行股份有限公司－国泰 中证全指通信设备交易型开放式指 数证券投资基金</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1,464,700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1,464,700</w:t>
            </w:r>
          </w:p>
        </w:tc>
      </w:tr>
      <w:tr>
        <w:trPr>
          <w:trHeight w:val="405" w:hRule="exact"/>
        </w:trPr>
        <w:tc>
          <w:tcPr>
            <w:tcW w:w="2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邓章河</w:t>
            </w:r>
          </w:p>
        </w:tc>
        <w:tc>
          <w:tcPr>
            <w:tcW w:w="3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1,458,255</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1,458,255</w:t>
            </w:r>
          </w:p>
        </w:tc>
      </w:tr>
      <w:tr>
        <w:trPr>
          <w:trHeight w:val="2628" w:hRule="exact"/>
        </w:trPr>
        <w:tc>
          <w:tcPr>
            <w:tcW w:w="28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4" w:lineRule="auto" w:before="51"/>
              <w:ind w:left="15" w:right="14"/>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、夏传武先生是本公司的控股股东、实际控制人；</w:t>
            </w:r>
          </w:p>
          <w:p>
            <w:pPr>
              <w:pStyle w:val="TableParagraph"/>
              <w:spacing w:line="240" w:lineRule="auto" w:before="96"/>
              <w:ind w:left="3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名无限售流通股股东中，公司控股股东、实际控制人与前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w:t>
            </w:r>
          </w:p>
          <w:p>
            <w:pPr>
              <w:pStyle w:val="TableParagraph"/>
              <w:spacing w:line="309" w:lineRule="auto" w:before="66"/>
              <w:ind w:left="30" w:right="13"/>
              <w:jc w:val="both"/>
              <w:rPr>
                <w:rFonts w:ascii="宋体" w:hAnsi="宋体" w:cs="宋体" w:eastAsia="宋体" w:hint="default"/>
                <w:sz w:val="18"/>
                <w:szCs w:val="18"/>
              </w:rPr>
            </w:pPr>
            <w:r>
              <w:rPr>
                <w:rFonts w:ascii="宋体" w:hAnsi="宋体" w:cs="宋体" w:eastAsia="宋体" w:hint="default"/>
                <w:sz w:val="18"/>
                <w:szCs w:val="18"/>
              </w:rPr>
              <w:t>股东不存在关联关系，不属于一致行动人；前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名股东 </w:t>
            </w:r>
            <w:r>
              <w:rPr>
                <w:rFonts w:ascii="宋体" w:hAnsi="宋体" w:cs="宋体" w:eastAsia="宋体" w:hint="default"/>
                <w:spacing w:val="-1"/>
                <w:sz w:val="18"/>
                <w:szCs w:val="18"/>
              </w:rPr>
              <w:t>之间，其中深圳市上元资本管理有限公司是深圳市上元星晖电子产业股权投资基金企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业（有限合伙）的普通合伙人，持有上元星晖</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股份，上元星晖全体合伙人委托上 </w:t>
            </w:r>
            <w:r>
              <w:rPr>
                <w:rFonts w:ascii="宋体" w:hAnsi="宋体" w:cs="宋体" w:eastAsia="宋体" w:hint="default"/>
                <w:spacing w:val="-1"/>
                <w:sz w:val="18"/>
                <w:szCs w:val="18"/>
              </w:rPr>
              <w:t>元资本为执行事务合伙人，代表上元星晖执行合伙事务，故认定上元资本与上元星晖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为一致行动人；本公司未知上述其他股东之间是否存在关联关系，也未知上述股东是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否属于《上市公司股东持股变动信息披露管理办法》中规定的一致行动人。</w:t>
            </w:r>
          </w:p>
        </w:tc>
      </w:tr>
      <w:tr>
        <w:trPr>
          <w:trHeight w:val="3213" w:hRule="exact"/>
        </w:trPr>
        <w:tc>
          <w:tcPr>
            <w:tcW w:w="28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02" w:lineRule="auto"/>
              <w:ind w:left="15" w:right="6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务情况说明（如有）（参见注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8" w:type="dxa"/>
            <w:gridSpan w:val="3"/>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76" w:firstLine="360"/>
              <w:jc w:val="left"/>
              <w:rPr>
                <w:rFonts w:ascii="宋体" w:hAnsi="宋体" w:cs="宋体" w:eastAsia="宋体" w:hint="default"/>
                <w:sz w:val="18"/>
                <w:szCs w:val="18"/>
              </w:rPr>
            </w:pPr>
            <w:r>
              <w:rPr>
                <w:rFonts w:ascii="宋体" w:hAnsi="宋体" w:cs="宋体" w:eastAsia="宋体" w:hint="default"/>
                <w:sz w:val="18"/>
                <w:szCs w:val="18"/>
              </w:rPr>
              <w:t>公司股东李国辉通过山西证券股份有限公司客户信用交易担保证券账户持有公 司股票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8,228,920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股，通过普通账户持有公司股票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股；股东魏杰通过中信建投证券</w:t>
            </w:r>
          </w:p>
          <w:p>
            <w:pPr>
              <w:pStyle w:val="TableParagraph"/>
              <w:spacing w:line="247" w:lineRule="exact"/>
              <w:ind w:left="30" w:right="0"/>
              <w:jc w:val="left"/>
              <w:rPr>
                <w:rFonts w:ascii="宋体" w:hAnsi="宋体" w:cs="宋体" w:eastAsia="宋体" w:hint="default"/>
                <w:sz w:val="18"/>
                <w:szCs w:val="18"/>
              </w:rPr>
            </w:pPr>
            <w:r>
              <w:rPr>
                <w:rFonts w:ascii="宋体" w:hAnsi="宋体" w:cs="宋体" w:eastAsia="宋体" w:hint="default"/>
                <w:sz w:val="18"/>
                <w:szCs w:val="18"/>
              </w:rPr>
              <w:t>股份有限公司客户信用交易担保证券账户持有公司股票</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6,640,000 </w:t>
            </w:r>
            <w:r>
              <w:rPr>
                <w:rFonts w:ascii="宋体" w:hAnsi="宋体" w:cs="宋体" w:eastAsia="宋体" w:hint="default"/>
                <w:sz w:val="18"/>
                <w:szCs w:val="18"/>
              </w:rPr>
              <w:t>股，通过普通账户</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持有公司股票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股；股东深圳市上元资本管理有限公司－上元</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号私募基金通过招商</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证券股份有限公司客户信用交易担保证券账户持有公司股票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4,709,156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股，通过普通</w:t>
            </w:r>
          </w:p>
          <w:p>
            <w:pPr>
              <w:pStyle w:val="TableParagraph"/>
              <w:spacing w:line="319" w:lineRule="auto" w:before="66"/>
              <w:ind w:left="480" w:right="82" w:hanging="451"/>
              <w:jc w:val="left"/>
              <w:rPr>
                <w:rFonts w:ascii="宋体" w:hAnsi="宋体" w:cs="宋体" w:eastAsia="宋体" w:hint="default"/>
                <w:sz w:val="18"/>
                <w:szCs w:val="18"/>
              </w:rPr>
            </w:pPr>
            <w:r>
              <w:rPr>
                <w:rFonts w:ascii="宋体" w:hAnsi="宋体" w:cs="宋体" w:eastAsia="宋体" w:hint="default"/>
                <w:sz w:val="18"/>
                <w:szCs w:val="18"/>
              </w:rPr>
              <w:t>账户持有公司股票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17,679 </w:t>
            </w:r>
            <w:r>
              <w:rPr>
                <w:rFonts w:ascii="宋体" w:hAnsi="宋体" w:cs="宋体" w:eastAsia="宋体" w:hint="default"/>
                <w:sz w:val="18"/>
                <w:szCs w:val="18"/>
              </w:rPr>
              <w:t>股。 以上股东中，股东魏杰使用客户信用交易担保证券账户持有公司股票较报告期</w:t>
            </w:r>
          </w:p>
          <w:p>
            <w:pPr>
              <w:pStyle w:val="TableParagraph"/>
              <w:spacing w:line="240" w:lineRule="auto" w:before="35"/>
              <w:ind w:left="30" w:right="0"/>
              <w:jc w:val="left"/>
              <w:rPr>
                <w:rFonts w:ascii="宋体" w:hAnsi="宋体" w:cs="宋体" w:eastAsia="宋体" w:hint="default"/>
                <w:sz w:val="18"/>
                <w:szCs w:val="18"/>
              </w:rPr>
            </w:pPr>
            <w:r>
              <w:rPr>
                <w:rFonts w:ascii="宋体" w:hAnsi="宋体" w:cs="宋体" w:eastAsia="宋体" w:hint="default"/>
                <w:sz w:val="18"/>
                <w:szCs w:val="18"/>
              </w:rPr>
              <w:t>初减少了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股；股东深圳市上元资本管理有限公司－上元</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号私募基金使用客</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户信用交易担保证券账户持有公司股票较报告期初减少了</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6,198,479 </w:t>
            </w:r>
            <w:r>
              <w:rPr>
                <w:rFonts w:ascii="宋体" w:hAnsi="宋体" w:cs="宋体" w:eastAsia="宋体" w:hint="default"/>
                <w:sz w:val="18"/>
                <w:szCs w:val="18"/>
              </w:rPr>
              <w:t>股，使用普通账</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户持有公司股票较报告期初减少了</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1,365,321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股。上述股东在报告期内变动情况请参</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p>
      <w:pPr>
        <w:spacing w:line="735" w:lineRule="exact"/>
        <w:ind w:left="12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479.85pt;height:36.8pt;mso-position-horizontal-relative:char;mso-position-vertical-relative:line" coordorigin="0,0" coordsize="9597,736">
            <v:group style="position:absolute;left:15;top:22;width:2869;height:706" coordorigin="15,22" coordsize="2869,706">
              <v:shape style="position:absolute;left:15;top:22;width:2869;height:706" coordorigin="15,22" coordsize="2869,706" path="m15,728l2884,728,2884,22,15,22,15,728xe" filled="true" fillcolor="#d2d2d2" stroked="false">
                <v:path arrowok="t"/>
                <v:fill type="solid"/>
              </v:shape>
            </v:group>
            <v:group style="position:absolute;left:15;top:15;width:2869;height:2" coordorigin="15,15" coordsize="2869,2">
              <v:shape style="position:absolute;left:15;top:15;width:2869;height:2" coordorigin="15,15" coordsize="2869,0" path="m15,15l2884,15e" filled="false" stroked="true" strokeweight=".75pt" strokecolor="#000000">
                <v:path arrowok="t"/>
              </v:shape>
            </v:group>
            <v:group style="position:absolute;left:2899;top:15;width:6684;height:2" coordorigin="2899,15" coordsize="6684,2">
              <v:shape style="position:absolute;left:2899;top:15;width:6684;height:2" coordorigin="2899,15" coordsize="6684,0" path="m2899,15l9582,15e" filled="false" stroked="true" strokeweight=".75pt" strokecolor="#000000">
                <v:path arrowok="t"/>
              </v:shape>
            </v:group>
            <v:group style="position:absolute;left:8;top:8;width:2;height:721" coordorigin="8,8" coordsize="2,721">
              <v:shape style="position:absolute;left:8;top:8;width:2;height:721" coordorigin="8,8" coordsize="0,721" path="m8,8l8,728e" filled="false" stroked="true" strokeweight=".75pt" strokecolor="#000000">
                <v:path arrowok="t"/>
              </v:shape>
            </v:group>
            <v:group style="position:absolute;left:15;top:720;width:2869;height:2" coordorigin="15,720" coordsize="2869,2">
              <v:shape style="position:absolute;left:15;top:720;width:2869;height:2" coordorigin="15,720" coordsize="2869,0" path="m15,720l2884,720e" filled="false" stroked="true" strokeweight=".75pt" strokecolor="#000000">
                <v:path arrowok="t"/>
              </v:shape>
            </v:group>
            <v:group style="position:absolute;left:2891;top:8;width:2;height:721" coordorigin="2891,8" coordsize="2,721">
              <v:shape style="position:absolute;left:2891;top:8;width:2;height:721" coordorigin="2891,8" coordsize="0,721" path="m2891,8l2891,728e" filled="false" stroked="true" strokeweight=".75pt" strokecolor="#000000">
                <v:path arrowok="t"/>
              </v:shape>
            </v:group>
            <v:group style="position:absolute;left:2899;top:720;width:6684;height:2" coordorigin="2899,720" coordsize="6684,2">
              <v:shape style="position:absolute;left:2899;top:720;width:6684;height:2" coordorigin="2899,720" coordsize="6684,0" path="m2899,720l9582,720e" filled="false" stroked="true" strokeweight=".75pt" strokecolor="#000000">
                <v:path arrowok="t"/>
              </v:shape>
            </v:group>
            <v:group style="position:absolute;left:9589;top:8;width:2;height:721" coordorigin="9589,8" coordsize="2,721">
              <v:shape style="position:absolute;left:9589;top:8;width:2;height:721" coordorigin="9589,8" coordsize="0,721" path="m9589,8l9589,728e" filled="false" stroked="true" strokeweight=".75pt" strokecolor="#000000">
                <v:path arrowok="t"/>
              </v:shape>
              <v:shape style="position:absolute;left:2891;top:15;width:6699;height:706" type="#_x0000_t202" filled="false" stroked="false">
                <v:textbox inset="0,0,0,0">
                  <w:txbxContent>
                    <w:p>
                      <w:pPr>
                        <w:spacing w:before="22"/>
                        <w:ind w:left="37" w:right="0" w:firstLine="0"/>
                        <w:jc w:val="left"/>
                        <w:rPr>
                          <w:rFonts w:ascii="宋体" w:hAnsi="宋体" w:cs="宋体" w:eastAsia="宋体" w:hint="default"/>
                          <w:sz w:val="18"/>
                          <w:szCs w:val="18"/>
                        </w:rPr>
                      </w:pPr>
                      <w:r>
                        <w:rPr>
                          <w:rFonts w:ascii="宋体" w:hAnsi="宋体" w:cs="宋体" w:eastAsia="宋体" w:hint="default"/>
                          <w:sz w:val="18"/>
                          <w:szCs w:val="18"/>
                        </w:rPr>
                        <w:t>见《持股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以上股东或前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名股东持股情况》表格中内容。</w:t>
                      </w:r>
                    </w:p>
                  </w:txbxContent>
                </v:textbox>
                <w10:wrap type="none"/>
              </v:shape>
            </v:group>
          </v:group>
        </w:pict>
      </w:r>
      <w:r>
        <w:rPr>
          <w:rFonts w:ascii="Times New Roman" w:hAnsi="Times New Roman" w:cs="Times New Roman" w:eastAsia="Times New Roman" w:hint="default"/>
          <w:position w:val="-14"/>
          <w:sz w:val="20"/>
          <w:szCs w:val="20"/>
        </w:rPr>
      </w:r>
    </w:p>
    <w:p>
      <w:pPr>
        <w:pStyle w:val="BodyText"/>
        <w:spacing w:line="240" w:lineRule="auto" w:before="52"/>
        <w:ind w:right="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9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111"/>
        <w:ind w:right="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2、公司控股股东情况" w:id="116"/>
      <w:bookmarkEnd w:id="116"/>
      <w:r>
        <w:rPr>
          <w:b w:val="0"/>
          <w:bCs w:val="0"/>
        </w:rPr>
      </w:r>
      <w:r>
        <w:rPr>
          <w:rFonts w:ascii="Times New Roman" w:hAnsi="Times New Roman" w:cs="Times New Roman" w:eastAsia="Times New Roman" w:hint="default"/>
          <w:spacing w:val="4"/>
        </w:rPr>
        <w:t>2</w:t>
      </w:r>
      <w:r>
        <w:rPr>
          <w:spacing w:val="4"/>
        </w:rPr>
        <w:t>、公司控股股东情况</w:t>
      </w:r>
      <w:r>
        <w:rPr>
          <w:b w:val="0"/>
          <w:bCs w:val="0"/>
          <w:spacing w:val="4"/>
        </w:rPr>
      </w:r>
    </w:p>
    <w:p>
      <w:pPr>
        <w:spacing w:line="240" w:lineRule="auto" w:before="9"/>
        <w:rPr>
          <w:rFonts w:ascii="宋体" w:hAnsi="宋体" w:cs="宋体" w:eastAsia="宋体" w:hint="default"/>
          <w:b/>
          <w:bCs/>
          <w:sz w:val="26"/>
          <w:szCs w:val="26"/>
        </w:rPr>
      </w:pPr>
    </w:p>
    <w:p>
      <w:pPr>
        <w:pStyle w:val="BodyText"/>
        <w:spacing w:line="350" w:lineRule="auto"/>
        <w:ind w:right="8589"/>
        <w:jc w:val="left"/>
      </w:pPr>
      <w:r>
        <w:rPr/>
        <w:t>控股股东性质：自然人控股 控股股东类型：自然人</w:t>
      </w:r>
    </w:p>
    <w:p>
      <w:pPr>
        <w:spacing w:line="240" w:lineRule="auto" w:before="1"/>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424"/>
        <w:gridCol w:w="2298"/>
        <w:gridCol w:w="3860"/>
      </w:tblGrid>
      <w:tr>
        <w:trPr>
          <w:trHeight w:val="405" w:hRule="exact"/>
        </w:trPr>
        <w:tc>
          <w:tcPr>
            <w:tcW w:w="34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6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1"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6" w:hRule="exact"/>
        </w:trPr>
        <w:tc>
          <w:tcPr>
            <w:tcW w:w="3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34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深圳市卓翼科技股份有限公司控股股东、实际控制人</w:t>
            </w:r>
          </w:p>
        </w:tc>
      </w:tr>
      <w:tr>
        <w:trPr>
          <w:trHeight w:val="705" w:hRule="exact"/>
        </w:trPr>
        <w:tc>
          <w:tcPr>
            <w:tcW w:w="34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48"/>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司的股权情况</w:t>
            </w:r>
          </w:p>
        </w:tc>
        <w:tc>
          <w:tcPr>
            <w:tcW w:w="61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公司实际控制人夏传武先生未控股其他境内外上市公司</w:t>
            </w:r>
          </w:p>
        </w:tc>
      </w:tr>
    </w:tbl>
    <w:p>
      <w:pPr>
        <w:pStyle w:val="BodyText"/>
        <w:spacing w:line="240" w:lineRule="auto" w:before="44"/>
        <w:ind w:right="0"/>
        <w:jc w:val="left"/>
      </w:pPr>
      <w:r>
        <w:rPr/>
        <w:t>控股股东报告期内变更</w:t>
      </w:r>
    </w:p>
    <w:p>
      <w:pPr>
        <w:pStyle w:val="BodyText"/>
        <w:spacing w:line="333"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公司报告期控股股东未发生变更。</w:t>
      </w:r>
    </w:p>
    <w:p>
      <w:pPr>
        <w:spacing w:line="240" w:lineRule="auto" w:before="12"/>
        <w:rPr>
          <w:rFonts w:ascii="宋体" w:hAnsi="宋体" w:cs="宋体" w:eastAsia="宋体" w:hint="default"/>
          <w:sz w:val="23"/>
          <w:szCs w:val="23"/>
        </w:rPr>
      </w:pPr>
    </w:p>
    <w:p>
      <w:pPr>
        <w:pStyle w:val="Heading5"/>
        <w:spacing w:line="240" w:lineRule="auto"/>
        <w:ind w:right="0"/>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spacing w:val="5"/>
        </w:rPr>
        <w:t>3</w:t>
      </w:r>
      <w:r>
        <w:rPr>
          <w:spacing w:val="5"/>
        </w:rPr>
        <w:t>、公司实际控制人及其一致行动人</w:t>
      </w:r>
      <w:r>
        <w:rPr>
          <w:b w:val="0"/>
          <w:bCs w:val="0"/>
          <w:spacing w:val="5"/>
        </w:rPr>
      </w:r>
    </w:p>
    <w:p>
      <w:pPr>
        <w:spacing w:line="240" w:lineRule="auto" w:before="7"/>
        <w:rPr>
          <w:rFonts w:ascii="宋体" w:hAnsi="宋体" w:cs="宋体" w:eastAsia="宋体" w:hint="default"/>
          <w:b/>
          <w:bCs/>
          <w:sz w:val="25"/>
          <w:szCs w:val="25"/>
        </w:rPr>
      </w:pPr>
    </w:p>
    <w:p>
      <w:pPr>
        <w:pStyle w:val="BodyText"/>
        <w:spacing w:line="367" w:lineRule="auto"/>
        <w:ind w:right="8409"/>
        <w:jc w:val="left"/>
      </w:pPr>
      <w:r>
        <w:rPr/>
        <w:t>实际控制人性质：境内自然人 实际控制人类型：自然人</w:t>
      </w: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021" w:right="107" w:hanging="902"/>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夏传武</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94"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深圳市卓翼科技股份有限公司控股股东、实际控制人</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 市公司情况</w:t>
            </w:r>
          </w:p>
        </w:tc>
        <w:tc>
          <w:tcPr>
            <w:tcW w:w="7194"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公司实际控制人夏传武先生未控股其他境内外上市公司</w:t>
            </w:r>
          </w:p>
        </w:tc>
      </w:tr>
    </w:tbl>
    <w:p>
      <w:pPr>
        <w:pStyle w:val="BodyText"/>
        <w:spacing w:line="240" w:lineRule="auto" w:before="59"/>
        <w:ind w:right="0"/>
        <w:jc w:val="left"/>
      </w:pPr>
      <w:r>
        <w:rPr/>
        <w:t>实际控制人报告期内变更</w:t>
      </w:r>
    </w:p>
    <w:p>
      <w:pPr>
        <w:pStyle w:val="BodyText"/>
        <w:spacing w:line="316"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公司报告期实际控制人未发生变更。</w:t>
      </w:r>
    </w:p>
    <w:p>
      <w:pPr>
        <w:pStyle w:val="BodyText"/>
        <w:spacing w:line="240" w:lineRule="auto" w:before="67"/>
        <w:ind w:right="0"/>
        <w:jc w:val="left"/>
      </w:pPr>
      <w:r>
        <w:rPr/>
        <w:t>公司与实际控制人之间的产权及控制关系的方框图</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p>
      <w:pPr>
        <w:spacing w:line="3660" w:lineRule="exact"/>
        <w:ind w:left="1340"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591050" cy="2324100"/>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9" cstate="print"/>
                    <a:stretch>
                      <a:fillRect/>
                    </a:stretch>
                  </pic:blipFill>
                  <pic:spPr>
                    <a:xfrm>
                      <a:off x="0" y="0"/>
                      <a:ext cx="4591050" cy="2324100"/>
                    </a:xfrm>
                    <a:prstGeom prst="rect">
                      <a:avLst/>
                    </a:prstGeom>
                  </pic:spPr>
                </pic:pic>
              </a:graphicData>
            </a:graphic>
          </wp:inline>
        </w:drawing>
      </w:r>
      <w:r>
        <w:rPr>
          <w:rFonts w:ascii="宋体" w:hAnsi="宋体" w:cs="宋体" w:eastAsia="宋体" w:hint="default"/>
          <w:position w:val="-72"/>
          <w:sz w:val="20"/>
          <w:szCs w:val="20"/>
        </w:rPr>
      </w:r>
    </w:p>
    <w:p>
      <w:pPr>
        <w:spacing w:line="240" w:lineRule="auto" w:before="11"/>
        <w:rPr>
          <w:rFonts w:ascii="宋体" w:hAnsi="宋体" w:cs="宋体" w:eastAsia="宋体" w:hint="default"/>
          <w:sz w:val="14"/>
          <w:szCs w:val="14"/>
        </w:rPr>
      </w:pPr>
    </w:p>
    <w:p>
      <w:pPr>
        <w:spacing w:before="26"/>
        <w:ind w:left="141"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spacing w:val="4"/>
        </w:rPr>
        <w:t>4</w:t>
      </w:r>
      <w:r>
        <w:rPr>
          <w:spacing w:val="4"/>
        </w:rPr>
        <w:t>、其他持股在</w:t>
      </w:r>
      <w:r>
        <w:rPr>
          <w:spacing w:val="45"/>
        </w:rPr>
        <w:t> </w:t>
      </w:r>
      <w:r>
        <w:rPr>
          <w:rFonts w:ascii="Times New Roman" w:hAnsi="Times New Roman" w:cs="Times New Roman" w:eastAsia="Times New Roman" w:hint="default"/>
          <w:spacing w:val="4"/>
        </w:rPr>
        <w:t>10%</w:t>
      </w:r>
      <w:r>
        <w:rPr>
          <w:spacing w:val="4"/>
        </w:rPr>
        <w:t>以上的法人股东</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spacing w:val="5"/>
        </w:rPr>
        <w:t>5</w:t>
      </w:r>
      <w:r>
        <w:rPr>
          <w:spacing w:val="5"/>
        </w:rPr>
        <w:t>、控股股东、实际控制人、重组方及其他承诺主体股份限制减持情况</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355" w:right="0"/>
        <w:jc w:val="left"/>
        <w:rPr>
          <w:b w:val="0"/>
          <w:bCs w:val="0"/>
        </w:rPr>
      </w:pPr>
      <w:bookmarkStart w:name="第七节优先股相关情况" w:id="120"/>
      <w:bookmarkEnd w:id="120"/>
      <w:r>
        <w:rPr>
          <w:b w:val="0"/>
          <w:bCs w:val="0"/>
        </w:rPr>
      </w:r>
      <w:bookmarkStart w:name="_bookmark6" w:id="121"/>
      <w:bookmarkEnd w:id="121"/>
      <w:r>
        <w:rPr>
          <w:b w:val="0"/>
          <w:bCs w:val="0"/>
        </w:rPr>
      </w:r>
      <w:r>
        <w:rPr>
          <w:spacing w:val="5"/>
        </w:rPr>
        <w:t>第七节优先股相关情况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3" w:lineRule="auto" w:before="44"/>
        <w:ind w:right="85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报告期公司不存在优先股。</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09" w:right="0"/>
        <w:jc w:val="left"/>
        <w:rPr>
          <w:b w:val="0"/>
          <w:bCs w:val="0"/>
        </w:rPr>
      </w:pPr>
      <w:bookmarkStart w:name="第八节可转换公司债券相关情况" w:id="122"/>
      <w:bookmarkEnd w:id="122"/>
      <w:r>
        <w:rPr>
          <w:b w:val="0"/>
          <w:bCs w:val="0"/>
        </w:rPr>
      </w:r>
      <w:bookmarkStart w:name="_bookmark7" w:id="123"/>
      <w:bookmarkEnd w:id="123"/>
      <w:r>
        <w:rPr>
          <w:b w:val="0"/>
          <w:bCs w:val="0"/>
        </w:rPr>
      </w:r>
      <w:r>
        <w:rPr>
          <w:spacing w:val="5"/>
        </w:rPr>
        <w:t>第八节可转换公司债券相关情况</w:t>
      </w:r>
      <w:r>
        <w:rPr>
          <w:b w:val="0"/>
          <w:bCs w:val="0"/>
          <w:spacing w:val="5"/>
        </w:rPr>
      </w:r>
    </w:p>
    <w:p>
      <w:pPr>
        <w:spacing w:line="240" w:lineRule="auto" w:before="7"/>
        <w:rPr>
          <w:rFonts w:ascii="宋体" w:hAnsi="宋体" w:cs="宋体" w:eastAsia="宋体" w:hint="default"/>
          <w:b/>
          <w:bCs/>
          <w:sz w:val="42"/>
          <w:szCs w:val="42"/>
        </w:rPr>
      </w:pPr>
    </w:p>
    <w:p>
      <w:pPr>
        <w:pStyle w:val="BodyText"/>
        <w:spacing w:line="333" w:lineRule="auto"/>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报告期公司不存在可转换公司债券。</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748" w:right="0"/>
        <w:jc w:val="left"/>
        <w:rPr>
          <w:b w:val="0"/>
          <w:bCs w:val="0"/>
        </w:rPr>
      </w:pPr>
      <w:bookmarkStart w:name="第九节董事、监事、高级管理人员和员工情况" w:id="124"/>
      <w:bookmarkEnd w:id="124"/>
      <w:r>
        <w:rPr>
          <w:b w:val="0"/>
          <w:bCs w:val="0"/>
        </w:rPr>
      </w:r>
      <w:bookmarkStart w:name="_bookmark8" w:id="125"/>
      <w:bookmarkEnd w:id="125"/>
      <w:r>
        <w:rPr>
          <w:b w:val="0"/>
          <w:bCs w:val="0"/>
        </w:rPr>
      </w:r>
      <w:r>
        <w:rPr>
          <w:spacing w:val="5"/>
        </w:rPr>
        <w:t>第九节董事、监事、高级管理人员和员工情况</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0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29" w:right="2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0" w:right="4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31"/>
              <w:ind w:left="12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4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31"/>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21"/>
                <w:sz w:val="18"/>
                <w:szCs w:val="18"/>
              </w:rPr>
              <w:t>变动（股）</w:t>
            </w:r>
            <w:r>
              <w:rPr>
                <w:rFonts w:ascii="宋体" w:hAnsi="宋体" w:cs="宋体" w:eastAsia="宋体" w:hint="default"/>
                <w:sz w:val="18"/>
                <w:szCs w:val="18"/>
              </w:rPr>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4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原董事长</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原财务负 责人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1,217,450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877,450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825,000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-140,625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-140,000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544,375</w:t>
            </w:r>
          </w:p>
        </w:tc>
      </w:tr>
      <w:tr>
        <w:trPr>
          <w:trHeight w:val="1035" w:hRule="exact"/>
        </w:trPr>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30" w:right="29"/>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卢和忠</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487,500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-260,000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227,500</w:t>
            </w:r>
          </w:p>
        </w:tc>
      </w:tr>
      <w:tr>
        <w:trPr>
          <w:trHeight w:val="40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廖垚</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675" w:hRule="exact"/>
        </w:trPr>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王平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30" w:right="29"/>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30" w:right="29"/>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崔小乐</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袁友军</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胡爱武</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施隆红</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夏艳华</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原职工监 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张岚</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谢从雄</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29"/>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262,500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-140,000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122,500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360" w:hRule="exact"/>
        </w:trPr>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曾兆豪</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390"/>
              <w:jc w:val="righ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262,500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-262,500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328"/>
              <w:jc w:val="right"/>
              <w:rPr>
                <w:rFonts w:ascii="Times New Roman" w:hAnsi="Times New Roman" w:cs="Times New Roman" w:eastAsia="Times New Roman" w:hint="default"/>
                <w:sz w:val="18"/>
                <w:szCs w:val="18"/>
              </w:rPr>
            </w:pPr>
            <w:r>
              <w:rPr>
                <w:rFonts w:ascii="Times New Roman"/>
                <w:sz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3,054,950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-390,625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-892,500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1,771,825</w:t>
            </w:r>
          </w:p>
        </w:tc>
      </w:tr>
    </w:tbl>
    <w:p>
      <w:pPr>
        <w:spacing w:line="240" w:lineRule="auto" w:before="4"/>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0" w:right="1140"/>
        <w:jc w:val="right"/>
      </w:pPr>
      <w:r>
        <w:rPr/>
        <w:pict>
          <v:shape style="position:absolute;margin-left:56.325001pt;margin-top:-70.565811pt;width:480.25pt;height:541.2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7"/>
                    <w:gridCol w:w="1322"/>
                    <w:gridCol w:w="1337"/>
                    <w:gridCol w:w="1336"/>
                    <w:gridCol w:w="4250"/>
                  </w:tblGrid>
                  <w:tr>
                    <w:trPr>
                      <w:trHeight w:val="405" w:hRule="exact"/>
                    </w:trPr>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姓名</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日期</w:t>
                        </w:r>
                      </w:p>
                    </w:tc>
                    <w:tc>
                      <w:tcPr>
                        <w:tcW w:w="42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6"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曾兆豪</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28"/>
                          <w:jc w:val="both"/>
                          <w:rPr>
                            <w:rFonts w:ascii="宋体" w:hAnsi="宋体" w:cs="宋体" w:eastAsia="宋体" w:hint="default"/>
                            <w:sz w:val="18"/>
                            <w:szCs w:val="18"/>
                          </w:rPr>
                        </w:pPr>
                        <w:r>
                          <w:rPr>
                            <w:rFonts w:ascii="宋体" w:hAnsi="宋体" w:cs="宋体" w:eastAsia="宋体" w:hint="default"/>
                            <w:sz w:val="18"/>
                            <w:szCs w:val="18"/>
                          </w:rPr>
                          <w:t>因个人原因，曾兆豪先生申请辞去公司第四届董事会 </w:t>
                        </w:r>
                        <w:r>
                          <w:rPr>
                            <w:rFonts w:ascii="宋体" w:hAnsi="宋体" w:cs="宋体" w:eastAsia="宋体" w:hint="default"/>
                            <w:spacing w:val="-4"/>
                            <w:sz w:val="18"/>
                            <w:szCs w:val="18"/>
                          </w:rPr>
                          <w:t>非独立董事一职。具体内容详见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日刊登 在《证券时报》、《中国证券报》和巨潮资讯网</w:t>
                        </w:r>
                      </w:p>
                      <w:p>
                        <w:pPr>
                          <w:pStyle w:val="TableParagraph"/>
                          <w:spacing w:line="240" w:lineRule="auto" w:before="46"/>
                          <w:ind w:left="15"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5"/>
                            <w:sz w:val="18"/>
                            <w:szCs w:val="18"/>
                          </w:rPr>
                          <w:t>t</w:t>
                        </w:r>
                        <w:r>
                          <w:rPr>
                            <w:rFonts w:ascii="Times New Roman" w:hAnsi="Times New Roman" w:cs="Times New Roman" w:eastAsia="Times New Roman" w:hint="default"/>
                            <w:sz w:val="18"/>
                            <w:szCs w:val="18"/>
                          </w:rPr>
                          <w:t>p</w:t>
                        </w:r>
                        <w:r>
                          <w:rPr>
                            <w:rFonts w:ascii="Times New Roman" w:hAnsi="Times New Roman" w:cs="Times New Roman" w:eastAsia="Times New Roman" w:hint="default"/>
                            <w:spacing w:val="14"/>
                            <w:sz w:val="18"/>
                            <w:szCs w:val="18"/>
                          </w:rPr>
                          <w:t>p</w:t>
                        </w:r>
                        <w:r>
                          <w:rPr>
                            <w:rFonts w:ascii="Times New Roman" w:hAnsi="Times New Roman" w:cs="Times New Roman" w:eastAsia="Times New Roman" w:hint="default"/>
                            <w:spacing w:val="-5"/>
                            <w:sz w:val="18"/>
                            <w:szCs w:val="18"/>
                          </w:rPr>
                          <w:t>://</w:t>
                        </w:r>
                        <w:hyperlink r:id="rId11">
                          <w:r>
                            <w:rPr>
                              <w:rFonts w:ascii="Times New Roman" w:hAnsi="Times New Roman" w:cs="Times New Roman" w:eastAsia="Times New Roman" w:hint="default"/>
                              <w:spacing w:val="4"/>
                              <w:w w:val="99"/>
                              <w:sz w:val="18"/>
                              <w:szCs w:val="18"/>
                            </w:rPr>
                            <w:t>www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5"/>
                              <w:sz w:val="18"/>
                              <w:szCs w:val="18"/>
                            </w:rPr>
                            <w:t>i</w:t>
                          </w:r>
                          <w:r>
                            <w:rPr>
                              <w:rFonts w:ascii="Times New Roman" w:hAnsi="Times New Roman" w:cs="Times New Roman" w:eastAsia="Times New Roman" w:hint="default"/>
                              <w:sz w:val="18"/>
                              <w:szCs w:val="18"/>
                            </w:rPr>
                            <w:t>nfo.</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5"/>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60"/>
                            <w:sz w:val="18"/>
                            <w:szCs w:val="18"/>
                          </w:rPr>
                          <w:t>）</w:t>
                        </w:r>
                        <w:r>
                          <w:rPr>
                            <w:rFonts w:ascii="宋体" w:hAnsi="宋体" w:cs="宋体" w:eastAsia="宋体" w:hint="default"/>
                            <w:sz w:val="18"/>
                            <w:szCs w:val="18"/>
                          </w:rPr>
                          <w:t>上的第</w:t>
                        </w:r>
                        <w:r>
                          <w:rPr>
                            <w:rFonts w:ascii="宋体" w:hAnsi="宋体" w:cs="宋体" w:eastAsia="宋体" w:hint="default"/>
                            <w:spacing w:val="-44"/>
                            <w:sz w:val="18"/>
                            <w:szCs w:val="18"/>
                          </w:rPr>
                          <w:t> </w:t>
                        </w:r>
                        <w:r>
                          <w:rPr>
                            <w:rFonts w:ascii="Times New Roman" w:hAnsi="Times New Roman" w:cs="Times New Roman" w:eastAsia="Times New Roman" w:hint="default"/>
                            <w:spacing w:val="14"/>
                            <w:sz w:val="18"/>
                            <w:szCs w:val="18"/>
                          </w:rPr>
                          <w:t>2</w:t>
                        </w:r>
                        <w:r>
                          <w:rPr>
                            <w:rFonts w:ascii="Times New Roman" w:hAnsi="Times New Roman" w:cs="Times New Roman" w:eastAsia="Times New Roman" w:hint="default"/>
                            <w:sz w:val="18"/>
                            <w:szCs w:val="18"/>
                          </w:rPr>
                          <w:t>019-006 </w:t>
                        </w:r>
                        <w:r>
                          <w:rPr>
                            <w:rFonts w:ascii="宋体" w:hAnsi="宋体" w:cs="宋体" w:eastAsia="宋体" w:hint="default"/>
                            <w:sz w:val="18"/>
                            <w:szCs w:val="18"/>
                          </w:rPr>
                          <w:t>号公告</w:t>
                        </w:r>
                      </w:p>
                    </w:tc>
                  </w:tr>
                  <w:tr>
                    <w:trPr>
                      <w:trHeight w:val="1351"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4"/>
                          <w:jc w:val="left"/>
                          <w:rPr>
                            <w:rFonts w:ascii="宋体" w:hAnsi="宋体" w:cs="宋体" w:eastAsia="宋体" w:hint="default"/>
                            <w:sz w:val="18"/>
                            <w:szCs w:val="18"/>
                          </w:rPr>
                        </w:pPr>
                        <w:r>
                          <w:rPr>
                            <w:rFonts w:ascii="宋体" w:hAnsi="宋体" w:cs="宋体" w:eastAsia="宋体" w:hint="default"/>
                            <w:sz w:val="18"/>
                            <w:szCs w:val="18"/>
                          </w:rPr>
                          <w:t>因调整个人工作重心，昌智先生申请辞去公司财务负 责人一职。具体内容详见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日刊登在《证</w:t>
                        </w:r>
                        <w:r>
                          <w:rPr>
                            <w:rFonts w:ascii="宋体" w:hAnsi="宋体" w:cs="宋体" w:eastAsia="宋体" w:hint="default"/>
                            <w:sz w:val="18"/>
                            <w:szCs w:val="18"/>
                          </w:rPr>
                          <w:t> 券时报》、《中国证券报》和巨潮资讯网</w:t>
                        </w:r>
                      </w:p>
                      <w:p>
                        <w:pPr>
                          <w:pStyle w:val="TableParagraph"/>
                          <w:spacing w:line="240" w:lineRule="auto" w:before="46"/>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5"/>
                            <w:sz w:val="18"/>
                            <w:szCs w:val="18"/>
                          </w:rPr>
                          <w:t>t</w:t>
                        </w:r>
                        <w:r>
                          <w:rPr>
                            <w:rFonts w:ascii="Times New Roman" w:hAnsi="Times New Roman" w:cs="Times New Roman" w:eastAsia="Times New Roman" w:hint="default"/>
                            <w:sz w:val="18"/>
                            <w:szCs w:val="18"/>
                          </w:rPr>
                          <w:t>p</w:t>
                        </w:r>
                        <w:r>
                          <w:rPr>
                            <w:rFonts w:ascii="Times New Roman" w:hAnsi="Times New Roman" w:cs="Times New Roman" w:eastAsia="Times New Roman" w:hint="default"/>
                            <w:spacing w:val="14"/>
                            <w:sz w:val="18"/>
                            <w:szCs w:val="18"/>
                          </w:rPr>
                          <w:t>p</w:t>
                        </w:r>
                        <w:r>
                          <w:rPr>
                            <w:rFonts w:ascii="Times New Roman" w:hAnsi="Times New Roman" w:cs="Times New Roman" w:eastAsia="Times New Roman" w:hint="default"/>
                            <w:spacing w:val="-5"/>
                            <w:sz w:val="18"/>
                            <w:szCs w:val="18"/>
                          </w:rPr>
                          <w:t>://</w:t>
                        </w:r>
                        <w:hyperlink r:id="rId11">
                          <w:r>
                            <w:rPr>
                              <w:rFonts w:ascii="Times New Roman" w:hAnsi="Times New Roman" w:cs="Times New Roman" w:eastAsia="Times New Roman" w:hint="default"/>
                              <w:spacing w:val="4"/>
                              <w:w w:val="99"/>
                              <w:sz w:val="18"/>
                              <w:szCs w:val="18"/>
                            </w:rPr>
                            <w:t>www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5"/>
                              <w:sz w:val="18"/>
                              <w:szCs w:val="18"/>
                            </w:rPr>
                            <w:t>i</w:t>
                          </w:r>
                          <w:r>
                            <w:rPr>
                              <w:rFonts w:ascii="Times New Roman" w:hAnsi="Times New Roman" w:cs="Times New Roman" w:eastAsia="Times New Roman" w:hint="default"/>
                              <w:sz w:val="18"/>
                              <w:szCs w:val="18"/>
                            </w:rPr>
                            <w:t>nfo.</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5"/>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60"/>
                            <w:sz w:val="18"/>
                            <w:szCs w:val="18"/>
                          </w:rPr>
                          <w:t>）</w:t>
                        </w:r>
                        <w:r>
                          <w:rPr>
                            <w:rFonts w:ascii="宋体" w:hAnsi="宋体" w:cs="宋体" w:eastAsia="宋体" w:hint="default"/>
                            <w:sz w:val="18"/>
                            <w:szCs w:val="18"/>
                          </w:rPr>
                          <w:t>上的第</w:t>
                        </w:r>
                        <w:r>
                          <w:rPr>
                            <w:rFonts w:ascii="宋体" w:hAnsi="宋体" w:cs="宋体" w:eastAsia="宋体" w:hint="default"/>
                            <w:spacing w:val="-44"/>
                            <w:sz w:val="18"/>
                            <w:szCs w:val="18"/>
                          </w:rPr>
                          <w:t> </w:t>
                        </w:r>
                        <w:r>
                          <w:rPr>
                            <w:rFonts w:ascii="Times New Roman" w:hAnsi="Times New Roman" w:cs="Times New Roman" w:eastAsia="Times New Roman" w:hint="default"/>
                            <w:spacing w:val="14"/>
                            <w:sz w:val="18"/>
                            <w:szCs w:val="18"/>
                          </w:rPr>
                          <w:t>2</w:t>
                        </w:r>
                        <w:r>
                          <w:rPr>
                            <w:rFonts w:ascii="Times New Roman" w:hAnsi="Times New Roman" w:cs="Times New Roman" w:eastAsia="Times New Roman" w:hint="default"/>
                            <w:sz w:val="18"/>
                            <w:szCs w:val="18"/>
                          </w:rPr>
                          <w:t>019-005 </w:t>
                        </w:r>
                        <w:r>
                          <w:rPr>
                            <w:rFonts w:ascii="宋体" w:hAnsi="宋体" w:cs="宋体" w:eastAsia="宋体" w:hint="default"/>
                            <w:sz w:val="18"/>
                            <w:szCs w:val="18"/>
                          </w:rPr>
                          <w:t>号公告</w:t>
                        </w:r>
                      </w:p>
                    </w:tc>
                  </w:tr>
                  <w:tr>
                    <w:trPr>
                      <w:trHeight w:val="1952"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谢从雄</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30"/>
                          <w:ind w:left="15" w:right="14"/>
                          <w:jc w:val="left"/>
                          <w:rPr>
                            <w:rFonts w:ascii="宋体" w:hAnsi="宋体" w:cs="宋体" w:eastAsia="宋体" w:hint="default"/>
                            <w:sz w:val="18"/>
                            <w:szCs w:val="18"/>
                          </w:rPr>
                        </w:pPr>
                        <w:r>
                          <w:rPr>
                            <w:rFonts w:ascii="宋体" w:hAnsi="宋体" w:cs="宋体" w:eastAsia="宋体" w:hint="default"/>
                            <w:sz w:val="18"/>
                            <w:szCs w:val="18"/>
                          </w:rPr>
                          <w:t>因原财务负责人辞职，经召开第四届董事会第三十三 次会议审议通过，同意聘任谢从雄先生为公司财务负 责人，任期自选举之日起至第四届董事会任期结束之 日止。具体内容详见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日刊登在《证券时 报》、《中国证券报》和巨潮资讯网</w:t>
                        </w:r>
                      </w:p>
                      <w:p>
                        <w:pPr>
                          <w:pStyle w:val="TableParagraph"/>
                          <w:spacing w:line="240" w:lineRule="auto" w:before="39"/>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5"/>
                            <w:sz w:val="18"/>
                            <w:szCs w:val="18"/>
                          </w:rPr>
                          <w:t>t</w:t>
                        </w:r>
                        <w:r>
                          <w:rPr>
                            <w:rFonts w:ascii="Times New Roman" w:hAnsi="Times New Roman" w:cs="Times New Roman" w:eastAsia="Times New Roman" w:hint="default"/>
                            <w:sz w:val="18"/>
                            <w:szCs w:val="18"/>
                          </w:rPr>
                          <w:t>p</w:t>
                        </w:r>
                        <w:r>
                          <w:rPr>
                            <w:rFonts w:ascii="Times New Roman" w:hAnsi="Times New Roman" w:cs="Times New Roman" w:eastAsia="Times New Roman" w:hint="default"/>
                            <w:spacing w:val="14"/>
                            <w:sz w:val="18"/>
                            <w:szCs w:val="18"/>
                          </w:rPr>
                          <w:t>p</w:t>
                        </w:r>
                        <w:r>
                          <w:rPr>
                            <w:rFonts w:ascii="Times New Roman" w:hAnsi="Times New Roman" w:cs="Times New Roman" w:eastAsia="Times New Roman" w:hint="default"/>
                            <w:spacing w:val="-5"/>
                            <w:sz w:val="18"/>
                            <w:szCs w:val="18"/>
                          </w:rPr>
                          <w:t>://</w:t>
                        </w:r>
                        <w:hyperlink r:id="rId11">
                          <w:r>
                            <w:rPr>
                              <w:rFonts w:ascii="Times New Roman" w:hAnsi="Times New Roman" w:cs="Times New Roman" w:eastAsia="Times New Roman" w:hint="default"/>
                              <w:spacing w:val="4"/>
                              <w:w w:val="99"/>
                              <w:sz w:val="18"/>
                              <w:szCs w:val="18"/>
                            </w:rPr>
                            <w:t>www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5"/>
                              <w:sz w:val="18"/>
                              <w:szCs w:val="18"/>
                            </w:rPr>
                            <w:t>i</w:t>
                          </w:r>
                          <w:r>
                            <w:rPr>
                              <w:rFonts w:ascii="Times New Roman" w:hAnsi="Times New Roman" w:cs="Times New Roman" w:eastAsia="Times New Roman" w:hint="default"/>
                              <w:sz w:val="18"/>
                              <w:szCs w:val="18"/>
                            </w:rPr>
                            <w:t>nfo.</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5"/>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pacing w:val="-60"/>
                            <w:sz w:val="18"/>
                            <w:szCs w:val="18"/>
                          </w:rPr>
                          <w:t>）</w:t>
                        </w:r>
                        <w:r>
                          <w:rPr>
                            <w:rFonts w:ascii="宋体" w:hAnsi="宋体" w:cs="宋体" w:eastAsia="宋体" w:hint="default"/>
                            <w:sz w:val="18"/>
                            <w:szCs w:val="18"/>
                          </w:rPr>
                          <w:t>上的第</w:t>
                        </w:r>
                        <w:r>
                          <w:rPr>
                            <w:rFonts w:ascii="宋体" w:hAnsi="宋体" w:cs="宋体" w:eastAsia="宋体" w:hint="default"/>
                            <w:spacing w:val="-44"/>
                            <w:sz w:val="18"/>
                            <w:szCs w:val="18"/>
                          </w:rPr>
                          <w:t> </w:t>
                        </w:r>
                        <w:r>
                          <w:rPr>
                            <w:rFonts w:ascii="Times New Roman" w:hAnsi="Times New Roman" w:cs="Times New Roman" w:eastAsia="Times New Roman" w:hint="default"/>
                            <w:spacing w:val="14"/>
                            <w:sz w:val="18"/>
                            <w:szCs w:val="18"/>
                          </w:rPr>
                          <w:t>2</w:t>
                        </w:r>
                        <w:r>
                          <w:rPr>
                            <w:rFonts w:ascii="Times New Roman" w:hAnsi="Times New Roman" w:cs="Times New Roman" w:eastAsia="Times New Roman" w:hint="default"/>
                            <w:sz w:val="18"/>
                            <w:szCs w:val="18"/>
                          </w:rPr>
                          <w:t>019-005 </w:t>
                        </w:r>
                        <w:r>
                          <w:rPr>
                            <w:rFonts w:ascii="宋体" w:hAnsi="宋体" w:cs="宋体" w:eastAsia="宋体" w:hint="default"/>
                            <w:sz w:val="18"/>
                            <w:szCs w:val="18"/>
                          </w:rPr>
                          <w:t>号公告</w:t>
                        </w:r>
                      </w:p>
                    </w:tc>
                  </w:tr>
                  <w:tr>
                    <w:trPr>
                      <w:trHeight w:val="2597"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卢和忠</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left="15" w:right="13"/>
                          <w:jc w:val="left"/>
                          <w:rPr>
                            <w:rFonts w:ascii="宋体" w:hAnsi="宋体" w:cs="宋体" w:eastAsia="宋体" w:hint="default"/>
                            <w:sz w:val="18"/>
                            <w:szCs w:val="18"/>
                          </w:rPr>
                        </w:pPr>
                        <w:r>
                          <w:rPr>
                            <w:rFonts w:ascii="宋体" w:hAnsi="宋体" w:cs="宋体" w:eastAsia="宋体" w:hint="default"/>
                            <w:sz w:val="18"/>
                            <w:szCs w:val="18"/>
                          </w:rPr>
                          <w:t>因原董事曾兆豪先生辞职，经召开第四届董事会第三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十三次会议以及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年第一次临时股东大会审议通 过，同意选举卢和忠先生为公司第四届董事会非独立 董事，任期自选举之日起至第四届董事会任期结束之</w:t>
                        </w:r>
                      </w:p>
                      <w:p>
                        <w:pPr>
                          <w:pStyle w:val="TableParagraph"/>
                          <w:spacing w:line="240" w:lineRule="auto" w:before="42"/>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日止。具体内容分别详见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日刊登在《证券时报》、《中国证券报》和巨潮</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资讯网（</w:t>
                        </w:r>
                        <w:r>
                          <w:rPr>
                            <w:rFonts w:ascii="Times New Roman" w:hAnsi="Times New Roman" w:cs="Times New Roman" w:eastAsia="Times New Roman" w:hint="default"/>
                            <w:sz w:val="18"/>
                            <w:szCs w:val="18"/>
                          </w:rPr>
                          <w:t>htpp://</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）上的第</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2019-006</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2019-012 </w:t>
                        </w:r>
                        <w:r>
                          <w:rPr>
                            <w:rFonts w:ascii="宋体" w:hAnsi="宋体" w:cs="宋体" w:eastAsia="宋体" w:hint="default"/>
                            <w:sz w:val="18"/>
                            <w:szCs w:val="18"/>
                          </w:rPr>
                          <w:t>号公告。</w:t>
                        </w:r>
                      </w:p>
                    </w:tc>
                  </w:tr>
                  <w:tr>
                    <w:trPr>
                      <w:trHeight w:val="3168"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张岚</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5"/>
                          <w:ind w:left="15"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日，公司召开了第四届监事会第三 十次会议，审议通过了《关于公司第四届监事会延期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换届的议案》。公司监事会换届选举工作延期进行。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公司召开职工代表大会，会议选</w:t>
                        </w:r>
                        <w:r>
                          <w:rPr>
                            <w:rFonts w:ascii="宋体" w:hAnsi="宋体" w:cs="宋体" w:eastAsia="宋体" w:hint="default"/>
                            <w:sz w:val="18"/>
                            <w:szCs w:val="18"/>
                          </w:rPr>
                          <w:t> 举张岚女士为公司第五届监事会职工代表监事，与股 东大会选举出来的两名股东代表监事共同组成第五届</w:t>
                        </w:r>
                      </w:p>
                      <w:p>
                        <w:pPr>
                          <w:pStyle w:val="TableParagraph"/>
                          <w:spacing w:line="240" w:lineRule="auto" w:before="42"/>
                          <w:ind w:left="15" w:right="0"/>
                          <w:jc w:val="both"/>
                          <w:rPr>
                            <w:rFonts w:ascii="宋体" w:hAnsi="宋体" w:cs="宋体" w:eastAsia="宋体" w:hint="default"/>
                            <w:sz w:val="18"/>
                            <w:szCs w:val="18"/>
                          </w:rPr>
                        </w:pPr>
                        <w:r>
                          <w:rPr>
                            <w:rFonts w:ascii="宋体" w:hAnsi="宋体" w:cs="宋体" w:eastAsia="宋体" w:hint="default"/>
                            <w:sz w:val="18"/>
                            <w:szCs w:val="18"/>
                          </w:rPr>
                          <w:t>监事会，任期起始日为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日。具体内容分</w:t>
                        </w:r>
                      </w:p>
                      <w:p>
                        <w:pPr>
                          <w:pStyle w:val="TableParagraph"/>
                          <w:spacing w:line="240" w:lineRule="auto" w:before="66"/>
                          <w:ind w:left="15" w:right="0"/>
                          <w:jc w:val="both"/>
                          <w:rPr>
                            <w:rFonts w:ascii="宋体" w:hAnsi="宋体" w:cs="宋体" w:eastAsia="宋体" w:hint="default"/>
                            <w:sz w:val="18"/>
                            <w:szCs w:val="18"/>
                          </w:rPr>
                        </w:pPr>
                        <w:r>
                          <w:rPr>
                            <w:rFonts w:ascii="宋体" w:hAnsi="宋体" w:cs="宋体" w:eastAsia="宋体" w:hint="default"/>
                            <w:sz w:val="18"/>
                            <w:szCs w:val="18"/>
                          </w:rPr>
                          <w:t>别详见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日刊登在</w:t>
                        </w:r>
                      </w:p>
                      <w:p>
                        <w:pPr>
                          <w:pStyle w:val="TableParagraph"/>
                          <w:spacing w:line="240" w:lineRule="auto" w:before="36"/>
                          <w:ind w:left="15" w:right="0"/>
                          <w:jc w:val="both"/>
                          <w:rPr>
                            <w:rFonts w:ascii="宋体" w:hAnsi="宋体" w:cs="宋体" w:eastAsia="宋体" w:hint="default"/>
                            <w:sz w:val="18"/>
                            <w:szCs w:val="18"/>
                          </w:rPr>
                        </w:pPr>
                        <w:r>
                          <w:rPr>
                            <w:rFonts w:ascii="宋体" w:hAnsi="宋体" w:cs="宋体" w:eastAsia="宋体" w:hint="default"/>
                            <w:sz w:val="18"/>
                            <w:szCs w:val="18"/>
                          </w:rPr>
                          <w:t>《证券时报》、《中国证券报》和巨潮资讯网</w:t>
                        </w:r>
                      </w:p>
                      <w:p>
                        <w:pPr>
                          <w:pStyle w:val="TableParagraph"/>
                          <w:spacing w:line="240" w:lineRule="auto" w:before="95"/>
                          <w:ind w:left="15"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htpp://</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2019-088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号、第</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44"/>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before="44"/>
        <w:ind w:left="0" w:right="1140"/>
        <w:jc w:val="right"/>
      </w:pPr>
      <w:r>
        <w:rPr/>
        <w:t>。</w:t>
      </w:r>
    </w:p>
    <w:p>
      <w:pPr>
        <w:spacing w:after="0" w:line="240" w:lineRule="auto"/>
        <w:jc w:val="right"/>
        <w:sectPr>
          <w:pgSz w:w="11910" w:h="16850"/>
          <w:pgMar w:header="731" w:footer="981" w:top="1040" w:bottom="1180" w:left="1000" w:right="0"/>
        </w:sectPr>
      </w:pPr>
    </w:p>
    <w:p>
      <w:pPr>
        <w:spacing w:line="240" w:lineRule="auto" w:before="0"/>
        <w:rPr>
          <w:rFonts w:ascii="宋体" w:hAnsi="宋体" w:cs="宋体" w:eastAsia="宋体" w:hint="default"/>
          <w:sz w:val="20"/>
          <w:szCs w:val="20"/>
        </w:rPr>
      </w:pPr>
      <w:r>
        <w:rPr/>
        <w:pict>
          <v:shape style="position:absolute;margin-left:56.325001pt;margin-top:72.080002pt;width:480.25pt;height:686.1pt;mso-position-horizontal-relative:page;mso-position-vertical-relative:page;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7"/>
                    <w:gridCol w:w="1322"/>
                    <w:gridCol w:w="1337"/>
                    <w:gridCol w:w="1336"/>
                    <w:gridCol w:w="4250"/>
                  </w:tblGrid>
                  <w:tr>
                    <w:trPr>
                      <w:trHeight w:val="360" w:hRule="exact"/>
                    </w:trPr>
                    <w:tc>
                      <w:tcPr>
                        <w:tcW w:w="133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2019-127 </w:t>
                        </w:r>
                        <w:r>
                          <w:rPr>
                            <w:rFonts w:ascii="宋体" w:hAnsi="宋体" w:cs="宋体" w:eastAsia="宋体" w:hint="default"/>
                            <w:sz w:val="18"/>
                            <w:szCs w:val="18"/>
                          </w:rPr>
                          <w:t>号。</w:t>
                        </w:r>
                      </w:p>
                    </w:tc>
                  </w:tr>
                  <w:tr>
                    <w:trPr>
                      <w:trHeight w:val="4774"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32"/>
                          <w:jc w:val="both"/>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日召开了第四届董事会第四 十次会议，分别审议通过了《关于公司第四届董事会 延期换届的议案》及《关于选举公司第五届董事会独</w:t>
                        </w:r>
                      </w:p>
                      <w:p>
                        <w:pPr>
                          <w:pStyle w:val="TableParagraph"/>
                          <w:spacing w:line="316" w:lineRule="auto" w:before="36"/>
                          <w:ind w:left="15" w:right="74"/>
                          <w:jc w:val="both"/>
                          <w:rPr>
                            <w:rFonts w:ascii="宋体" w:hAnsi="宋体" w:cs="宋体" w:eastAsia="宋体" w:hint="default"/>
                            <w:sz w:val="18"/>
                            <w:szCs w:val="18"/>
                          </w:rPr>
                        </w:pPr>
                        <w:r>
                          <w:rPr>
                            <w:rFonts w:ascii="宋体" w:hAnsi="宋体" w:cs="宋体" w:eastAsia="宋体" w:hint="default"/>
                            <w:sz w:val="18"/>
                            <w:szCs w:val="18"/>
                          </w:rPr>
                          <w:t>立董事的议案》。公司董事会换届选举工作延期进行 公司董事会各专门委员会及公司高级管理人员的任期 亦相应顺延。同时，公司董事会同意推选张学斌先生 崔小乐先生为公司第五届董事会独立董事候选人。公</w:t>
                        </w:r>
                      </w:p>
                      <w:p>
                        <w:pPr>
                          <w:pStyle w:val="TableParagraph"/>
                          <w:spacing w:line="309" w:lineRule="auto" w:before="37"/>
                          <w:ind w:left="15" w:right="28"/>
                          <w:jc w:val="both"/>
                          <w:rPr>
                            <w:rFonts w:ascii="宋体" w:hAnsi="宋体" w:cs="宋体" w:eastAsia="宋体" w:hint="default"/>
                            <w:sz w:val="18"/>
                            <w:szCs w:val="18"/>
                          </w:rPr>
                        </w:pPr>
                        <w:r>
                          <w:rPr>
                            <w:rFonts w:ascii="宋体" w:hAnsi="宋体" w:cs="宋体" w:eastAsia="宋体" w:hint="default"/>
                            <w:sz w:val="18"/>
                            <w:szCs w:val="18"/>
                          </w:rPr>
                          <w:t>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日召开了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年第一次临时股东 大会，会议选举张学斌先生、崔小乐先生、袁友军先 生为公司第五届董事会独立董事，任期三年，自股东 </w:t>
                        </w:r>
                        <w:r>
                          <w:rPr>
                            <w:rFonts w:ascii="宋体" w:hAnsi="宋体" w:cs="宋体" w:eastAsia="宋体" w:hint="default"/>
                            <w:spacing w:val="-3"/>
                            <w:sz w:val="18"/>
                            <w:szCs w:val="18"/>
                          </w:rPr>
                          <w:t>大会通过之日起计算。具体内容分别详见</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88" w:lineRule="auto" w:before="8"/>
                          <w:ind w:left="15"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pacing w:val="-15"/>
                            <w:sz w:val="18"/>
                            <w:szCs w:val="18"/>
                          </w:rPr>
                          <w:t>日、</w:t>
                        </w:r>
                        <w:r>
                          <w:rPr>
                            <w:rFonts w:ascii="Times New Roman" w:hAnsi="Times New Roman" w:cs="Times New Roman" w:eastAsia="Times New Roman" w:hint="default"/>
                            <w:spacing w:val="-15"/>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15"/>
                            <w:sz w:val="18"/>
                            <w:szCs w:val="18"/>
                          </w:rPr>
                          <w:t>日、</w:t>
                        </w:r>
                        <w:r>
                          <w:rPr>
                            <w:rFonts w:ascii="Times New Roman" w:hAnsi="Times New Roman" w:cs="Times New Roman" w:eastAsia="Times New Roman" w:hint="default"/>
                            <w:spacing w:val="-15"/>
                            <w:sz w:val="18"/>
                            <w:szCs w:val="18"/>
                          </w:rPr>
                          <w:t>2020</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15"/>
                            <w:sz w:val="18"/>
                            <w:szCs w:val="18"/>
                          </w:rPr>
                          <w:t>日刊登在《证</w:t>
                        </w:r>
                        <w:r>
                          <w:rPr>
                            <w:rFonts w:ascii="宋体" w:hAnsi="宋体" w:cs="宋体" w:eastAsia="宋体" w:hint="default"/>
                            <w:sz w:val="18"/>
                            <w:szCs w:val="18"/>
                          </w:rPr>
                          <w:t> 券时报》、《中国证券报》和巨潮资讯网</w:t>
                        </w:r>
                      </w:p>
                      <w:p>
                        <w:pPr>
                          <w:pStyle w:val="TableParagraph"/>
                          <w:spacing w:line="240" w:lineRule="auto" w:before="59"/>
                          <w:ind w:left="15"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htpp://</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2019-088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号、第</w:t>
                        </w:r>
                      </w:p>
                      <w:p>
                        <w:pPr>
                          <w:pStyle w:val="TableParagraph"/>
                          <w:spacing w:line="240" w:lineRule="auto" w:before="66"/>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2019-125 </w:t>
                        </w:r>
                        <w:r>
                          <w:rPr>
                            <w:rFonts w:ascii="宋体" w:hAnsi="宋体" w:cs="宋体" w:eastAsia="宋体" w:hint="default"/>
                            <w:sz w:val="18"/>
                            <w:szCs w:val="18"/>
                          </w:rPr>
                          <w:t>号、第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2020-001 </w:t>
                        </w:r>
                        <w:r>
                          <w:rPr>
                            <w:rFonts w:ascii="宋体" w:hAnsi="宋体" w:cs="宋体" w:eastAsia="宋体" w:hint="default"/>
                            <w:sz w:val="18"/>
                            <w:szCs w:val="18"/>
                          </w:rPr>
                          <w:t>号。</w:t>
                        </w:r>
                      </w:p>
                    </w:tc>
                  </w:tr>
                  <w:tr>
                    <w:trPr>
                      <w:trHeight w:val="4774"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崔小乐</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76"/>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日，公司召开了第四届董事会第四 十次会议，分别审议通过了《关于公司第四届董事会 延期换届的议案》及《关于选举公司第五届董事会独</w:t>
                        </w:r>
                      </w:p>
                      <w:p>
                        <w:pPr>
                          <w:pStyle w:val="TableParagraph"/>
                          <w:spacing w:line="316" w:lineRule="auto" w:before="36"/>
                          <w:ind w:left="15" w:right="29"/>
                          <w:jc w:val="both"/>
                          <w:rPr>
                            <w:rFonts w:ascii="宋体" w:hAnsi="宋体" w:cs="宋体" w:eastAsia="宋体" w:hint="default"/>
                            <w:sz w:val="18"/>
                            <w:szCs w:val="18"/>
                          </w:rPr>
                        </w:pPr>
                        <w:r>
                          <w:rPr>
                            <w:rFonts w:ascii="宋体" w:hAnsi="宋体" w:cs="宋体" w:eastAsia="宋体" w:hint="default"/>
                            <w:sz w:val="18"/>
                            <w:szCs w:val="18"/>
                          </w:rPr>
                          <w:t>立董事的议案》。公司董事会换届选举工作延期进行 公司董事会各专门委员会及公司高级管理人员的任期 亦相应顺延。同时，公司董事会同意推选张学斌先生 崔小乐先生为公司第五届董事会独立董事候选人。</w:t>
                        </w:r>
                      </w:p>
                      <w:p>
                        <w:pPr>
                          <w:pStyle w:val="TableParagraph"/>
                          <w:spacing w:line="309" w:lineRule="auto" w:before="37"/>
                          <w:ind w:left="15"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13"/>
                            <w:sz w:val="18"/>
                            <w:szCs w:val="18"/>
                          </w:rPr>
                          <w:t>日，公司召开了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年第一次临时股东 大会，会议选举张学斌先生、崔小乐先生、袁友军先 生为公司第五届董事会独立董事，任期三年，自股东 </w:t>
                        </w:r>
                        <w:r>
                          <w:rPr>
                            <w:rFonts w:ascii="宋体" w:hAnsi="宋体" w:cs="宋体" w:eastAsia="宋体" w:hint="default"/>
                            <w:spacing w:val="-3"/>
                            <w:sz w:val="18"/>
                            <w:szCs w:val="18"/>
                          </w:rPr>
                          <w:t>大会通过之日起计算。具体内容分别详见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90" w:lineRule="auto" w:before="8"/>
                          <w:ind w:left="15"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pacing w:val="-15"/>
                            <w:sz w:val="18"/>
                            <w:szCs w:val="18"/>
                          </w:rPr>
                          <w:t>日、</w:t>
                        </w:r>
                        <w:r>
                          <w:rPr>
                            <w:rFonts w:ascii="Times New Roman" w:hAnsi="Times New Roman" w:cs="Times New Roman" w:eastAsia="Times New Roman" w:hint="default"/>
                            <w:spacing w:val="-15"/>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15"/>
                            <w:sz w:val="18"/>
                            <w:szCs w:val="18"/>
                          </w:rPr>
                          <w:t>日、</w:t>
                        </w:r>
                        <w:r>
                          <w:rPr>
                            <w:rFonts w:ascii="Times New Roman" w:hAnsi="Times New Roman" w:cs="Times New Roman" w:eastAsia="Times New Roman" w:hint="default"/>
                            <w:spacing w:val="-15"/>
                            <w:sz w:val="18"/>
                            <w:szCs w:val="18"/>
                          </w:rPr>
                          <w:t>2020</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15"/>
                            <w:sz w:val="18"/>
                            <w:szCs w:val="18"/>
                          </w:rPr>
                          <w:t>日刊登在《证</w:t>
                        </w:r>
                        <w:r>
                          <w:rPr>
                            <w:rFonts w:ascii="宋体" w:hAnsi="宋体" w:cs="宋体" w:eastAsia="宋体" w:hint="default"/>
                            <w:sz w:val="18"/>
                            <w:szCs w:val="18"/>
                          </w:rPr>
                          <w:t> 券时报》、《中国证券报》和巨潮资讯网</w:t>
                        </w:r>
                      </w:p>
                      <w:p>
                        <w:pPr>
                          <w:pStyle w:val="TableParagraph"/>
                          <w:spacing w:line="240" w:lineRule="auto" w:before="56"/>
                          <w:ind w:left="15"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htpp://</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2019-088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号、第</w:t>
                        </w:r>
                      </w:p>
                      <w:p>
                        <w:pPr>
                          <w:pStyle w:val="TableParagraph"/>
                          <w:spacing w:line="240" w:lineRule="auto" w:before="66"/>
                          <w:ind w:left="1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2019-125 </w:t>
                        </w:r>
                        <w:r>
                          <w:rPr>
                            <w:rFonts w:ascii="宋体" w:hAnsi="宋体" w:cs="宋体" w:eastAsia="宋体" w:hint="default"/>
                            <w:sz w:val="18"/>
                            <w:szCs w:val="18"/>
                          </w:rPr>
                          <w:t>号、第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2020-001 </w:t>
                        </w:r>
                        <w:r>
                          <w:rPr>
                            <w:rFonts w:ascii="宋体" w:hAnsi="宋体" w:cs="宋体" w:eastAsia="宋体" w:hint="default"/>
                            <w:sz w:val="18"/>
                            <w:szCs w:val="18"/>
                          </w:rPr>
                          <w:t>号。</w:t>
                        </w:r>
                      </w:p>
                    </w:tc>
                  </w:tr>
                  <w:tr>
                    <w:trPr>
                      <w:trHeight w:val="3799"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袁友军</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76"/>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日，公司召开了第四届董事会第四 十次会议，审议通过了《关于公司第四届董事会延期 换届的议案》，公司董事会换届选举工作延期进行，</w:t>
                        </w:r>
                      </w:p>
                      <w:p>
                        <w:pPr>
                          <w:pStyle w:val="TableParagraph"/>
                          <w:spacing w:line="240" w:lineRule="auto" w:before="36"/>
                          <w:ind w:left="15" w:right="0"/>
                          <w:jc w:val="both"/>
                          <w:rPr>
                            <w:rFonts w:ascii="宋体" w:hAnsi="宋体" w:cs="宋体" w:eastAsia="宋体" w:hint="default"/>
                            <w:sz w:val="18"/>
                            <w:szCs w:val="18"/>
                          </w:rPr>
                        </w:pPr>
                        <w:r>
                          <w:rPr>
                            <w:rFonts w:ascii="宋体" w:hAnsi="宋体" w:cs="宋体" w:eastAsia="宋体" w:hint="default"/>
                            <w:sz w:val="18"/>
                            <w:szCs w:val="18"/>
                          </w:rPr>
                          <w:t>公司董事会各专门委员会及公司高级管理人员的任期</w:t>
                        </w:r>
                      </w:p>
                      <w:p>
                        <w:pPr>
                          <w:pStyle w:val="TableParagraph"/>
                          <w:spacing w:line="273" w:lineRule="auto" w:before="95"/>
                          <w:ind w:left="15" w:right="28"/>
                          <w:jc w:val="both"/>
                          <w:rPr>
                            <w:rFonts w:ascii="宋体" w:hAnsi="宋体" w:cs="宋体" w:eastAsia="宋体" w:hint="default"/>
                            <w:sz w:val="18"/>
                            <w:szCs w:val="18"/>
                          </w:rPr>
                        </w:pPr>
                        <w:r>
                          <w:rPr>
                            <w:rFonts w:ascii="宋体" w:hAnsi="宋体" w:cs="宋体" w:eastAsia="宋体" w:hint="default"/>
                            <w:sz w:val="18"/>
                            <w:szCs w:val="18"/>
                          </w:rPr>
                          <w:t>亦相应顺延。</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日，公司召开了第四 届董事会第四十四次会议，同意推选袁友军先生为公</w:t>
                        </w:r>
                      </w:p>
                      <w:p>
                        <w:pPr>
                          <w:pStyle w:val="TableParagraph"/>
                          <w:spacing w:line="240" w:lineRule="auto" w:before="69"/>
                          <w:ind w:left="15" w:right="0"/>
                          <w:jc w:val="both"/>
                          <w:rPr>
                            <w:rFonts w:ascii="宋体" w:hAnsi="宋体" w:cs="宋体" w:eastAsia="宋体" w:hint="default"/>
                            <w:sz w:val="18"/>
                            <w:szCs w:val="18"/>
                          </w:rPr>
                        </w:pPr>
                        <w:r>
                          <w:rPr>
                            <w:rFonts w:ascii="宋体" w:hAnsi="宋体" w:cs="宋体" w:eastAsia="宋体" w:hint="default"/>
                            <w:sz w:val="18"/>
                            <w:szCs w:val="18"/>
                          </w:rPr>
                          <w:t>司第五届董事会独立董事候选人。</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p>
                        <w:pPr>
                          <w:pStyle w:val="TableParagraph"/>
                          <w:spacing w:line="309" w:lineRule="auto" w:before="66"/>
                          <w:ind w:left="15" w:right="1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公司召开了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年第一次临时股东大会，会议选举张</w:t>
                        </w:r>
                        <w:r>
                          <w:rPr>
                            <w:rFonts w:ascii="宋体" w:hAnsi="宋体" w:cs="宋体" w:eastAsia="宋体" w:hint="default"/>
                            <w:sz w:val="18"/>
                            <w:szCs w:val="18"/>
                          </w:rPr>
                          <w:t> 学斌先生、崔小乐先生、袁友军先生为公司第五届董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事会独立董事，任期三年，自股东大会通过之日起计 算。具体内容分别详见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8"/>
                          <w:ind w:left="15"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日刊登在《证券时报》、《中</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before="44"/>
        <w:ind w:left="0" w:right="1129"/>
        <w:jc w:val="right"/>
      </w:pPr>
      <w:r>
        <w:rPr/>
        <w:t>，</w:t>
      </w:r>
    </w:p>
    <w:p>
      <w:pPr>
        <w:spacing w:line="240" w:lineRule="auto" w:before="8"/>
        <w:rPr>
          <w:rFonts w:ascii="宋体" w:hAnsi="宋体" w:cs="宋体" w:eastAsia="宋体" w:hint="default"/>
          <w:sz w:val="25"/>
          <w:szCs w:val="25"/>
        </w:rPr>
      </w:pPr>
    </w:p>
    <w:p>
      <w:pPr>
        <w:pStyle w:val="BodyText"/>
        <w:spacing w:line="240" w:lineRule="auto" w:before="44"/>
        <w:ind w:left="0" w:right="112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before="44"/>
        <w:ind w:left="0" w:right="1129"/>
        <w:jc w:val="right"/>
      </w:pPr>
      <w:r>
        <w:rPr/>
        <w:t>，</w:t>
      </w:r>
    </w:p>
    <w:p>
      <w:pPr>
        <w:spacing w:line="240" w:lineRule="auto" w:before="8"/>
        <w:rPr>
          <w:rFonts w:ascii="宋体" w:hAnsi="宋体" w:cs="宋体" w:eastAsia="宋体" w:hint="default"/>
          <w:sz w:val="25"/>
          <w:szCs w:val="25"/>
        </w:rPr>
      </w:pPr>
    </w:p>
    <w:p>
      <w:pPr>
        <w:pStyle w:val="BodyText"/>
        <w:spacing w:line="240" w:lineRule="auto" w:before="44"/>
        <w:ind w:left="0" w:right="1129"/>
        <w:jc w:val="right"/>
      </w:pPr>
      <w:r>
        <w:rPr/>
        <w:t>、</w:t>
      </w:r>
    </w:p>
    <w:p>
      <w:pPr>
        <w:spacing w:after="0" w:line="240" w:lineRule="auto"/>
        <w:jc w:val="right"/>
        <w:sectPr>
          <w:pgSz w:w="11910" w:h="16850"/>
          <w:pgMar w:header="731" w:footer="981" w:top="1040" w:bottom="1180" w:left="1000" w:right="0"/>
        </w:sectPr>
      </w:pPr>
    </w:p>
    <w:p>
      <w:pPr>
        <w:spacing w:line="240" w:lineRule="auto" w:before="4"/>
        <w:rPr>
          <w:rFonts w:ascii="宋体" w:hAnsi="宋体" w:cs="宋体" w:eastAsia="宋体" w:hint="default"/>
          <w:sz w:val="28"/>
          <w:szCs w:val="28"/>
        </w:rPr>
      </w:pPr>
      <w:r>
        <w:rPr/>
        <w:pict>
          <v:shape style="position:absolute;margin-left:56.325001pt;margin-top:72.080002pt;width:480.25pt;height:696.6pt;mso-position-horizontal-relative:page;mso-position-vertical-relative:page;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7"/>
                    <w:gridCol w:w="1322"/>
                    <w:gridCol w:w="1337"/>
                    <w:gridCol w:w="1336"/>
                    <w:gridCol w:w="4250"/>
                  </w:tblGrid>
                  <w:tr>
                    <w:trPr>
                      <w:trHeight w:val="675" w:hRule="exact"/>
                    </w:trPr>
                    <w:tc>
                      <w:tcPr>
                        <w:tcW w:w="133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国证券报》和巨潮资讯网（</w:t>
                        </w:r>
                        <w:r>
                          <w:rPr>
                            <w:rFonts w:ascii="Times New Roman" w:hAnsi="Times New Roman" w:cs="Times New Roman" w:eastAsia="Times New Roman" w:hint="default"/>
                            <w:sz w:val="18"/>
                            <w:szCs w:val="18"/>
                          </w:rPr>
                          <w:t>htpp://</w:t>
                        </w:r>
                        <w:hyperlink r:id="rId11">
                          <w:r>
                            <w:rPr>
                              <w:rFonts w:ascii="Times New Roman" w:hAnsi="Times New Roman" w:cs="Times New Roman" w:eastAsia="Times New Roman" w:hint="default"/>
                              <w:sz w:val="18"/>
                              <w:szCs w:val="18"/>
                            </w:rPr>
                            <w:t>www.cninfo.com.cn</w:t>
                          </w:r>
                        </w:hyperlink>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上的第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2019-088 </w:t>
                        </w:r>
                        <w:r>
                          <w:rPr>
                            <w:rFonts w:ascii="宋体" w:hAnsi="宋体" w:cs="宋体" w:eastAsia="宋体" w:hint="default"/>
                            <w:spacing w:val="-5"/>
                            <w:sz w:val="18"/>
                            <w:szCs w:val="18"/>
                          </w:rPr>
                          <w:t>号、第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2019-125 </w:t>
                        </w:r>
                        <w:r>
                          <w:rPr>
                            <w:rFonts w:ascii="宋体" w:hAnsi="宋体" w:cs="宋体" w:eastAsia="宋体" w:hint="default"/>
                            <w:spacing w:val="-5"/>
                            <w:sz w:val="18"/>
                            <w:szCs w:val="18"/>
                          </w:rPr>
                          <w:t>号、第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2020-001 </w:t>
                        </w:r>
                        <w:r>
                          <w:rPr>
                            <w:rFonts w:ascii="宋体" w:hAnsi="宋体" w:cs="宋体" w:eastAsia="宋体" w:hint="default"/>
                            <w:sz w:val="18"/>
                            <w:szCs w:val="18"/>
                          </w:rPr>
                          <w:t>号</w:t>
                        </w:r>
                      </w:p>
                    </w:tc>
                  </w:tr>
                  <w:tr>
                    <w:trPr>
                      <w:trHeight w:val="4144"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夏艳华</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31"/>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日，公司召开了第四届监事会第三 十次会议，审议通过了《关于公司第四届监事会延期 换届的议案》。公司监事会换届选举工作延期进行。</w:t>
                        </w:r>
                      </w:p>
                      <w:p>
                        <w:pPr>
                          <w:pStyle w:val="TableParagraph"/>
                          <w:spacing w:line="273" w:lineRule="auto" w:before="52"/>
                          <w:ind w:left="15"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日，公司召开了第四届监事会第三 十四次会议，同意推选胡爱武女士、夏艳华女士为公</w:t>
                        </w:r>
                      </w:p>
                      <w:p>
                        <w:pPr>
                          <w:pStyle w:val="TableParagraph"/>
                          <w:spacing w:line="240" w:lineRule="auto" w:before="69"/>
                          <w:ind w:left="15" w:right="0"/>
                          <w:jc w:val="both"/>
                          <w:rPr>
                            <w:rFonts w:ascii="宋体" w:hAnsi="宋体" w:cs="宋体" w:eastAsia="宋体" w:hint="default"/>
                            <w:sz w:val="18"/>
                            <w:szCs w:val="18"/>
                          </w:rPr>
                        </w:pPr>
                        <w:r>
                          <w:rPr>
                            <w:rFonts w:ascii="宋体" w:hAnsi="宋体" w:cs="宋体" w:eastAsia="宋体" w:hint="default"/>
                            <w:sz w:val="18"/>
                            <w:szCs w:val="18"/>
                          </w:rPr>
                          <w:t>司第五届监事会股东代表监事。</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日，公</w:t>
                        </w:r>
                      </w:p>
                      <w:p>
                        <w:pPr>
                          <w:pStyle w:val="TableParagraph"/>
                          <w:spacing w:line="309" w:lineRule="auto" w:before="66"/>
                          <w:ind w:left="15" w:right="28"/>
                          <w:jc w:val="both"/>
                          <w:rPr>
                            <w:rFonts w:ascii="宋体" w:hAnsi="宋体" w:cs="宋体" w:eastAsia="宋体" w:hint="default"/>
                            <w:sz w:val="18"/>
                            <w:szCs w:val="18"/>
                          </w:rPr>
                        </w:pPr>
                        <w:r>
                          <w:rPr>
                            <w:rFonts w:ascii="宋体" w:hAnsi="宋体" w:cs="宋体" w:eastAsia="宋体" w:hint="default"/>
                            <w:sz w:val="18"/>
                            <w:szCs w:val="18"/>
                          </w:rPr>
                          <w:t>司召开了</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年第一次临时股东大会，会议选举胡爱</w:t>
                        </w:r>
                        <w:r>
                          <w:rPr>
                            <w:rFonts w:ascii="宋体" w:hAnsi="宋体" w:cs="宋体" w:eastAsia="宋体" w:hint="default"/>
                            <w:sz w:val="18"/>
                            <w:szCs w:val="18"/>
                          </w:rPr>
                          <w:t> 武女士、夏艳华女士为公司第五届监事会股东代表监 事，任期三年，自股东大会通过之日起计算。具体内 容分别详见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p>
                        <w:pPr>
                          <w:pStyle w:val="TableParagraph"/>
                          <w:spacing w:line="304" w:lineRule="auto" w:before="8"/>
                          <w:ind w:left="15"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日刊登在《证券时报》、《中国证券报</w:t>
                        </w:r>
                        <w:r>
                          <w:rPr>
                            <w:rFonts w:ascii="宋体" w:hAnsi="宋体" w:cs="宋体" w:eastAsia="宋体" w:hint="default"/>
                            <w:sz w:val="18"/>
                            <w:szCs w:val="18"/>
                          </w:rPr>
                          <w:t> 和巨潮资讯网（</w:t>
                        </w:r>
                        <w:r>
                          <w:rPr>
                            <w:rFonts w:ascii="Times New Roman" w:hAnsi="Times New Roman" w:cs="Times New Roman" w:eastAsia="Times New Roman" w:hint="default"/>
                            <w:sz w:val="18"/>
                            <w:szCs w:val="18"/>
                          </w:rPr>
                          <w:t>htpp://</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）上的第 </w:t>
                        </w:r>
                        <w:r>
                          <w:rPr>
                            <w:rFonts w:ascii="Times New Roman" w:hAnsi="Times New Roman" w:cs="Times New Roman" w:eastAsia="Times New Roman" w:hint="default"/>
                            <w:sz w:val="18"/>
                            <w:szCs w:val="18"/>
                          </w:rPr>
                          <w:t>2019-088 </w:t>
                        </w:r>
                        <w:r>
                          <w:rPr>
                            <w:rFonts w:ascii="宋体" w:hAnsi="宋体" w:cs="宋体" w:eastAsia="宋体" w:hint="default"/>
                            <w:sz w:val="18"/>
                            <w:szCs w:val="18"/>
                          </w:rPr>
                          <w:t>号、第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2019-127 </w:t>
                        </w:r>
                        <w:r>
                          <w:rPr>
                            <w:rFonts w:ascii="宋体" w:hAnsi="宋体" w:cs="宋体" w:eastAsia="宋体" w:hint="default"/>
                            <w:sz w:val="18"/>
                            <w:szCs w:val="18"/>
                          </w:rPr>
                          <w:t>号、第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2020-001 </w:t>
                        </w:r>
                        <w:r>
                          <w:rPr>
                            <w:rFonts w:ascii="宋体" w:hAnsi="宋体" w:cs="宋体" w:eastAsia="宋体" w:hint="default"/>
                            <w:sz w:val="18"/>
                            <w:szCs w:val="18"/>
                          </w:rPr>
                          <w:t>号。</w:t>
                        </w:r>
                      </w:p>
                    </w:tc>
                  </w:tr>
                  <w:tr>
                    <w:trPr>
                      <w:trHeight w:val="2912"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夏艳华</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日，公司召开了第四届监事会第三 十次会议，审议通过了《关于公司第四届监事会延期 换届的议案》。公司监事会换届选举工作延期进行。</w:t>
                        </w:r>
                      </w:p>
                      <w:p>
                        <w:pPr>
                          <w:pStyle w:val="TableParagraph"/>
                          <w:spacing w:line="295" w:lineRule="auto" w:before="51"/>
                          <w:ind w:left="15"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公司召开职工代表大会，会议选</w:t>
                        </w:r>
                        <w:r>
                          <w:rPr>
                            <w:rFonts w:ascii="宋体" w:hAnsi="宋体" w:cs="宋体" w:eastAsia="宋体" w:hint="default"/>
                            <w:sz w:val="18"/>
                            <w:szCs w:val="18"/>
                          </w:rPr>
                          <w:t> 举张岚女士为公司第五届监事会职工代表监事。</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13"/>
                            <w:sz w:val="18"/>
                            <w:szCs w:val="18"/>
                          </w:rPr>
                          <w:t>日，公司召开了</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2020</w:t>
                        </w:r>
                        <w:r>
                          <w:rPr>
                            <w:rFonts w:ascii="Times New Roman" w:hAnsi="Times New Roman" w:cs="Times New Roman" w:eastAsia="Times New Roman" w:hint="default"/>
                            <w:sz w:val="18"/>
                            <w:szCs w:val="18"/>
                          </w:rPr>
                          <w:t> </w:t>
                        </w:r>
                        <w:r>
                          <w:rPr>
                            <w:rFonts w:ascii="宋体" w:hAnsi="宋体" w:cs="宋体" w:eastAsia="宋体" w:hint="default"/>
                            <w:sz w:val="18"/>
                            <w:szCs w:val="18"/>
                          </w:rPr>
                          <w:t>年第一次临时股东大会 会议选举胡爱武女士、夏艳华女士为公司第五届监事</w:t>
                        </w:r>
                      </w:p>
                      <w:p>
                        <w:pPr>
                          <w:pStyle w:val="TableParagraph"/>
                          <w:spacing w:line="321" w:lineRule="auto" w:before="38"/>
                          <w:ind w:left="15" w:right="78"/>
                          <w:jc w:val="left"/>
                          <w:rPr>
                            <w:rFonts w:ascii="宋体" w:hAnsi="宋体" w:cs="宋体" w:eastAsia="宋体" w:hint="default"/>
                            <w:sz w:val="18"/>
                            <w:szCs w:val="18"/>
                          </w:rPr>
                        </w:pPr>
                        <w:r>
                          <w:rPr>
                            <w:rFonts w:ascii="宋体" w:hAnsi="宋体" w:cs="宋体" w:eastAsia="宋体" w:hint="default"/>
                            <w:sz w:val="18"/>
                            <w:szCs w:val="18"/>
                          </w:rPr>
                          <w:t>会股东代表监事。夏艳华女士作为第四届监事会职工 代表监事任期届满离任。</w:t>
                        </w:r>
                      </w:p>
                    </w:tc>
                  </w:tr>
                  <w:tr>
                    <w:trPr>
                      <w:trHeight w:val="2898"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日，公司召开了第四届董事会第四 十次会议，审议通过了《关于公司第四届董事会延期 换届的议案》，公司董事会换届选举工作延期进行， 公司董事会各专门委员会及公司高级管理人员的任期</w:t>
                        </w:r>
                      </w:p>
                      <w:p>
                        <w:pPr>
                          <w:pStyle w:val="TableParagraph"/>
                          <w:spacing w:line="309" w:lineRule="auto" w:before="46"/>
                          <w:ind w:left="15" w:right="28"/>
                          <w:jc w:val="both"/>
                          <w:rPr>
                            <w:rFonts w:ascii="宋体" w:hAnsi="宋体" w:cs="宋体" w:eastAsia="宋体" w:hint="default"/>
                            <w:sz w:val="18"/>
                            <w:szCs w:val="18"/>
                          </w:rPr>
                        </w:pPr>
                        <w:r>
                          <w:rPr>
                            <w:rFonts w:ascii="宋体" w:hAnsi="宋体" w:cs="宋体" w:eastAsia="宋体" w:hint="default"/>
                            <w:spacing w:val="-5"/>
                            <w:sz w:val="18"/>
                            <w:szCs w:val="18"/>
                          </w:rPr>
                          <w:t>亦相应顺延。</w:t>
                        </w:r>
                        <w:r>
                          <w:rPr>
                            <w:rFonts w:ascii="Times New Roman" w:hAnsi="Times New Roman" w:cs="Times New Roman" w:eastAsia="Times New Roman" w:hint="default"/>
                            <w:spacing w:val="-5"/>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日，公司召开了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一次临时股东大会，会议选举陈新民先生、魏代英女 士、卢和忠先生、廖垚先生为公司第五届董事会非独 立董事，任期三年，自股东大会通过之日起计算。昌 智先生作为第四届董事会董事长任期届满离任。</w:t>
                        </w:r>
                      </w:p>
                    </w:tc>
                  </w:tr>
                  <w:tr>
                    <w:trPr>
                      <w:trHeight w:val="2897"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王平</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日，公司召开了第四届董事会第四 十次会议，审议通过了《关于公司第四届董事会延期 换届的议案》，公司董事会换届选举工作延期进行， 公司董事会各专门委员会及公司高级管理人员的任期</w:t>
                        </w:r>
                      </w:p>
                      <w:p>
                        <w:pPr>
                          <w:pStyle w:val="TableParagraph"/>
                          <w:spacing w:line="309" w:lineRule="auto" w:before="46"/>
                          <w:ind w:left="15" w:right="28"/>
                          <w:jc w:val="both"/>
                          <w:rPr>
                            <w:rFonts w:ascii="宋体" w:hAnsi="宋体" w:cs="宋体" w:eastAsia="宋体" w:hint="default"/>
                            <w:sz w:val="18"/>
                            <w:szCs w:val="18"/>
                          </w:rPr>
                        </w:pPr>
                        <w:r>
                          <w:rPr>
                            <w:rFonts w:ascii="宋体" w:hAnsi="宋体" w:cs="宋体" w:eastAsia="宋体" w:hint="default"/>
                            <w:spacing w:val="-5"/>
                            <w:sz w:val="18"/>
                            <w:szCs w:val="18"/>
                          </w:rPr>
                          <w:t>亦相应顺延。</w:t>
                        </w:r>
                        <w:r>
                          <w:rPr>
                            <w:rFonts w:ascii="Times New Roman" w:hAnsi="Times New Roman" w:cs="Times New Roman" w:eastAsia="Times New Roman" w:hint="default"/>
                            <w:spacing w:val="-5"/>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日，公司召开了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一次临时股东大会，会议选举张学斌先生、崔小乐先 生、袁友军先生为公司第五届董事会独立董事，任期 三年，自股东大会通过之日起计算。王平先生作为公 司第四届董事会独立董事任期届满离任。</w:t>
                        </w:r>
                      </w:p>
                    </w:tc>
                  </w:tr>
                  <w:tr>
                    <w:trPr>
                      <w:trHeight w:val="390"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日，公司召开了第四届董事会第四</w:t>
                        </w:r>
                      </w:p>
                    </w:tc>
                  </w:tr>
                </w:tbl>
                <w:p>
                  <w:pPr/>
                </w:p>
              </w:txbxContent>
            </v:textbox>
            <w10:wrap type="none"/>
          </v:shape>
        </w:pict>
      </w:r>
    </w:p>
    <w:p>
      <w:pPr>
        <w:pStyle w:val="BodyText"/>
        <w:spacing w:line="240" w:lineRule="auto" w:before="44"/>
        <w:ind w:left="0" w:right="1141"/>
        <w:jc w:val="right"/>
      </w:pPr>
      <w:r>
        <w:rPr/>
        <w:t>）</w:t>
      </w:r>
    </w:p>
    <w:p>
      <w:pPr>
        <w:pStyle w:val="BodyText"/>
        <w:spacing w:line="240" w:lineRule="auto" w:before="64"/>
        <w:ind w:left="0" w:right="112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44"/>
        <w:ind w:left="0" w:right="111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128"/>
        <w:jc w:val="right"/>
      </w:pPr>
      <w:r>
        <w:rPr/>
        <w:t>，</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37"/>
        <w:gridCol w:w="1322"/>
        <w:gridCol w:w="1337"/>
        <w:gridCol w:w="1336"/>
        <w:gridCol w:w="4250"/>
      </w:tblGrid>
      <w:tr>
        <w:trPr>
          <w:trHeight w:val="2552" w:hRule="exact"/>
        </w:trPr>
        <w:tc>
          <w:tcPr>
            <w:tcW w:w="133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28"/>
              <w:jc w:val="both"/>
              <w:rPr>
                <w:rFonts w:ascii="宋体" w:hAnsi="宋体" w:cs="宋体" w:eastAsia="宋体" w:hint="default"/>
                <w:sz w:val="18"/>
                <w:szCs w:val="18"/>
              </w:rPr>
            </w:pPr>
            <w:r>
              <w:rPr>
                <w:rFonts w:ascii="宋体" w:hAnsi="宋体" w:cs="宋体" w:eastAsia="宋体" w:hint="default"/>
                <w:sz w:val="18"/>
                <w:szCs w:val="18"/>
              </w:rPr>
              <w:t>十次会议，审议通过了《关于公司第四届董事会延期 换届的议案》，公司董事会换届选举工作延期进行， 公司董事会各专门委员会及公司高级管理人员的任期 </w:t>
            </w:r>
            <w:r>
              <w:rPr>
                <w:rFonts w:ascii="宋体" w:hAnsi="宋体" w:cs="宋体" w:eastAsia="宋体" w:hint="default"/>
                <w:spacing w:val="-5"/>
                <w:sz w:val="18"/>
                <w:szCs w:val="18"/>
              </w:rPr>
              <w:t>亦相应顺延。</w:t>
            </w:r>
            <w:r>
              <w:rPr>
                <w:rFonts w:ascii="Times New Roman" w:hAnsi="Times New Roman" w:cs="Times New Roman" w:eastAsia="Times New Roman" w:hint="default"/>
                <w:spacing w:val="-5"/>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日，公司召开了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p>
            <w:pPr>
              <w:pStyle w:val="TableParagraph"/>
              <w:spacing w:line="219" w:lineRule="exact"/>
              <w:ind w:left="15" w:right="0"/>
              <w:jc w:val="both"/>
              <w:rPr>
                <w:rFonts w:ascii="宋体" w:hAnsi="宋体" w:cs="宋体" w:eastAsia="宋体" w:hint="default"/>
                <w:sz w:val="18"/>
                <w:szCs w:val="18"/>
              </w:rPr>
            </w:pPr>
            <w:r>
              <w:rPr>
                <w:rFonts w:ascii="宋体" w:hAnsi="宋体" w:cs="宋体" w:eastAsia="宋体" w:hint="default"/>
                <w:sz w:val="18"/>
                <w:szCs w:val="18"/>
              </w:rPr>
              <w:t>一次临时股东大会，会议选举张学斌先生、崔小乐先</w:t>
            </w:r>
          </w:p>
          <w:p>
            <w:pPr>
              <w:pStyle w:val="TableParagraph"/>
              <w:spacing w:line="314" w:lineRule="auto" w:before="80"/>
              <w:ind w:left="15" w:right="78"/>
              <w:jc w:val="both"/>
              <w:rPr>
                <w:rFonts w:ascii="宋体" w:hAnsi="宋体" w:cs="宋体" w:eastAsia="宋体" w:hint="default"/>
                <w:sz w:val="18"/>
                <w:szCs w:val="18"/>
              </w:rPr>
            </w:pPr>
            <w:r>
              <w:rPr>
                <w:rFonts w:ascii="宋体" w:hAnsi="宋体" w:cs="宋体" w:eastAsia="宋体" w:hint="default"/>
                <w:sz w:val="18"/>
                <w:szCs w:val="18"/>
              </w:rPr>
              <w:t>生、袁友军先生为公司第五届董事会独立董事，任期 三年，自股东大会通过之日起计算。王艳梅女士作为 公司第四届董事会独立董事任期届满离任。</w:t>
            </w:r>
          </w:p>
        </w:tc>
      </w:tr>
      <w:tr>
        <w:trPr>
          <w:trHeight w:val="2898"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日，公司召开了第四届董事会第四 十次会议，审议通过了《关于公司第四届董事会延期 换届的议案》，公司董事会换届选举工作延期进行， 公司董事会各专门委员会及公司高级管理人员的任期</w:t>
            </w:r>
          </w:p>
          <w:p>
            <w:pPr>
              <w:pStyle w:val="TableParagraph"/>
              <w:spacing w:line="309" w:lineRule="auto" w:before="46"/>
              <w:ind w:left="15" w:right="28"/>
              <w:jc w:val="both"/>
              <w:rPr>
                <w:rFonts w:ascii="宋体" w:hAnsi="宋体" w:cs="宋体" w:eastAsia="宋体" w:hint="default"/>
                <w:sz w:val="18"/>
                <w:szCs w:val="18"/>
              </w:rPr>
            </w:pPr>
            <w:r>
              <w:rPr>
                <w:rFonts w:ascii="宋体" w:hAnsi="宋体" w:cs="宋体" w:eastAsia="宋体" w:hint="default"/>
                <w:spacing w:val="-5"/>
                <w:sz w:val="18"/>
                <w:szCs w:val="18"/>
              </w:rPr>
              <w:t>亦相应顺延。</w:t>
            </w:r>
            <w:r>
              <w:rPr>
                <w:rFonts w:ascii="Times New Roman" w:hAnsi="Times New Roman" w:cs="Times New Roman" w:eastAsia="Times New Roman" w:hint="default"/>
                <w:spacing w:val="-5"/>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日，公司召开了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一次临时股东大会，会议选举张学斌先生、崔小乐先 生、袁友军先生为公司第五届董事会独立董事，任期 三年，自股东大会通过之日起计算。易庆国先生作为 公司第四届董事会独立董事任期届满离任。</w:t>
            </w:r>
          </w:p>
        </w:tc>
      </w:tr>
      <w:tr>
        <w:trPr>
          <w:trHeight w:val="2282"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施隆红</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日，公司召开了第四届监事会第三 十次会议，审议通过了《关于公司第四届监事会延期 换届的议案》。公司监事会换届选举工作延期进行。</w:t>
            </w:r>
          </w:p>
          <w:p>
            <w:pPr>
              <w:pStyle w:val="TableParagraph"/>
              <w:spacing w:line="297" w:lineRule="auto" w:before="51"/>
              <w:ind w:left="15"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13"/>
                <w:sz w:val="18"/>
                <w:szCs w:val="18"/>
              </w:rPr>
              <w:t>日，公司召开了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年第一次临时股东 大会，会议选举胡爱武女士、夏艳华女士为公司第五 届监事会股东代表监事。施隆红先生作为第四届监事</w:t>
            </w:r>
          </w:p>
          <w:p>
            <w:pPr>
              <w:pStyle w:val="TableParagraph"/>
              <w:spacing w:line="240" w:lineRule="auto" w:before="37"/>
              <w:ind w:left="15" w:right="0"/>
              <w:jc w:val="both"/>
              <w:rPr>
                <w:rFonts w:ascii="宋体" w:hAnsi="宋体" w:cs="宋体" w:eastAsia="宋体" w:hint="default"/>
                <w:sz w:val="18"/>
                <w:szCs w:val="18"/>
              </w:rPr>
            </w:pPr>
            <w:r>
              <w:rPr>
                <w:rFonts w:ascii="宋体" w:hAnsi="宋体" w:cs="宋体" w:eastAsia="宋体" w:hint="default"/>
                <w:sz w:val="18"/>
                <w:szCs w:val="18"/>
              </w:rPr>
              <w:t>会股东代表监事任期届满离任。</w:t>
            </w:r>
          </w:p>
        </w:tc>
      </w:tr>
      <w:tr>
        <w:trPr>
          <w:trHeight w:val="2883"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日，公司召开了第四届董事会第四 十次会议，审议通过了《关于公司第四届董事会延期 换届的议案》，公司董事会换届选举工作延期进行， 公司董事会各专门委员会及公司高级管理人员的任期</w:t>
            </w:r>
          </w:p>
          <w:p>
            <w:pPr>
              <w:pStyle w:val="TableParagraph"/>
              <w:spacing w:line="309" w:lineRule="auto" w:before="46"/>
              <w:ind w:left="15" w:right="28"/>
              <w:jc w:val="both"/>
              <w:rPr>
                <w:rFonts w:ascii="宋体" w:hAnsi="宋体" w:cs="宋体" w:eastAsia="宋体" w:hint="default"/>
                <w:sz w:val="18"/>
                <w:szCs w:val="18"/>
              </w:rPr>
            </w:pPr>
            <w:r>
              <w:rPr>
                <w:rFonts w:ascii="宋体" w:hAnsi="宋体" w:cs="宋体" w:eastAsia="宋体" w:hint="default"/>
                <w:spacing w:val="-5"/>
                <w:sz w:val="18"/>
                <w:szCs w:val="18"/>
              </w:rPr>
              <w:t>亦相应顺延。</w:t>
            </w:r>
            <w:r>
              <w:rPr>
                <w:rFonts w:ascii="Times New Roman" w:hAnsi="Times New Roman" w:cs="Times New Roman" w:eastAsia="Times New Roman" w:hint="default"/>
                <w:spacing w:val="-5"/>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日，公司召开了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 一次临时股东大会，选举产生新一届董事会成员，同 日召开第五届董事会第一次会议，会议选举陈新民先 生为总经理，魏代英女士为副总经理、董事会秘书， 谢从雄先生为财务负责人。陈蔚女士任期届满离任。</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三、任职情况" w:id="128"/>
      <w:bookmarkEnd w:id="128"/>
      <w:r>
        <w:rPr>
          <w:b w:val="0"/>
          <w:bCs w:val="0"/>
        </w:rPr>
      </w:r>
      <w:r>
        <w:rPr/>
        <w:t>三、任职情况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240" w:lineRule="auto" w:before="140"/>
        <w:ind w:left="501" w:right="0"/>
        <w:jc w:val="left"/>
      </w:pPr>
      <w:r>
        <w:rPr>
          <w:rFonts w:ascii="Times New Roman" w:hAnsi="Times New Roman" w:cs="Times New Roman" w:eastAsia="Times New Roman" w:hint="default"/>
        </w:rPr>
        <w:t>1</w:t>
      </w:r>
      <w:r>
        <w:rPr/>
        <w:t>、现任董事会成员主要工作经历</w:t>
      </w:r>
    </w:p>
    <w:p>
      <w:pPr>
        <w:pStyle w:val="BodyText"/>
        <w:spacing w:line="300" w:lineRule="auto" w:before="66"/>
        <w:ind w:right="1014" w:firstLine="360"/>
        <w:jc w:val="left"/>
      </w:pPr>
      <w:r>
        <w:rPr/>
        <w:t>（</w:t>
      </w:r>
      <w:r>
        <w:rPr>
          <w:rFonts w:ascii="Times New Roman" w:hAnsi="Times New Roman" w:cs="Times New Roman" w:eastAsia="Times New Roman" w:hint="default"/>
        </w:rPr>
        <w:t>1</w:t>
      </w:r>
      <w:r>
        <w:rPr/>
        <w:t>）陈新民先生，</w:t>
      </w:r>
      <w:r>
        <w:rPr>
          <w:rFonts w:ascii="Times New Roman" w:hAnsi="Times New Roman" w:cs="Times New Roman" w:eastAsia="Times New Roman" w:hint="default"/>
        </w:rPr>
        <w:t>2005</w:t>
      </w:r>
      <w:r>
        <w:rPr/>
        <w:t>年加入卓翼科技，</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月，担任公司第二届董事会董事；</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 </w:t>
      </w:r>
      <w:r>
        <w:rPr/>
        <w:t>月，担任公司第三届董事会董事；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月，担任公司第四届董事会董事，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月担任公司总 </w:t>
      </w:r>
      <w:r>
        <w:rPr>
          <w:spacing w:val="-3"/>
        </w:rPr>
        <w:t>经理，现担任公司第五届董事会董事长、总经理，同时担任深圳市卓博机器人有限公司总经理及执行董事、中广互联（厦门）</w:t>
      </w:r>
      <w:r>
        <w:rPr>
          <w:spacing w:val="-80"/>
        </w:rPr>
        <w:t> </w:t>
      </w:r>
      <w:r>
        <w:rPr>
          <w:spacing w:val="-80"/>
        </w:rPr>
      </w:r>
      <w:r>
        <w:rPr/>
        <w:t>信息科技有限公司监事。</w:t>
      </w:r>
    </w:p>
    <w:p>
      <w:pPr>
        <w:pStyle w:val="BodyText"/>
        <w:spacing w:line="240" w:lineRule="auto" w:before="50"/>
        <w:ind w:left="501" w:right="0"/>
        <w:jc w:val="left"/>
      </w:pPr>
      <w:r>
        <w:rPr>
          <w:spacing w:val="-4"/>
        </w:rPr>
        <w:t>（</w:t>
      </w:r>
      <w:r>
        <w:rPr>
          <w:rFonts w:ascii="Times New Roman" w:hAnsi="Times New Roman" w:cs="Times New Roman" w:eastAsia="Times New Roman" w:hint="default"/>
          <w:spacing w:val="-4"/>
        </w:rPr>
        <w:t>2</w:t>
      </w:r>
      <w:r>
        <w:rPr>
          <w:spacing w:val="-4"/>
        </w:rPr>
        <w:t>）魏代英女士，自</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5</w:t>
      </w:r>
      <w:r>
        <w:rPr>
          <w:spacing w:val="-4"/>
        </w:rPr>
        <w:t>月起至今在公司任职，</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8</w:t>
      </w:r>
      <w:r>
        <w:rPr>
          <w:spacing w:val="-4"/>
        </w:rPr>
        <w:t>月至</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7</w:t>
      </w:r>
      <w:r>
        <w:rPr>
          <w:spacing w:val="-4"/>
        </w:rPr>
        <w:t>月，担任公司第一届监事会监事；</w:t>
      </w:r>
      <w:r>
        <w:rPr>
          <w:rFonts w:ascii="Times New Roman" w:hAnsi="Times New Roman" w:cs="Times New Roman" w:eastAsia="Times New Roman" w:hint="default"/>
          <w:spacing w:val="-4"/>
        </w:rPr>
        <w:t>2010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6"/>
        </w:rPr>
        <w:t> </w:t>
      </w:r>
      <w:r>
        <w:rPr/>
        <w:t>月</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0" w:lineRule="auto" w:before="44"/>
        <w:ind w:right="0"/>
        <w:jc w:val="left"/>
      </w:pPr>
      <w:r>
        <w:rPr/>
        <w:t>至</w:t>
      </w:r>
      <w:r>
        <w:rPr>
          <w:spacing w:val="-1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2"/>
        </w:rPr>
        <w:t> </w:t>
      </w:r>
      <w:r>
        <w:rPr/>
        <w:t>年</w:t>
      </w:r>
      <w:r>
        <w:rPr>
          <w:spacing w:val="-15"/>
        </w:rPr>
        <w:t> </w:t>
      </w:r>
      <w:r>
        <w:rPr>
          <w:rFonts w:ascii="Times New Roman" w:hAnsi="Times New Roman" w:cs="Times New Roman" w:eastAsia="Times New Roman" w:hint="default"/>
        </w:rPr>
        <w:t>7</w:t>
      </w:r>
      <w:r>
        <w:rPr>
          <w:rFonts w:ascii="Times New Roman" w:hAnsi="Times New Roman" w:cs="Times New Roman" w:eastAsia="Times New Roman" w:hint="default"/>
          <w:spacing w:val="31"/>
        </w:rPr>
        <w:t> </w:t>
      </w:r>
      <w:r>
        <w:rPr/>
        <w:t>月担任公司第二届董事会董事，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月担任第二届董事会董事、董事会秘书，</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月至</w:t>
      </w:r>
      <w:r>
        <w:rPr>
          <w:spacing w:val="-88"/>
        </w:rPr>
        <w:t>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月，担任公司第三届董事会董事、董事会秘书；</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月，担任公司第四届董事会董事、董事会秘书，</w:t>
      </w:r>
      <w:r>
        <w:rPr>
          <w:spacing w:val="-37"/>
        </w:rPr>
        <w:t> </w:t>
      </w:r>
      <w:r>
        <w:rPr>
          <w:spacing w:val="-37"/>
        </w:rPr>
      </w:r>
      <w:r>
        <w:rPr>
          <w:spacing w:val="-2"/>
        </w:rPr>
        <w:t>现担任公司第五届董事会董事、副总经理、董事会秘书，同时担任深圳市翼飞投资有限公司总经理及执行董事、深圳市聚睿</w:t>
      </w:r>
      <w:r>
        <w:rPr>
          <w:spacing w:val="-42"/>
        </w:rPr>
        <w:t> </w:t>
      </w:r>
      <w:r>
        <w:rPr>
          <w:spacing w:val="-42"/>
        </w:rPr>
      </w:r>
      <w:r>
        <w:rPr/>
        <w:t>投资管理企业（有限合伙）执行事务合伙人、深圳市聚智投资管理企业（有限合伙）执行事务合伙人。</w:t>
      </w:r>
    </w:p>
    <w:p>
      <w:pPr>
        <w:pStyle w:val="BodyText"/>
        <w:spacing w:line="304" w:lineRule="auto" w:before="49"/>
        <w:ind w:right="1128" w:firstLine="360"/>
        <w:jc w:val="both"/>
      </w:pPr>
      <w:r>
        <w:rPr/>
        <w:t>（</w:t>
      </w:r>
      <w:r>
        <w:rPr>
          <w:rFonts w:ascii="Times New Roman" w:hAnsi="Times New Roman" w:cs="Times New Roman" w:eastAsia="Times New Roman" w:hint="default"/>
        </w:rPr>
        <w:t>3</w:t>
      </w:r>
      <w:r>
        <w:rPr/>
        <w:t>）卢和忠先生，曾任江西赣南炼锡厂助理工程师，深圳市北岳电子科技有限公司人力资源经理，深圳市虹视实业有 限公司行政总监，富士康科技集团人力资源副理，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月至今任深圳市卓翼科技股份有限公司总裁助理，分管公司人力</w:t>
      </w:r>
      <w:r>
        <w:rPr>
          <w:spacing w:val="-83"/>
        </w:rPr>
        <w:t> </w:t>
      </w:r>
      <w:r>
        <w:rPr>
          <w:spacing w:val="-83"/>
        </w:rPr>
      </w:r>
      <w:r>
        <w:rPr/>
        <w:t>资源、流程及</w:t>
      </w:r>
      <w:r>
        <w:rPr>
          <w:rFonts w:ascii="Times New Roman" w:hAnsi="Times New Roman" w:cs="Times New Roman" w:eastAsia="Times New Roman" w:hint="default"/>
        </w:rPr>
        <w:t>IT</w:t>
      </w:r>
      <w:r>
        <w:rPr/>
        <w:t>等工作，</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日，担任公司第四届董事会董事，现担任公司第五届董事会董事。</w:t>
      </w:r>
    </w:p>
    <w:p>
      <w:pPr>
        <w:pStyle w:val="BodyText"/>
        <w:spacing w:line="297" w:lineRule="auto" w:before="12"/>
        <w:ind w:right="1102" w:firstLine="360"/>
        <w:jc w:val="both"/>
      </w:pPr>
      <w:r>
        <w:rPr/>
        <w:t>（</w:t>
      </w:r>
      <w:r>
        <w:rPr>
          <w:rFonts w:ascii="Times New Roman" w:hAnsi="Times New Roman" w:cs="Times New Roman" w:eastAsia="Times New Roman" w:hint="default"/>
        </w:rPr>
        <w:t>4</w:t>
      </w:r>
      <w:r>
        <w:rPr/>
        <w:t>）廖垚先生，曾任职于巨田证券有限责任公司、国信证券有限责任公司、世纪证券有限责任公司、深圳市中广资本 </w:t>
      </w:r>
      <w:r>
        <w:rPr>
          <w:spacing w:val="-2"/>
        </w:rPr>
        <w:t>管理有限公司；现担任深圳市上元资本管理有限公司董事长、首席执行官，深圳市新纶科技股份有限公司非独立董事，深圳</w:t>
      </w:r>
      <w:r>
        <w:rPr>
          <w:spacing w:val="-42"/>
        </w:rPr>
        <w:t> </w:t>
      </w:r>
      <w:r>
        <w:rPr>
          <w:spacing w:val="-42"/>
        </w:rPr>
      </w:r>
      <w:r>
        <w:rPr>
          <w:spacing w:val="-2"/>
        </w:rPr>
        <w:t>市中广财富管理有限公司执行董事、总经理，深圳市艺元投资有限公司执行董事、总经理，深圳叁色生命科技有限公司执行</w:t>
      </w:r>
    </w:p>
    <w:p>
      <w:pPr>
        <w:pStyle w:val="BodyText"/>
        <w:spacing w:line="321" w:lineRule="auto" w:before="36"/>
        <w:ind w:right="1115"/>
        <w:jc w:val="left"/>
      </w:pPr>
      <w:r>
        <w:rPr>
          <w:spacing w:val="-2"/>
        </w:rPr>
        <w:t>董事、总经理，北京上元汇企业管理有限公司执行董事，湖南百佳生物工程有限公司董事等，同时担任公司第五届董事会董</w:t>
      </w:r>
      <w:r>
        <w:rPr>
          <w:spacing w:val="-39"/>
        </w:rPr>
        <w:t> </w:t>
      </w:r>
      <w:r>
        <w:rPr>
          <w:spacing w:val="-39"/>
        </w:rPr>
      </w:r>
      <w:r>
        <w:rPr/>
        <w:t>事。</w:t>
      </w:r>
    </w:p>
    <w:p>
      <w:pPr>
        <w:pStyle w:val="BodyText"/>
        <w:spacing w:line="297" w:lineRule="auto" w:before="34"/>
        <w:ind w:right="1095" w:firstLine="360"/>
        <w:jc w:val="both"/>
      </w:pPr>
      <w:r>
        <w:rPr/>
        <w:t>（</w:t>
      </w:r>
      <w:r>
        <w:rPr>
          <w:rFonts w:ascii="Times New Roman" w:hAnsi="Times New Roman" w:cs="Times New Roman" w:eastAsia="Times New Roman" w:hint="default"/>
        </w:rPr>
        <w:t>5</w:t>
      </w:r>
      <w:r>
        <w:rPr/>
        <w:t>）张学斌先生，中国注册会计师。曾担任深圳市彩虹精细化工股份有限公司、深圳市长亮科技股份有限公司独立董 </w:t>
      </w:r>
      <w:r>
        <w:rPr>
          <w:spacing w:val="-2"/>
        </w:rPr>
        <w:t>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月，担任本公司第二届董事会、第三届董事会独立董事。现担任公司第五届董事会独立董事，同时</w:t>
      </w:r>
      <w:r>
        <w:rPr>
          <w:spacing w:val="-48"/>
        </w:rPr>
        <w:t> </w:t>
      </w:r>
      <w:r>
        <w:rPr>
          <w:spacing w:val="-48"/>
        </w:rPr>
      </w:r>
      <w:r>
        <w:rPr/>
        <w:t>担任深圳市思迈特财税咨询有限公司执行董事，深圳市思迈特企业管理咨询有限公司监事，深圳思迈特会计师事务所</w:t>
      </w:r>
      <w:r>
        <w:rPr>
          <w:rFonts w:ascii="Times New Roman" w:hAnsi="Times New Roman" w:cs="Times New Roman" w:eastAsia="Times New Roman" w:hint="default"/>
        </w:rPr>
        <w:t>(</w:t>
      </w:r>
      <w:r>
        <w:rPr/>
        <w:t>普通</w:t>
      </w:r>
      <w:r>
        <w:rPr>
          <w:spacing w:val="-79"/>
        </w:rPr>
        <w:t> </w:t>
      </w:r>
      <w:r>
        <w:rPr/>
        <w:t>合伙</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执行事务合伙人，深圳市瑞能实业股份有限公司（拟上市）、深圳市拓日新能源科技股份有限公司、深圳市欢乐动漫 股份有限公司董事，深圳市广和通无线股份有限公司、广东正业科技股份有限公司独立董事。</w:t>
      </w:r>
    </w:p>
    <w:p>
      <w:pPr>
        <w:pStyle w:val="BodyText"/>
        <w:spacing w:line="276" w:lineRule="auto" w:before="51"/>
        <w:ind w:right="1134" w:firstLine="360"/>
        <w:jc w:val="both"/>
      </w:pPr>
      <w:r>
        <w:rPr/>
        <w:t>（</w:t>
      </w:r>
      <w:r>
        <w:rPr>
          <w:rFonts w:ascii="Times New Roman" w:hAnsi="Times New Roman" w:cs="Times New Roman" w:eastAsia="Times New Roman" w:hint="default"/>
        </w:rPr>
        <w:t>6</w:t>
      </w:r>
      <w:r>
        <w:rPr/>
        <w:t>）崔小乐先生，博士，</w:t>
      </w:r>
      <w:r>
        <w:rPr>
          <w:rFonts w:ascii="Times New Roman" w:hAnsi="Times New Roman" w:cs="Times New Roman" w:eastAsia="Times New Roman" w:hint="default"/>
        </w:rPr>
        <w:t>2006</w:t>
      </w:r>
      <w:r>
        <w:rPr/>
        <w:t>年至今，供职于北京大学深圳研究生院，历任信息工程学院讲师、副教授、教授，现担 任公司第五届董事会独立董事。</w:t>
      </w:r>
    </w:p>
    <w:p>
      <w:pPr>
        <w:pStyle w:val="BodyText"/>
        <w:spacing w:line="290" w:lineRule="auto" w:before="67"/>
        <w:ind w:right="1134" w:firstLine="360"/>
        <w:jc w:val="both"/>
      </w:pPr>
      <w:r>
        <w:rPr>
          <w:spacing w:val="-2"/>
        </w:rPr>
        <w:t>（</w:t>
      </w:r>
      <w:r>
        <w:rPr>
          <w:rFonts w:ascii="Times New Roman" w:hAnsi="Times New Roman" w:cs="Times New Roman" w:eastAsia="Times New Roman" w:hint="default"/>
          <w:spacing w:val="-2"/>
        </w:rPr>
        <w:t>7</w:t>
      </w:r>
      <w:r>
        <w:rPr>
          <w:spacing w:val="-2"/>
        </w:rPr>
        <w:t>）袁友军先生，博士，</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8</w:t>
      </w:r>
      <w:r>
        <w:rPr>
          <w:spacing w:val="-2"/>
        </w:rPr>
        <w:t>月至今，在中共广东省委党校（广东行政学院）工作，现担任公司第五届董事会独立</w:t>
      </w:r>
      <w:r>
        <w:rPr/>
        <w:t> 董事，同时担任广东省粤商研究会常务理事、韶关市重大行政决策咨询论证专家、广州市社会组织专家库专家。</w:t>
      </w:r>
    </w:p>
    <w:p>
      <w:pPr>
        <w:pStyle w:val="BodyText"/>
        <w:spacing w:line="240" w:lineRule="auto" w:before="56"/>
        <w:ind w:left="501" w:right="0"/>
        <w:jc w:val="left"/>
      </w:pPr>
      <w:r>
        <w:rPr>
          <w:rFonts w:ascii="Times New Roman" w:hAnsi="Times New Roman" w:cs="Times New Roman" w:eastAsia="Times New Roman" w:hint="default"/>
        </w:rPr>
        <w:t>2</w:t>
      </w:r>
      <w:r>
        <w:rPr/>
        <w:t>、现任监事会成员主要工作经历</w:t>
      </w:r>
    </w:p>
    <w:p>
      <w:pPr>
        <w:pStyle w:val="BodyText"/>
        <w:spacing w:line="295" w:lineRule="auto" w:before="66"/>
        <w:ind w:right="1101" w:firstLine="360"/>
        <w:jc w:val="both"/>
      </w:pPr>
      <w:r>
        <w:rPr>
          <w:spacing w:val="-2"/>
        </w:rPr>
        <w:t>（</w:t>
      </w:r>
      <w:r>
        <w:rPr>
          <w:rFonts w:ascii="Times New Roman" w:hAnsi="Times New Roman" w:cs="Times New Roman" w:eastAsia="Times New Roman" w:hint="default"/>
          <w:spacing w:val="-2"/>
        </w:rPr>
        <w:t>1</w:t>
      </w:r>
      <w:r>
        <w:rPr>
          <w:spacing w:val="-2"/>
        </w:rPr>
        <w:t>）胡爱武女士，</w:t>
      </w:r>
      <w:r>
        <w:rPr>
          <w:rFonts w:ascii="Times New Roman" w:hAnsi="Times New Roman" w:cs="Times New Roman" w:eastAsia="Times New Roman" w:hint="default"/>
          <w:spacing w:val="-2"/>
        </w:rPr>
        <w:t>2004</w:t>
      </w:r>
      <w:r>
        <w:rPr>
          <w:spacing w:val="-2"/>
        </w:rPr>
        <w:t>年加入卓翼科技，</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月，担任公司第一届监事会职工代表监事；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月至</w:t>
      </w:r>
      <w:r>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月，担任公司第二届监事会监事；</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月担任公司内部审计部负责人；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月，担</w:t>
      </w:r>
      <w:r>
        <w:rPr>
          <w:spacing w:val="-85"/>
        </w:rPr>
        <w:t> </w:t>
      </w:r>
      <w:r>
        <w:rPr>
          <w:spacing w:val="-1"/>
        </w:rPr>
        <w:t>任公司第三届监事会监事；</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w:t>
      </w:r>
      <w:r>
        <w:rPr>
          <w:spacing w:val="-1"/>
        </w:rPr>
        <w:t>月，担任公司第四届监事会监事；现担任公司总经理助理、第五届监事会监</w:t>
      </w:r>
      <w:r>
        <w:rPr/>
        <w:t> 事主席，同时担任深圳市卓翼智造有限公司监事。</w:t>
      </w:r>
    </w:p>
    <w:p>
      <w:pPr>
        <w:pStyle w:val="BodyText"/>
        <w:spacing w:line="290" w:lineRule="auto" w:before="53"/>
        <w:ind w:right="1096" w:firstLine="360"/>
        <w:jc w:val="both"/>
      </w:pPr>
      <w:r>
        <w:rPr>
          <w:spacing w:val="-2"/>
        </w:rPr>
        <w:t>（</w:t>
      </w:r>
      <w:r>
        <w:rPr>
          <w:rFonts w:ascii="Times New Roman" w:hAnsi="Times New Roman" w:cs="Times New Roman" w:eastAsia="Times New Roman" w:hint="default"/>
          <w:spacing w:val="-2"/>
        </w:rPr>
        <w:t>2</w:t>
      </w:r>
      <w:r>
        <w:rPr>
          <w:spacing w:val="-2"/>
        </w:rPr>
        <w:t>）夏艳华女士，</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4</w:t>
      </w:r>
      <w:r>
        <w:rPr>
          <w:spacing w:val="-2"/>
        </w:rPr>
        <w:t>月至今任职于深圳市卓翼科技股份有限公司，先后担任公司国际业务部业务员、国际业务部</w:t>
      </w:r>
      <w:r>
        <w:rPr/>
        <w:t> </w:t>
      </w:r>
      <w:r>
        <w:rPr>
          <w:spacing w:val="-1"/>
        </w:rPr>
        <w:t>副经理、商务部经理，从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月，担任公司第三届监事会职工监事；</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w:t>
      </w:r>
      <w:r>
        <w:rPr>
          <w:spacing w:val="-1"/>
        </w:rPr>
        <w:t>月担任公司第四届</w:t>
      </w:r>
      <w:r>
        <w:rPr>
          <w:spacing w:val="-81"/>
        </w:rPr>
        <w:t> </w:t>
      </w:r>
      <w:r>
        <w:rPr/>
        <w:t>监事会职工监事；现担任公司商务部经理、第五届监事会监事。</w:t>
      </w:r>
    </w:p>
    <w:p>
      <w:pPr>
        <w:pStyle w:val="BodyText"/>
        <w:spacing w:line="288" w:lineRule="auto" w:before="57"/>
        <w:ind w:right="1040" w:firstLine="360"/>
        <w:jc w:val="both"/>
      </w:pPr>
      <w:r>
        <w:rPr>
          <w:spacing w:val="-2"/>
        </w:rPr>
        <w:t>（</w:t>
      </w:r>
      <w:r>
        <w:rPr>
          <w:rFonts w:ascii="Times New Roman" w:hAnsi="Times New Roman" w:cs="Times New Roman" w:eastAsia="Times New Roman" w:hint="default"/>
          <w:spacing w:val="-2"/>
        </w:rPr>
        <w:t>3</w:t>
      </w:r>
      <w:r>
        <w:rPr>
          <w:spacing w:val="-2"/>
        </w:rPr>
        <w:t>）张岚女士，曾任东莞市雅康精密机械有限公司总经理助理，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月至今任职于深圳市卓翼科技股份有限公司，</w:t>
      </w:r>
      <w:r>
        <w:rPr/>
        <w:t> 现担任公司总裁办副经理、第五届监事会职工监事。</w:t>
      </w:r>
    </w:p>
    <w:p>
      <w:pPr>
        <w:pStyle w:val="BodyText"/>
        <w:spacing w:line="240" w:lineRule="auto" w:before="59"/>
        <w:ind w:left="501" w:right="0"/>
        <w:jc w:val="left"/>
      </w:pPr>
      <w:r>
        <w:rPr>
          <w:rFonts w:ascii="Times New Roman" w:hAnsi="Times New Roman" w:cs="Times New Roman" w:eastAsia="Times New Roman" w:hint="default"/>
        </w:rPr>
        <w:t>3</w:t>
      </w:r>
      <w:r>
        <w:rPr/>
        <w:t>、现任高级管理人员</w:t>
      </w:r>
    </w:p>
    <w:p>
      <w:pPr>
        <w:pStyle w:val="BodyText"/>
        <w:spacing w:line="240" w:lineRule="auto" w:before="66"/>
        <w:ind w:left="501" w:right="0"/>
        <w:jc w:val="left"/>
      </w:pPr>
      <w:r>
        <w:rPr/>
        <w:t>（</w:t>
      </w:r>
      <w:r>
        <w:rPr>
          <w:rFonts w:ascii="Times New Roman" w:hAnsi="Times New Roman" w:cs="Times New Roman" w:eastAsia="Times New Roman" w:hint="default"/>
        </w:rPr>
        <w:t>1</w:t>
      </w:r>
      <w:r>
        <w:rPr/>
        <w:t>）陈新民先生简历详见董事会成员所述。</w:t>
      </w:r>
    </w:p>
    <w:p>
      <w:pPr>
        <w:pStyle w:val="BodyText"/>
        <w:spacing w:line="240" w:lineRule="auto" w:before="51"/>
        <w:ind w:left="501" w:right="0"/>
        <w:jc w:val="left"/>
      </w:pPr>
      <w:r>
        <w:rPr/>
        <w:t>（</w:t>
      </w:r>
      <w:r>
        <w:rPr>
          <w:rFonts w:ascii="Times New Roman" w:hAnsi="Times New Roman" w:cs="Times New Roman" w:eastAsia="Times New Roman" w:hint="default"/>
        </w:rPr>
        <w:t>2</w:t>
      </w:r>
      <w:r>
        <w:rPr/>
        <w:t>）魏代英女士简历详见董事会成员所述。</w:t>
      </w:r>
    </w:p>
    <w:p>
      <w:pPr>
        <w:pStyle w:val="BodyText"/>
        <w:spacing w:line="297" w:lineRule="auto" w:before="66"/>
        <w:ind w:right="1128" w:firstLine="360"/>
        <w:jc w:val="both"/>
      </w:pPr>
      <w:r>
        <w:rPr/>
        <w:t>（</w:t>
      </w:r>
      <w:r>
        <w:rPr>
          <w:rFonts w:ascii="Times New Roman" w:hAnsi="Times New Roman" w:cs="Times New Roman" w:eastAsia="Times New Roman" w:hint="default"/>
        </w:rPr>
        <w:t>3</w:t>
      </w:r>
      <w:r>
        <w:rPr/>
        <w:t>）谢从雄先生，会计师、注册会计师。曾任深圳国威电子有限公司、广州珠江轮胎有限公司、湖北神雾热能技术有 限公司、深圳一德投资集团有限公司等公司的财务负责人，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月入职深圳市卓翼科技股份有限公司，现担任公司财务</w:t>
      </w:r>
      <w:r>
        <w:rPr>
          <w:spacing w:val="-84"/>
        </w:rPr>
        <w:t> </w:t>
      </w:r>
      <w:r>
        <w:rPr/>
        <w:t>负责人。</w:t>
      </w:r>
    </w:p>
    <w:p>
      <w:pPr>
        <w:pStyle w:val="BodyText"/>
        <w:spacing w:line="240" w:lineRule="auto" w:before="81"/>
        <w:ind w:right="0"/>
        <w:jc w:val="left"/>
      </w:pPr>
      <w:r>
        <w:rPr/>
        <w:t>在股东单位任职情况</w:t>
      </w:r>
    </w:p>
    <w:p>
      <w:pPr>
        <w:pStyle w:val="BodyText"/>
        <w:spacing w:line="319"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在其他单位任职情况</w:t>
      </w:r>
    </w:p>
    <w:p>
      <w:pPr>
        <w:pStyle w:val="BodyText"/>
        <w:spacing w:line="240" w:lineRule="auto" w:before="8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32"/>
        <w:gridCol w:w="3289"/>
        <w:gridCol w:w="1082"/>
        <w:gridCol w:w="1231"/>
        <w:gridCol w:w="1367"/>
        <w:gridCol w:w="1382"/>
      </w:tblGrid>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5"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0" w:right="44" w:hanging="91"/>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bl>
    <w:p>
      <w:pPr>
        <w:spacing w:after="0" w:line="304"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32"/>
        <w:gridCol w:w="3289"/>
        <w:gridCol w:w="1082"/>
        <w:gridCol w:w="1231"/>
        <w:gridCol w:w="1367"/>
        <w:gridCol w:w="1382"/>
      </w:tblGrid>
      <w:tr>
        <w:trPr>
          <w:trHeight w:val="72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深圳市卓博机器人有限公司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08</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中广互联（厦门）信息科技有限公司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08</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深圳市翼飞投资有限公司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06</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深圳市聚睿投资管理企业（有限合伙）</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07</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25</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31"/>
              <w:jc w:val="left"/>
              <w:rPr>
                <w:rFonts w:ascii="宋体" w:hAnsi="宋体" w:cs="宋体" w:eastAsia="宋体" w:hint="default"/>
                <w:sz w:val="18"/>
                <w:szCs w:val="18"/>
              </w:rPr>
            </w:pPr>
            <w:r>
              <w:rPr>
                <w:rFonts w:ascii="宋体" w:hAnsi="宋体" w:cs="宋体" w:eastAsia="宋体" w:hint="default"/>
                <w:spacing w:val="-2"/>
                <w:sz w:val="18"/>
                <w:szCs w:val="18"/>
              </w:rPr>
              <w:t>深圳市聚智投资管理企业（有限合伙）执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行事务合伙人</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03</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18</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廖垚</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深圳市上元资本管理有限公司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11</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22</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廖垚</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深圳市中广财富管理有限公司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04</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廖垚</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60"/>
              <w:ind w:left="30" w:right="118"/>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深圳市昂迈互联网产业投资基金企业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w:t>
            </w:r>
            <w:r>
              <w:rPr>
                <w:rFonts w:ascii="宋体" w:hAnsi="宋体" w:cs="宋体" w:eastAsia="宋体" w:hint="default"/>
                <w:spacing w:val="-87"/>
                <w:sz w:val="18"/>
                <w:szCs w:val="18"/>
              </w:rPr>
              <w:t> </w:t>
            </w: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廖垚</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湖南百佳生物工程有限公司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11</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廖垚</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香港上元资本管理有限公司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廖垚</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深圳市艺元投资有限公司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廖垚</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深圳叁色生命科技有限公司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廖垚</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北京上元汇企业管理有限公司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08</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22</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廖垚</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83"/>
              <w:jc w:val="left"/>
              <w:rPr>
                <w:rFonts w:ascii="宋体" w:hAnsi="宋体" w:cs="宋体" w:eastAsia="宋体" w:hint="default"/>
                <w:sz w:val="18"/>
                <w:szCs w:val="18"/>
              </w:rPr>
            </w:pPr>
            <w:r>
              <w:rPr>
                <w:rFonts w:ascii="宋体" w:hAnsi="宋体" w:cs="宋体" w:eastAsia="宋体" w:hint="default"/>
                <w:sz w:val="18"/>
                <w:szCs w:val="18"/>
              </w:rPr>
              <w:t>深圳市上元天禄投资合伙企业（有限合 伙）</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08</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深圳市思迈特企业管理咨询有限公司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09</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深圳市思迈特财税咨询有限公司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07</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22</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深圳市广和通无线股份有限公司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06</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21</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广东正业科技股份有限公司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11</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深圳市瑞能实业股份有限公司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02</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32"/>
        <w:gridCol w:w="3289"/>
        <w:gridCol w:w="1082"/>
        <w:gridCol w:w="1231"/>
        <w:gridCol w:w="1367"/>
        <w:gridCol w:w="1382"/>
      </w:tblGrid>
      <w:tr>
        <w:trPr>
          <w:trHeight w:val="72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深圳市拓日新能源科技股份有限公司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06</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深圳市欢乐动漫股份有限公司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11</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张学斌</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深圳思迈特会计师事务所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普通合伙</w:t>
            </w:r>
            <w:r>
              <w:rPr>
                <w:rFonts w:ascii="Times New Roman" w:hAnsi="Times New Roman" w:cs="Times New Roman" w:eastAsia="Times New Roman" w:hint="default"/>
                <w:sz w:val="18"/>
                <w:szCs w:val="18"/>
              </w:rPr>
              <w:t>)</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08</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崔小乐</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北京大学深圳研究生院</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12</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袁友军</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中共广东省委党校（广东行政学院）</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08</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胡爱武</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深圳市卓翼智造有限公司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11</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胡爱武</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深圳市翼飞投资有限公司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06</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29</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夏艳华</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深圳市卓博机器人有限公司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08</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14</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4"/>
        <w:ind w:right="0"/>
        <w:jc w:val="left"/>
      </w:pPr>
      <w:r>
        <w:rPr/>
        <w:t>公司现任及报告期内离任董事、监事和高级管理人员近三年证券监管机构处罚的情况</w:t>
      </w:r>
    </w:p>
    <w:p>
      <w:pPr>
        <w:pStyle w:val="BodyText"/>
        <w:spacing w:line="240" w:lineRule="auto" w:before="1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0"/>
        <w:jc w:val="left"/>
      </w:pPr>
      <w:r>
        <w:rPr/>
        <w:t>董事、监事、高级管理人员报酬的决策程序、确定依据、实际支付情况</w:t>
      </w:r>
    </w:p>
    <w:p>
      <w:pPr>
        <w:pStyle w:val="BodyText"/>
        <w:spacing w:line="290" w:lineRule="auto" w:before="139"/>
        <w:ind w:right="0"/>
        <w:jc w:val="left"/>
      </w:pPr>
      <w:r>
        <w:rPr>
          <w:rFonts w:ascii="Times New Roman" w:hAnsi="Times New Roman" w:cs="Times New Roman" w:eastAsia="Times New Roman" w:hint="default"/>
        </w:rPr>
        <w:t>1</w:t>
      </w:r>
      <w:r>
        <w:rPr/>
        <w:t>、</w:t>
      </w:r>
      <w:r>
        <w:rPr>
          <w:spacing w:val="-15"/>
        </w:rPr>
        <w:t> </w:t>
      </w:r>
      <w:r>
        <w:rPr/>
        <w:t>董事、监事、高级管理人员报酬的决策程序</w:t>
      </w:r>
      <w:r>
        <w:rPr/>
        <w:t> </w:t>
      </w:r>
      <w:r>
        <w:rPr>
          <w:spacing w:val="-2"/>
        </w:rPr>
        <w:t>公司董事、监事及高级管理人员报酬情况严格按照公司制定的《董事会议事规则》和《股东大会议事规则》执行，符合公司</w:t>
      </w:r>
    </w:p>
    <w:p>
      <w:pPr>
        <w:pStyle w:val="BodyText"/>
        <w:spacing w:line="240" w:lineRule="auto" w:before="27"/>
        <w:ind w:right="0"/>
        <w:jc w:val="left"/>
      </w:pPr>
      <w:r>
        <w:rPr/>
        <w:t>《章程》及《公司法》等的有关规定。</w:t>
      </w:r>
    </w:p>
    <w:p>
      <w:pPr>
        <w:pStyle w:val="BodyText"/>
        <w:spacing w:line="307" w:lineRule="auto" w:before="94"/>
        <w:ind w:right="1088"/>
        <w:jc w:val="left"/>
      </w:pPr>
      <w:r>
        <w:rPr>
          <w:rFonts w:ascii="Times New Roman" w:hAnsi="Times New Roman" w:cs="Times New Roman" w:eastAsia="Times New Roman" w:hint="default"/>
        </w:rPr>
        <w:t>2</w:t>
      </w:r>
      <w:r>
        <w:rPr/>
        <w:t>、董事、监事、高级管理人员报酬的确定依据 </w:t>
      </w:r>
      <w:r>
        <w:rPr>
          <w:spacing w:val="-2"/>
        </w:rPr>
        <w:t>在公司任职的董事（不含独立董事）、监事、高级管理人员按其职务根据公司现行的薪酬制度、参与经营业绩和个人绩效的</w:t>
      </w:r>
      <w:r>
        <w:rPr>
          <w:spacing w:val="-54"/>
        </w:rPr>
        <w:t> </w:t>
      </w:r>
      <w:r>
        <w:rPr>
          <w:spacing w:val="-54"/>
        </w:rPr>
      </w:r>
      <w:r>
        <w:rPr>
          <w:spacing w:val="-2"/>
        </w:rPr>
        <w:t>实际情况领取报酬，高级管理人员实行年薪制，年薪与年度经营业绩挂钩，同时参照所处行业、地区的薪酬水平等综合因素</w:t>
      </w:r>
      <w:r>
        <w:rPr>
          <w:spacing w:val="-42"/>
        </w:rPr>
        <w:t> </w:t>
      </w:r>
      <w:r>
        <w:rPr>
          <w:spacing w:val="-42"/>
        </w:rPr>
      </w:r>
      <w:r>
        <w:rPr>
          <w:spacing w:val="-2"/>
        </w:rPr>
        <w:t>确定，并在年终实行绩效考核，上述人员的收入均为其从事公司管理工作的工资性收入。公司外部董事、独立董事的津贴在</w:t>
      </w:r>
      <w:r>
        <w:rPr>
          <w:spacing w:val="-42"/>
        </w:rPr>
        <w:t> </w:t>
      </w:r>
      <w:r>
        <w:rPr>
          <w:spacing w:val="-42"/>
        </w:rPr>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月董事会换届选举前为</w:t>
      </w:r>
      <w:r>
        <w:rPr>
          <w:rFonts w:ascii="Times New Roman" w:hAnsi="Times New Roman" w:cs="Times New Roman" w:eastAsia="Times New Roman" w:hint="default"/>
        </w:rPr>
        <w:t>6</w:t>
      </w:r>
      <w:r>
        <w:rPr/>
        <w:t>万元</w:t>
      </w:r>
      <w:r>
        <w:rPr>
          <w:rFonts w:ascii="Times New Roman" w:hAnsi="Times New Roman" w:cs="Times New Roman" w:eastAsia="Times New Roman" w:hint="default"/>
        </w:rPr>
        <w:t>/</w:t>
      </w:r>
      <w:r>
        <w:rPr/>
        <w:t>年（含税）。结合公司实际，公司第三届董事会第二十四次会议、 </w:t>
      </w:r>
      <w:r>
        <w:rPr>
          <w:rFonts w:ascii="Times New Roman" w:hAnsi="Times New Roman" w:cs="Times New Roman" w:eastAsia="Times New Roman" w:hint="default"/>
        </w:rPr>
        <w:t>2016</w:t>
      </w:r>
      <w:r>
        <w:rPr>
          <w:rFonts w:ascii="Times New Roman" w:hAnsi="Times New Roman" w:cs="Times New Roman" w:eastAsia="Times New Roman" w:hint="default"/>
          <w:spacing w:val="20"/>
        </w:rPr>
        <w:t> </w:t>
      </w:r>
      <w:r>
        <w:rPr/>
        <w:t>年第一次临 时股东大会审议通过将第四届董事会独立董事津贴调整为</w:t>
      </w:r>
      <w:r>
        <w:rPr>
          <w:rFonts w:ascii="Times New Roman" w:hAnsi="Times New Roman" w:cs="Times New Roman" w:eastAsia="Times New Roman" w:hint="default"/>
        </w:rPr>
        <w:t>7.2</w:t>
      </w:r>
      <w:r>
        <w:rPr/>
        <w:t>万元</w:t>
      </w:r>
      <w:r>
        <w:rPr>
          <w:rFonts w:ascii="Times New Roman" w:hAnsi="Times New Roman" w:cs="Times New Roman" w:eastAsia="Times New Roman" w:hint="default"/>
        </w:rPr>
        <w:t>/</w:t>
      </w:r>
      <w:r>
        <w:rPr/>
        <w:t>年（含税）。公司第四届董事会第四十四次会议、</w:t>
      </w:r>
      <w:r>
        <w:rPr>
          <w:rFonts w:ascii="Times New Roman" w:hAnsi="Times New Roman" w:cs="Times New Roman" w:eastAsia="Times New Roman" w:hint="default"/>
        </w:rPr>
        <w:t>2020</w:t>
      </w:r>
      <w:r>
        <w:rPr/>
        <w:t>年</w:t>
      </w:r>
      <w:r>
        <w:rPr>
          <w:spacing w:val="-86"/>
        </w:rPr>
        <w:t> </w:t>
      </w:r>
      <w:r>
        <w:rPr/>
        <w:t>第一次临时股东大会审议通过《关于公司第五届董事会独立董事津贴的议案》，确定第五届董事会独立董事津贴为</w:t>
      </w:r>
      <w:r>
        <w:rPr>
          <w:rFonts w:ascii="Times New Roman" w:hAnsi="Times New Roman" w:cs="Times New Roman" w:eastAsia="Times New Roman" w:hint="default"/>
        </w:rPr>
        <w:t>7.2</w:t>
      </w:r>
      <w:r>
        <w:rPr/>
        <w:t>万元</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年（含税）。</w:t>
      </w:r>
    </w:p>
    <w:p>
      <w:pPr>
        <w:pStyle w:val="BodyText"/>
        <w:spacing w:line="273" w:lineRule="auto" w:before="44"/>
        <w:ind w:right="2829"/>
        <w:jc w:val="left"/>
      </w:pPr>
      <w:r>
        <w:rPr>
          <w:rFonts w:ascii="Times New Roman" w:hAnsi="Times New Roman" w:cs="Times New Roman" w:eastAsia="Times New Roman" w:hint="default"/>
        </w:rPr>
        <w:t>3</w:t>
      </w:r>
      <w:r>
        <w:rPr/>
        <w:t>、董事、监事、高级管理人员报酬的实际支付情况 公司按照劳动法及公司薪酬制度的有关规定，如期足额支付公司董事、监事及高级管理人员的薪资。</w:t>
      </w:r>
    </w:p>
    <w:p>
      <w:pPr>
        <w:spacing w:line="240" w:lineRule="auto" w:before="4"/>
        <w:rPr>
          <w:rFonts w:ascii="宋体" w:hAnsi="宋体" w:cs="宋体" w:eastAsia="宋体" w:hint="default"/>
          <w:sz w:val="28"/>
          <w:szCs w:val="28"/>
        </w:rPr>
      </w:pPr>
    </w:p>
    <w:p>
      <w:pPr>
        <w:pStyle w:val="BodyText"/>
        <w:spacing w:line="240" w:lineRule="auto" w:before="44"/>
        <w:ind w:right="0"/>
        <w:jc w:val="left"/>
      </w:pPr>
      <w:r>
        <w:rPr/>
        <w:t>公司报告期内董事、监事和高级管理人员报酬情况</w:t>
      </w:r>
    </w:p>
    <w:p>
      <w:pPr>
        <w:pStyle w:val="BodyText"/>
        <w:spacing w:line="240" w:lineRule="auto" w:before="110"/>
        <w:ind w:left="0" w:right="1110"/>
        <w:jc w:val="right"/>
      </w:pPr>
      <w:r>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年龄</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10" w:right="59"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10" w:right="59" w:hanging="181"/>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昌智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原董事长</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r>
        <w:rPr/>
        <w:pict>
          <v:group style="position:absolute;margin-left:193.75pt;margin-top:92.324997pt;width:68.350pt;height:28.55pt;mso-position-horizontal-relative:page;mso-position-vertical-relative:page;z-index:-1268848" coordorigin="3875,1846" coordsize="1367,571">
            <v:group style="position:absolute;left:3875;top:1846;width:1367;height:166" coordorigin="3875,1846" coordsize="1367,166">
              <v:shape style="position:absolute;left:3875;top:1846;width:1367;height:166" coordorigin="3875,1846" coordsize="1367,166" path="m3875,2012l5242,2012,5242,1846,3875,1846,3875,2012xe" filled="true" fillcolor="#ffffff" stroked="false">
                <v:path arrowok="t"/>
                <v:fill type="solid"/>
              </v:shape>
            </v:group>
            <v:group style="position:absolute;left:3890;top:2012;width:2;height:390" coordorigin="3890,2012" coordsize="2,390">
              <v:shape style="position:absolute;left:3890;top:2012;width:2;height:390" coordorigin="3890,2012" coordsize="0,390" path="m3890,2012l3890,2402e" filled="false" stroked="true" strokeweight="1.5pt" strokecolor="#ffffff">
                <v:path arrowok="t"/>
              </v:shape>
            </v:group>
            <v:group style="position:absolute;left:3905;top:2012;width:1307;height:390" coordorigin="3905,2012" coordsize="1307,390">
              <v:shape style="position:absolute;left:3905;top:2012;width:1307;height:390" coordorigin="3905,2012" coordsize="1307,390" path="m3905,2402l5212,2402,5212,2012,3905,2012,3905,2402xe" filled="true" fillcolor="#ffffff" stroked="false">
                <v:path arrowok="t"/>
                <v:fill type="solid"/>
              </v:shape>
            </v:group>
            <w10:wrap type="none"/>
          </v:group>
        </w:pict>
      </w: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陈新民</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魏代英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06"/>
              <w:jc w:val="left"/>
              <w:rPr>
                <w:rFonts w:ascii="宋体" w:hAnsi="宋体" w:cs="宋体" w:eastAsia="宋体" w:hint="default"/>
                <w:sz w:val="18"/>
                <w:szCs w:val="18"/>
              </w:rPr>
            </w:pPr>
            <w:r>
              <w:rPr>
                <w:rFonts w:ascii="宋体" w:hAnsi="宋体" w:cs="宋体" w:eastAsia="宋体" w:hint="default"/>
                <w:spacing w:val="-7"/>
                <w:sz w:val="18"/>
                <w:szCs w:val="18"/>
              </w:rPr>
              <w:t>董事、副总经理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董事会秘书</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before="30"/>
              <w:ind w:left="-12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卢和忠</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廖垚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胡爱武</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夏艳华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施隆红</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谢从雄</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56</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陈蔚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9"/>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946</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7"/>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公司董事、高级管理人员报告期内被授予的股权激励情况</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1"/>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30"/>
      <w:bookmarkEnd w:id="130"/>
      <w:r>
        <w:rPr>
          <w:b w:val="0"/>
          <w:bCs w:val="0"/>
        </w:rPr>
      </w:r>
      <w:r>
        <w:rPr/>
        <w:t>五、公司员工情况</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spacing w:val="5"/>
        </w:rPr>
        <w:t>1</w:t>
      </w:r>
      <w:r>
        <w:rPr>
          <w:spacing w:val="5"/>
        </w:rPr>
        <w:t>、员工数量、专业构成及教育程度</w:t>
      </w:r>
      <w:r>
        <w:rPr>
          <w:b w:val="0"/>
          <w:bCs w:val="0"/>
          <w:spacing w:val="5"/>
        </w:rPr>
      </w:r>
    </w:p>
    <w:p>
      <w:pPr>
        <w:spacing w:line="240" w:lineRule="auto" w:before="9"/>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847</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14,246</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15,093</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15,093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383"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 w:right="2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13"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29"/>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569"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11,666</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121</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2,254</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172</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351</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486</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15,093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3"/>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博士及以上</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506</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650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13,900</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15,093</w:t>
            </w:r>
          </w:p>
        </w:tc>
      </w:tr>
    </w:tbl>
    <w:p>
      <w:pPr>
        <w:spacing w:line="240" w:lineRule="auto" w:before="9"/>
        <w:rPr>
          <w:rFonts w:ascii="宋体" w:hAnsi="宋体" w:cs="宋体" w:eastAsia="宋体" w:hint="default"/>
          <w:b/>
          <w:bCs/>
          <w:sz w:val="19"/>
          <w:szCs w:val="19"/>
        </w:rPr>
      </w:pPr>
    </w:p>
    <w:p>
      <w:pPr>
        <w:pStyle w:val="Heading5"/>
        <w:spacing w:line="240" w:lineRule="auto" w:before="45"/>
        <w:ind w:right="0"/>
        <w:jc w:val="left"/>
        <w:rPr>
          <w:b w:val="0"/>
          <w:bCs w:val="0"/>
        </w:rPr>
      </w:pPr>
      <w:bookmarkStart w:name="2、薪酬政策" w:id="132"/>
      <w:bookmarkEnd w:id="132"/>
      <w:r>
        <w:rPr>
          <w:b w:val="0"/>
          <w:bCs w:val="0"/>
        </w:rPr>
      </w:r>
      <w:r>
        <w:rPr>
          <w:rFonts w:ascii="Times New Roman" w:hAnsi="Times New Roman" w:cs="Times New Roman" w:eastAsia="Times New Roman" w:hint="default"/>
          <w:spacing w:val="5"/>
        </w:rPr>
        <w:t>2</w:t>
      </w:r>
      <w:r>
        <w:rPr>
          <w:spacing w:val="5"/>
        </w:rPr>
        <w:t>、薪酬政策</w:t>
      </w:r>
      <w:r>
        <w:rPr>
          <w:b w:val="0"/>
          <w:bCs w:val="0"/>
          <w:spacing w:val="5"/>
        </w:rPr>
      </w:r>
    </w:p>
    <w:p>
      <w:pPr>
        <w:spacing w:line="240" w:lineRule="auto" w:before="9"/>
        <w:rPr>
          <w:rFonts w:ascii="宋体" w:hAnsi="宋体" w:cs="宋体" w:eastAsia="宋体" w:hint="default"/>
          <w:b/>
          <w:bCs/>
          <w:sz w:val="26"/>
          <w:szCs w:val="26"/>
        </w:rPr>
      </w:pPr>
    </w:p>
    <w:p>
      <w:pPr>
        <w:pStyle w:val="BodyText"/>
        <w:spacing w:line="321" w:lineRule="auto"/>
        <w:ind w:right="1094" w:firstLine="360"/>
        <w:jc w:val="both"/>
      </w:pPr>
      <w:r>
        <w:rPr>
          <w:spacing w:val="-2"/>
        </w:rPr>
        <w:t>本公司实行劳动合同制，按照《中华人民共和国劳动合同法》和国家及地方其他有关劳动法律、法规的规定，与员工签</w:t>
      </w:r>
      <w:r>
        <w:rPr/>
        <w:t> </w:t>
      </w:r>
      <w:r>
        <w:rPr>
          <w:spacing w:val="-1"/>
        </w:rPr>
        <w:t>订劳动合同。公司严格执行国家用工制度、劳动保护制度、社会保障制度和医疗保障制度，按照国家规定为员工缴纳医疗保</w:t>
      </w:r>
      <w:r>
        <w:rPr>
          <w:spacing w:val="-85"/>
        </w:rPr>
        <w:t> </w:t>
      </w:r>
      <w:r>
        <w:rPr>
          <w:spacing w:val="-85"/>
        </w:rPr>
      </w:r>
      <w:r>
        <w:rPr/>
        <w:t>险金、养老保险、失业保险、工伤保险、生育保险、公积金。</w:t>
      </w:r>
    </w:p>
    <w:p>
      <w:pPr>
        <w:pStyle w:val="BodyText"/>
        <w:spacing w:line="321" w:lineRule="auto" w:before="3"/>
        <w:ind w:right="1106" w:firstLine="360"/>
        <w:jc w:val="both"/>
      </w:pPr>
      <w:r>
        <w:rPr>
          <w:spacing w:val="-2"/>
        </w:rPr>
        <w:t>公司向员工提供稳定而有竞争力的薪酬，建立了一套以岗位定薪的薪酬和绩效考核体系，充分调动员工的积极性和创造</w:t>
      </w:r>
      <w:r>
        <w:rPr/>
        <w:t> </w:t>
      </w:r>
      <w:r>
        <w:rPr>
          <w:spacing w:val="-2"/>
        </w:rPr>
        <w:t>性，不断提高员工的满意度和忠诚度。同时，公司积极探索和不断完善有持久吸引力的绩效评价体系和相应的激励机制，实</w:t>
      </w:r>
      <w:r>
        <w:rPr>
          <w:spacing w:val="-42"/>
        </w:rPr>
        <w:t> </w:t>
      </w:r>
      <w:r>
        <w:rPr>
          <w:spacing w:val="-42"/>
        </w:rPr>
      </w:r>
      <w:r>
        <w:rPr/>
        <w:t>现人力资源的可持续发展，从而塑造一支高素质的人才队伍，持续增强公司的竞争实力。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5"/>
        <w:spacing w:line="240" w:lineRule="auto"/>
        <w:ind w:right="0"/>
        <w:jc w:val="left"/>
        <w:rPr>
          <w:b w:val="0"/>
          <w:bCs w:val="0"/>
        </w:rPr>
      </w:pPr>
      <w:bookmarkStart w:name="3、培训计划" w:id="133"/>
      <w:bookmarkEnd w:id="133"/>
      <w:r>
        <w:rPr>
          <w:b w:val="0"/>
          <w:bCs w:val="0"/>
        </w:rPr>
      </w:r>
      <w:r>
        <w:rPr>
          <w:rFonts w:ascii="Times New Roman" w:hAnsi="Times New Roman" w:cs="Times New Roman" w:eastAsia="Times New Roman" w:hint="default"/>
          <w:spacing w:val="5"/>
        </w:rPr>
        <w:t>3</w:t>
      </w:r>
      <w:r>
        <w:rPr>
          <w:spacing w:val="5"/>
        </w:rPr>
        <w:t>、培训计划</w:t>
      </w:r>
      <w:r>
        <w:rPr>
          <w:b w:val="0"/>
          <w:bCs w:val="0"/>
          <w:spacing w:val="5"/>
        </w:rPr>
      </w:r>
    </w:p>
    <w:p>
      <w:pPr>
        <w:spacing w:line="240" w:lineRule="auto" w:before="7"/>
        <w:rPr>
          <w:rFonts w:ascii="宋体" w:hAnsi="宋体" w:cs="宋体" w:eastAsia="宋体" w:hint="default"/>
          <w:b/>
          <w:bCs/>
          <w:sz w:val="25"/>
          <w:szCs w:val="25"/>
        </w:rPr>
      </w:pPr>
    </w:p>
    <w:p>
      <w:pPr>
        <w:pStyle w:val="BodyText"/>
        <w:spacing w:line="328" w:lineRule="auto"/>
        <w:ind w:right="1029" w:firstLine="360"/>
        <w:jc w:val="left"/>
      </w:pPr>
      <w:r>
        <w:rPr/>
        <w:t>公司自上而下构建了完善的培训体系，培训内容涵盖了新员工培训、专项技术、管理技能、经验交流等多方面的内容， </w:t>
      </w:r>
      <w:r>
        <w:rPr>
          <w:spacing w:val="-2"/>
        </w:rPr>
        <w:t>积极寻求各种有效的培训资源（如高校、政府、社会培训学校及内部优秀师资挖掘与培养等），同时全年组织员工参加各类</w:t>
      </w:r>
      <w:r>
        <w:rPr>
          <w:spacing w:val="-53"/>
        </w:rPr>
        <w:t> </w:t>
      </w:r>
      <w:r>
        <w:rPr>
          <w:spacing w:val="-53"/>
        </w:rPr>
      </w:r>
      <w:r>
        <w:rPr/>
        <w:t>职业资格考试，提升员工的工作技术水平，将</w:t>
      </w:r>
      <w:r>
        <w:rPr>
          <w:rFonts w:ascii="Times New Roman" w:hAnsi="Times New Roman" w:cs="Times New Roman" w:eastAsia="Times New Roman" w:hint="default"/>
        </w:rPr>
        <w:t>“</w:t>
      </w:r>
      <w:r>
        <w:rPr/>
        <w:t>分享</w:t>
      </w:r>
      <w:r>
        <w:rPr>
          <w:rFonts w:ascii="Times New Roman" w:hAnsi="Times New Roman" w:cs="Times New Roman" w:eastAsia="Times New Roman" w:hint="default"/>
        </w:rPr>
        <w:t>”</w:t>
      </w:r>
      <w:r>
        <w:rPr/>
        <w:t>的理念贯穿于整个培训体系。</w:t>
      </w:r>
    </w:p>
    <w:p>
      <w:pPr>
        <w:spacing w:line="240" w:lineRule="auto" w:before="6"/>
        <w:rPr>
          <w:rFonts w:ascii="宋体" w:hAnsi="宋体" w:cs="宋体" w:eastAsia="宋体" w:hint="default"/>
          <w:sz w:val="21"/>
          <w:szCs w:val="21"/>
        </w:rPr>
      </w:pPr>
    </w:p>
    <w:p>
      <w:pPr>
        <w:pStyle w:val="Heading5"/>
        <w:spacing w:line="240" w:lineRule="auto"/>
        <w:ind w:right="0"/>
        <w:jc w:val="left"/>
        <w:rPr>
          <w:b w:val="0"/>
          <w:bCs w:val="0"/>
        </w:rPr>
      </w:pPr>
      <w:bookmarkStart w:name="4、劳务外包情况" w:id="134"/>
      <w:bookmarkEnd w:id="134"/>
      <w:r>
        <w:rPr>
          <w:b w:val="0"/>
          <w:bCs w:val="0"/>
        </w:rPr>
      </w:r>
      <w:r>
        <w:rPr>
          <w:rFonts w:ascii="Times New Roman" w:hAnsi="Times New Roman" w:cs="Times New Roman" w:eastAsia="Times New Roman" w:hint="default"/>
          <w:spacing w:val="4"/>
        </w:rPr>
        <w:t>4</w:t>
      </w:r>
      <w:r>
        <w:rPr>
          <w:spacing w:val="4"/>
        </w:rPr>
        <w:t>、劳务外包情况</w:t>
      </w:r>
      <w:r>
        <w:rPr>
          <w:b w:val="0"/>
          <w:bCs w:val="0"/>
          <w:spacing w:val="4"/>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2780"/>
        <w:jc w:val="center"/>
        <w:rPr>
          <w:b w:val="0"/>
          <w:bCs w:val="0"/>
        </w:rPr>
      </w:pPr>
      <w:bookmarkStart w:name="第十节公司治理" w:id="135"/>
      <w:bookmarkEnd w:id="135"/>
      <w:r>
        <w:rPr>
          <w:b w:val="0"/>
          <w:bCs w:val="0"/>
        </w:rPr>
      </w:r>
      <w:bookmarkStart w:name="_bookmark9" w:id="136"/>
      <w:bookmarkEnd w:id="136"/>
      <w:r>
        <w:rPr>
          <w:b w:val="0"/>
          <w:bCs w:val="0"/>
        </w:rPr>
      </w:r>
      <w:r>
        <w:rPr>
          <w:spacing w:val="5"/>
        </w:rPr>
        <w:t>第十节公司治理</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1"/>
        <w:rPr>
          <w:rFonts w:ascii="宋体" w:hAnsi="宋体" w:cs="宋体" w:eastAsia="宋体" w:hint="default"/>
          <w:b/>
          <w:bCs/>
          <w:sz w:val="26"/>
          <w:szCs w:val="26"/>
        </w:rPr>
      </w:pPr>
    </w:p>
    <w:p>
      <w:pPr>
        <w:pStyle w:val="BodyText"/>
        <w:spacing w:line="316" w:lineRule="auto"/>
        <w:ind w:right="1105" w:firstLine="360"/>
        <w:jc w:val="both"/>
      </w:pPr>
      <w:r>
        <w:rPr>
          <w:spacing w:val="-2"/>
        </w:rPr>
        <w:t>报告期内，公司严格按照《公司法》、《证券法》、《上市公司治理准则》、《深圳证券交易所股票上市规则》、《深</w:t>
      </w:r>
      <w:r>
        <w:rPr/>
        <w:t> </w:t>
      </w:r>
      <w:r>
        <w:rPr>
          <w:spacing w:val="-2"/>
        </w:rPr>
        <w:t>圳证券交易所中小企业板上市公司规范运作指引》等法律法规的要求，积极履行信息披露义务，完善公司治理结构，健全内</w:t>
      </w:r>
      <w:r>
        <w:rPr>
          <w:spacing w:val="-42"/>
        </w:rPr>
        <w:t> </w:t>
      </w:r>
      <w:r>
        <w:rPr>
          <w:spacing w:val="-42"/>
        </w:rPr>
      </w:r>
      <w:r>
        <w:rPr>
          <w:spacing w:val="-2"/>
        </w:rPr>
        <w:t>部管理和控制体系，持续深入开展公司治理活动，切实维护公司及全体股东利益，确保了公司安全、稳定、健康、持续的发</w:t>
      </w:r>
      <w:r>
        <w:rPr>
          <w:spacing w:val="-65"/>
        </w:rPr>
        <w:t> </w:t>
      </w:r>
      <w:r>
        <w:rPr>
          <w:spacing w:val="-65"/>
        </w:rPr>
      </w:r>
      <w:r>
        <w:rPr/>
        <w:t>展。</w:t>
      </w:r>
    </w:p>
    <w:p>
      <w:pPr>
        <w:pStyle w:val="BodyText"/>
        <w:spacing w:line="321" w:lineRule="auto" w:before="22"/>
        <w:ind w:right="0" w:firstLine="360"/>
        <w:jc w:val="left"/>
      </w:pPr>
      <w:r>
        <w:rPr>
          <w:spacing w:val="-2"/>
        </w:rPr>
        <w:t>截止报告期末，公司的法人治理结构更加完善，公司的规范运作、治理水平进一步得到提升。公司治理的情况基本符合</w:t>
      </w:r>
      <w:r>
        <w:rPr/>
        <w:t> 中国证监会发布的有关上市公司治理的规范性文件。</w:t>
      </w:r>
    </w:p>
    <w:p>
      <w:pPr>
        <w:pStyle w:val="BodyText"/>
        <w:spacing w:line="240" w:lineRule="auto" w:before="19"/>
        <w:ind w:left="501" w:right="0"/>
        <w:jc w:val="left"/>
      </w:pPr>
      <w:r>
        <w:rPr/>
        <w:t>报告期内，公司治理具体情况如下：</w:t>
      </w:r>
    </w:p>
    <w:p>
      <w:pPr>
        <w:pStyle w:val="BodyText"/>
        <w:spacing w:line="240" w:lineRule="auto" w:before="94"/>
        <w:ind w:left="501" w:right="0"/>
        <w:jc w:val="left"/>
      </w:pPr>
      <w:r>
        <w:rPr>
          <w:rFonts w:ascii="Times New Roman" w:hAnsi="Times New Roman" w:cs="Times New Roman" w:eastAsia="Times New Roman" w:hint="default"/>
        </w:rPr>
        <w:t>1</w:t>
      </w:r>
      <w:r>
        <w:rPr/>
        <w:t>、关于股东和股东大会</w:t>
      </w:r>
    </w:p>
    <w:p>
      <w:pPr>
        <w:pStyle w:val="BodyText"/>
        <w:spacing w:line="309" w:lineRule="auto" w:before="51"/>
        <w:ind w:right="0" w:firstLine="360"/>
        <w:jc w:val="left"/>
      </w:pPr>
      <w:r>
        <w:rPr/>
        <w:t>报告期内</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公司认真贯彻落实《上市公司股东大会规则》、《深圳证券交易所中小企业板投资者权益保护指引》以及公 </w:t>
      </w:r>
      <w:r>
        <w:rPr>
          <w:spacing w:val="-2"/>
        </w:rPr>
        <w:t>司《章程》、公司《股东大会议事规则》的要求，依法规范股东大会的召集、召开、表决等程序，确保所有股东享有平等地</w:t>
      </w:r>
      <w:r>
        <w:rPr>
          <w:spacing w:val="-75"/>
        </w:rPr>
        <w:t> </w:t>
      </w:r>
      <w:r>
        <w:rPr>
          <w:spacing w:val="-75"/>
        </w:rPr>
      </w:r>
      <w:r>
        <w:rPr>
          <w:spacing w:val="-3"/>
        </w:rPr>
        <w:t>位、平等权利，为股东参加股东大会提供便利（如提供网络投票等），确保所有股东特别是中小股东能充分行使其股东权利，</w:t>
      </w:r>
      <w:r>
        <w:rPr>
          <w:spacing w:val="-75"/>
        </w:rPr>
        <w:t> </w:t>
      </w:r>
      <w:r>
        <w:rPr>
          <w:spacing w:val="-75"/>
        </w:rPr>
      </w:r>
      <w:r>
        <w:rPr/>
        <w:t>有效地保证了中小股东的权益。</w:t>
      </w:r>
    </w:p>
    <w:p>
      <w:pPr>
        <w:pStyle w:val="BodyText"/>
        <w:spacing w:line="297" w:lineRule="auto" w:before="43"/>
        <w:ind w:right="0" w:firstLine="360"/>
        <w:jc w:val="left"/>
      </w:pPr>
      <w:r>
        <w:rPr>
          <w:spacing w:val="-2"/>
        </w:rPr>
        <w:t>报告期内，公司共召开</w:t>
      </w:r>
      <w:r>
        <w:rPr>
          <w:rFonts w:ascii="Times New Roman" w:hAnsi="Times New Roman" w:cs="Times New Roman" w:eastAsia="Times New Roman" w:hint="default"/>
          <w:spacing w:val="-2"/>
        </w:rPr>
        <w:t>4</w:t>
      </w:r>
      <w:r>
        <w:rPr>
          <w:spacing w:val="-2"/>
        </w:rPr>
        <w:t>次股东大会，均由董事会召集召开，并聘请律师进行现场见证，对会议的召开程序、审议事项、</w:t>
      </w:r>
      <w:r>
        <w:rPr/>
        <w:t> </w:t>
      </w:r>
      <w:r>
        <w:rPr>
          <w:spacing w:val="-2"/>
        </w:rPr>
        <w:t>出席人身份进行确认和见证，并出具法律意见书，保证了股东大会的合法有效。根据相关法律、行政法规、部门规章、规范</w:t>
      </w:r>
      <w:r>
        <w:rPr>
          <w:spacing w:val="-72"/>
        </w:rPr>
        <w:t> </w:t>
      </w:r>
      <w:r>
        <w:rPr>
          <w:spacing w:val="-72"/>
        </w:rPr>
      </w:r>
      <w:r>
        <w:rPr>
          <w:spacing w:val="-2"/>
        </w:rPr>
        <w:t>性文件及公司章程等规定应由股东大会表决的事项均按照相应的权限审批后交由股东大会审议，不存在越权审批或先实施后</w:t>
      </w:r>
    </w:p>
    <w:p>
      <w:pPr>
        <w:pStyle w:val="BodyText"/>
        <w:spacing w:line="240" w:lineRule="auto" w:before="51"/>
        <w:ind w:right="0"/>
        <w:jc w:val="left"/>
      </w:pPr>
      <w:r>
        <w:rPr/>
        <w:t>审议的情况</w:t>
      </w:r>
      <w:r>
        <w:rPr>
          <w:rFonts w:ascii="Times New Roman" w:hAnsi="Times New Roman" w:cs="Times New Roman" w:eastAsia="Times New Roman" w:hint="default"/>
        </w:rPr>
        <w:t>,</w:t>
      </w:r>
      <w:r>
        <w:rPr/>
        <w:t>确保股东对公司决策事项的参与权和表决权。</w:t>
      </w:r>
    </w:p>
    <w:p>
      <w:pPr>
        <w:pStyle w:val="BodyText"/>
        <w:spacing w:line="290" w:lineRule="auto" w:before="66"/>
        <w:ind w:left="501" w:right="0"/>
        <w:jc w:val="left"/>
      </w:pPr>
      <w:r>
        <w:rPr>
          <w:rFonts w:ascii="Times New Roman" w:hAnsi="Times New Roman" w:cs="Times New Roman" w:eastAsia="Times New Roman" w:hint="default"/>
        </w:rPr>
        <w:t>2</w:t>
      </w:r>
      <w:r>
        <w:rPr/>
        <w:t>、关于公司与控股股东 </w:t>
      </w:r>
      <w:r>
        <w:rPr>
          <w:spacing w:val="-2"/>
        </w:rPr>
        <w:t>公司拥有独立完整的业务和自主经营能力，在业务、人员、资产、机构、财务上独立于控股股东，公司董事会、监事会</w:t>
      </w:r>
    </w:p>
    <w:p>
      <w:pPr>
        <w:pStyle w:val="BodyText"/>
        <w:spacing w:line="321" w:lineRule="auto" w:before="26"/>
        <w:ind w:right="0"/>
        <w:jc w:val="left"/>
      </w:pPr>
      <w:r>
        <w:rPr>
          <w:spacing w:val="-4"/>
        </w:rPr>
        <w:t>及各职能部门均独立运作。公司的重大决策由股东大会、董事会依法做出，公司控股股东严格按照相关法律法规规定和承诺，</w:t>
      </w:r>
      <w:r>
        <w:rPr>
          <w:spacing w:val="-50"/>
        </w:rPr>
        <w:t> </w:t>
      </w:r>
      <w:r>
        <w:rPr>
          <w:spacing w:val="-50"/>
        </w:rPr>
      </w:r>
      <w:r>
        <w:rPr>
          <w:spacing w:val="-2"/>
        </w:rPr>
        <w:t>规范自己的行为，没有直接或间接干预公司的决策和经营活动。在报告期内，控股股东严格遵守相关承诺，未与公司进行关</w:t>
      </w:r>
      <w:r>
        <w:rPr>
          <w:spacing w:val="-42"/>
        </w:rPr>
        <w:t> </w:t>
      </w:r>
      <w:r>
        <w:rPr>
          <w:spacing w:val="-42"/>
        </w:rPr>
      </w:r>
      <w:r>
        <w:rPr/>
        <w:t>联交易，也不存在控股股东占用上市公司资金的现象，公司亦无为控股股东提供担保的情形。</w:t>
      </w:r>
    </w:p>
    <w:p>
      <w:pPr>
        <w:pStyle w:val="BodyText"/>
        <w:spacing w:line="290" w:lineRule="auto" w:before="34"/>
        <w:ind w:left="501" w:right="0"/>
        <w:jc w:val="left"/>
      </w:pPr>
      <w:r>
        <w:rPr>
          <w:rFonts w:ascii="Times New Roman" w:hAnsi="Times New Roman" w:cs="Times New Roman" w:eastAsia="Times New Roman" w:hint="default"/>
        </w:rPr>
        <w:t>3</w:t>
      </w:r>
      <w:r>
        <w:rPr/>
        <w:t>、关于董事与董事会 </w:t>
      </w:r>
      <w:r>
        <w:rPr>
          <w:spacing w:val="-3"/>
        </w:rPr>
        <w:t>公司董事会严格按照《公司法》和公司《章程》、《董事会议事规则》等法律法规开展工作，公司董事的选聘程序公开、</w:t>
      </w:r>
    </w:p>
    <w:p>
      <w:pPr>
        <w:pStyle w:val="BodyText"/>
        <w:spacing w:line="314" w:lineRule="auto" w:before="41"/>
        <w:ind w:right="0"/>
        <w:jc w:val="left"/>
      </w:pPr>
      <w:r>
        <w:rPr>
          <w:spacing w:val="-2"/>
        </w:rPr>
        <w:t>公平、公正。报告期内，公司董事会设董事</w:t>
      </w:r>
      <w:r>
        <w:rPr>
          <w:rFonts w:ascii="Times New Roman" w:hAnsi="Times New Roman" w:cs="Times New Roman" w:eastAsia="Times New Roman" w:hint="default"/>
          <w:spacing w:val="-2"/>
        </w:rPr>
        <w:t>8</w:t>
      </w:r>
      <w:r>
        <w:rPr>
          <w:spacing w:val="-2"/>
        </w:rPr>
        <w:t>名，其中独立董事</w:t>
      </w:r>
      <w:r>
        <w:rPr>
          <w:rFonts w:ascii="Times New Roman" w:hAnsi="Times New Roman" w:cs="Times New Roman" w:eastAsia="Times New Roman" w:hint="default"/>
          <w:spacing w:val="-2"/>
        </w:rPr>
        <w:t>3</w:t>
      </w:r>
      <w:r>
        <w:rPr>
          <w:spacing w:val="-2"/>
        </w:rPr>
        <w:t>名，占全体董事的三分之一以上，董事人员构成和人数符合</w:t>
      </w:r>
      <w:r>
        <w:rPr>
          <w:spacing w:val="-66"/>
        </w:rPr>
        <w:t> </w:t>
      </w:r>
      <w:r>
        <w:rPr>
          <w:spacing w:val="-66"/>
        </w:rPr>
      </w:r>
      <w:r>
        <w:rPr>
          <w:spacing w:val="-2"/>
        </w:rPr>
        <w:t>法律、法规和公司《章程》的规定。董事会下设审计委员会、薪酬与考核委员会、提名委员会三个专门委员会，并制定了各</w:t>
      </w:r>
      <w:r>
        <w:rPr>
          <w:spacing w:val="-73"/>
        </w:rPr>
        <w:t> </w:t>
      </w:r>
      <w:r>
        <w:rPr>
          <w:spacing w:val="-73"/>
        </w:rPr>
      </w:r>
      <w:r>
        <w:rPr>
          <w:spacing w:val="-4"/>
        </w:rPr>
        <w:t>委员会相关的实施细则，各尽其责，极大提高了董事会办事效率。专业委员会设立以来，均严格按照相应工作制度开展工作，</w:t>
      </w:r>
      <w:r>
        <w:rPr>
          <w:spacing w:val="-50"/>
        </w:rPr>
        <w:t> </w:t>
      </w:r>
      <w:r>
        <w:rPr>
          <w:spacing w:val="-50"/>
        </w:rPr>
      </w:r>
      <w:r>
        <w:rPr>
          <w:spacing w:val="-2"/>
        </w:rPr>
        <w:t>已在公司的经营管理中充分发挥了其专业性作用。董事会严格按照公司《章程》和《董事会议事规则》等规定召集召开董事</w:t>
      </w:r>
      <w:r>
        <w:rPr>
          <w:spacing w:val="-57"/>
        </w:rPr>
        <w:t> </w:t>
      </w:r>
      <w:r>
        <w:rPr>
          <w:spacing w:val="-57"/>
        </w:rPr>
      </w:r>
      <w:r>
        <w:rPr>
          <w:spacing w:val="-1"/>
        </w:rPr>
        <w:t>会会议，执行股东大会决议；公司依法保障董事会的召集、召开程序，充分发挥董事特别是独立董事在公司规范运作中的作</w:t>
      </w:r>
      <w:r>
        <w:rPr/>
        <w:t> </w:t>
      </w:r>
      <w:r>
        <w:rPr>
          <w:spacing w:val="-2"/>
        </w:rPr>
        <w:t>用，每位独立董事均严格遵守《独立董事工作制度》，认真负责、勤勉诚信地履行各自的职责，独立董事在规范公司内部治</w:t>
      </w:r>
      <w:r>
        <w:rPr>
          <w:spacing w:val="-72"/>
        </w:rPr>
        <w:t> </w:t>
      </w:r>
      <w:r>
        <w:rPr>
          <w:spacing w:val="-72"/>
        </w:rPr>
      </w:r>
      <w:r>
        <w:rPr>
          <w:spacing w:val="-7"/>
        </w:rPr>
        <w:t>理的过程中提出了宝贵的意见与建议。全体董事能够按照《公司法》、《深圳证券交易所中小企业板上市公司董事行为指引》、</w:t>
      </w:r>
    </w:p>
    <w:p>
      <w:pPr>
        <w:pStyle w:val="BodyText"/>
        <w:spacing w:line="321" w:lineRule="auto" w:before="24"/>
        <w:ind w:right="1029"/>
        <w:jc w:val="left"/>
      </w:pPr>
      <w:r>
        <w:rPr/>
        <w:t>公司《章程》、《董事会议事规则》、《独立董事工作制度》的要求，认真开展各项工作，按时出席董事会、股东大会等， 积极参与公司经营决策，认真履行诚实守信、勤勉尽责的义务，切实维护公司和股东的合法权益。</w:t>
      </w:r>
    </w:p>
    <w:p>
      <w:pPr>
        <w:pStyle w:val="BodyText"/>
        <w:spacing w:line="240" w:lineRule="auto" w:before="33"/>
        <w:ind w:left="501" w:right="0"/>
        <w:jc w:val="left"/>
      </w:pPr>
      <w:r>
        <w:rPr/>
        <w:t>报告期内，公司共召开了</w:t>
      </w:r>
      <w:r>
        <w:rPr>
          <w:rFonts w:ascii="Times New Roman" w:hAnsi="Times New Roman" w:cs="Times New Roman" w:eastAsia="Times New Roman" w:hint="default"/>
        </w:rPr>
        <w:t>12</w:t>
      </w:r>
      <w:r>
        <w:rPr/>
        <w:t>次董事会，各位董事认真审议各项议案，履行了应尽的职责。</w:t>
      </w:r>
    </w:p>
    <w:p>
      <w:pPr>
        <w:pStyle w:val="BodyText"/>
        <w:spacing w:line="302" w:lineRule="auto" w:before="51"/>
        <w:ind w:left="501" w:right="1119"/>
        <w:jc w:val="left"/>
      </w:pPr>
      <w:r>
        <w:rPr>
          <w:rFonts w:ascii="Times New Roman" w:hAnsi="Times New Roman" w:cs="Times New Roman" w:eastAsia="Times New Roman" w:hint="default"/>
        </w:rPr>
        <w:t>4</w:t>
      </w:r>
      <w:r>
        <w:rPr/>
        <w:t>、关于监事与监事会 公司严格按照《公司法》、公司《章程》、《股东大会议事规则》规定的选聘程序选举监事。公司监事会设监事</w:t>
      </w:r>
      <w:r>
        <w:rPr>
          <w:rFonts w:ascii="Times New Roman" w:hAnsi="Times New Roman" w:cs="Times New Roman" w:eastAsia="Times New Roman" w:hint="default"/>
        </w:rPr>
        <w:t>3</w:t>
      </w:r>
      <w:r>
        <w:rPr/>
        <w:t>名，</w:t>
      </w:r>
    </w:p>
    <w:p>
      <w:pPr>
        <w:pStyle w:val="BodyText"/>
        <w:spacing w:line="304" w:lineRule="auto" w:before="14"/>
        <w:ind w:right="1106"/>
        <w:jc w:val="both"/>
      </w:pPr>
      <w:r>
        <w:rPr/>
        <w:t>其中职工代表监事</w:t>
      </w:r>
      <w:r>
        <w:rPr>
          <w:rFonts w:ascii="Times New Roman" w:hAnsi="Times New Roman" w:cs="Times New Roman" w:eastAsia="Times New Roman" w:hint="default"/>
        </w:rPr>
        <w:t>1</w:t>
      </w:r>
      <w:r>
        <w:rPr/>
        <w:t>名，占全体监事的三分之一。全体监事严格依照公司《章程》、《监事会议事规则》等制度的要求，认 </w:t>
      </w:r>
      <w:r>
        <w:rPr>
          <w:spacing w:val="-2"/>
        </w:rPr>
        <w:t>真履行自己的职责，对董事会决策程序、决议事项及公司依法运作情况实施监督，对公司财务状况、重大事项以及公司董事</w:t>
      </w:r>
      <w:r>
        <w:rPr>
          <w:spacing w:val="-42"/>
        </w:rPr>
        <w:t> </w:t>
      </w:r>
      <w:r>
        <w:rPr>
          <w:spacing w:val="-42"/>
        </w:rPr>
      </w:r>
      <w:r>
        <w:rPr/>
        <w:t>及高级管理人员履行职责的合法合规性等进行有效监督，忠实、勤勉地维护公司及股东的合法权益。</w:t>
      </w:r>
    </w:p>
    <w:p>
      <w:pPr>
        <w:spacing w:after="0" w:line="304" w:lineRule="auto"/>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95" w:lineRule="auto" w:before="44"/>
        <w:ind w:left="501" w:right="1133"/>
        <w:jc w:val="left"/>
      </w:pPr>
      <w:r>
        <w:rPr/>
        <w:t>报告期内，公司共召开</w:t>
      </w:r>
      <w:r>
        <w:rPr>
          <w:rFonts w:ascii="Times New Roman" w:hAnsi="Times New Roman" w:cs="Times New Roman" w:eastAsia="Times New Roman" w:hint="default"/>
        </w:rPr>
        <w:t>11</w:t>
      </w:r>
      <w:r>
        <w:rPr/>
        <w:t>次监事会，全体监事认真审议各项议案，有效维护了公司及股东的合法权益。</w:t>
      </w:r>
      <w:r>
        <w:rPr>
          <w:spacing w:val="-85"/>
        </w:rPr>
        <w:t> </w:t>
      </w:r>
      <w:r>
        <w:rPr>
          <w:spacing w:val="-85"/>
        </w:rPr>
      </w:r>
      <w:r>
        <w:rPr>
          <w:rFonts w:ascii="Times New Roman" w:hAnsi="Times New Roman" w:cs="Times New Roman" w:eastAsia="Times New Roman" w:hint="default"/>
        </w:rPr>
        <w:t>5</w:t>
      </w:r>
      <w:r>
        <w:rPr/>
        <w:t>、关于绩效评价与激励约束机制 </w:t>
      </w:r>
      <w:r>
        <w:rPr>
          <w:spacing w:val="-2"/>
        </w:rPr>
        <w:t>公司已经建立较为完善公正、透明的董事、监事和高级管理人员的绩效评价标准和激励约束机制，董事和高级管理人员</w:t>
      </w:r>
    </w:p>
    <w:p>
      <w:pPr>
        <w:pStyle w:val="BodyText"/>
        <w:spacing w:line="321" w:lineRule="auto" w:before="23"/>
        <w:ind w:right="1136"/>
        <w:jc w:val="both"/>
      </w:pPr>
      <w:r>
        <w:rPr>
          <w:spacing w:val="-2"/>
        </w:rPr>
        <w:t>的绩效评价由董事会下设的薪酬与考核委员会负责组织。为进一步建立和完善公司激励机制，增强公司与管理层及核心骨干</w:t>
      </w:r>
      <w:r>
        <w:rPr>
          <w:spacing w:val="-72"/>
        </w:rPr>
        <w:t> </w:t>
      </w:r>
      <w:r>
        <w:rPr>
          <w:spacing w:val="-72"/>
        </w:rPr>
      </w:r>
      <w:r>
        <w:rPr>
          <w:spacing w:val="-2"/>
        </w:rPr>
        <w:t>员工共同持续发展的理念，公司实施了股权激励计划，强化股东与核心业务人员之间的利益共享与约束机制，确保公司的长</w:t>
      </w:r>
      <w:r>
        <w:rPr>
          <w:spacing w:val="-75"/>
        </w:rPr>
        <w:t> </w:t>
      </w:r>
      <w:r>
        <w:rPr>
          <w:spacing w:val="-75"/>
        </w:rPr>
      </w:r>
      <w:r>
        <w:rPr/>
        <w:t>期稳健发展。公司高级管理人员的聘任公开、透明，符合法律、法规和公司《章程》的规定。</w:t>
      </w:r>
    </w:p>
    <w:p>
      <w:pPr>
        <w:pStyle w:val="BodyText"/>
        <w:spacing w:line="290" w:lineRule="auto" w:before="33"/>
        <w:ind w:left="501" w:right="0"/>
        <w:jc w:val="left"/>
      </w:pPr>
      <w:r>
        <w:rPr>
          <w:rFonts w:ascii="Times New Roman" w:hAnsi="Times New Roman" w:cs="Times New Roman" w:eastAsia="Times New Roman" w:hint="default"/>
        </w:rPr>
        <w:t>6</w:t>
      </w:r>
      <w:r>
        <w:rPr/>
        <w:t>、关于相关利益者 </w:t>
      </w:r>
      <w:r>
        <w:rPr>
          <w:spacing w:val="-2"/>
        </w:rPr>
        <w:t>公司重视社会责任，充分尊重和维护相关利益者的合法权益，积极与相关利益者的沟通和交流，在经济交往中做到互惠</w:t>
      </w:r>
    </w:p>
    <w:p>
      <w:pPr>
        <w:pStyle w:val="BodyText"/>
        <w:spacing w:line="240" w:lineRule="auto" w:before="26"/>
        <w:ind w:right="0"/>
        <w:jc w:val="both"/>
      </w:pPr>
      <w:r>
        <w:rPr/>
        <w:t>互利，实现社会、股东、公司、员工等各方利益的协调平衡，共同推动公司持续、稳健发展。</w:t>
      </w:r>
    </w:p>
    <w:p>
      <w:pPr>
        <w:pStyle w:val="BodyText"/>
        <w:spacing w:line="288" w:lineRule="auto" w:before="95"/>
        <w:ind w:left="501" w:right="1133"/>
        <w:jc w:val="left"/>
      </w:pPr>
      <w:r>
        <w:rPr>
          <w:rFonts w:ascii="Times New Roman" w:hAnsi="Times New Roman" w:cs="Times New Roman" w:eastAsia="Times New Roman" w:hint="default"/>
        </w:rPr>
        <w:t>7</w:t>
      </w:r>
      <w:r>
        <w:rPr/>
        <w:t>、关于信息披露与透明度 </w:t>
      </w:r>
      <w:r>
        <w:rPr>
          <w:spacing w:val="-2"/>
        </w:rPr>
        <w:t>公司严格按照《信息披露事务管理制度》、《投资者关系管理制度》、《年报信息披露重大差错责任追究制度》、《内</w:t>
      </w:r>
    </w:p>
    <w:p>
      <w:pPr>
        <w:pStyle w:val="BodyText"/>
        <w:spacing w:line="240" w:lineRule="auto" w:before="44"/>
        <w:ind w:right="0"/>
        <w:jc w:val="both"/>
      </w:pPr>
      <w:r>
        <w:rPr/>
        <w:t>幕信息知情人登记管理制度》的要求，切实履行信息披露义务，指定《证券时报》、《中国证券报》和巨潮资讯网</w:t>
      </w:r>
    </w:p>
    <w:p>
      <w:pPr>
        <w:pStyle w:val="BodyText"/>
        <w:spacing w:line="297" w:lineRule="auto" w:before="95"/>
        <w:ind w:right="0"/>
        <w:jc w:val="left"/>
      </w:pPr>
      <w:r>
        <w:rPr>
          <w:rFonts w:ascii="Times New Roman" w:hAnsi="Times New Roman" w:cs="Times New Roman" w:eastAsia="Times New Roman" w:hint="default"/>
        </w:rPr>
        <w:t>(http://www.cninfo.com.cn)</w:t>
      </w:r>
      <w:r>
        <w:rPr/>
        <w:t>为公司信息披露的报纸和网站。报告期内，公司定期组织投资者调研沟通活动，通过与投资者面 </w:t>
      </w:r>
      <w:r>
        <w:rPr>
          <w:spacing w:val="-2"/>
        </w:rPr>
        <w:t>对面的交流以及接待投资者实地调研，详细介绍公司业务、战略规划等，与投资者及时有效沟通，并将实地调研记录及时的</w:t>
      </w:r>
      <w:r>
        <w:rPr>
          <w:spacing w:val="-42"/>
        </w:rPr>
        <w:t> </w:t>
      </w:r>
      <w:r>
        <w:rPr>
          <w:spacing w:val="-42"/>
        </w:rPr>
      </w:r>
      <w:r>
        <w:rPr>
          <w:spacing w:val="-2"/>
        </w:rPr>
        <w:t>在网上予以公告，保证全体投资者平等的共享相关信息；公司建立了畅通的沟通渠道，通过投资者专线、投资者关系互动平</w:t>
      </w:r>
    </w:p>
    <w:p>
      <w:pPr>
        <w:pStyle w:val="BodyText"/>
        <w:spacing w:line="321" w:lineRule="auto" w:before="36"/>
        <w:ind w:right="1106"/>
        <w:jc w:val="both"/>
      </w:pPr>
      <w:r>
        <w:rPr>
          <w:spacing w:val="-2"/>
        </w:rPr>
        <w:t>台及业绩说明会等形式，与投资者保持良好沟通，增强投资者对公司的认可和了解。同时，公司建立了信息披露重大差错责</w:t>
      </w:r>
      <w:r>
        <w:rPr>
          <w:spacing w:val="-42"/>
        </w:rPr>
        <w:t> </w:t>
      </w:r>
      <w:r>
        <w:rPr>
          <w:spacing w:val="-42"/>
        </w:rPr>
      </w:r>
      <w:r>
        <w:rPr>
          <w:spacing w:val="-2"/>
        </w:rPr>
        <w:t>任追究机制，加大了对年报信息披露责任人的问责力度，提高年报信息披露质量和透明度；建立了内幕信息知情人登记管理</w:t>
      </w:r>
      <w:r>
        <w:rPr>
          <w:spacing w:val="-75"/>
        </w:rPr>
        <w:t> </w:t>
      </w:r>
      <w:r>
        <w:rPr>
          <w:spacing w:val="-75"/>
        </w:rPr>
      </w:r>
      <w:r>
        <w:rPr/>
        <w:t>机制，明确了对内幕信息知情人的管理和责任追究。</w:t>
      </w:r>
    </w:p>
    <w:p>
      <w:pPr>
        <w:pStyle w:val="BodyText"/>
        <w:spacing w:line="240" w:lineRule="auto" w:before="4"/>
        <w:ind w:left="501" w:right="0"/>
        <w:jc w:val="left"/>
      </w:pPr>
      <w:r>
        <w:rPr/>
        <w:t>报告期内，公司真实、准确、完整、及时地披露信息，确保所有投资者公平的获取公司信息。</w:t>
      </w:r>
    </w:p>
    <w:p>
      <w:pPr>
        <w:pStyle w:val="BodyText"/>
        <w:spacing w:line="290" w:lineRule="auto" w:before="94"/>
        <w:ind w:left="501" w:right="0"/>
        <w:jc w:val="left"/>
      </w:pPr>
      <w:r>
        <w:rPr>
          <w:rFonts w:ascii="Times New Roman" w:hAnsi="Times New Roman" w:cs="Times New Roman" w:eastAsia="Times New Roman" w:hint="default"/>
        </w:rPr>
        <w:t>8</w:t>
      </w:r>
      <w:r>
        <w:rPr/>
        <w:t>、内部审计制度 </w:t>
      </w:r>
      <w:r>
        <w:rPr>
          <w:spacing w:val="-2"/>
        </w:rPr>
        <w:t>公司已建立并逐步完善内部审计制度，设置内部审计部门，对公司的日常运行、重大事项等进行有效控制。公司董事会</w:t>
      </w:r>
    </w:p>
    <w:p>
      <w:pPr>
        <w:pStyle w:val="BodyText"/>
        <w:spacing w:line="314" w:lineRule="auto" w:before="41"/>
        <w:ind w:right="1136"/>
        <w:jc w:val="both"/>
      </w:pPr>
      <w:r>
        <w:rPr>
          <w:spacing w:val="-2"/>
        </w:rPr>
        <w:t>下设审计委员会，主要负责公司内部、外部审计的沟通、监督、会议组织和核查工作。报告期内，公司根据有关法律、法规</w:t>
      </w:r>
      <w:r>
        <w:rPr>
          <w:spacing w:val="-73"/>
        </w:rPr>
        <w:t> </w:t>
      </w:r>
      <w:r>
        <w:rPr>
          <w:spacing w:val="-73"/>
        </w:rPr>
      </w:r>
      <w:r>
        <w:rPr>
          <w:spacing w:val="-2"/>
        </w:rPr>
        <w:t>的要求以及公司《内部审计制度》的规定加强对公司内部控制和风险管理、对财务信息的真实性和完整性以及经营活动的效</w:t>
      </w:r>
      <w:r>
        <w:rPr>
          <w:spacing w:val="-75"/>
        </w:rPr>
        <w:t> </w:t>
      </w:r>
      <w:r>
        <w:rPr>
          <w:spacing w:val="-75"/>
        </w:rPr>
      </w:r>
      <w:r>
        <w:rPr/>
        <w:t>率和效果等检查监督。</w:t>
      </w:r>
    </w:p>
    <w:p>
      <w:pPr>
        <w:spacing w:line="240" w:lineRule="auto" w:before="0"/>
        <w:rPr>
          <w:rFonts w:ascii="宋体" w:hAnsi="宋体" w:cs="宋体" w:eastAsia="宋体" w:hint="default"/>
          <w:sz w:val="18"/>
          <w:szCs w:val="18"/>
        </w:rPr>
      </w:pPr>
    </w:p>
    <w:p>
      <w:pPr>
        <w:pStyle w:val="BodyText"/>
        <w:spacing w:line="240" w:lineRule="auto" w:before="148"/>
        <w:ind w:right="0"/>
        <w:jc w:val="both"/>
      </w:pPr>
      <w:r>
        <w:rPr/>
        <w:t>公司治理的实际状况与中国证监会发布的有关上市公司治理的规范性文件是否存在重大差异</w:t>
      </w:r>
    </w:p>
    <w:p>
      <w:pPr>
        <w:pStyle w:val="BodyText"/>
        <w:spacing w:line="333" w:lineRule="auto" w:before="124"/>
        <w:ind w:right="35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公司治理的实际状况与中国证监会发布的有关上市公司治理的规范性文件不存在重大差异。</w:t>
      </w:r>
    </w:p>
    <w:p>
      <w:pPr>
        <w:spacing w:line="240" w:lineRule="auto" w:before="8"/>
        <w:rPr>
          <w:rFonts w:ascii="宋体" w:hAnsi="宋体" w:cs="宋体" w:eastAsia="宋体" w:hint="default"/>
          <w:sz w:val="20"/>
          <w:szCs w:val="20"/>
        </w:rPr>
      </w:pPr>
    </w:p>
    <w:p>
      <w:pPr>
        <w:pStyle w:val="Heading2"/>
        <w:spacing w:line="240" w:lineRule="auto"/>
        <w:ind w:right="0"/>
        <w:jc w:val="both"/>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13"/>
        <w:rPr>
          <w:rFonts w:ascii="宋体" w:hAnsi="宋体" w:cs="宋体" w:eastAsia="宋体" w:hint="default"/>
          <w:b/>
          <w:bCs/>
          <w:sz w:val="24"/>
          <w:szCs w:val="24"/>
        </w:rPr>
      </w:pPr>
    </w:p>
    <w:p>
      <w:pPr>
        <w:pStyle w:val="BodyText"/>
        <w:spacing w:line="321" w:lineRule="auto"/>
        <w:ind w:right="1029" w:firstLine="360"/>
        <w:jc w:val="left"/>
      </w:pPr>
      <w:r>
        <w:rPr>
          <w:spacing w:val="-2"/>
        </w:rPr>
        <w:t>公司自成立以来，严格按照《公司法》、《证券法》等有关法律、法规和公司《章程》的要求规范运作，建立健全公司</w:t>
      </w:r>
      <w:r>
        <w:rPr/>
        <w:t> 法人治理结构，在业务、人员、资产、机构、财务等方面均独立于控股股东、实际控制人及其控制的其他企业，具有独立、 完整的业务体系，具备面向市场独立自主经营的能力。报告期内，公司经营管理稳定，内部机构完善，能够独立规范运作， 与控股股东不存在关联交易，也不存在控股股东占用上市公司资金的现象。</w:t>
      </w:r>
    </w:p>
    <w:p>
      <w:pPr>
        <w:pStyle w:val="BodyText"/>
        <w:spacing w:line="304" w:lineRule="auto" w:before="18"/>
        <w:ind w:right="0" w:firstLine="360"/>
        <w:jc w:val="left"/>
      </w:pPr>
      <w:r>
        <w:rPr>
          <w:rFonts w:ascii="Times New Roman" w:hAnsi="Times New Roman" w:cs="Times New Roman" w:eastAsia="Times New Roman" w:hint="default"/>
        </w:rPr>
        <w:t>1</w:t>
      </w:r>
      <w:r>
        <w:rPr/>
        <w:t>、业务独立：公司已经建立了符合现代企业制度要求的法人治理结构和内部组织结构，在生产经营上独立运作。独立 </w:t>
      </w:r>
      <w:r>
        <w:rPr>
          <w:spacing w:val="-4"/>
        </w:rPr>
        <w:t>作出生产经营决策，独立对外签订合同，独立承担责任与风险，形成了独立完整的业务体系，具备面向市场自主经营的能力，</w:t>
      </w:r>
      <w:r>
        <w:rPr>
          <w:spacing w:val="-50"/>
        </w:rPr>
        <w:t> </w:t>
      </w:r>
      <w:r>
        <w:rPr>
          <w:spacing w:val="-50"/>
        </w:rPr>
      </w:r>
      <w:r>
        <w:rPr/>
        <w:t>业务上不依赖于控股股东或其他任何关联方，控股股东不存在直接或间接干预公司经营运作的情形。</w:t>
      </w:r>
    </w:p>
    <w:p>
      <w:pPr>
        <w:pStyle w:val="BodyText"/>
        <w:spacing w:line="304" w:lineRule="auto" w:before="46"/>
        <w:ind w:right="1106" w:firstLine="360"/>
        <w:jc w:val="both"/>
      </w:pPr>
      <w:r>
        <w:rPr>
          <w:rFonts w:ascii="Times New Roman" w:hAnsi="Times New Roman" w:cs="Times New Roman" w:eastAsia="Times New Roman" w:hint="default"/>
        </w:rPr>
        <w:t>2</w:t>
      </w:r>
      <w:r>
        <w:rPr/>
        <w:t>、人员独立：公司的人员独立于控股股东、实际控制人及其控制的其他企业。公司设有人力资源部，制订了严格的员 </w:t>
      </w:r>
      <w:r>
        <w:rPr>
          <w:spacing w:val="-2"/>
        </w:rPr>
        <w:t>工聘用、考评、晋升等完整的劳动用工制度，与所有员工已签订了《劳动合同》，公司员工执行独立的劳动、人事及工资管</w:t>
      </w:r>
      <w:r>
        <w:rPr>
          <w:spacing w:val="-67"/>
        </w:rPr>
        <w:t> </w:t>
      </w:r>
      <w:r>
        <w:rPr>
          <w:spacing w:val="-67"/>
        </w:rPr>
      </w:r>
      <w:r>
        <w:rPr>
          <w:spacing w:val="-2"/>
        </w:rPr>
        <w:t>理制度。公司的董事、监事、高级管理人员的任职，均按照《公司法》及其他法律、法规、规范性文件、《公司章程》规定</w:t>
      </w:r>
      <w:r>
        <w:rPr>
          <w:spacing w:val="-42"/>
        </w:rPr>
        <w:t> </w:t>
      </w:r>
      <w:r>
        <w:rPr>
          <w:spacing w:val="-42"/>
        </w:rPr>
      </w:r>
      <w:r>
        <w:rPr/>
        <w:t>的程序进行，不存在控股股东干预公司董事会和股东大会作出人事任免决定的情况。</w:t>
      </w:r>
    </w:p>
    <w:p>
      <w:pPr>
        <w:pStyle w:val="BodyText"/>
        <w:spacing w:line="290" w:lineRule="auto" w:before="46"/>
        <w:ind w:right="1119" w:firstLine="360"/>
        <w:jc w:val="left"/>
      </w:pPr>
      <w:r>
        <w:rPr>
          <w:rFonts w:ascii="Times New Roman" w:hAnsi="Times New Roman" w:cs="Times New Roman" w:eastAsia="Times New Roman" w:hint="default"/>
        </w:rPr>
        <w:t>3</w:t>
      </w:r>
      <w:r>
        <w:rPr/>
        <w:t>、资产独立：公司与控股股东、实际控制人及其控制的其他企业产权关系明确，对所有资产拥有完全的控制支配权， </w:t>
      </w:r>
      <w:r>
        <w:rPr>
          <w:spacing w:val="-2"/>
        </w:rPr>
        <w:t>不存在资产、资金被各股东、实际控制人及其控制的其他企业违规占用而损害公司利益的情况。公司合法拥有与经营有关的</w:t>
      </w:r>
    </w:p>
    <w:p>
      <w:pPr>
        <w:spacing w:after="0" w:line="29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0"/>
        <w:jc w:val="left"/>
      </w:pPr>
      <w:r>
        <w:rPr>
          <w:spacing w:val="-2"/>
        </w:rPr>
        <w:t>资产、专利技术及商标的所有权，公司的资产独立完整。公司资产与股东资产严格分开，并完全独立运营，没有依赖股东资</w:t>
      </w:r>
      <w:r>
        <w:rPr>
          <w:spacing w:val="-51"/>
        </w:rPr>
        <w:t> </w:t>
      </w:r>
      <w:r>
        <w:rPr>
          <w:spacing w:val="-51"/>
        </w:rPr>
      </w:r>
      <w:r>
        <w:rPr/>
        <w:t>产进行生产经营的情况。</w:t>
      </w:r>
    </w:p>
    <w:p>
      <w:pPr>
        <w:pStyle w:val="BodyText"/>
        <w:spacing w:line="297" w:lineRule="auto" w:before="33"/>
        <w:ind w:right="1014" w:firstLine="360"/>
        <w:jc w:val="left"/>
      </w:pPr>
      <w:r>
        <w:rPr>
          <w:rFonts w:ascii="Times New Roman" w:hAnsi="Times New Roman" w:cs="Times New Roman" w:eastAsia="Times New Roman" w:hint="default"/>
        </w:rPr>
        <w:t>4</w:t>
      </w:r>
      <w:r>
        <w:rPr/>
        <w:t>、机构独立：公司拥有独立的生产经营和办公场所，与控股股东、实际控制人及其控制的其他企业间不存在混合经营 </w:t>
      </w:r>
      <w:r>
        <w:rPr>
          <w:spacing w:val="-3"/>
        </w:rPr>
        <w:t>的情形。公司设立健全的组织体系，股东大会、董事会、监事会及各职能部门均独立运作，各组织机构依法行使各自的职权；</w:t>
      </w:r>
      <w:r>
        <w:rPr>
          <w:spacing w:val="-80"/>
        </w:rPr>
        <w:t> </w:t>
      </w:r>
      <w:r>
        <w:rPr>
          <w:spacing w:val="-80"/>
        </w:rPr>
      </w:r>
      <w:r>
        <w:rPr/>
        <w:t>公司建立了独立的、适应自身发展需要的职能部门，制订了完善的岗位职责和管理制度，各部门按照规定的职责分工协作。</w:t>
      </w:r>
    </w:p>
    <w:p>
      <w:pPr>
        <w:pStyle w:val="BodyText"/>
        <w:spacing w:line="240" w:lineRule="auto" w:before="37"/>
        <w:ind w:right="0"/>
        <w:jc w:val="left"/>
      </w:pPr>
      <w:r>
        <w:rPr/>
        <w:t>公司各职能部门与控股股东及实际控制人控制的其他企业完全分开，独立运作，不受控股股东和实际控制人的干预。</w:t>
      </w:r>
    </w:p>
    <w:p>
      <w:pPr>
        <w:pStyle w:val="BodyText"/>
        <w:spacing w:line="304" w:lineRule="auto" w:before="94"/>
        <w:ind w:right="1029" w:firstLine="360"/>
        <w:jc w:val="left"/>
      </w:pPr>
      <w:r>
        <w:rPr>
          <w:rFonts w:ascii="Times New Roman" w:hAnsi="Times New Roman" w:cs="Times New Roman" w:eastAsia="Times New Roman" w:hint="default"/>
          <w:spacing w:val="-2"/>
        </w:rPr>
        <w:t>5</w:t>
      </w:r>
      <w:r>
        <w:rPr>
          <w:spacing w:val="-2"/>
        </w:rPr>
        <w:t>、财务独立：公司设立独立的财务会计部门，依据《中华人民共和国会计法》、《企业会计准则》建立了独立、完整、</w:t>
      </w:r>
      <w:r>
        <w:rPr/>
        <w:t> 规范的财务核算体系和规范的财务管理制度，并建立相应的内部控制制度，独立作出财务决策，实施严格的内部审计制度。 </w:t>
      </w:r>
      <w:r>
        <w:rPr>
          <w:spacing w:val="-2"/>
        </w:rPr>
        <w:t>公司在银行单独开立账户，拥有独立的银行账号；公司作为独立的纳税人，依法独立履行纳税义务。公司不存在为控股股东</w:t>
      </w:r>
      <w:r>
        <w:rPr>
          <w:spacing w:val="-42"/>
        </w:rPr>
        <w:t> </w:t>
      </w:r>
      <w:r>
        <w:rPr>
          <w:spacing w:val="-42"/>
        </w:rPr>
      </w:r>
      <w:r>
        <w:rPr/>
        <w:t>提供担保，也不存在资产、资金被控股股东占用或其它损害公司利益的情况。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5"/>
        <w:ind w:right="0"/>
        <w:jc w:val="left"/>
        <w:rPr>
          <w:b w:val="0"/>
          <w:bCs w:val="0"/>
        </w:rPr>
      </w:pPr>
      <w:bookmarkStart w:name="三、同业竞争情况" w:id="139"/>
      <w:bookmarkEnd w:id="139"/>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rPr>
          <w:b w:val="0"/>
          <w:bCs w:val="0"/>
        </w:rPr>
      </w:pPr>
      <w:bookmarkStart w:name="1、本报告期股东大会情况" w:id="141"/>
      <w:bookmarkEnd w:id="141"/>
      <w:r>
        <w:rPr>
          <w:b w:val="0"/>
          <w:bCs w:val="0"/>
        </w:rPr>
      </w:r>
      <w:r>
        <w:rPr>
          <w:rFonts w:ascii="Times New Roman" w:hAnsi="Times New Roman" w:cs="Times New Roman" w:eastAsia="Times New Roman" w:hint="default"/>
          <w:spacing w:val="5"/>
        </w:rPr>
        <w:t>1</w:t>
      </w:r>
      <w:r>
        <w:rPr>
          <w:spacing w:val="5"/>
        </w:rPr>
        <w:t>、本报告期股东大会情况</w:t>
      </w:r>
      <w:r>
        <w:rPr>
          <w:b w:val="0"/>
          <w:bCs w:val="0"/>
          <w:spacing w:val="5"/>
        </w:rPr>
      </w: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34"/>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9"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82"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76" w:lineRule="auto" w:before="134"/>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31.88%</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14"/>
              <w:jc w:val="both"/>
              <w:rPr>
                <w:rFonts w:ascii="宋体" w:hAnsi="宋体" w:cs="宋体" w:eastAsia="宋体" w:hint="default"/>
                <w:sz w:val="18"/>
                <w:szCs w:val="18"/>
              </w:rPr>
            </w:pPr>
            <w:r>
              <w:rPr>
                <w:rFonts w:ascii="宋体" w:hAnsi="宋体" w:cs="宋体" w:eastAsia="宋体" w:hint="default"/>
                <w:spacing w:val="-9"/>
                <w:sz w:val="18"/>
                <w:szCs w:val="18"/>
              </w:rPr>
              <w:t>具体内容详见《证券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时报》、《中国证券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316" w:lineRule="auto" w:before="81"/>
              <w:ind w:left="30" w:right="40"/>
              <w:jc w:val="both"/>
              <w:rPr>
                <w:rFonts w:ascii="宋体" w:hAnsi="宋体" w:cs="宋体" w:eastAsia="宋体" w:hint="default"/>
                <w:sz w:val="18"/>
                <w:szCs w:val="18"/>
              </w:rPr>
            </w:pPr>
            <w:hyperlink r:id="rId20">
              <w:r>
                <w:rPr>
                  <w:rFonts w:ascii="Times New Roman" w:hAnsi="Times New Roman" w:cs="Times New Roman" w:eastAsia="Times New Roman" w:hint="default"/>
                  <w:sz w:val="18"/>
                  <w:szCs w:val="18"/>
                </w:rPr>
                <w:t>(ht</w:t>
              </w:r>
            </w:hyperlink>
            <w:r>
              <w:rPr>
                <w:rFonts w:ascii="Times New Roman" w:hAnsi="Times New Roman" w:cs="Times New Roman" w:eastAsia="Times New Roman" w:hint="default"/>
                <w:sz w:val="18"/>
                <w:szCs w:val="18"/>
              </w:rPr>
              <w:t>t</w:t>
            </w:r>
            <w:hyperlink r:id="rId20">
              <w:r>
                <w:rPr>
                  <w:rFonts w:ascii="Times New Roman" w:hAnsi="Times New Roman" w:cs="Times New Roman" w:eastAsia="Times New Roman" w:hint="default"/>
                  <w:sz w:val="18"/>
                  <w:szCs w:val="18"/>
                </w:rPr>
                <w:t>p://www.cninfo.c</w:t>
              </w:r>
            </w:hyperlink>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om.cn)</w:t>
            </w:r>
            <w:r>
              <w:rPr>
                <w:rFonts w:ascii="宋体" w:hAnsi="宋体" w:cs="宋体" w:eastAsia="宋体" w:hint="default"/>
                <w:sz w:val="18"/>
                <w:szCs w:val="18"/>
              </w:rPr>
              <w:t>披露的公告</w:t>
            </w:r>
          </w:p>
          <w:p>
            <w:pPr>
              <w:pStyle w:val="TableParagraph"/>
              <w:spacing w:line="208" w:lineRule="exact"/>
              <w:ind w:left="30"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95"/>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2019-012</w:t>
            </w:r>
            <w:r>
              <w:rPr>
                <w:rFonts w:ascii="宋体" w:hAnsi="宋体" w:cs="宋体" w:eastAsia="宋体" w:hint="default"/>
                <w:sz w:val="18"/>
                <w:szCs w:val="18"/>
              </w:rPr>
              <w:t>）</w:t>
            </w:r>
          </w:p>
        </w:tc>
      </w:tr>
      <w:tr>
        <w:trPr>
          <w:trHeight w:val="2267"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90" w:lineRule="auto" w:before="119"/>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32.09%</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4"/>
              <w:jc w:val="both"/>
              <w:rPr>
                <w:rFonts w:ascii="宋体" w:hAnsi="宋体" w:cs="宋体" w:eastAsia="宋体" w:hint="default"/>
                <w:sz w:val="18"/>
                <w:szCs w:val="18"/>
              </w:rPr>
            </w:pPr>
            <w:r>
              <w:rPr>
                <w:rFonts w:ascii="宋体" w:hAnsi="宋体" w:cs="宋体" w:eastAsia="宋体" w:hint="default"/>
                <w:spacing w:val="-9"/>
                <w:sz w:val="18"/>
                <w:szCs w:val="18"/>
              </w:rPr>
              <w:t>具体内容详见《证券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时报》、《中国证券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316" w:lineRule="auto" w:before="60"/>
              <w:ind w:left="30" w:right="40"/>
              <w:jc w:val="both"/>
              <w:rPr>
                <w:rFonts w:ascii="宋体" w:hAnsi="宋体" w:cs="宋体" w:eastAsia="宋体" w:hint="default"/>
                <w:sz w:val="18"/>
                <w:szCs w:val="18"/>
              </w:rPr>
            </w:pPr>
            <w:hyperlink r:id="rId20">
              <w:r>
                <w:rPr>
                  <w:rFonts w:ascii="Times New Roman" w:hAnsi="Times New Roman" w:cs="Times New Roman" w:eastAsia="Times New Roman" w:hint="default"/>
                  <w:sz w:val="18"/>
                  <w:szCs w:val="18"/>
                </w:rPr>
                <w:t>(ht</w:t>
              </w:r>
            </w:hyperlink>
            <w:r>
              <w:rPr>
                <w:rFonts w:ascii="Times New Roman" w:hAnsi="Times New Roman" w:cs="Times New Roman" w:eastAsia="Times New Roman" w:hint="default"/>
                <w:sz w:val="18"/>
                <w:szCs w:val="18"/>
              </w:rPr>
              <w:t>t</w:t>
            </w:r>
            <w:hyperlink r:id="rId20">
              <w:r>
                <w:rPr>
                  <w:rFonts w:ascii="Times New Roman" w:hAnsi="Times New Roman" w:cs="Times New Roman" w:eastAsia="Times New Roman" w:hint="default"/>
                  <w:sz w:val="18"/>
                  <w:szCs w:val="18"/>
                </w:rPr>
                <w:t>p://www.cninfo.c</w:t>
              </w:r>
            </w:hyperlink>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om.cn)</w:t>
            </w:r>
            <w:r>
              <w:rPr>
                <w:rFonts w:ascii="宋体" w:hAnsi="宋体" w:cs="宋体" w:eastAsia="宋体" w:hint="default"/>
                <w:sz w:val="18"/>
                <w:szCs w:val="18"/>
              </w:rPr>
              <w:t>披露的公告</w:t>
            </w:r>
          </w:p>
          <w:p>
            <w:pPr>
              <w:pStyle w:val="TableParagraph"/>
              <w:spacing w:line="223" w:lineRule="exact"/>
              <w:ind w:left="30"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95"/>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2019-025</w:t>
            </w:r>
            <w:r>
              <w:rPr>
                <w:rFonts w:ascii="宋体" w:hAnsi="宋体" w:cs="宋体" w:eastAsia="宋体" w:hint="default"/>
                <w:sz w:val="18"/>
                <w:szCs w:val="18"/>
              </w:rPr>
              <w:t>）</w:t>
            </w:r>
          </w:p>
        </w:tc>
      </w:tr>
      <w:tr>
        <w:trPr>
          <w:trHeight w:val="2282"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29.98%</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14"/>
              <w:jc w:val="both"/>
              <w:rPr>
                <w:rFonts w:ascii="宋体" w:hAnsi="宋体" w:cs="宋体" w:eastAsia="宋体" w:hint="default"/>
                <w:sz w:val="18"/>
                <w:szCs w:val="18"/>
              </w:rPr>
            </w:pPr>
            <w:r>
              <w:rPr>
                <w:rFonts w:ascii="宋体" w:hAnsi="宋体" w:cs="宋体" w:eastAsia="宋体" w:hint="default"/>
                <w:spacing w:val="-9"/>
                <w:sz w:val="18"/>
                <w:szCs w:val="18"/>
              </w:rPr>
              <w:t>具体内容详见《证券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时报》、《中国证券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316" w:lineRule="auto" w:before="81"/>
              <w:ind w:left="30" w:right="40"/>
              <w:jc w:val="both"/>
              <w:rPr>
                <w:rFonts w:ascii="宋体" w:hAnsi="宋体" w:cs="宋体" w:eastAsia="宋体" w:hint="default"/>
                <w:sz w:val="18"/>
                <w:szCs w:val="18"/>
              </w:rPr>
            </w:pPr>
            <w:hyperlink r:id="rId20">
              <w:r>
                <w:rPr>
                  <w:rFonts w:ascii="Times New Roman" w:hAnsi="Times New Roman" w:cs="Times New Roman" w:eastAsia="Times New Roman" w:hint="default"/>
                  <w:sz w:val="18"/>
                  <w:szCs w:val="18"/>
                </w:rPr>
                <w:t>(ht</w:t>
              </w:r>
            </w:hyperlink>
            <w:r>
              <w:rPr>
                <w:rFonts w:ascii="Times New Roman" w:hAnsi="Times New Roman" w:cs="Times New Roman" w:eastAsia="Times New Roman" w:hint="default"/>
                <w:sz w:val="18"/>
                <w:szCs w:val="18"/>
              </w:rPr>
              <w:t>t</w:t>
            </w:r>
            <w:hyperlink r:id="rId20">
              <w:r>
                <w:rPr>
                  <w:rFonts w:ascii="Times New Roman" w:hAnsi="Times New Roman" w:cs="Times New Roman" w:eastAsia="Times New Roman" w:hint="default"/>
                  <w:sz w:val="18"/>
                  <w:szCs w:val="18"/>
                </w:rPr>
                <w:t>p://www.cninfo.c</w:t>
              </w:r>
            </w:hyperlink>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om.cn)</w:t>
            </w:r>
            <w:r>
              <w:rPr>
                <w:rFonts w:ascii="宋体" w:hAnsi="宋体" w:cs="宋体" w:eastAsia="宋体" w:hint="default"/>
                <w:sz w:val="18"/>
                <w:szCs w:val="18"/>
              </w:rPr>
              <w:t>披露的公告</w:t>
            </w:r>
          </w:p>
          <w:p>
            <w:pPr>
              <w:pStyle w:val="TableParagraph"/>
              <w:spacing w:line="223" w:lineRule="exact"/>
              <w:ind w:left="30" w:right="0"/>
              <w:jc w:val="both"/>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80"/>
              <w:ind w:left="3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2019-060</w:t>
            </w:r>
            <w:r>
              <w:rPr>
                <w:rFonts w:ascii="宋体" w:hAnsi="宋体" w:cs="宋体" w:eastAsia="宋体" w:hint="default"/>
                <w:sz w:val="18"/>
                <w:szCs w:val="18"/>
              </w:rPr>
              <w:t>）</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年第三次临时</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27.43%</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3" w:right="0"/>
              <w:jc w:val="center"/>
              <w:rPr>
                <w:rFonts w:ascii="宋体" w:hAnsi="宋体" w:cs="宋体" w:eastAsia="宋体" w:hint="default"/>
                <w:sz w:val="18"/>
                <w:szCs w:val="18"/>
              </w:rPr>
            </w:pPr>
            <w:r>
              <w:rPr>
                <w:rFonts w:ascii="宋体" w:hAnsi="宋体" w:cs="宋体" w:eastAsia="宋体" w:hint="default"/>
                <w:sz w:val="18"/>
                <w:szCs w:val="18"/>
              </w:rPr>
              <w:t>具体内容详</w:t>
            </w:r>
            <w:r>
              <w:rPr>
                <w:rFonts w:ascii="宋体" w:hAnsi="宋体" w:cs="宋体" w:eastAsia="宋体" w:hint="default"/>
                <w:spacing w:val="-76"/>
                <w:sz w:val="18"/>
                <w:szCs w:val="18"/>
              </w:rPr>
              <w:t>见</w:t>
            </w:r>
            <w:r>
              <w:rPr>
                <w:rFonts w:ascii="宋体" w:hAnsi="宋体" w:cs="宋体" w:eastAsia="宋体" w:hint="default"/>
                <w:sz w:val="18"/>
                <w:szCs w:val="18"/>
              </w:rPr>
              <w:t>《证券</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19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30" w:right="29"/>
              <w:jc w:val="left"/>
              <w:rPr>
                <w:rFonts w:ascii="宋体" w:hAnsi="宋体" w:cs="宋体" w:eastAsia="宋体" w:hint="default"/>
                <w:sz w:val="18"/>
                <w:szCs w:val="18"/>
              </w:rPr>
            </w:pPr>
            <w:r>
              <w:rPr>
                <w:rFonts w:ascii="宋体" w:hAnsi="宋体" w:cs="宋体" w:eastAsia="宋体" w:hint="default"/>
                <w:spacing w:val="-11"/>
                <w:sz w:val="18"/>
                <w:szCs w:val="18"/>
              </w:rPr>
              <w:t>时报》、《中国证券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报》和巨潮资讯网</w:t>
            </w:r>
          </w:p>
          <w:p>
            <w:pPr>
              <w:pStyle w:val="TableParagraph"/>
              <w:spacing w:line="316" w:lineRule="auto" w:before="88"/>
              <w:ind w:left="30" w:right="40"/>
              <w:jc w:val="left"/>
              <w:rPr>
                <w:rFonts w:ascii="宋体" w:hAnsi="宋体" w:cs="宋体" w:eastAsia="宋体" w:hint="default"/>
                <w:sz w:val="18"/>
                <w:szCs w:val="18"/>
              </w:rPr>
            </w:pPr>
            <w:hyperlink r:id="rId20">
              <w:r>
                <w:rPr>
                  <w:rFonts w:ascii="Times New Roman" w:hAnsi="Times New Roman" w:cs="Times New Roman" w:eastAsia="Times New Roman" w:hint="default"/>
                  <w:sz w:val="18"/>
                  <w:szCs w:val="18"/>
                </w:rPr>
                <w:t>(ht</w:t>
              </w:r>
            </w:hyperlink>
            <w:r>
              <w:rPr>
                <w:rFonts w:ascii="Times New Roman" w:hAnsi="Times New Roman" w:cs="Times New Roman" w:eastAsia="Times New Roman" w:hint="default"/>
                <w:sz w:val="18"/>
                <w:szCs w:val="18"/>
              </w:rPr>
              <w:t>t</w:t>
            </w:r>
            <w:hyperlink r:id="rId20">
              <w:r>
                <w:rPr>
                  <w:rFonts w:ascii="Times New Roman" w:hAnsi="Times New Roman" w:cs="Times New Roman" w:eastAsia="Times New Roman" w:hint="default"/>
                  <w:sz w:val="18"/>
                  <w:szCs w:val="18"/>
                </w:rPr>
                <w:t>p://www.cninfo.c</w:t>
              </w:r>
            </w:hyperlink>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Times New Roman" w:hAnsi="Times New Roman" w:cs="Times New Roman" w:eastAsia="Times New Roman" w:hint="default"/>
                <w:sz w:val="18"/>
                <w:szCs w:val="18"/>
              </w:rPr>
              <w:t>om.cn)</w:t>
            </w:r>
            <w:r>
              <w:rPr>
                <w:rFonts w:ascii="宋体" w:hAnsi="宋体" w:cs="宋体" w:eastAsia="宋体" w:hint="default"/>
                <w:sz w:val="18"/>
                <w:szCs w:val="18"/>
              </w:rPr>
              <w:t>披露的公告</w:t>
            </w:r>
          </w:p>
          <w:p>
            <w:pPr>
              <w:pStyle w:val="TableParagraph"/>
              <w:spacing w:line="223" w:lineRule="exact"/>
              <w:ind w:left="30"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9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2019-116</w:t>
            </w:r>
            <w:r>
              <w:rPr>
                <w:rFonts w:ascii="宋体" w:hAnsi="宋体" w:cs="宋体" w:eastAsia="宋体" w:hint="default"/>
                <w:sz w:val="18"/>
                <w:szCs w:val="18"/>
              </w:rPr>
              <w:t>）</w:t>
            </w:r>
          </w:p>
        </w:tc>
      </w:tr>
    </w:tbl>
    <w:p>
      <w:pPr>
        <w:spacing w:line="240" w:lineRule="auto" w:before="9"/>
        <w:rPr>
          <w:rFonts w:ascii="宋体" w:hAnsi="宋体" w:cs="宋体" w:eastAsia="宋体" w:hint="default"/>
          <w:b/>
          <w:bCs/>
          <w:sz w:val="19"/>
          <w:szCs w:val="19"/>
        </w:rPr>
      </w:pPr>
    </w:p>
    <w:p>
      <w:pPr>
        <w:pStyle w:val="Heading5"/>
        <w:spacing w:line="240" w:lineRule="auto" w:before="45"/>
        <w:ind w:right="0"/>
        <w:jc w:val="left"/>
        <w:rPr>
          <w:b w:val="0"/>
          <w:bCs w:val="0"/>
        </w:rPr>
      </w:pPr>
      <w:bookmarkStart w:name="2、表决权恢复的优先股股东请求召开临时股东大会" w:id="142"/>
      <w:bookmarkEnd w:id="142"/>
      <w:r>
        <w:rPr>
          <w:b w:val="0"/>
          <w:bCs w:val="0"/>
        </w:rPr>
      </w:r>
      <w:r>
        <w:rPr>
          <w:rFonts w:ascii="Times New Roman" w:hAnsi="Times New Roman" w:cs="Times New Roman" w:eastAsia="Times New Roman" w:hint="default"/>
          <w:spacing w:val="5"/>
        </w:rPr>
        <w:t>2</w:t>
      </w:r>
      <w:r>
        <w:rPr>
          <w:spacing w:val="5"/>
        </w:rPr>
        <w:t>、表决权恢复的优先股股东请求召开临时股东大会</w:t>
      </w:r>
      <w:r>
        <w:rPr>
          <w:b w:val="0"/>
          <w:bCs w:val="0"/>
          <w:spacing w:val="5"/>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spacing w:val="5"/>
        </w:rPr>
        <w:t>1</w:t>
      </w:r>
      <w:r>
        <w:rPr>
          <w:spacing w:val="5"/>
        </w:rPr>
        <w:t>、独立董事出席董事会及股东大会的情况</w:t>
      </w:r>
      <w:r>
        <w:rPr>
          <w:b w:val="0"/>
          <w:bCs w:val="0"/>
          <w:spacing w:val="5"/>
        </w:rPr>
      </w: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1427"/>
        <w:gridCol w:w="1172"/>
        <w:gridCol w:w="1156"/>
        <w:gridCol w:w="1172"/>
        <w:gridCol w:w="1156"/>
        <w:gridCol w:w="1171"/>
        <w:gridCol w:w="1157"/>
        <w:gridCol w:w="1171"/>
      </w:tblGrid>
      <w:tr>
        <w:trPr>
          <w:trHeight w:val="405" w:hRule="exact"/>
        </w:trPr>
        <w:tc>
          <w:tcPr>
            <w:tcW w:w="9582"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7"/>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50"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45" w:right="30"/>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45" w:right="29"/>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495" w:right="29" w:hanging="451"/>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30" w:right="29"/>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405" w:right="29"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王平</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王艳梅</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易庆国</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52" w:lineRule="auto" w:before="45"/>
        <w:ind w:right="8049"/>
        <w:jc w:val="left"/>
      </w:pPr>
      <w:r>
        <w:rPr/>
        <w:t>连续两次未亲自出席董事会的说明 无</w:t>
      </w:r>
    </w:p>
    <w:p>
      <w:pPr>
        <w:spacing w:line="240" w:lineRule="auto" w:before="11"/>
        <w:rPr>
          <w:rFonts w:ascii="宋体" w:hAnsi="宋体" w:cs="宋体" w:eastAsia="宋体" w:hint="default"/>
          <w:sz w:val="22"/>
          <w:szCs w:val="22"/>
        </w:rPr>
      </w:pPr>
    </w:p>
    <w:p>
      <w:pPr>
        <w:pStyle w:val="Heading5"/>
        <w:spacing w:line="240" w:lineRule="auto"/>
        <w:ind w:right="0"/>
        <w:jc w:val="left"/>
        <w:rPr>
          <w:b w:val="0"/>
          <w:bCs w:val="0"/>
        </w:rPr>
      </w:pPr>
      <w:bookmarkStart w:name="2、独立董事对公司有关事项提出异议的情况" w:id="145"/>
      <w:bookmarkEnd w:id="145"/>
      <w:r>
        <w:rPr>
          <w:b w:val="0"/>
          <w:bCs w:val="0"/>
        </w:rPr>
      </w:r>
      <w:r>
        <w:rPr>
          <w:rFonts w:ascii="Times New Roman" w:hAnsi="Times New Roman" w:cs="Times New Roman" w:eastAsia="Times New Roman" w:hint="default"/>
          <w:spacing w:val="5"/>
        </w:rPr>
        <w:t>2</w:t>
      </w:r>
      <w:r>
        <w:rPr>
          <w:spacing w:val="5"/>
        </w:rPr>
        <w:t>、独立董事对公司有关事项提出异议的情况</w:t>
      </w:r>
      <w:r>
        <w:rPr>
          <w:b w:val="0"/>
          <w:bCs w:val="0"/>
          <w:spacing w:val="5"/>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独立董事对公司有关事项是否提出异议</w:t>
      </w:r>
    </w:p>
    <w:p>
      <w:pPr>
        <w:pStyle w:val="BodyText"/>
        <w:spacing w:line="319" w:lineRule="auto" w:before="139"/>
        <w:ind w:right="69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报告期内独立董事对公司有关事项未提出异议。</w:t>
      </w: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3、独立董事履行职责的其他说明" w:id="146"/>
      <w:bookmarkEnd w:id="146"/>
      <w:r>
        <w:rPr>
          <w:b w:val="0"/>
          <w:bCs w:val="0"/>
        </w:rPr>
      </w:r>
      <w:r>
        <w:rPr>
          <w:rFonts w:ascii="Times New Roman" w:hAnsi="Times New Roman" w:cs="Times New Roman" w:eastAsia="Times New Roman" w:hint="default"/>
          <w:spacing w:val="5"/>
        </w:rPr>
        <w:t>3</w:t>
      </w:r>
      <w:r>
        <w:rPr>
          <w:spacing w:val="5"/>
        </w:rPr>
        <w:t>、独立董事履行职责的其他说明</w:t>
      </w:r>
      <w:r>
        <w:rPr>
          <w:b w:val="0"/>
          <w:bCs w:val="0"/>
          <w:spacing w:val="5"/>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独立董事对公司有关建议是否被采纳</w:t>
      </w:r>
    </w:p>
    <w:p>
      <w:pPr>
        <w:pStyle w:val="BodyText"/>
        <w:spacing w:line="331" w:lineRule="auto" w:before="125"/>
        <w:ind w:right="67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独立董事对公司有关建议被采纳或未被采纳的说明</w:t>
      </w:r>
    </w:p>
    <w:p>
      <w:pPr>
        <w:pStyle w:val="BodyText"/>
        <w:spacing w:line="319" w:lineRule="auto" w:before="41"/>
        <w:ind w:right="1029" w:firstLine="360"/>
        <w:jc w:val="left"/>
      </w:pPr>
      <w:r>
        <w:rPr>
          <w:spacing w:val="-2"/>
        </w:rPr>
        <w:t>报告期内，公司独立董事本着独立、客观和公正的原则，严格按照《公司法》、《证券法》、公司《章程》、《独立董</w:t>
      </w:r>
      <w:r>
        <w:rPr/>
        <w:t> </w:t>
      </w:r>
      <w:r>
        <w:rPr>
          <w:spacing w:val="-2"/>
        </w:rPr>
        <w:t>事工作制度》、《深圳证券交易所上市公司规范运作指引》等有关法律法规及规章制度的要求，勤勉尽责地开展工作，积极</w:t>
      </w:r>
      <w:r>
        <w:rPr>
          <w:spacing w:val="-64"/>
        </w:rPr>
        <w:t> </w:t>
      </w:r>
      <w:r>
        <w:rPr>
          <w:spacing w:val="-64"/>
        </w:rPr>
      </w:r>
      <w:r>
        <w:rPr/>
        <w:t>出席公司召开的董事会，认真审议公司各项议案，对公司的重大决策提供了专业性意见。各位独立董事通过实地现场考察、 </w:t>
      </w:r>
      <w:r>
        <w:rPr>
          <w:spacing w:val="-2"/>
        </w:rPr>
        <w:t>电话和邮件等方式积极与公司其他董事、监事、高级管理人员及相关工作人员保持密切联系，了解公司经营状况和内部控制</w:t>
      </w:r>
      <w:r>
        <w:rPr>
          <w:spacing w:val="-75"/>
        </w:rPr>
        <w:t> </w:t>
      </w:r>
      <w:r>
        <w:rPr>
          <w:spacing w:val="-75"/>
        </w:rPr>
      </w:r>
      <w:r>
        <w:rPr>
          <w:spacing w:val="-2"/>
        </w:rPr>
        <w:t>的建设情况，及时提示风险，并在报告期内对公司信息披露、财务审计、重大投资决策等方面，出具了独立、公正意见，进</w:t>
      </w:r>
      <w:r>
        <w:rPr>
          <w:spacing w:val="-73"/>
        </w:rPr>
        <w:t> </w:t>
      </w:r>
      <w:r>
        <w:rPr>
          <w:spacing w:val="-73"/>
        </w:rPr>
      </w:r>
      <w:r>
        <w:rPr>
          <w:spacing w:val="-2"/>
        </w:rPr>
        <w:t>一步推动了公司的规范化治理，积极有效地履行了独立董事的职责，切实维护了公司和中小股东的合法权益。公司尊重独立</w:t>
      </w:r>
    </w:p>
    <w:p>
      <w:pPr>
        <w:spacing w:after="0" w:line="319"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both"/>
      </w:pPr>
      <w:r>
        <w:rPr/>
        <w:t>董事提出的各项建议和意见，并予以采纳。</w:t>
      </w:r>
    </w:p>
    <w:p>
      <w:pPr>
        <w:spacing w:line="240" w:lineRule="auto" w:before="13"/>
        <w:rPr>
          <w:rFonts w:ascii="宋体" w:hAnsi="宋体" w:cs="宋体" w:eastAsia="宋体" w:hint="default"/>
          <w:sz w:val="25"/>
          <w:szCs w:val="25"/>
        </w:rPr>
      </w:pPr>
    </w:p>
    <w:p>
      <w:pPr>
        <w:pStyle w:val="Heading2"/>
        <w:spacing w:line="240" w:lineRule="auto"/>
        <w:ind w:right="0"/>
        <w:jc w:val="both"/>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1"/>
        <w:rPr>
          <w:rFonts w:ascii="宋体" w:hAnsi="宋体" w:cs="宋体" w:eastAsia="宋体" w:hint="default"/>
          <w:b/>
          <w:bCs/>
          <w:sz w:val="26"/>
          <w:szCs w:val="26"/>
        </w:rPr>
      </w:pPr>
    </w:p>
    <w:p>
      <w:pPr>
        <w:pStyle w:val="BodyText"/>
        <w:spacing w:line="314" w:lineRule="auto"/>
        <w:ind w:right="1105" w:firstLine="360"/>
        <w:jc w:val="both"/>
      </w:pPr>
      <w:r>
        <w:rPr>
          <w:spacing w:val="-2"/>
        </w:rPr>
        <w:t>公司董事会下设审计委员会、薪酬与考核委员会、提名委员会三个专门委员会，并制定了专门委员会工作细则。报告期</w:t>
      </w:r>
      <w:r>
        <w:rPr/>
        <w:t> </w:t>
      </w:r>
      <w:r>
        <w:rPr>
          <w:spacing w:val="-2"/>
        </w:rPr>
        <w:t>内，各专门委员会本着勤勉尽责的原则，按照有关法律、法规、规范性文件及公司各专门委员会工作细则的规定开展相关工</w:t>
      </w:r>
      <w:r>
        <w:rPr>
          <w:spacing w:val="-42"/>
        </w:rPr>
        <w:t> </w:t>
      </w:r>
      <w:r>
        <w:rPr>
          <w:spacing w:val="-42"/>
        </w:rPr>
      </w:r>
      <w:r>
        <w:rPr/>
        <w:t>作。报告期内，各专门委员会履职情况如下：</w:t>
      </w:r>
    </w:p>
    <w:p>
      <w:pPr>
        <w:pStyle w:val="BodyText"/>
        <w:spacing w:line="288" w:lineRule="auto" w:before="39"/>
        <w:ind w:left="501" w:right="1133"/>
        <w:jc w:val="left"/>
      </w:pPr>
      <w:r>
        <w:rPr>
          <w:rFonts w:ascii="Times New Roman" w:hAnsi="Times New Roman" w:cs="Times New Roman" w:eastAsia="Times New Roman" w:hint="default"/>
        </w:rPr>
        <w:t>1</w:t>
      </w:r>
      <w:r>
        <w:rPr/>
        <w:t>、董事会审计委员会履职情况 </w:t>
      </w:r>
      <w:r>
        <w:rPr>
          <w:spacing w:val="-2"/>
        </w:rPr>
        <w:t>报告期内，公司第四届董事会审计委员会严格按照《公司法》、《证券法》、《董事会审计委员会工作细则》等有关规</w:t>
      </w:r>
    </w:p>
    <w:p>
      <w:pPr>
        <w:pStyle w:val="BodyText"/>
        <w:spacing w:line="316" w:lineRule="auto" w:before="44"/>
        <w:ind w:right="1112"/>
        <w:jc w:val="both"/>
      </w:pPr>
      <w:r>
        <w:rPr>
          <w:spacing w:val="-2"/>
        </w:rPr>
        <w:t>定，积极履行职责，全面考察公司生产经营、内部控制及重大事项进展情况，指导公司内部审计工作，审阅内部审计部门提</w:t>
      </w:r>
      <w:r>
        <w:rPr>
          <w:spacing w:val="-47"/>
        </w:rPr>
        <w:t> </w:t>
      </w:r>
      <w:r>
        <w:rPr>
          <w:spacing w:val="-47"/>
        </w:rPr>
      </w:r>
      <w:r>
        <w:rPr>
          <w:spacing w:val="-2"/>
        </w:rPr>
        <w:t>交的工作报告，督促和指导公司审计部对公司财务管理运行情况定期和不定期的检查和评估。同时，在年度审计期间与审计</w:t>
      </w:r>
      <w:r>
        <w:rPr>
          <w:spacing w:val="-75"/>
        </w:rPr>
        <w:t> </w:t>
      </w:r>
      <w:r>
        <w:rPr>
          <w:spacing w:val="-75"/>
        </w:rPr>
      </w:r>
      <w:r>
        <w:rPr>
          <w:spacing w:val="-2"/>
        </w:rPr>
        <w:t>机构及时进行工作沟通，对财务报表出具审核意见，对审计机构的审计工作进行客观评价，充分发挥审计委员会的专业职能</w:t>
      </w:r>
      <w:r>
        <w:rPr>
          <w:spacing w:val="-75"/>
        </w:rPr>
        <w:t> </w:t>
      </w:r>
      <w:r>
        <w:rPr>
          <w:spacing w:val="-75"/>
        </w:rPr>
      </w:r>
      <w:r>
        <w:rPr/>
        <w:t>和监督作用。</w:t>
      </w:r>
    </w:p>
    <w:p>
      <w:pPr>
        <w:pStyle w:val="BodyText"/>
        <w:spacing w:line="304" w:lineRule="auto" w:before="37"/>
        <w:ind w:right="1115" w:firstLine="360"/>
        <w:jc w:val="both"/>
      </w:pPr>
      <w:r>
        <w:rPr/>
        <w:t>报告期内，第四届董事会审计委员会共召开了</w:t>
      </w:r>
      <w:r>
        <w:rPr>
          <w:rFonts w:ascii="Times New Roman" w:hAnsi="Times New Roman" w:cs="Times New Roman" w:eastAsia="Times New Roman" w:hint="default"/>
        </w:rPr>
        <w:t>5</w:t>
      </w:r>
      <w:r>
        <w:rPr/>
        <w:t>次会议，审议公司内部审计部提交的工作总结和工作计划等事项，对内 </w:t>
      </w:r>
      <w:r>
        <w:rPr>
          <w:spacing w:val="-2"/>
        </w:rPr>
        <w:t>部审计部门的工作进行了指导，制定年度审计计划并对年度审计工作进行安排，并督促会计师事务所的审计工作；审议了公</w:t>
      </w:r>
      <w:r>
        <w:rPr>
          <w:spacing w:val="-75"/>
        </w:rPr>
        <w:t> </w:t>
      </w:r>
      <w:r>
        <w:rPr>
          <w:spacing w:val="-75"/>
        </w:rPr>
      </w:r>
      <w:r>
        <w:rPr>
          <w:spacing w:val="-2"/>
        </w:rPr>
        <w:t>司定期报告、审计工作报告、财务报告、内部控制自我评价报告等相关事项，审计委员会切实履行了各项职责，对公司控制</w:t>
      </w:r>
      <w:r>
        <w:rPr>
          <w:spacing w:val="-52"/>
        </w:rPr>
        <w:t> </w:t>
      </w:r>
      <w:r>
        <w:rPr>
          <w:spacing w:val="-52"/>
        </w:rPr>
      </w:r>
      <w:r>
        <w:rPr/>
        <w:t>风险、健康运作及内部监管机制的贯彻执行实施了有效监督。</w:t>
      </w:r>
    </w:p>
    <w:p>
      <w:pPr>
        <w:pStyle w:val="BodyText"/>
        <w:spacing w:line="304" w:lineRule="auto" w:before="46"/>
        <w:ind w:left="576" w:right="0"/>
        <w:jc w:val="left"/>
      </w:pPr>
      <w:r>
        <w:rPr>
          <w:rFonts w:ascii="Times New Roman" w:hAnsi="Times New Roman" w:cs="Times New Roman" w:eastAsia="Times New Roman" w:hint="default"/>
        </w:rPr>
        <w:t>2</w:t>
      </w:r>
      <w:r>
        <w:rPr/>
        <w:t>、董事会薪酬与考核委员会履职情况 </w:t>
      </w:r>
      <w:r>
        <w:rPr>
          <w:spacing w:val="-5"/>
        </w:rPr>
        <w:t>报告期内，第四届董事会薪酬与考核委员会召开了</w:t>
      </w:r>
      <w:r>
        <w:rPr>
          <w:rFonts w:ascii="Times New Roman" w:hAnsi="Times New Roman" w:cs="Times New Roman" w:eastAsia="Times New Roman" w:hint="default"/>
          <w:spacing w:val="-5"/>
        </w:rPr>
        <w:t>1</w:t>
      </w:r>
      <w:r>
        <w:rPr>
          <w:spacing w:val="-5"/>
        </w:rPr>
        <w:t>次专门会议，董事会薪酬与考核委员会依照法律、法规以及公司《章</w:t>
      </w:r>
    </w:p>
    <w:p>
      <w:pPr>
        <w:pStyle w:val="BodyText"/>
        <w:spacing w:line="314" w:lineRule="auto"/>
        <w:ind w:right="1132"/>
        <w:jc w:val="both"/>
      </w:pPr>
      <w:r>
        <w:rPr>
          <w:spacing w:val="-2"/>
        </w:rPr>
        <w:t>程》、《董事会薪酬与考核委员会议事规则》的规定，勤勉尽责地履行职责，组织听取公司董事、监事、高级管理人员工作</w:t>
      </w:r>
      <w:r>
        <w:rPr>
          <w:spacing w:val="-76"/>
        </w:rPr>
        <w:t> </w:t>
      </w:r>
      <w:r>
        <w:rPr>
          <w:spacing w:val="-76"/>
        </w:rPr>
      </w:r>
      <w:r>
        <w:rPr>
          <w:spacing w:val="-2"/>
        </w:rPr>
        <w:t>汇报，结合公司经营目标的完成情况，合理考评公司董事、监事、高级管理人员年度绩效，认真审查了公司董事、监事和高</w:t>
      </w:r>
      <w:r>
        <w:rPr>
          <w:spacing w:val="-72"/>
        </w:rPr>
        <w:t> </w:t>
      </w:r>
      <w:r>
        <w:rPr>
          <w:spacing w:val="-72"/>
        </w:rPr>
      </w:r>
      <w:r>
        <w:rPr>
          <w:spacing w:val="-2"/>
        </w:rPr>
        <w:t>级管理人员</w:t>
      </w:r>
      <w:r>
        <w:rPr>
          <w:rFonts w:ascii="Times New Roman" w:hAnsi="Times New Roman" w:cs="Times New Roman" w:eastAsia="Times New Roman" w:hint="default"/>
          <w:spacing w:val="-2"/>
        </w:rPr>
        <w:t>2019</w:t>
      </w:r>
      <w:r>
        <w:rPr>
          <w:spacing w:val="-2"/>
        </w:rPr>
        <w:t>年的薪酬与津贴，认为公司董事、监事和高级管理人员的薪酬标准符合公司薪资的规定，切实履行了薪酬与</w:t>
      </w:r>
      <w:r>
        <w:rPr>
          <w:spacing w:val="-69"/>
        </w:rPr>
        <w:t> </w:t>
      </w:r>
      <w:r>
        <w:rPr>
          <w:spacing w:val="-69"/>
        </w:rPr>
      </w:r>
      <w:r>
        <w:rPr>
          <w:spacing w:val="-2"/>
        </w:rPr>
        <w:t>考核委员会的工作职责。在公司实施</w:t>
      </w:r>
      <w:r>
        <w:rPr>
          <w:rFonts w:ascii="Times New Roman" w:hAnsi="Times New Roman" w:cs="Times New Roman" w:eastAsia="Times New Roman" w:hint="default"/>
          <w:spacing w:val="-2"/>
        </w:rPr>
        <w:t>2017</w:t>
      </w:r>
      <w:r>
        <w:rPr>
          <w:spacing w:val="-2"/>
        </w:rPr>
        <w:t>年股权激励计划工作中，薪酬与考核委员会委员根据股权激励计划安排审议通过了</w:t>
      </w:r>
    </w:p>
    <w:p>
      <w:pPr>
        <w:pStyle w:val="BodyText"/>
        <w:spacing w:line="225" w:lineRule="exact"/>
        <w:ind w:right="0"/>
        <w:jc w:val="both"/>
      </w:pPr>
      <w:r>
        <w:rPr/>
        <w:t>《关于注销部分股票期权及回购注销部分限制性股票的议案》。</w:t>
      </w:r>
    </w:p>
    <w:p>
      <w:pPr>
        <w:pStyle w:val="BodyText"/>
        <w:spacing w:line="290" w:lineRule="auto" w:before="94"/>
        <w:ind w:left="501" w:right="1085"/>
        <w:jc w:val="left"/>
      </w:pPr>
      <w:r>
        <w:rPr>
          <w:rFonts w:ascii="Times New Roman" w:hAnsi="Times New Roman" w:cs="Times New Roman" w:eastAsia="Times New Roman" w:hint="default"/>
        </w:rPr>
        <w:t>3</w:t>
      </w:r>
      <w:r>
        <w:rPr/>
        <w:t>、董事会提名委员会的履职情况 </w:t>
      </w:r>
      <w:r>
        <w:rPr>
          <w:spacing w:val="-1"/>
        </w:rPr>
        <w:t>报告期内，第四届董事会提名委员会召开了</w:t>
      </w:r>
      <w:r>
        <w:rPr>
          <w:rFonts w:ascii="Times New Roman" w:hAnsi="Times New Roman" w:cs="Times New Roman" w:eastAsia="Times New Roman" w:hint="default"/>
          <w:spacing w:val="-1"/>
        </w:rPr>
        <w:t>2</w:t>
      </w:r>
      <w:r>
        <w:rPr>
          <w:spacing w:val="-1"/>
        </w:rPr>
        <w:t>次专门会议，</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8</w:t>
      </w:r>
      <w:r>
        <w:rPr>
          <w:spacing w:val="-1"/>
        </w:rPr>
        <w:t>日，召开了</w:t>
      </w:r>
      <w:r>
        <w:rPr>
          <w:rFonts w:ascii="Times New Roman" w:hAnsi="Times New Roman" w:cs="Times New Roman" w:eastAsia="Times New Roman" w:hint="default"/>
          <w:spacing w:val="-1"/>
        </w:rPr>
        <w:t>1</w:t>
      </w:r>
      <w:r>
        <w:rPr>
          <w:spacing w:val="-1"/>
        </w:rPr>
        <w:t>次专门会议。董事会提名委员会依照</w:t>
      </w:r>
    </w:p>
    <w:p>
      <w:pPr>
        <w:pStyle w:val="BodyText"/>
        <w:spacing w:line="321" w:lineRule="auto" w:before="9"/>
        <w:ind w:right="1106"/>
        <w:jc w:val="both"/>
      </w:pPr>
      <w:r>
        <w:rPr>
          <w:spacing w:val="-2"/>
        </w:rPr>
        <w:t>法律、法规以及公司《章程》、《董事会提名委员会议事规则》的规定，认真履行职责，对提名的第五届董事会董事、高级</w:t>
      </w:r>
      <w:r>
        <w:rPr>
          <w:spacing w:val="-76"/>
        </w:rPr>
        <w:t> </w:t>
      </w:r>
      <w:r>
        <w:rPr>
          <w:spacing w:val="-76"/>
        </w:rPr>
      </w:r>
      <w:r>
        <w:rPr>
          <w:spacing w:val="-2"/>
        </w:rPr>
        <w:t>管理人员候选人的任职资格进行了充分考察，为公司换届选举工作的顺利进行提供了有力保障。报告期内，提名委员会切实</w:t>
      </w:r>
      <w:r>
        <w:rPr>
          <w:spacing w:val="-73"/>
        </w:rPr>
        <w:t> </w:t>
      </w:r>
      <w:r>
        <w:rPr>
          <w:spacing w:val="-73"/>
        </w:rPr>
      </w:r>
      <w:r>
        <w:rPr>
          <w:spacing w:val="-2"/>
        </w:rPr>
        <w:t>履行了各项职责，确保了公司董事、高级管理人员等产生的程序公正、合法，聘用的高级管理人员具备拟任职务所要求的经</w:t>
      </w:r>
      <w:r>
        <w:rPr>
          <w:spacing w:val="-42"/>
        </w:rPr>
        <w:t> </w:t>
      </w:r>
      <w:r>
        <w:rPr>
          <w:spacing w:val="-42"/>
        </w:rPr>
      </w:r>
      <w:r>
        <w:rPr/>
        <w:t>验。</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2"/>
        <w:spacing w:line="240" w:lineRule="auto"/>
        <w:ind w:right="0"/>
        <w:jc w:val="both"/>
        <w:rPr>
          <w:b w:val="0"/>
          <w:bCs w:val="0"/>
        </w:rPr>
      </w:pPr>
      <w:bookmarkStart w:name="七、监事会工作情况" w:id="148"/>
      <w:bookmarkEnd w:id="148"/>
      <w:r>
        <w:rPr>
          <w:b w:val="0"/>
          <w:bCs w:val="0"/>
        </w:rPr>
      </w:r>
      <w:r>
        <w:rPr/>
        <w:t>七、监事会工作情况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19" w:lineRule="auto" w:before="139"/>
        <w:ind w:right="76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监事会对报告期内的监督事项无异议。</w:t>
      </w:r>
    </w:p>
    <w:p>
      <w:pPr>
        <w:spacing w:line="240" w:lineRule="auto" w:before="7"/>
        <w:rPr>
          <w:rFonts w:ascii="宋体" w:hAnsi="宋体" w:cs="宋体" w:eastAsia="宋体" w:hint="default"/>
          <w:sz w:val="22"/>
          <w:szCs w:val="22"/>
        </w:rPr>
      </w:pPr>
    </w:p>
    <w:p>
      <w:pPr>
        <w:pStyle w:val="Heading2"/>
        <w:spacing w:line="240" w:lineRule="auto"/>
        <w:ind w:right="0"/>
        <w:jc w:val="both"/>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1"/>
        <w:rPr>
          <w:rFonts w:ascii="宋体" w:hAnsi="宋体" w:cs="宋体" w:eastAsia="宋体" w:hint="default"/>
          <w:b/>
          <w:bCs/>
          <w:sz w:val="26"/>
          <w:szCs w:val="26"/>
        </w:rPr>
      </w:pPr>
    </w:p>
    <w:p>
      <w:pPr>
        <w:pStyle w:val="BodyText"/>
        <w:spacing w:line="304" w:lineRule="auto"/>
        <w:ind w:right="1027" w:firstLine="360"/>
        <w:jc w:val="left"/>
      </w:pPr>
      <w:r>
        <w:rPr>
          <w:rFonts w:ascii="Times New Roman" w:hAnsi="Times New Roman" w:cs="Times New Roman" w:eastAsia="Times New Roman" w:hint="default"/>
          <w:spacing w:val="-2"/>
        </w:rPr>
        <w:t>1</w:t>
      </w:r>
      <w:r>
        <w:rPr>
          <w:spacing w:val="-2"/>
        </w:rPr>
        <w:t>、公司建立了完善的高级管理人员选聘、考评、激励与约束机制，以公司规范化管理以及经营效益为基础，明确责任，</w:t>
      </w:r>
      <w:r>
        <w:rPr/>
        <w:t> </w:t>
      </w:r>
      <w:r>
        <w:rPr>
          <w:spacing w:val="-2"/>
        </w:rPr>
        <w:t>实行薪酬与工作绩效挂钩的考评机制。董事会下设的薪酬与考核委员会负责制定公司董事及高级管理人员的薪酬政策及考核</w:t>
      </w:r>
      <w:r>
        <w:rPr>
          <w:spacing w:val="-53"/>
        </w:rPr>
        <w:t> </w:t>
      </w:r>
      <w:r>
        <w:rPr>
          <w:spacing w:val="-53"/>
        </w:rPr>
      </w:r>
      <w:r>
        <w:rPr>
          <w:spacing w:val="-2"/>
        </w:rPr>
        <w:t>标准，对高级管理人员的工作能力、履职情况、经营目标完成情况等进行综合考评，制定薪酬方案。报告期内，公司高级管</w:t>
      </w:r>
      <w:r>
        <w:rPr>
          <w:spacing w:val="-72"/>
        </w:rPr>
        <w:t> </w:t>
      </w:r>
      <w:r>
        <w:rPr>
          <w:spacing w:val="-72"/>
        </w:rPr>
      </w:r>
      <w:r>
        <w:rPr>
          <w:spacing w:val="-2"/>
        </w:rPr>
        <w:t>理人员能够严格按照《公司法》、</w:t>
      </w:r>
      <w:r>
        <w:rPr>
          <w:spacing w:val="-19"/>
        </w:rPr>
        <w:t> </w:t>
      </w:r>
      <w:r>
        <w:rPr>
          <w:spacing w:val="-1"/>
        </w:rPr>
        <w:t>公司《章程》及相关法律法规认真履行职责，积极落实公司股东大会和董事会相关决议，</w:t>
      </w:r>
    </w:p>
    <w:p>
      <w:pPr>
        <w:spacing w:after="0" w:line="304"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0"/>
        <w:jc w:val="left"/>
      </w:pPr>
      <w:r>
        <w:rPr>
          <w:spacing w:val="-4"/>
        </w:rPr>
        <w:t>进一步完善了公司高级管理人员的考评及激励的制度建设，同时公司严格按照上述制度执行，确保公司高级管理人员的聘任、</w:t>
      </w:r>
      <w:r>
        <w:rPr>
          <w:spacing w:val="-50"/>
        </w:rPr>
        <w:t> </w:t>
      </w:r>
      <w:r>
        <w:rPr>
          <w:spacing w:val="-50"/>
        </w:rPr>
      </w:r>
      <w:r>
        <w:rPr/>
        <w:t>考评和激励标准化、程序化、制度化。</w:t>
      </w:r>
    </w:p>
    <w:p>
      <w:pPr>
        <w:pStyle w:val="BodyText"/>
        <w:spacing w:line="297" w:lineRule="auto" w:before="33"/>
        <w:ind w:right="1128" w:firstLine="360"/>
        <w:jc w:val="both"/>
      </w:pPr>
      <w:r>
        <w:rPr>
          <w:rFonts w:ascii="Times New Roman" w:hAnsi="Times New Roman" w:cs="Times New Roman" w:eastAsia="Times New Roman" w:hint="default"/>
        </w:rPr>
        <w:t>2</w:t>
      </w:r>
      <w:r>
        <w:rPr/>
        <w:t>、对高级管理人员、核心技术及业务骨干人员实施股权激励计划。公司股权激励计划的实施，进一步完善了对公司高 </w:t>
      </w:r>
      <w:r>
        <w:rPr>
          <w:spacing w:val="-2"/>
        </w:rPr>
        <w:t>级管理人员和其他骨干员工的激励和约束机制，有利于激发管理团队的工作积极性和创造性，提高经营效率，促进公司业绩</w:t>
      </w:r>
      <w:r>
        <w:rPr>
          <w:spacing w:val="-75"/>
        </w:rPr>
        <w:t> </w:t>
      </w:r>
      <w:r>
        <w:rPr>
          <w:spacing w:val="-75"/>
        </w:rPr>
      </w:r>
      <w:r>
        <w:rPr/>
        <w:t>提升。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1"/>
        <w:ind w:right="0"/>
        <w:jc w:val="left"/>
        <w:rPr>
          <w:b w:val="0"/>
          <w:bCs w:val="0"/>
        </w:rPr>
      </w:pPr>
      <w:bookmarkStart w:name="九、内部控制评价报告" w:id="150"/>
      <w:bookmarkEnd w:id="150"/>
      <w:r>
        <w:rPr>
          <w:b w:val="0"/>
          <w:bCs w:val="0"/>
        </w:rPr>
      </w:r>
      <w:r>
        <w:rPr/>
        <w:t>九、内部控制评价报告</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spacing w:val="5"/>
        </w:rPr>
        <w:t>1</w:t>
      </w:r>
      <w:r>
        <w:rPr>
          <w:spacing w:val="5"/>
        </w:rPr>
        <w:t>、报告期内发现的内部控制重大缺陷的具体情况</w:t>
      </w:r>
      <w:r>
        <w:rPr>
          <w:b w:val="0"/>
          <w:bCs w:val="0"/>
          <w:spacing w:val="5"/>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2、内控自我评价报告" w:id="152"/>
      <w:bookmarkEnd w:id="152"/>
      <w:r>
        <w:rPr>
          <w:b w:val="0"/>
          <w:bCs w:val="0"/>
        </w:rPr>
      </w:r>
      <w:r>
        <w:rPr>
          <w:rFonts w:ascii="Times New Roman" w:hAnsi="Times New Roman" w:cs="Times New Roman" w:eastAsia="Times New Roman" w:hint="default"/>
          <w:spacing w:val="4"/>
        </w:rPr>
        <w:t>2</w:t>
      </w:r>
      <w:r>
        <w:rPr>
          <w:spacing w:val="4"/>
        </w:rPr>
        <w:t>、内控自我评价报告</w:t>
      </w:r>
      <w:r>
        <w:rPr>
          <w:b w:val="0"/>
          <w:bCs w:val="0"/>
          <w:spacing w:val="4"/>
        </w:rPr>
      </w:r>
    </w:p>
    <w:p>
      <w:pPr>
        <w:spacing w:line="240" w:lineRule="auto" w:before="7"/>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3184"/>
        <w:gridCol w:w="3327"/>
        <w:gridCol w:w="3064"/>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9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right="28"/>
              <w:jc w:val="righ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9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60"/>
              <w:ind w:left="3139"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http</w:t>
            </w:r>
            <w:r>
              <w:rPr>
                <w:rFonts w:ascii="宋体" w:hAnsi="宋体" w:cs="宋体" w:eastAsia="宋体" w:hint="default"/>
                <w:sz w:val="18"/>
                <w:szCs w:val="18"/>
              </w:rPr>
              <w:t>：</w:t>
            </w:r>
            <w:r>
              <w:rPr>
                <w:rFonts w:ascii="Times New Roman" w:hAnsi="Times New Roman" w:cs="Times New Roman" w:eastAsia="Times New Roman" w:hint="default"/>
                <w:sz w:val="18"/>
                <w:szCs w:val="18"/>
              </w:rPr>
              <w:t>//www,cnifo.com.cn</w:t>
            </w:r>
            <w:r>
              <w:rPr>
                <w:rFonts w:ascii="宋体" w:hAnsi="宋体" w:cs="宋体" w:eastAsia="宋体" w:hint="default"/>
                <w:sz w:val="18"/>
                <w:szCs w:val="18"/>
              </w:rPr>
              <w:t>）</w:t>
            </w:r>
          </w:p>
        </w:tc>
      </w:tr>
      <w:tr>
        <w:trPr>
          <w:trHeight w:val="7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9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2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9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957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22"/>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详见巨潮资讯网公告</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详见巨潮资讯网公告</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详见巨潮资讯网公告</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详见巨潮资讯网公告</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9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9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9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90"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十、内部控制审计报告或鉴证报告" w:id="153"/>
      <w:bookmarkEnd w:id="153"/>
      <w:r>
        <w:rPr>
          <w:b w:val="0"/>
          <w:bCs w:val="0"/>
        </w:rPr>
      </w:r>
      <w:r>
        <w:rPr/>
        <w:t>十、内部控制审计报告或鉴证报告</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7"/>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21" w:hRule="exact"/>
        </w:trPr>
        <w:tc>
          <w:tcPr>
            <w:tcW w:w="9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88"/>
              <w:jc w:val="left"/>
              <w:rPr>
                <w:rFonts w:ascii="宋体" w:hAnsi="宋体" w:cs="宋体" w:eastAsia="宋体" w:hint="default"/>
                <w:sz w:val="18"/>
                <w:szCs w:val="18"/>
              </w:rPr>
            </w:pPr>
            <w:r>
              <w:rPr>
                <w:rFonts w:ascii="宋体" w:hAnsi="宋体" w:cs="宋体" w:eastAsia="宋体" w:hint="default"/>
                <w:sz w:val="18"/>
                <w:szCs w:val="18"/>
              </w:rPr>
              <w:t>我们认为，卓翼科技公司按照《企业内部控制基本规范》及相关规定于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 报表相关的有效的内部控制。</w:t>
            </w: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4"/>
        <w:ind w:right="0"/>
        <w:jc w:val="left"/>
      </w:pPr>
      <w:r>
        <w:rPr/>
        <w:t>会计师事务所是否出具非标准意见的内部控制鉴证报告</w:t>
      </w:r>
    </w:p>
    <w:p>
      <w:pPr>
        <w:pStyle w:val="BodyText"/>
        <w:spacing w:line="333" w:lineRule="auto" w:before="125"/>
        <w:ind w:right="46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会计师事务所出具的内部控制鉴证报告与董事会的自我评价报告意见是否一致</w:t>
      </w:r>
    </w:p>
    <w:p>
      <w:pPr>
        <w:pStyle w:val="BodyText"/>
        <w:spacing w:line="240" w:lineRule="auto" w:before="5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footerReference w:type="default" r:id="rId21"/>
          <w:pgSz w:w="11910" w:h="16850"/>
          <w:pgMar w:footer="981" w:header="73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040" w:right="0"/>
        <w:jc w:val="left"/>
        <w:rPr>
          <w:b w:val="0"/>
          <w:bCs w:val="0"/>
        </w:rPr>
      </w:pPr>
      <w:bookmarkStart w:name="第十一节公司债券相关情况" w:id="154"/>
      <w:bookmarkEnd w:id="154"/>
      <w:r>
        <w:rPr>
          <w:b w:val="0"/>
          <w:bCs w:val="0"/>
        </w:rPr>
      </w:r>
      <w:bookmarkStart w:name="_bookmark10" w:id="155"/>
      <w:bookmarkEnd w:id="155"/>
      <w:r>
        <w:rPr>
          <w:b w:val="0"/>
          <w:bCs w:val="0"/>
        </w:rPr>
      </w:r>
      <w:r>
        <w:rPr>
          <w:spacing w:val="5"/>
        </w:rPr>
        <w:t>第十一节公司债券相关情况</w:t>
      </w:r>
      <w:r>
        <w:rPr>
          <w:b w:val="0"/>
          <w:bCs w:val="0"/>
          <w:spacing w:val="5"/>
        </w:rPr>
      </w:r>
    </w:p>
    <w:p>
      <w:pPr>
        <w:spacing w:line="240" w:lineRule="auto" w:before="5"/>
        <w:rPr>
          <w:rFonts w:ascii="宋体" w:hAnsi="宋体" w:cs="宋体" w:eastAsia="宋体" w:hint="default"/>
          <w:b/>
          <w:bCs/>
          <w:sz w:val="41"/>
          <w:szCs w:val="41"/>
        </w:rPr>
      </w:pPr>
    </w:p>
    <w:p>
      <w:pPr>
        <w:pStyle w:val="BodyText"/>
        <w:spacing w:line="367" w:lineRule="auto"/>
        <w:ind w:right="2109"/>
        <w:jc w:val="left"/>
      </w:pPr>
      <w:r>
        <w:rPr/>
        <w:t>公司是否存在公开发行并在证券交易所上市，且在年度报告批准报出日未到期或到期未能全额兑付的公司债券</w:t>
      </w:r>
      <w:r>
        <w:rPr>
          <w:spacing w:val="-85"/>
        </w:rPr>
        <w:t> </w:t>
      </w:r>
      <w:r>
        <w:rPr>
          <w:spacing w:val="-85"/>
        </w:rPr>
      </w:r>
      <w:r>
        <w:rPr/>
        <w:t>否</w:t>
      </w:r>
    </w:p>
    <w:p>
      <w:pPr>
        <w:spacing w:after="0" w:line="367" w:lineRule="auto"/>
        <w:jc w:val="left"/>
        <w:sectPr>
          <w:footerReference w:type="default" r:id="rId22"/>
          <w:pgSz w:w="11910" w:h="16850"/>
          <w:pgMar w:footer="981" w:header="731" w:top="1040" w:bottom="1180" w:left="1000" w:right="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595" w:right="0"/>
        <w:jc w:val="left"/>
        <w:rPr>
          <w:b w:val="0"/>
          <w:bCs w:val="0"/>
        </w:rPr>
      </w:pPr>
      <w:bookmarkStart w:name="第十二节 财务报告" w:id="156"/>
      <w:bookmarkEnd w:id="156"/>
      <w:r>
        <w:rPr>
          <w:b w:val="0"/>
          <w:bCs w:val="0"/>
        </w:rPr>
      </w:r>
      <w:bookmarkStart w:name="_bookmark11" w:id="157"/>
      <w:bookmarkEnd w:id="157"/>
      <w:r>
        <w:rPr>
          <w:b w:val="0"/>
          <w:bCs w:val="0"/>
        </w:rPr>
      </w:r>
      <w:r>
        <w:rPr>
          <w:spacing w:val="6"/>
        </w:rPr>
        <w:t>第十二节</w:t>
      </w:r>
      <w:r>
        <w:rPr>
          <w:spacing w:val="49"/>
        </w:rPr>
        <w:t> </w:t>
      </w:r>
      <w:r>
        <w:rPr>
          <w:spacing w:val="3"/>
        </w:rPr>
        <w:t>财务报告</w:t>
      </w:r>
      <w:r>
        <w:rPr>
          <w:b w:val="0"/>
          <w:bCs w:val="0"/>
          <w:spacing w:val="3"/>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8"/>
      <w:bookmarkEnd w:id="158"/>
      <w:r>
        <w:rPr>
          <w:b w:val="0"/>
          <w:bCs w:val="0"/>
        </w:rPr>
      </w:r>
      <w:r>
        <w:rPr/>
        <w:t>一、审计报告</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亚太（集团）会计师事务所（特殊普通合伙）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亚会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0607 </w:t>
            </w:r>
            <w:r>
              <w:rPr>
                <w:rFonts w:ascii="宋体" w:hAnsi="宋体" w:cs="宋体" w:eastAsia="宋体" w:hint="default"/>
                <w:sz w:val="18"/>
                <w:szCs w:val="18"/>
              </w:rPr>
              <w:t>号</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周英 、林丹妮</w:t>
            </w:r>
          </w:p>
        </w:tc>
      </w:tr>
    </w:tbl>
    <w:p>
      <w:pPr>
        <w:pStyle w:val="BodyText"/>
        <w:spacing w:line="240" w:lineRule="auto" w:before="74"/>
        <w:ind w:left="1797" w:right="2782"/>
        <w:jc w:val="center"/>
      </w:pPr>
      <w:r>
        <w:rPr/>
        <w:t>审计报告正文</w:t>
      </w:r>
    </w:p>
    <w:p>
      <w:pPr>
        <w:pStyle w:val="BodyText"/>
        <w:spacing w:line="240" w:lineRule="auto" w:before="80"/>
        <w:ind w:left="501" w:right="0"/>
        <w:jc w:val="left"/>
      </w:pPr>
      <w:r>
        <w:rPr/>
        <w:t>一、审计意见</w:t>
      </w:r>
    </w:p>
    <w:p>
      <w:pPr>
        <w:pStyle w:val="BodyText"/>
        <w:spacing w:line="259" w:lineRule="auto" w:before="34"/>
        <w:ind w:right="1095" w:firstLine="360"/>
        <w:jc w:val="both"/>
      </w:pPr>
      <w:r>
        <w:rPr>
          <w:spacing w:val="-1"/>
        </w:rPr>
        <w:t>我们审计了后附的深圳市卓翼科技股份有限公司（以下简称</w:t>
      </w:r>
      <w:r>
        <w:rPr>
          <w:rFonts w:ascii="Times New Roman" w:hAnsi="Times New Roman" w:cs="Times New Roman" w:eastAsia="Times New Roman" w:hint="default"/>
          <w:spacing w:val="-1"/>
        </w:rPr>
        <w:t>“</w:t>
      </w:r>
      <w:r>
        <w:rPr>
          <w:spacing w:val="-1"/>
        </w:rPr>
        <w:t>卓翼科技公司</w:t>
      </w:r>
      <w:r>
        <w:rPr>
          <w:rFonts w:ascii="Times New Roman" w:hAnsi="Times New Roman" w:cs="Times New Roman" w:eastAsia="Times New Roman" w:hint="default"/>
          <w:spacing w:val="-1"/>
        </w:rPr>
        <w:t>”</w:t>
      </w:r>
      <w:r>
        <w:rPr>
          <w:spacing w:val="-1"/>
        </w:rPr>
        <w:t>）财务报表，包括</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w:t>
      </w:r>
      <w:r>
        <w:rPr/>
        <w:t> </w:t>
      </w:r>
      <w:r>
        <w:rPr>
          <w:spacing w:val="-2"/>
        </w:rPr>
        <w:t>母公司资产负债表，</w:t>
      </w:r>
      <w:r>
        <w:rPr>
          <w:rFonts w:ascii="Times New Roman" w:hAnsi="Times New Roman" w:cs="Times New Roman" w:eastAsia="Times New Roman" w:hint="default"/>
          <w:spacing w:val="-2"/>
        </w:rPr>
        <w:t>2019</w:t>
      </w:r>
      <w:r>
        <w:rPr>
          <w:spacing w:val="-2"/>
        </w:rPr>
        <w:t>年度合并及母公司利润表、合并及母公司现金流量表、合并及母公司股东权益变动表以及财务报表</w:t>
      </w:r>
      <w:r>
        <w:rPr>
          <w:spacing w:val="-65"/>
        </w:rPr>
        <w:t> </w:t>
      </w:r>
      <w:r>
        <w:rPr>
          <w:spacing w:val="-65"/>
        </w:rPr>
      </w:r>
      <w:r>
        <w:rPr/>
        <w:t>附注。</w:t>
      </w:r>
    </w:p>
    <w:p>
      <w:pPr>
        <w:pStyle w:val="BodyText"/>
        <w:spacing w:line="259" w:lineRule="auto" w:before="5"/>
        <w:ind w:right="1126" w:firstLine="360"/>
        <w:jc w:val="both"/>
      </w:pPr>
      <w:r>
        <w:rPr>
          <w:spacing w:val="-2"/>
        </w:rPr>
        <w:t>我们认为，上述财务报表在所有重大方面按照企业会计准则的规定编制，公允反映了卓翼科技公司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r>
        <w:rPr/>
        <w:t> 并及母公司财务状况以及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240" w:lineRule="auto" w:before="5"/>
        <w:ind w:left="501" w:right="0"/>
        <w:jc w:val="left"/>
      </w:pPr>
      <w:r>
        <w:rPr/>
        <w:t>二、形成审计意见的基础</w:t>
      </w:r>
    </w:p>
    <w:p>
      <w:pPr>
        <w:pStyle w:val="BodyText"/>
        <w:spacing w:line="268" w:lineRule="auto" w:before="35"/>
        <w:ind w:right="1110" w:firstLine="360"/>
        <w:jc w:val="both"/>
      </w:pPr>
      <w:r>
        <w:rPr>
          <w:spacing w:val="-1"/>
        </w:rPr>
        <w:t>我们按照中国注册会计师审计准则的规定执行了审计工作。审计报告的</w:t>
      </w:r>
      <w:r>
        <w:rPr>
          <w:rFonts w:ascii="Times New Roman" w:hAnsi="Times New Roman" w:cs="Times New Roman" w:eastAsia="Times New Roman" w:hint="default"/>
          <w:spacing w:val="-1"/>
        </w:rPr>
        <w:t>“</w:t>
      </w:r>
      <w:r>
        <w:rPr>
          <w:spacing w:val="-1"/>
        </w:rPr>
        <w:t>注册会计师对财务报表审计的责任</w:t>
      </w:r>
      <w:r>
        <w:rPr>
          <w:rFonts w:ascii="Times New Roman" w:hAnsi="Times New Roman" w:cs="Times New Roman" w:eastAsia="Times New Roman" w:hint="default"/>
          <w:spacing w:val="-1"/>
        </w:rPr>
        <w:t>”</w:t>
      </w:r>
      <w:r>
        <w:rPr>
          <w:spacing w:val="-1"/>
        </w:rPr>
        <w:t>部分进一步</w:t>
      </w:r>
      <w:r>
        <w:rPr/>
        <w:t> </w:t>
      </w:r>
      <w:r>
        <w:rPr>
          <w:spacing w:val="-2"/>
        </w:rPr>
        <w:t>阐述了我们在这些准则下的责任。按照中国注册会计师职业道德守则，我们独立于卓翼科技公司，并履行了职业道德方面的</w:t>
      </w:r>
      <w:r>
        <w:rPr>
          <w:spacing w:val="-75"/>
        </w:rPr>
        <w:t> </w:t>
      </w:r>
      <w:r>
        <w:rPr>
          <w:spacing w:val="-75"/>
        </w:rPr>
      </w:r>
      <w:r>
        <w:rPr/>
        <w:t>其他责任。我们相信，我们获取的审计证据是充分、适当的，为发表审计意见提供了基础。</w:t>
      </w:r>
    </w:p>
    <w:p>
      <w:pPr>
        <w:pStyle w:val="BodyText"/>
        <w:spacing w:line="276" w:lineRule="auto" w:before="13"/>
        <w:ind w:left="501" w:right="1133"/>
        <w:jc w:val="left"/>
      </w:pPr>
      <w:r>
        <w:rPr/>
        <w:t>三、关键审计事项 </w:t>
      </w:r>
      <w:r>
        <w:rPr>
          <w:spacing w:val="-2"/>
        </w:rPr>
        <w:t>关键审计事项是我们根据职业判断，认为对本期财务报表审计最为重要的事项。这些事项的应对以对财务报表整体进行</w:t>
      </w:r>
    </w:p>
    <w:p>
      <w:pPr>
        <w:pStyle w:val="BodyText"/>
        <w:spacing w:line="240" w:lineRule="auto" w:before="7"/>
        <w:ind w:right="0"/>
        <w:jc w:val="left"/>
      </w:pPr>
      <w:r>
        <w:rPr/>
        <w:t>审计并形成审计意见为背景</w:t>
      </w:r>
      <w:r>
        <w:rPr>
          <w:spacing w:val="-90"/>
        </w:rPr>
        <w:t>，</w:t>
      </w:r>
      <w:r>
        <w:rPr/>
        <w:t>我们不对这些事项单独发表意见</w:t>
      </w:r>
      <w:r>
        <w:rPr>
          <w:spacing w:val="-90"/>
        </w:rPr>
        <w:t>。</w:t>
      </w:r>
      <w:r>
        <w:rPr/>
        <w:t>我们确定下列事项是需要在审计报告中沟通的关键审计事项。</w:t>
      </w:r>
    </w:p>
    <w:p>
      <w:pPr>
        <w:pStyle w:val="BodyText"/>
        <w:spacing w:line="240" w:lineRule="auto" w:before="35"/>
        <w:ind w:left="501" w:right="0"/>
        <w:jc w:val="left"/>
      </w:pPr>
      <w:r>
        <w:rPr/>
        <w:t>（一）存货跌价准备</w:t>
      </w:r>
    </w:p>
    <w:p>
      <w:pPr>
        <w:pStyle w:val="BodyText"/>
        <w:spacing w:line="261" w:lineRule="auto" w:before="19"/>
        <w:ind w:left="501" w:right="1118"/>
        <w:jc w:val="left"/>
      </w:pPr>
      <w:r>
        <w:rPr>
          <w:rFonts w:ascii="Times New Roman" w:hAnsi="Times New Roman" w:cs="Times New Roman" w:eastAsia="Times New Roman" w:hint="default"/>
        </w:rPr>
        <w:t>1</w:t>
      </w:r>
      <w:r>
        <w:rPr/>
        <w:t>、事项描述 </w:t>
      </w:r>
      <w:r>
        <w:rPr>
          <w:spacing w:val="-2"/>
        </w:rPr>
        <w:t>卓翼科技公司主要从事网络通讯、消费电子以及智能终端等电子产品的生产制造与销售服务。截至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w:t>
      </w:r>
    </w:p>
    <w:p>
      <w:pPr>
        <w:pStyle w:val="BodyText"/>
        <w:spacing w:line="261" w:lineRule="auto" w:before="3"/>
        <w:ind w:right="0"/>
        <w:jc w:val="left"/>
      </w:pPr>
      <w:r>
        <w:rPr>
          <w:spacing w:val="-2"/>
        </w:rPr>
        <w:t>并资产负债表中存货账面余额为</w:t>
      </w:r>
      <w:r>
        <w:rPr>
          <w:rFonts w:ascii="Times New Roman" w:hAnsi="Times New Roman" w:cs="Times New Roman" w:eastAsia="Times New Roman" w:hint="default"/>
          <w:spacing w:val="-2"/>
        </w:rPr>
        <w:t>300,779,186.00</w:t>
      </w:r>
      <w:r>
        <w:rPr>
          <w:spacing w:val="-2"/>
        </w:rPr>
        <w:t>元，存货跌价准备为</w:t>
      </w:r>
      <w:r>
        <w:rPr>
          <w:rFonts w:ascii="Times New Roman" w:hAnsi="Times New Roman" w:cs="Times New Roman" w:eastAsia="Times New Roman" w:hint="default"/>
          <w:spacing w:val="-2"/>
        </w:rPr>
        <w:t>22,299,906.02</w:t>
      </w:r>
      <w:r>
        <w:rPr>
          <w:spacing w:val="-2"/>
        </w:rPr>
        <w:t>元，由于存货可变现净值的确认涉及管理层</w:t>
      </w:r>
      <w:r>
        <w:rPr>
          <w:spacing w:val="-36"/>
        </w:rPr>
        <w:t> </w:t>
      </w:r>
      <w:r>
        <w:rPr>
          <w:spacing w:val="-36"/>
        </w:rPr>
      </w:r>
      <w:r>
        <w:rPr/>
        <w:t>运用重大会计估计和判断，且存货金额重大，因此我们确定存货跌价准备的计提为关键审计事项。</w:t>
      </w:r>
    </w:p>
    <w:p>
      <w:pPr>
        <w:pStyle w:val="BodyText"/>
        <w:spacing w:line="240" w:lineRule="auto" w:before="18"/>
        <w:ind w:left="501" w:right="0"/>
        <w:jc w:val="left"/>
      </w:pPr>
      <w:r>
        <w:rPr/>
        <w:t>关于存货的会计政策、重大会计估计和判断的披露，请参阅</w:t>
      </w:r>
      <w:r>
        <w:rPr>
          <w:rFonts w:ascii="Times New Roman" w:hAnsi="Times New Roman" w:cs="Times New Roman" w:eastAsia="Times New Roman" w:hint="default"/>
        </w:rPr>
        <w:t>“</w:t>
      </w:r>
      <w:r>
        <w:rPr/>
        <w:t>第十二节、五、</w:t>
      </w:r>
      <w:r>
        <w:rPr>
          <w:rFonts w:ascii="Times New Roman" w:hAnsi="Times New Roman" w:cs="Times New Roman" w:eastAsia="Times New Roman" w:hint="default"/>
        </w:rPr>
        <w:t>15</w:t>
      </w:r>
      <w:r>
        <w:rPr/>
        <w:t>、存货</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第十二节、七、</w:t>
      </w:r>
      <w:r>
        <w:rPr>
          <w:rFonts w:ascii="Times New Roman" w:hAnsi="Times New Roman" w:cs="Times New Roman" w:eastAsia="Times New Roman" w:hint="default"/>
        </w:rPr>
        <w:t>9</w:t>
      </w:r>
      <w:r>
        <w:rPr/>
        <w:t>、存货</w:t>
      </w:r>
      <w:r>
        <w:rPr>
          <w:rFonts w:ascii="Times New Roman" w:hAnsi="Times New Roman" w:cs="Times New Roman" w:eastAsia="Times New Roman" w:hint="default"/>
        </w:rPr>
        <w:t>”</w:t>
      </w:r>
      <w:r>
        <w:rPr/>
        <w:t>。</w:t>
      </w:r>
    </w:p>
    <w:p>
      <w:pPr>
        <w:pStyle w:val="BodyText"/>
        <w:spacing w:line="259" w:lineRule="auto" w:before="21"/>
        <w:ind w:left="501" w:right="5709"/>
        <w:jc w:val="left"/>
      </w:pPr>
      <w:r>
        <w:rPr>
          <w:rFonts w:ascii="Times New Roman" w:hAnsi="Times New Roman" w:cs="Times New Roman" w:eastAsia="Times New Roman" w:hint="default"/>
        </w:rPr>
        <w:t>2</w:t>
      </w:r>
      <w:r>
        <w:rPr/>
        <w:t>、审计应对 我们针对存货跌价准备问题执行的审计程序包括但不限于：</w:t>
      </w:r>
    </w:p>
    <w:p>
      <w:pPr>
        <w:pStyle w:val="BodyText"/>
        <w:spacing w:line="240" w:lineRule="auto" w:before="20"/>
        <w:ind w:left="501" w:right="0"/>
        <w:jc w:val="left"/>
      </w:pPr>
      <w:r>
        <w:rPr/>
        <w:t>（</w:t>
      </w:r>
      <w:r>
        <w:rPr>
          <w:rFonts w:ascii="Times New Roman" w:hAnsi="Times New Roman" w:cs="Times New Roman" w:eastAsia="Times New Roman" w:hint="default"/>
        </w:rPr>
        <w:t>1</w:t>
      </w:r>
      <w:r>
        <w:rPr/>
        <w:t>）评估管理层所采用的存货核算会计政策是否符合企业会计准则的规定。</w:t>
      </w:r>
    </w:p>
    <w:p>
      <w:pPr>
        <w:pStyle w:val="BodyText"/>
        <w:spacing w:line="261" w:lineRule="auto" w:before="21"/>
        <w:ind w:right="1137" w:firstLine="360"/>
        <w:jc w:val="both"/>
      </w:pPr>
      <w:r>
        <w:rPr/>
        <w:t>（</w:t>
      </w:r>
      <w:r>
        <w:rPr>
          <w:rFonts w:ascii="Times New Roman" w:hAnsi="Times New Roman" w:cs="Times New Roman" w:eastAsia="Times New Roman" w:hint="default"/>
        </w:rPr>
        <w:t>2</w:t>
      </w:r>
      <w:r>
        <w:rPr/>
        <w:t>）询问生产与仓储环节的关键管理人员，对卓翼科技公司存货跌价准备相关的内部控制的设计与执行进行了评估与 测试。</w:t>
      </w:r>
    </w:p>
    <w:p>
      <w:pPr>
        <w:pStyle w:val="BodyText"/>
        <w:spacing w:line="259" w:lineRule="auto" w:before="3"/>
        <w:ind w:right="1135" w:firstLine="360"/>
        <w:jc w:val="both"/>
      </w:pPr>
      <w:r>
        <w:rPr/>
        <w:t>（</w:t>
      </w:r>
      <w:r>
        <w:rPr>
          <w:rFonts w:ascii="Times New Roman" w:hAnsi="Times New Roman" w:cs="Times New Roman" w:eastAsia="Times New Roman" w:hint="default"/>
        </w:rPr>
        <w:t>3</w:t>
      </w:r>
      <w:r>
        <w:rPr/>
        <w:t>）获取存货清单，对存货执行监盘程序，检查存货的数量、状况和库龄等情况，对管理层认定的存在减值迹象判断 的合理性进行分析。</w:t>
      </w:r>
    </w:p>
    <w:p>
      <w:pPr>
        <w:pStyle w:val="BodyText"/>
        <w:spacing w:line="240" w:lineRule="auto" w:before="20"/>
        <w:ind w:left="501" w:right="0"/>
        <w:jc w:val="left"/>
      </w:pPr>
      <w:r>
        <w:rPr/>
        <w:t>（</w:t>
      </w:r>
      <w:r>
        <w:rPr>
          <w:rFonts w:ascii="Times New Roman" w:hAnsi="Times New Roman" w:cs="Times New Roman" w:eastAsia="Times New Roman" w:hint="default"/>
        </w:rPr>
        <w:t>4</w:t>
      </w:r>
      <w:r>
        <w:rPr/>
        <w:t>）获取卓翼科技公司的存货跌价准备计算表，执行存货减值测试，分析并复核其存货跌价准备计提是否充分、合理。</w:t>
      </w:r>
    </w:p>
    <w:p>
      <w:pPr>
        <w:pStyle w:val="BodyText"/>
        <w:spacing w:line="261" w:lineRule="auto" w:before="21"/>
        <w:ind w:right="1137" w:firstLine="360"/>
        <w:jc w:val="both"/>
      </w:pPr>
      <w:r>
        <w:rPr/>
        <w:t>（</w:t>
      </w:r>
      <w:r>
        <w:rPr>
          <w:rFonts w:ascii="Times New Roman" w:hAnsi="Times New Roman" w:cs="Times New Roman" w:eastAsia="Times New Roman" w:hint="default"/>
        </w:rPr>
        <w:t>5</w:t>
      </w:r>
      <w:r>
        <w:rPr/>
        <w:t>）选择样本，对管理层确认可变现净值时的估计售价等数据与最近售价或期后的实际售价进行比较，评价管理层在 确定存货可变现净值时做出的判断是否合理。</w:t>
      </w:r>
    </w:p>
    <w:p>
      <w:pPr>
        <w:pStyle w:val="BodyText"/>
        <w:spacing w:line="240" w:lineRule="auto" w:before="18"/>
        <w:ind w:left="501" w:right="0"/>
        <w:jc w:val="left"/>
      </w:pPr>
      <w:r>
        <w:rPr/>
        <w:t>（二）收入确认</w:t>
      </w:r>
    </w:p>
    <w:p>
      <w:pPr>
        <w:pStyle w:val="BodyText"/>
        <w:spacing w:line="259" w:lineRule="auto" w:before="35"/>
        <w:ind w:left="501" w:right="1118"/>
        <w:jc w:val="left"/>
      </w:pPr>
      <w:r>
        <w:rPr>
          <w:rFonts w:ascii="Times New Roman" w:hAnsi="Times New Roman" w:cs="Times New Roman" w:eastAsia="Times New Roman" w:hint="default"/>
        </w:rPr>
        <w:t>1</w:t>
      </w:r>
      <w:r>
        <w:rPr/>
        <w:t>、事项描述 </w:t>
      </w:r>
      <w:r>
        <w:rPr>
          <w:spacing w:val="-2"/>
        </w:rPr>
        <w:t>卓翼科技公司</w:t>
      </w:r>
      <w:r>
        <w:rPr>
          <w:rFonts w:ascii="Times New Roman" w:hAnsi="Times New Roman" w:cs="Times New Roman" w:eastAsia="Times New Roman" w:hint="default"/>
          <w:spacing w:val="-2"/>
        </w:rPr>
        <w:t>2019</w:t>
      </w:r>
      <w:r>
        <w:rPr>
          <w:spacing w:val="-2"/>
        </w:rPr>
        <w:t>年度合并利润表中营业总收入</w:t>
      </w:r>
      <w:r>
        <w:rPr>
          <w:rFonts w:ascii="Times New Roman" w:hAnsi="Times New Roman" w:cs="Times New Roman" w:eastAsia="Times New Roman" w:hint="default"/>
          <w:spacing w:val="-2"/>
        </w:rPr>
        <w:t>3,344,731,714.02</w:t>
      </w:r>
      <w:r>
        <w:rPr>
          <w:spacing w:val="-2"/>
        </w:rPr>
        <w:t>元，为合并利润表重要组成部分，鉴于营业收入是卓翼</w:t>
      </w:r>
    </w:p>
    <w:p>
      <w:pPr>
        <w:pStyle w:val="BodyText"/>
        <w:spacing w:line="259" w:lineRule="auto" w:before="5"/>
        <w:ind w:left="501" w:right="0" w:hanging="361"/>
        <w:jc w:val="left"/>
      </w:pPr>
      <w:r>
        <w:rPr/>
        <w:t>科技公司的关键业绩指标之一，为此我们确定营业总收入的真实性及截止性为关键审计事项。 关于收入确认的会计政策、重大会计估计和判断的披露，以及其他详细信息，请参阅</w:t>
      </w:r>
      <w:r>
        <w:rPr>
          <w:rFonts w:ascii="Times New Roman" w:hAnsi="Times New Roman" w:cs="Times New Roman" w:eastAsia="Times New Roman" w:hint="default"/>
        </w:rPr>
        <w:t>“</w:t>
      </w:r>
      <w:r>
        <w:rPr/>
        <w:t>第十二节、五、</w:t>
      </w:r>
      <w:r>
        <w:rPr>
          <w:rFonts w:ascii="Times New Roman" w:hAnsi="Times New Roman" w:cs="Times New Roman" w:eastAsia="Times New Roman" w:hint="default"/>
        </w:rPr>
        <w:t>39</w:t>
      </w:r>
      <w:r>
        <w:rPr/>
        <w:t>、收入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第</w:t>
      </w:r>
    </w:p>
    <w:p>
      <w:pPr>
        <w:pStyle w:val="BodyText"/>
        <w:spacing w:line="240" w:lineRule="auto" w:before="5"/>
        <w:ind w:right="0"/>
        <w:jc w:val="left"/>
      </w:pPr>
      <w:r>
        <w:rPr/>
        <w:t>十二节、七、</w:t>
      </w:r>
      <w:r>
        <w:rPr>
          <w:rFonts w:ascii="Times New Roman" w:hAnsi="Times New Roman" w:cs="Times New Roman" w:eastAsia="Times New Roman" w:hint="default"/>
        </w:rPr>
        <w:t>61</w:t>
      </w:r>
      <w:r>
        <w:rPr/>
        <w:t>、营业收入和营业成本</w:t>
      </w:r>
      <w:r>
        <w:rPr>
          <w:rFonts w:ascii="Times New Roman" w:hAnsi="Times New Roman" w:cs="Times New Roman" w:eastAsia="Times New Roman" w:hint="default"/>
        </w:rPr>
        <w:t>”</w:t>
      </w:r>
      <w:r>
        <w:rPr/>
        <w:t>。</w:t>
      </w:r>
    </w:p>
    <w:p>
      <w:pPr>
        <w:spacing w:after="0" w:line="240" w:lineRule="auto"/>
        <w:jc w:val="left"/>
        <w:sectPr>
          <w:pgSz w:w="11910" w:h="16850"/>
          <w:pgMar w:header="731" w:footer="981" w:top="1040" w:bottom="1180" w:left="1000" w:right="0"/>
        </w:sectPr>
      </w:pPr>
    </w:p>
    <w:p>
      <w:pPr>
        <w:spacing w:line="240" w:lineRule="auto" w:before="8"/>
        <w:rPr>
          <w:rFonts w:ascii="宋体" w:hAnsi="宋体" w:cs="宋体" w:eastAsia="宋体" w:hint="default"/>
          <w:sz w:val="22"/>
          <w:szCs w:val="22"/>
        </w:rPr>
      </w:pPr>
    </w:p>
    <w:p>
      <w:pPr>
        <w:pStyle w:val="BodyText"/>
        <w:spacing w:line="259" w:lineRule="auto" w:before="44"/>
        <w:ind w:left="501" w:right="5529"/>
        <w:jc w:val="left"/>
      </w:pPr>
      <w:r>
        <w:rPr>
          <w:rFonts w:ascii="Times New Roman" w:hAnsi="Times New Roman" w:cs="Times New Roman" w:eastAsia="Times New Roman" w:hint="default"/>
        </w:rPr>
        <w:t>2</w:t>
      </w:r>
      <w:r>
        <w:rPr/>
        <w:t>、审计应对 我们针对收入确认和计量问题执行的审计程序包括但不限于：</w:t>
      </w:r>
    </w:p>
    <w:p>
      <w:pPr>
        <w:pStyle w:val="BodyText"/>
        <w:spacing w:line="240" w:lineRule="auto" w:before="20"/>
        <w:ind w:left="501" w:right="0"/>
        <w:jc w:val="left"/>
      </w:pPr>
      <w:r>
        <w:rPr/>
        <w:t>（</w:t>
      </w:r>
      <w:r>
        <w:rPr>
          <w:rFonts w:ascii="Times New Roman" w:hAnsi="Times New Roman" w:cs="Times New Roman" w:eastAsia="Times New Roman" w:hint="default"/>
        </w:rPr>
        <w:t>1</w:t>
      </w:r>
      <w:r>
        <w:rPr/>
        <w:t>）我们通过审阅销售合同及与管理</w:t>
      </w:r>
      <w:r>
        <w:rPr>
          <w:spacing w:val="-57"/>
        </w:rPr>
        <w:t> </w:t>
      </w:r>
      <w:r>
        <w:rPr/>
        <w:t>层的访谈，了解和评估了卓翼科技公司的收入确认政策。</w:t>
      </w:r>
    </w:p>
    <w:p>
      <w:pPr>
        <w:pStyle w:val="BodyText"/>
        <w:spacing w:line="240" w:lineRule="auto" w:before="21"/>
        <w:ind w:left="501" w:right="0"/>
        <w:jc w:val="left"/>
      </w:pPr>
      <w:r>
        <w:rPr/>
        <w:t>（</w:t>
      </w:r>
      <w:r>
        <w:rPr>
          <w:rFonts w:ascii="Times New Roman" w:hAnsi="Times New Roman" w:cs="Times New Roman" w:eastAsia="Times New Roman" w:hint="default"/>
        </w:rPr>
        <w:t>2</w:t>
      </w:r>
      <w:r>
        <w:rPr/>
        <w:t>）我们向管理层、治理层进行询问，评价管理层诚信及舞弊风险。</w:t>
      </w:r>
    </w:p>
    <w:p>
      <w:pPr>
        <w:pStyle w:val="BodyText"/>
        <w:spacing w:line="240" w:lineRule="auto" w:before="21"/>
        <w:ind w:left="501" w:right="0"/>
        <w:jc w:val="left"/>
      </w:pPr>
      <w:r>
        <w:rPr/>
        <w:t>（</w:t>
      </w:r>
      <w:r>
        <w:rPr>
          <w:rFonts w:ascii="Times New Roman" w:hAnsi="Times New Roman" w:cs="Times New Roman" w:eastAsia="Times New Roman" w:hint="default"/>
        </w:rPr>
        <w:t>3</w:t>
      </w:r>
      <w:r>
        <w:rPr/>
        <w:t>）我们了解并测试了与收入相关的内部控制，确定其可依赖。</w:t>
      </w:r>
    </w:p>
    <w:p>
      <w:pPr>
        <w:pStyle w:val="BodyText"/>
        <w:spacing w:line="261" w:lineRule="auto" w:before="6"/>
        <w:ind w:right="1045" w:firstLine="360"/>
        <w:jc w:val="both"/>
      </w:pPr>
      <w:r>
        <w:rPr>
          <w:spacing w:val="-2"/>
        </w:rPr>
        <w:t>（</w:t>
      </w:r>
      <w:r>
        <w:rPr>
          <w:rFonts w:ascii="Times New Roman" w:hAnsi="Times New Roman" w:cs="Times New Roman" w:eastAsia="Times New Roman" w:hint="default"/>
          <w:spacing w:val="-2"/>
        </w:rPr>
        <w:t>4</w:t>
      </w:r>
      <w:r>
        <w:rPr>
          <w:spacing w:val="-2"/>
        </w:rPr>
        <w:t>）对收入和成本执行分析程序，包括：本期各月度收入、成本、毛利波动分析，重点审查主要产品本期收入、成本、</w:t>
      </w:r>
      <w:r>
        <w:rPr/>
        <w:t> 毛利率与上期比较分析等分析程序。</w:t>
      </w:r>
    </w:p>
    <w:p>
      <w:pPr>
        <w:pStyle w:val="BodyText"/>
        <w:spacing w:line="240" w:lineRule="auto" w:before="18"/>
        <w:ind w:left="501" w:right="0"/>
        <w:jc w:val="left"/>
      </w:pPr>
      <w:r>
        <w:rPr/>
        <w:t>（</w:t>
      </w:r>
      <w:r>
        <w:rPr>
          <w:rFonts w:ascii="Times New Roman" w:hAnsi="Times New Roman" w:cs="Times New Roman" w:eastAsia="Times New Roman" w:hint="default"/>
        </w:rPr>
        <w:t>5</w:t>
      </w:r>
      <w:r>
        <w:rPr/>
        <w:t>）结合应收账款审计，对重要客户销售收入实施函证程序。</w:t>
      </w:r>
    </w:p>
    <w:p>
      <w:pPr>
        <w:pStyle w:val="BodyText"/>
        <w:spacing w:line="259" w:lineRule="auto" w:before="21"/>
        <w:ind w:right="1137" w:firstLine="360"/>
        <w:jc w:val="both"/>
      </w:pPr>
      <w:r>
        <w:rPr/>
        <w:t>（</w:t>
      </w:r>
      <w:r>
        <w:rPr>
          <w:rFonts w:ascii="Times New Roman" w:hAnsi="Times New Roman" w:cs="Times New Roman" w:eastAsia="Times New Roman" w:hint="default"/>
        </w:rPr>
        <w:t>6</w:t>
      </w:r>
      <w:r>
        <w:rPr/>
        <w:t>）按照抽样原则选择样本，对营业收入执行发生及完整性测试，检查其业务合同、入账记录、客户签收记录与对账 记录，验证其真实性与完整性，并检查卓翼科技公司收入确认是否与披露的会计政策一致。</w:t>
      </w:r>
    </w:p>
    <w:p>
      <w:pPr>
        <w:pStyle w:val="BodyText"/>
        <w:spacing w:line="268" w:lineRule="auto" w:before="20"/>
        <w:ind w:right="1137" w:firstLine="360"/>
        <w:jc w:val="both"/>
      </w:pPr>
      <w:r>
        <w:rPr/>
        <w:t>（</w:t>
      </w:r>
      <w:r>
        <w:rPr>
          <w:rFonts w:ascii="Times New Roman" w:hAnsi="Times New Roman" w:cs="Times New Roman" w:eastAsia="Times New Roman" w:hint="default"/>
        </w:rPr>
        <w:t>7</w:t>
      </w:r>
      <w:r>
        <w:rPr/>
        <w:t>）针对可能出现的完整性风险，我们实施了具有针对性的审计程序，包括但不限于：在增加收入完整性测试样本的 </w:t>
      </w:r>
      <w:r>
        <w:rPr>
          <w:spacing w:val="-2"/>
        </w:rPr>
        <w:t>基础上，针对资产负债表日前后确认的销售收入执行截止性测试，核对产成品的发出到客户验收的单证相关时间节点，以评</w:t>
      </w:r>
      <w:r>
        <w:rPr>
          <w:spacing w:val="-75"/>
        </w:rPr>
        <w:t> </w:t>
      </w:r>
      <w:r>
        <w:rPr>
          <w:spacing w:val="-75"/>
        </w:rPr>
      </w:r>
      <w:r>
        <w:rPr/>
        <w:t>估销售收入是否记录于恰当的期间，是否存在跨期问题。</w:t>
      </w:r>
    </w:p>
    <w:p>
      <w:pPr>
        <w:pStyle w:val="BodyText"/>
        <w:spacing w:line="276" w:lineRule="auto" w:before="13"/>
        <w:ind w:left="501" w:right="1083"/>
        <w:jc w:val="left"/>
      </w:pPr>
      <w:r>
        <w:rPr/>
        <w:t>四、其他信息 </w:t>
      </w:r>
      <w:r>
        <w:rPr>
          <w:spacing w:val="-1"/>
        </w:rPr>
        <w:t>卓翼科技公司管理层（以下简称管理层）对其他信息负责。其他信息包括</w:t>
      </w:r>
      <w:r>
        <w:rPr>
          <w:rFonts w:ascii="Times New Roman" w:hAnsi="Times New Roman" w:cs="Times New Roman" w:eastAsia="Times New Roman" w:hint="default"/>
          <w:spacing w:val="-1"/>
        </w:rPr>
        <w:t>2019</w:t>
      </w:r>
      <w:r>
        <w:rPr>
          <w:spacing w:val="-1"/>
        </w:rPr>
        <w:t>年年度报告中涵盖的信息，但不包括财务</w:t>
      </w:r>
    </w:p>
    <w:p>
      <w:pPr>
        <w:pStyle w:val="BodyText"/>
        <w:spacing w:line="212" w:lineRule="exact"/>
        <w:ind w:right="0"/>
        <w:jc w:val="left"/>
      </w:pPr>
      <w:r>
        <w:rPr/>
        <w:t>报表和我们的审计报告。</w:t>
      </w:r>
    </w:p>
    <w:p>
      <w:pPr>
        <w:pStyle w:val="BodyText"/>
        <w:spacing w:line="276" w:lineRule="auto" w:before="34"/>
        <w:ind w:left="501" w:right="1133"/>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76" w:lineRule="auto" w:before="7"/>
        <w:ind w:left="501" w:right="0" w:hanging="361"/>
        <w:jc w:val="left"/>
      </w:pPr>
      <w:r>
        <w:rPr/>
        <w:t>程中了解到的情况存在重大不一致或者存在重大错报。 </w:t>
      </w:r>
      <w:r>
        <w:rPr>
          <w:spacing w:val="-2"/>
        </w:rPr>
        <w:t>基于我们已执行的工作，如果我们确定其他信息存在重大错报，我们应当报告该事实。在这方面，我们无任何事项需要</w:t>
      </w:r>
    </w:p>
    <w:p>
      <w:pPr>
        <w:pStyle w:val="BodyText"/>
        <w:spacing w:line="240" w:lineRule="auto" w:before="7"/>
        <w:ind w:right="0"/>
        <w:jc w:val="left"/>
      </w:pPr>
      <w:r>
        <w:rPr/>
        <w:t>报告。</w:t>
      </w:r>
    </w:p>
    <w:p>
      <w:pPr>
        <w:pStyle w:val="BodyText"/>
        <w:spacing w:line="276" w:lineRule="auto" w:before="35"/>
        <w:ind w:left="501" w:right="0"/>
        <w:jc w:val="left"/>
      </w:pPr>
      <w:r>
        <w:rPr/>
        <w:t>五、管理层和治理层对财务报表的责任 </w:t>
      </w:r>
      <w:r>
        <w:rPr>
          <w:spacing w:val="-2"/>
        </w:rPr>
        <w:t>卓翼科技公司管理层（以下简称管理层）负责按照企业会计准则的规定编制财务报表，使其实现公允反映，并设计、执</w:t>
      </w:r>
    </w:p>
    <w:p>
      <w:pPr>
        <w:pStyle w:val="BodyText"/>
        <w:spacing w:line="276" w:lineRule="auto" w:before="8"/>
        <w:ind w:left="501" w:right="0" w:hanging="361"/>
        <w:jc w:val="left"/>
      </w:pPr>
      <w:r>
        <w:rPr/>
        <w:t>行和维护必要的内部控制，以使财务报表不存在由于舞弊或错误导致的重大错报。 </w:t>
      </w:r>
      <w:r>
        <w:rPr>
          <w:spacing w:val="-4"/>
        </w:rPr>
        <w:t>在编制财务报表时，管理层负责评估卓翼科技公司的持续经营能力，披露与持续经营相关的事项，并运用持续经营假设，</w:t>
      </w:r>
    </w:p>
    <w:p>
      <w:pPr>
        <w:pStyle w:val="BodyText"/>
        <w:spacing w:line="276" w:lineRule="auto"/>
        <w:ind w:left="501" w:right="5170" w:hanging="361"/>
        <w:jc w:val="left"/>
      </w:pPr>
      <w:r>
        <w:rPr/>
        <w:t>除非管理层计划清算卓翼科技公司、终止运营或别无其他现实的选择。</w:t>
      </w:r>
      <w:r>
        <w:rPr>
          <w:spacing w:val="-85"/>
        </w:rPr>
        <w:t> </w:t>
      </w:r>
      <w:r>
        <w:rPr>
          <w:spacing w:val="-85"/>
        </w:rPr>
      </w:r>
      <w:r>
        <w:rPr/>
        <w:t>治理层负责监督卓翼科技公司的财务报告过程。 六、注册会计师对财务报表审计的责任</w:t>
      </w:r>
    </w:p>
    <w:p>
      <w:pPr>
        <w:pStyle w:val="BodyText"/>
        <w:spacing w:line="276" w:lineRule="auto" w:before="7"/>
        <w:ind w:right="112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75"/>
        </w:rPr>
        <w:t> </w:t>
      </w:r>
      <w:r>
        <w:rPr>
          <w:spacing w:val="-75"/>
        </w:rPr>
      </w:r>
      <w:r>
        <w:rPr>
          <w:spacing w:val="-2"/>
        </w:rPr>
        <w:t>或错误导致，如果合理预期错报单独或汇总起来可能影响财务报表使用者依据合并财务报表作出的经济决策，则通常认为错</w:t>
      </w:r>
      <w:r>
        <w:rPr>
          <w:spacing w:val="-72"/>
        </w:rPr>
        <w:t> </w:t>
      </w:r>
      <w:r>
        <w:rPr>
          <w:spacing w:val="-72"/>
        </w:rPr>
      </w:r>
      <w:r>
        <w:rPr/>
        <w:t>报是重大的。</w:t>
      </w:r>
    </w:p>
    <w:p>
      <w:pPr>
        <w:pStyle w:val="BodyText"/>
        <w:spacing w:line="240" w:lineRule="auto" w:before="8"/>
        <w:ind w:left="501" w:right="0"/>
        <w:jc w:val="left"/>
      </w:pPr>
      <w:r>
        <w:rPr/>
        <w:t>在按照审计准则执行审计工作的过程中，我们运用职业判断，并保持职业怀疑。同时，我们也执行以下工作：</w:t>
      </w:r>
    </w:p>
    <w:p>
      <w:pPr>
        <w:pStyle w:val="BodyText"/>
        <w:spacing w:line="261" w:lineRule="auto" w:before="34"/>
        <w:ind w:right="1046" w:firstLine="360"/>
        <w:jc w:val="both"/>
      </w:pPr>
      <w:r>
        <w:rPr/>
        <w:t>（</w:t>
      </w:r>
      <w:r>
        <w:rPr>
          <w:rFonts w:ascii="Times New Roman" w:hAnsi="Times New Roman" w:cs="Times New Roman" w:eastAsia="Times New Roman" w:hint="default"/>
        </w:rPr>
        <w:t>1</w:t>
      </w:r>
      <w:r>
        <w:rPr/>
        <w:t>）识别和评估由于舞弊或错误导致的财务报表重大错报风险，</w:t>
      </w:r>
      <w:r>
        <w:rPr>
          <w:spacing w:val="-9"/>
        </w:rPr>
        <w:t> </w:t>
      </w:r>
      <w:r>
        <w:rPr/>
        <w:t>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9"/>
        <w:ind w:left="501" w:right="0"/>
        <w:jc w:val="left"/>
      </w:pPr>
      <w:r>
        <w:rPr/>
        <w:t>（</w:t>
      </w:r>
      <w:r>
        <w:rPr>
          <w:rFonts w:ascii="Times New Roman" w:hAnsi="Times New Roman" w:cs="Times New Roman" w:eastAsia="Times New Roman" w:hint="default"/>
        </w:rPr>
        <w:t>2</w:t>
      </w:r>
      <w:r>
        <w:rPr/>
        <w:t>）了解与审计相关的内部控制，以设计恰当的审计程序。</w:t>
      </w:r>
    </w:p>
    <w:p>
      <w:pPr>
        <w:pStyle w:val="BodyText"/>
        <w:spacing w:line="240" w:lineRule="auto" w:before="21"/>
        <w:ind w:left="501"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71" w:lineRule="auto" w:before="21"/>
        <w:ind w:right="1129"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）对管理层使用持续经营假设的恰当性得出结论。同时，根据获取的审计证据，就可能导致对卓翼科技公司持续经 </w:t>
      </w:r>
      <w:r>
        <w:rPr>
          <w:spacing w:val="-2"/>
        </w:rPr>
        <w:t>营能力产生重大疑虑的事项或情况是否存在重大不确定性得出结论。如果我们得出结论认为存在重大不确定性，审计准则要</w:t>
      </w:r>
      <w:r>
        <w:rPr>
          <w:spacing w:val="-72"/>
        </w:rPr>
        <w:t> </w:t>
      </w:r>
      <w:r>
        <w:rPr>
          <w:spacing w:val="-72"/>
        </w:rPr>
      </w:r>
      <w:r>
        <w:rPr>
          <w:spacing w:val="-2"/>
        </w:rPr>
        <w:t>求我们在审计报告中提请报表使用者注意财务报表中的相关披露；如果披露不充分，我们应当发表非无保留意见。我们的结</w:t>
      </w:r>
      <w:r>
        <w:rPr>
          <w:spacing w:val="-75"/>
        </w:rPr>
        <w:t> </w:t>
      </w:r>
      <w:r>
        <w:rPr>
          <w:spacing w:val="-75"/>
        </w:rPr>
      </w:r>
      <w:r>
        <w:rPr/>
        <w:t>论基于截至审计报告日可获得的信息。然而，未来的事项或情况可能导致卓翼科技公司不能持续经营。</w:t>
      </w:r>
    </w:p>
    <w:p>
      <w:pPr>
        <w:pStyle w:val="BodyText"/>
        <w:spacing w:line="240" w:lineRule="auto" w:before="11"/>
        <w:ind w:left="501" w:right="0"/>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247" w:lineRule="auto" w:before="21"/>
        <w:ind w:right="1126" w:firstLine="360"/>
        <w:jc w:val="both"/>
      </w:pPr>
      <w:r>
        <w:rPr/>
        <w:t>（</w:t>
      </w:r>
      <w:r>
        <w:rPr>
          <w:rFonts w:ascii="Times New Roman" w:hAnsi="Times New Roman" w:cs="Times New Roman" w:eastAsia="Times New Roman" w:hint="default"/>
        </w:rPr>
        <w:t>6</w:t>
      </w:r>
      <w:r>
        <w:rPr/>
        <w:t>）就卓翼科技公司中实体或业务活动的财务信息获取充分、适当的审计证据，以对财务报表发表审计意见。我们负 责指导、监督和执行集团审计，并对审计意见承担全部责任。</w:t>
      </w:r>
    </w:p>
    <w:p>
      <w:pPr>
        <w:pStyle w:val="BodyText"/>
        <w:spacing w:line="276" w:lineRule="auto" w:before="29"/>
        <w:ind w:right="1137"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276" w:lineRule="auto" w:before="7"/>
        <w:ind w:right="112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276" w:lineRule="auto" w:before="7"/>
        <w:ind w:right="1136" w:firstLine="360"/>
        <w:jc w:val="both"/>
      </w:pPr>
      <w:r>
        <w:rPr>
          <w:spacing w:val="-2"/>
        </w:rPr>
        <w:t>从与治理层沟通过的事项中，我们确定哪些事项对本期财务报表审计最为重要，因而构成关键审计事项。我们在审计报</w:t>
      </w:r>
      <w:r>
        <w:rPr/>
        <w:t> 告中描述这些事项，</w:t>
      </w:r>
      <w:r>
        <w:rPr>
          <w:spacing w:val="-9"/>
        </w:rPr>
        <w:t> </w:t>
      </w:r>
      <w:r>
        <w:rPr/>
        <w:t>除非法律法规禁止公开披露这些事项，或在极少数情形下，如果合理预期在审计报告中沟通某事项造</w:t>
      </w:r>
      <w:r>
        <w:rPr/>
        <w:t> 成的负面后果超过在公众利益方面产生的益处，我们确定不应在审计报告中沟通该事项。</w:t>
      </w:r>
    </w:p>
    <w:p>
      <w:pPr>
        <w:spacing w:after="0" w:line="276" w:lineRule="auto"/>
        <w:jc w:val="both"/>
        <w:sectPr>
          <w:footerReference w:type="default" r:id="rId23"/>
          <w:pgSz w:w="11910" w:h="16850"/>
          <w:pgMar w:footer="981" w:header="731" w:top="1040" w:bottom="1180" w:left="1000" w:right="0"/>
          <w:pgNumType w:start="103"/>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44"/>
        <w:ind w:left="6734" w:right="0"/>
        <w:jc w:val="left"/>
      </w:pPr>
      <w:r>
        <w:rPr/>
        <w:t>二〇二〇年四月二十八日</w:t>
      </w:r>
    </w:p>
    <w:p>
      <w:pPr>
        <w:spacing w:line="240" w:lineRule="auto" w:before="13"/>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9"/>
      <w:bookmarkEnd w:id="159"/>
      <w:r>
        <w:rPr>
          <w:b w:val="0"/>
          <w:bCs w:val="0"/>
        </w:rPr>
      </w:r>
      <w:r>
        <w:rPr/>
        <w:t>二、财务报表</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财务附注中报表的单位为：元</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1、合并资产负债表" w:id="160"/>
      <w:bookmarkEnd w:id="160"/>
      <w:r>
        <w:rPr>
          <w:b w:val="0"/>
          <w:bCs w:val="0"/>
        </w:rPr>
      </w:r>
      <w:r>
        <w:rPr>
          <w:rFonts w:ascii="Times New Roman" w:hAnsi="Times New Roman" w:cs="Times New Roman" w:eastAsia="Times New Roman" w:hint="default"/>
          <w:spacing w:val="5"/>
        </w:rPr>
        <w:t>1</w:t>
      </w:r>
      <w:r>
        <w:rPr>
          <w:spacing w:val="5"/>
        </w:rPr>
        <w:t>、合并资产负债表</w:t>
      </w:r>
      <w:r>
        <w:rPr>
          <w:b w:val="0"/>
          <w:bCs w:val="0"/>
          <w:spacing w:val="5"/>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编制单位：深圳市卓翼科技股份有限公司</w:t>
      </w:r>
    </w:p>
    <w:p>
      <w:pPr>
        <w:pStyle w:val="BodyText"/>
        <w:spacing w:line="240" w:lineRule="auto" w:before="139"/>
        <w:ind w:left="1797" w:right="2765"/>
        <w:jc w:val="center"/>
      </w:pP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541,191,563.00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435,537,315.04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62,193,274.50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7,045,503.53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981,413,891.29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691,991,457.68</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20,000,000.00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1,400,670.64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3,540,371.56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48,381,562.92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36,364,360.85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108,017.04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324,236.89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278,479,279.98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391,109,373.54</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14,619,445.33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15,671,551.19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1,947,679,687.66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1,581,259,933.39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98,344,148.68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3,407,670.85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2,400,087.79</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92,954,270.82</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174,555,531.22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180,524,359.39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1,228,647,910.45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1,234,307,153.03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224,114,739.32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165,595,023.06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52,395,638.35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56,457,089.60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3,543,340.58</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128,846,909.22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79,231,272.35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54,143,867.48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46,275,418.00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30,232,994.12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25,156,060.87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31"/>
              <w:jc w:val="right"/>
              <w:rPr>
                <w:rFonts w:ascii="Times New Roman" w:hAnsi="Times New Roman" w:cs="Times New Roman" w:eastAsia="Times New Roman" w:hint="default"/>
                <w:sz w:val="18"/>
                <w:szCs w:val="18"/>
              </w:rPr>
            </w:pPr>
            <w:r>
              <w:rPr>
                <w:rFonts w:ascii="Times New Roman"/>
                <w:sz w:val="18"/>
              </w:rPr>
              <w:t>1,992,842,872.41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1,888,290,612.77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3,940,522,560.07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3,469,550,546.16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208,650,000.00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264,781,903.60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129,301,874.00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186,418,052.15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989,433,818.24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731,251,307.88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8,706,534.66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20,758,008.89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85,780,937.37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39,410,254.80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49,053,434.27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42,573,634.10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69,500,069.96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45,368,521.24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1,678,637.55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2,868,509.53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74,080,000.00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11,000,000.00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1,614,506,668.50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1,341,561,682.66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163,750,000.00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120,000,000.00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75,039,546.66</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982,921.87</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91,775,463.49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25,992,907.90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12,663,074.03</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344,211,006.05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145,992,907.90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1,958,717,674.55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1,487,554,590.56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577,906,704.00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579,971,704.00</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1,291,181,222.08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1,302,061,405.04</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80,222,997.95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13,994,925.00</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-89,598.88</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-35,142.49</w:t>
            </w:r>
            <w:r>
              <w:rPr>
                <w:rFonts w:ascii="Times New Roman"/>
                <w:sz w:val="18"/>
              </w:rPr>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76,883,654.17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73,608,812.41</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121,997,786.78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43,483,948.89</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1,987,656,770.20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1,985,095,802.85</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-5,851,884.68</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-3,099,847.25</w:t>
            </w:r>
            <w:r>
              <w:rPr>
                <w:rFonts w:ascii="Times New Roman"/>
                <w:sz w:val="18"/>
              </w:rPr>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1,981,804,885.52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1,981,995,955.60</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3,940,522,560.07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3,469,550,546.16</w:t>
            </w:r>
          </w:p>
        </w:tc>
      </w:tr>
    </w:tbl>
    <w:p>
      <w:pPr>
        <w:spacing w:line="240" w:lineRule="auto" w:before="3"/>
        <w:rPr>
          <w:rFonts w:ascii="Times New Roman" w:hAnsi="Times New Roman" w:cs="Times New Roman" w:eastAsia="Times New Roman" w:hint="default"/>
          <w:sz w:val="22"/>
          <w:szCs w:val="22"/>
        </w:rPr>
      </w:pPr>
    </w:p>
    <w:p>
      <w:pPr>
        <w:pStyle w:val="BodyText"/>
        <w:tabs>
          <w:tab w:pos="3655" w:val="left" w:leader="none"/>
          <w:tab w:pos="7890" w:val="left" w:leader="none"/>
        </w:tabs>
        <w:spacing w:line="240" w:lineRule="auto" w:before="44"/>
        <w:ind w:right="0"/>
        <w:jc w:val="left"/>
      </w:pPr>
      <w:r>
        <w:rPr/>
        <w:t>法定代表人：陈新民</w:t>
        <w:tab/>
        <w:t>主管会计工作负责人：谢从雄</w:t>
        <w:tab/>
        <w:t>会计机构负责人：韦彪</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2、母公司资产负债表" w:id="161"/>
      <w:bookmarkEnd w:id="161"/>
      <w:r>
        <w:rPr>
          <w:b w:val="0"/>
          <w:bCs w:val="0"/>
        </w:rPr>
      </w:r>
      <w:r>
        <w:rPr>
          <w:rFonts w:ascii="Times New Roman" w:hAnsi="Times New Roman" w:cs="Times New Roman" w:eastAsia="Times New Roman" w:hint="default"/>
          <w:spacing w:val="4"/>
        </w:rPr>
        <w:t>2</w:t>
      </w:r>
      <w:r>
        <w:rPr>
          <w:spacing w:val="4"/>
        </w:rPr>
        <w:t>、母公司资产负债表</w:t>
      </w:r>
      <w:r>
        <w:rPr>
          <w:b w:val="0"/>
          <w:bCs w:val="0"/>
          <w:spacing w:val="4"/>
        </w:rPr>
      </w:r>
    </w:p>
    <w:p>
      <w:pPr>
        <w:spacing w:line="240" w:lineRule="auto" w:before="7"/>
        <w:rPr>
          <w:rFonts w:ascii="宋体" w:hAnsi="宋体" w:cs="宋体" w:eastAsia="宋体" w:hint="default"/>
          <w:b/>
          <w:bCs/>
          <w:sz w:val="25"/>
          <w:szCs w:val="25"/>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184,136,779.14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219,184,561.75</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20"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4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20"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20"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20"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781,569,772.88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528,641,149.86</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20"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194,023.15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363,374.80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1,033,581,979.92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935,280,870.41</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127"/>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108,017.04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324,236.89</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126"/>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20"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2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44,623,782.75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76,963,250.64</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3,566,794.80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3,111,822.07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2,047,673,132.64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1,763,545,029.53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28,331,648.68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942,800,961.63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929,904,823.29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43,709,400.00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294,449,500.56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332,159,153.73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22,516,444.86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22,569,202.67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10,540,462.25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15,837,918.71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6,192,662.70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4,511,772.84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646,083.57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1,185,308.87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1,320,855,515.57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1,334,499,828.79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3,368,528,648.21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3,098,044,858.32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178,650,000.00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189,500,000.00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112,000,000.00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507,582,989.48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359,354,747.03</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3,748,951.92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4,091,438.57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12,524,356.49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6,933,100.26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11,057,358.57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8,601,709.04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68,960,066.06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78,636,536.08</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1,278,377.53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2,606,829.48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35,280,000.00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917,803,722.52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759,117,530.98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54,750,000.00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52,513,656.45</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45,763,416.58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8,631,803.04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2,306,662.70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155,333,735.73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8,631,803.04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1,073,137,458.25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767,749,334.02</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577,906,704.00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579,971,704.00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1,285,064,862.25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1,297,492,952.36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80,222,997.95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13,994,925.00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76,883,654.17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73,608,812.41</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435,758,967.49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393,216,980.53</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2,295,391,189.96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2,330,295,524.30</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3,368,528,648.21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3,098,044,858.32</w:t>
            </w:r>
          </w:p>
        </w:tc>
      </w:tr>
    </w:tbl>
    <w:p>
      <w:pPr>
        <w:spacing w:line="240" w:lineRule="auto" w:before="5"/>
        <w:rPr>
          <w:rFonts w:ascii="Times New Roman" w:hAnsi="Times New Roman" w:cs="Times New Roman" w:eastAsia="Times New Roman" w:hint="default"/>
          <w:sz w:val="22"/>
          <w:szCs w:val="22"/>
        </w:rPr>
      </w:pPr>
    </w:p>
    <w:p>
      <w:pPr>
        <w:pStyle w:val="Heading5"/>
        <w:spacing w:line="240" w:lineRule="auto" w:before="45"/>
        <w:ind w:right="0"/>
        <w:jc w:val="left"/>
        <w:rPr>
          <w:b w:val="0"/>
          <w:bCs w:val="0"/>
        </w:rPr>
      </w:pPr>
      <w:bookmarkStart w:name="3、合并利润表" w:id="162"/>
      <w:bookmarkEnd w:id="162"/>
      <w:r>
        <w:rPr>
          <w:b w:val="0"/>
          <w:bCs w:val="0"/>
        </w:rPr>
      </w:r>
      <w:r>
        <w:rPr>
          <w:rFonts w:ascii="Times New Roman" w:hAnsi="Times New Roman" w:cs="Times New Roman" w:eastAsia="Times New Roman" w:hint="default"/>
          <w:spacing w:val="4"/>
        </w:rPr>
        <w:t>3</w:t>
      </w:r>
      <w:r>
        <w:rPr>
          <w:spacing w:val="4"/>
        </w:rPr>
        <w:t>、合并利润表</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3,344,731,714.02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3,144,616,237.11</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3,344,731,714.02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3,144,616,237.11</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3,317,533,653.00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3,268,498,990.23</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2,935,825,685.97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2,910,042,686.80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23,588,167.61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19,207,202.88</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33,524,551.00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42,564,558.85</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155,490,315.39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161,399,861.30</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142,945,455.03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105,363,180.20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26,159,478.00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29,921,500.20</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89"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24,044,059.67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28,877,813.98</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2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1,732,456.76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3,818,492.77</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11,799,437.76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11,436,385.96</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4"/>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14,268,007.34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21,744,937.38</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36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8" w:firstLine="721"/>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12,693,007.34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20,488,141.71</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57"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spacing w:line="240" w:lineRule="auto" w:before="59"/>
              <w:ind w:left="-151" w:right="0"/>
              <w:jc w:val="left"/>
              <w:rPr>
                <w:rFonts w:ascii="宋体" w:hAnsi="宋体" w:cs="宋体" w:eastAsia="宋体" w:hint="default"/>
                <w:sz w:val="18"/>
                <w:szCs w:val="18"/>
              </w:rPr>
            </w:pPr>
            <w:r>
              <w:rPr>
                <w:rFonts w:ascii="宋体" w:hAnsi="宋体" w:cs="宋体" w:eastAsia="宋体" w:hint="default"/>
                <w:sz w:val="18"/>
                <w:szCs w:val="18"/>
              </w:rPr>
              <w:t>）</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16,796,133.72</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-1,216,336.96</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-4,180,606.06</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-55,970,874.05</w:t>
            </w:r>
            <w:r>
              <w:rPr>
                <w:rFonts w:ascii="Times New Roman"/>
                <w:sz w:val="18"/>
              </w:rPr>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-9,235,777.89</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-213,668.28</w:t>
            </w:r>
            <w:r>
              <w:rPr>
                <w:rFonts w:ascii="Times New Roman"/>
                <w:sz w:val="18"/>
              </w:rPr>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55,428,918.93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-146,885,972.11</w:t>
            </w:r>
            <w:r>
              <w:rPr>
                <w:rFonts w:ascii="Times New Roman"/>
                <w:sz w:val="18"/>
              </w:rPr>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2,662,435.88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5,022,979.82</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12,462,187.72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1,432,218.53</w:t>
            </w:r>
          </w:p>
        </w:tc>
      </w:tr>
      <w:tr>
        <w:trPr>
          <w:trHeight w:val="391"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7"/>
                <w:sz w:val="18"/>
                <w:szCs w:val="18"/>
              </w:rPr>
              <w:t>四、利润总额（亏损总额以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tabs>
                <w:tab w:pos="2132" w:val="left" w:leader="none"/>
              </w:tabs>
              <w:spacing w:line="240" w:lineRule="auto" w:before="44"/>
              <w:ind w:left="-1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45,629,167.09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-143,295,210.82</w:t>
            </w:r>
            <w:r>
              <w:rPr>
                <w:rFonts w:ascii="Times New Roman"/>
                <w:sz w:val="18"/>
              </w:rPr>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-1,864,567.81</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-35,390,699.50</w:t>
            </w:r>
            <w:r>
              <w:rPr>
                <w:rFonts w:ascii="Times New Roman"/>
                <w:sz w:val="18"/>
              </w:rPr>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47,493,734.90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-107,904,511.32</w:t>
            </w:r>
            <w:r>
              <w:rPr>
                <w:rFonts w:ascii="Times New Roman"/>
                <w:sz w:val="18"/>
              </w:rPr>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47,493,734.90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-107,904,511.32</w:t>
            </w:r>
            <w:r>
              <w:rPr>
                <w:rFonts w:ascii="Times New Roman"/>
                <w:sz w:val="18"/>
              </w:rPr>
            </w: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7"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50,245,772.33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-102,804,664.07</w:t>
            </w:r>
            <w:r>
              <w:rPr>
                <w:rFonts w:ascii="Times New Roman"/>
                <w:sz w:val="18"/>
              </w:rPr>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-2,752,037.43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-5,099,847.25</w:t>
            </w:r>
            <w:r>
              <w:rPr>
                <w:rFonts w:ascii="Times New Roman"/>
                <w:sz w:val="18"/>
              </w:rPr>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-54,456.39</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-135,317.26</w:t>
            </w:r>
            <w:r>
              <w:rPr>
                <w:rFonts w:ascii="Times New Roman"/>
                <w:sz w:val="18"/>
              </w:rPr>
            </w: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-54,456.39</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-135,317.26</w:t>
            </w:r>
            <w:r>
              <w:rPr>
                <w:rFonts w:ascii="Times New Roman"/>
                <w:sz w:val="18"/>
              </w:rPr>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（一）不能重分类进损益的其他综</w:t>
            </w:r>
            <w:r>
              <w:rPr>
                <w:rFonts w:ascii="宋体" w:hAnsi="宋体" w:cs="宋体" w:eastAsia="宋体" w:hint="default"/>
                <w:sz w:val="18"/>
                <w:szCs w:val="18"/>
              </w:rPr>
              <w:t> 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（二）将重分类进损益的其他综合</w:t>
            </w:r>
            <w:r>
              <w:rPr>
                <w:rFonts w:ascii="宋体" w:hAnsi="宋体" w:cs="宋体" w:eastAsia="宋体" w:hint="default"/>
                <w:sz w:val="18"/>
                <w:szCs w:val="18"/>
              </w:rPr>
              <w:t> 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-54,456.39</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-135,317.26</w:t>
            </w:r>
            <w:r>
              <w:rPr>
                <w:rFonts w:ascii="Times New Roman"/>
                <w:sz w:val="18"/>
              </w:rPr>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-54,456.39</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-135,317.26</w:t>
            </w:r>
            <w:r>
              <w:rPr>
                <w:rFonts w:ascii="Times New Roman"/>
                <w:sz w:val="18"/>
              </w:rPr>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01"/>
              <w:jc w:val="righ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47,439,278.51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-108,039,828.58</w:t>
            </w:r>
            <w:r>
              <w:rPr>
                <w:rFonts w:ascii="Times New Roman"/>
                <w:sz w:val="18"/>
              </w:rPr>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50,191,315.94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-102,939,981.33</w:t>
            </w:r>
            <w:r>
              <w:rPr>
                <w:rFonts w:ascii="Times New Roman"/>
                <w:sz w:val="18"/>
              </w:rPr>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8"/>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-2,752,037.43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-5,099,847.25</w:t>
            </w:r>
            <w:r>
              <w:rPr>
                <w:rFonts w:ascii="Times New Roman"/>
                <w:sz w:val="18"/>
              </w:rPr>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r>
    </w:tbl>
    <w:p>
      <w:pPr>
        <w:pStyle w:val="BodyText"/>
        <w:tabs>
          <w:tab w:pos="3655" w:val="left" w:leader="none"/>
          <w:tab w:pos="7890" w:val="left" w:leader="none"/>
        </w:tabs>
        <w:spacing w:line="564" w:lineRule="auto" w:before="59"/>
        <w:ind w:right="1216"/>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8"/>
        </w:rPr>
        <w:t> </w:t>
      </w:r>
      <w:r>
        <w:rPr/>
        <w:t>元。 法定代表人：陈新民</w:t>
        <w:tab/>
        <w:t>主管会计工作负责人：谢从雄</w:t>
        <w:tab/>
        <w:t>会计机构负责人：韦彪</w:t>
      </w:r>
    </w:p>
    <w:p>
      <w:pPr>
        <w:spacing w:after="0" w:line="564" w:lineRule="auto"/>
        <w:jc w:val="left"/>
        <w:sectPr>
          <w:pgSz w:w="11910" w:h="16850"/>
          <w:pgMar w:header="731" w:footer="981" w:top="1040" w:bottom="1180" w:left="1000" w:right="0"/>
        </w:sectPr>
      </w:pPr>
    </w:p>
    <w:p>
      <w:pPr>
        <w:spacing w:line="240" w:lineRule="auto" w:before="5"/>
        <w:rPr>
          <w:rFonts w:ascii="宋体" w:hAnsi="宋体" w:cs="宋体" w:eastAsia="宋体" w:hint="default"/>
          <w:sz w:val="27"/>
          <w:szCs w:val="27"/>
        </w:rPr>
      </w:pPr>
    </w:p>
    <w:p>
      <w:pPr>
        <w:pStyle w:val="Heading5"/>
        <w:spacing w:line="240" w:lineRule="auto" w:before="45"/>
        <w:ind w:right="0"/>
        <w:jc w:val="left"/>
        <w:rPr>
          <w:b w:val="0"/>
          <w:bCs w:val="0"/>
        </w:rPr>
      </w:pPr>
      <w:bookmarkStart w:name="4、母公司利润表" w:id="163"/>
      <w:bookmarkEnd w:id="163"/>
      <w:r>
        <w:rPr>
          <w:b w:val="0"/>
          <w:bCs w:val="0"/>
        </w:rPr>
      </w:r>
      <w:r>
        <w:rPr>
          <w:rFonts w:ascii="Times New Roman" w:hAnsi="Times New Roman" w:cs="Times New Roman" w:eastAsia="Times New Roman" w:hint="default"/>
          <w:spacing w:val="4"/>
        </w:rPr>
        <w:t>4</w:t>
      </w:r>
      <w:r>
        <w:rPr>
          <w:spacing w:val="4"/>
        </w:rPr>
        <w:t>、母公司利润表</w:t>
      </w:r>
      <w:r>
        <w:rPr>
          <w:b w:val="0"/>
          <w:bCs w:val="0"/>
          <w:spacing w:val="4"/>
        </w:rPr>
      </w:r>
    </w:p>
    <w:p>
      <w:pPr>
        <w:spacing w:line="240" w:lineRule="auto" w:before="2"/>
        <w:rPr>
          <w:rFonts w:ascii="宋体" w:hAnsi="宋体" w:cs="宋体" w:eastAsia="宋体" w:hint="default"/>
          <w:b/>
          <w:bCs/>
          <w:sz w:val="22"/>
          <w:szCs w:val="22"/>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1,808,011,513.88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1,051,886,680.00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1,626,297,826.30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914,161,841.65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6,859,787.55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2,984,217.34</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6,717,498.99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18,064,848.96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60,102,129.05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49,778,199.60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63,988,761.53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49,995,253.72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12,549,615.31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11,561,444.93</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12,117,186.59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13,477,117.01</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4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797,167.76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2,084,111.80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5,220,534.35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2,872,058.87</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1,575,000.00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28,824,538.73</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4" w:firstLine="721"/>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27,816,291.01</w:t>
            </w:r>
          </w:p>
        </w:tc>
      </w:tr>
      <w:tr>
        <w:trPr>
          <w:trHeight w:val="103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7" w:right="52"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3,150.00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31,226.61</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-7,125,466.25</w:t>
            </w:r>
            <w:r>
              <w:rPr>
                <w:rFonts w:ascii="Times New Roman"/>
                <w:sz w:val="18"/>
              </w:rPr>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-6,722,209.44</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-59,681.46</w:t>
            </w:r>
            <w:r>
              <w:rPr>
                <w:rFonts w:ascii="Times New Roman"/>
                <w:sz w:val="18"/>
              </w:rPr>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31,603,596.67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29,852,323.69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220,108.22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2,097,244.61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755,704.65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597,651.13</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60"/>
              <w:ind w:left="7" w:right="65"/>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31,068,000.24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31,351,917.17</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-1,680,417.36</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928,456.23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32,748,417.60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30,423,460.94</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32,748,417.60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30,423,460.94</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59,509.42</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59,509.42</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59,509.42</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59"/>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32,748,417.60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30,482,970.36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Times New Roman" w:hAnsi="Times New Roman" w:cs="Times New Roman" w:eastAsia="Times New Roman" w:hint="default"/>
          <w:sz w:val="22"/>
          <w:szCs w:val="22"/>
        </w:rPr>
      </w:pPr>
    </w:p>
    <w:p>
      <w:pPr>
        <w:pStyle w:val="Heading5"/>
        <w:spacing w:line="240" w:lineRule="auto" w:before="45"/>
        <w:ind w:right="0"/>
        <w:jc w:val="left"/>
        <w:rPr>
          <w:b w:val="0"/>
          <w:bCs w:val="0"/>
        </w:rPr>
      </w:pPr>
      <w:bookmarkStart w:name="5、合并现金流量表" w:id="164"/>
      <w:bookmarkEnd w:id="164"/>
      <w:r>
        <w:rPr>
          <w:b w:val="0"/>
          <w:bCs w:val="0"/>
        </w:rPr>
      </w:r>
      <w:r>
        <w:rPr>
          <w:rFonts w:ascii="Times New Roman" w:hAnsi="Times New Roman" w:cs="Times New Roman" w:eastAsia="Times New Roman" w:hint="default"/>
          <w:spacing w:val="5"/>
        </w:rPr>
        <w:t>5</w:t>
      </w:r>
      <w:r>
        <w:rPr>
          <w:spacing w:val="5"/>
        </w:rPr>
        <w:t>、合并现金流量表</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3,326,161,979.56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3,728,790,082.63</w:t>
            </w: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21,477,985.47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34,589,835.33</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58,236,582.90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63,179,682.51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3,405,876,547.93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3,826,559,600.47</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2,069,261,872.87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2,852,138,261.16</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774,412,849.73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653,725,403.41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118,027,208.41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92,652,494.01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170,631,042.54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143,546,986.33</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3,132,332,973.55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3,742,063,144.91</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273,543,574.38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84,496,455.56</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11,940,000.00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98,280,000.00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1,575,000.00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8,473,942.16</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21,802,971.72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6,082,582.16</w:t>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375,248,547.95</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35,317,971.72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488,085,072.27</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216,298,920.57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252,738,340.45</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155,000,000.00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216,298,920.57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407,738,340.45</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-180,980,948.85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80,346,731.82</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2,000,000.00</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428,976,179.76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385,281,903.60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307,733,296.41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102,293,704.71</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736,709,476.17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489,575,608.31</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428,495,984.14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532,300,000.00</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22,758,652.43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61,736,877.98</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245,405,660.17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151,914,408.61</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696,660,296.74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745,951,286.59</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40,049,179.43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-256,375,678.28</w:t>
            </w:r>
            <w:r>
              <w:rPr>
                <w:rFonts w:ascii="Times New Roman"/>
                <w:sz w:val="18"/>
              </w:rPr>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7"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827,099.37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-511,503.80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133,438,904.33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-92,043,994.70</w:t>
            </w:r>
            <w:r>
              <w:rPr>
                <w:rFonts w:ascii="Times New Roman"/>
                <w:sz w:val="18"/>
              </w:rPr>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354,797,979.42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446,841,974.12</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488,236,883.75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354,797,979.42</w:t>
            </w:r>
          </w:p>
        </w:tc>
      </w:tr>
    </w:tbl>
    <w:p>
      <w:pPr>
        <w:spacing w:line="240" w:lineRule="auto" w:before="5"/>
        <w:rPr>
          <w:rFonts w:ascii="Times New Roman" w:hAnsi="Times New Roman" w:cs="Times New Roman" w:eastAsia="Times New Roman" w:hint="default"/>
          <w:sz w:val="22"/>
          <w:szCs w:val="22"/>
        </w:rPr>
      </w:pPr>
    </w:p>
    <w:p>
      <w:pPr>
        <w:pStyle w:val="Heading5"/>
        <w:spacing w:line="240" w:lineRule="auto" w:before="45"/>
        <w:ind w:right="0"/>
        <w:jc w:val="left"/>
        <w:rPr>
          <w:b w:val="0"/>
          <w:bCs w:val="0"/>
        </w:rPr>
      </w:pPr>
      <w:bookmarkStart w:name="6、母公司现金流量表" w:id="165"/>
      <w:bookmarkEnd w:id="165"/>
      <w:r>
        <w:rPr>
          <w:b w:val="0"/>
          <w:bCs w:val="0"/>
        </w:rPr>
      </w:r>
      <w:r>
        <w:rPr>
          <w:rFonts w:ascii="Times New Roman" w:hAnsi="Times New Roman" w:cs="Times New Roman" w:eastAsia="Times New Roman" w:hint="default"/>
          <w:spacing w:val="4"/>
        </w:rPr>
        <w:t>6</w:t>
      </w:r>
      <w:r>
        <w:rPr>
          <w:spacing w:val="4"/>
        </w:rPr>
        <w:t>、母公司现金流量表</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1,615,046,739.35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783,263,391.33</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18,676,974.86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33,177,419.61</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403,730,005.98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795,086,043.29</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2,037,453,720.19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1,611,526,854.23</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1,487,707,953.43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744,411,603.24</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113,444,253.55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94,652,083.33</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16,250,368.00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5,228,278.96</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430,955,686.00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704,167,951.37</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2,048,358,260.98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1,548,459,916.90</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-10,904,540.79</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63,066,937.33</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98,280,000.00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1,575,000.00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8,473,942.16</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11,768,920.76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1,786,665.96</w:t>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330,000,000.00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13,343,920.76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438,540,608.12</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7"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4,632,317.31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16,837,642.11</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95,000,000.00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140,000,000.00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20,632,317.31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251,837,642.11</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-7,288,396.55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186,702,966.01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270,351,468.65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190,000,000.00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218,733,296.41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99,244,094.40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489,084,765.06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289,244,094.40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252,814,080.54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260,500,000.00</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12,918,933.21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46,084,572.76</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241,684,626.83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150,424,142.71</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507,417,640.58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457,008,715.47</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-18,332,875.52</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-167,764,621.07</w:t>
            </w:r>
            <w:r>
              <w:rPr>
                <w:rFonts w:ascii="Times New Roman"/>
                <w:sz w:val="18"/>
              </w:rPr>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885,331.61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293,965.86</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-35,640,481.25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82,299,248.13</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178,313,370.45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96,014,122.32</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142,672,889.20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178,313,370.45</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spacing w:val="5"/>
        </w:rPr>
        <w:t>7</w:t>
      </w:r>
      <w:r>
        <w:rPr>
          <w:spacing w:val="5"/>
        </w:rPr>
        <w:t>、合并所有者权益变动表</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本期金额</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247"/>
        <w:gridCol w:w="488"/>
        <w:gridCol w:w="465"/>
        <w:gridCol w:w="481"/>
        <w:gridCol w:w="466"/>
        <w:gridCol w:w="585"/>
        <w:gridCol w:w="586"/>
        <w:gridCol w:w="586"/>
        <w:gridCol w:w="571"/>
        <w:gridCol w:w="585"/>
        <w:gridCol w:w="586"/>
        <w:gridCol w:w="586"/>
        <w:gridCol w:w="586"/>
        <w:gridCol w:w="586"/>
        <w:gridCol w:w="586"/>
        <w:gridCol w:w="586"/>
      </w:tblGrid>
      <w:tr>
        <w:trPr>
          <w:trHeight w:val="405" w:hRule="exact"/>
        </w:trPr>
        <w:tc>
          <w:tcPr>
            <w:tcW w:w="1247" w:type="dxa"/>
            <w:vMerge w:val="restart"/>
            <w:tcBorders>
              <w:top w:val="single" w:sz="6" w:space="0" w:color="000000"/>
              <w:left w:val="single" w:sz="6" w:space="0" w:color="000000"/>
              <w:right w:val="single" w:sz="6" w:space="0" w:color="000000"/>
            </w:tcBorders>
            <w:shd w:val="clear" w:color="auto" w:fill="D2D2D2"/>
          </w:tcPr>
          <w:p>
            <w:pPr/>
          </w:p>
        </w:tc>
        <w:tc>
          <w:tcPr>
            <w:tcW w:w="8328"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98" w:hRule="exact"/>
        </w:trPr>
        <w:tc>
          <w:tcPr>
            <w:tcW w:w="1247" w:type="dxa"/>
            <w:vMerge/>
            <w:tcBorders>
              <w:left w:val="single" w:sz="6" w:space="0" w:color="000000"/>
              <w:right w:val="single" w:sz="6" w:space="0" w:color="000000"/>
            </w:tcBorders>
            <w:shd w:val="clear" w:color="auto" w:fill="D2D2D2"/>
          </w:tcPr>
          <w:p>
            <w:pPr/>
          </w:p>
        </w:tc>
        <w:tc>
          <w:tcPr>
            <w:tcW w:w="7157"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8"/>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247" w:type="dxa"/>
            <w:vMerge/>
            <w:tcBorders>
              <w:left w:val="single" w:sz="6" w:space="0" w:color="000000"/>
              <w:right w:val="single" w:sz="6" w:space="0" w:color="000000"/>
            </w:tcBorders>
            <w:shd w:val="clear" w:color="auto" w:fill="D2D2D2"/>
          </w:tcPr>
          <w:p>
            <w:pPr/>
          </w:p>
        </w:tc>
        <w:tc>
          <w:tcPr>
            <w:tcW w:w="7157" w:type="dxa"/>
            <w:gridSpan w:val="13"/>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90" w:right="118"/>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47" w:type="dxa"/>
            <w:vMerge/>
            <w:tcBorders>
              <w:left w:val="single" w:sz="6" w:space="0" w:color="000000"/>
              <w:bottom w:val="nil" w:sz="6" w:space="0" w:color="auto"/>
              <w:right w:val="single" w:sz="6" w:space="0" w:color="000000"/>
            </w:tcBorders>
            <w:shd w:val="clear" w:color="auto" w:fill="D2D2D2"/>
          </w:tcPr>
          <w:p>
            <w:pPr/>
          </w:p>
        </w:tc>
        <w:tc>
          <w:tcPr>
            <w:tcW w:w="7157" w:type="dxa"/>
            <w:gridSpan w:val="13"/>
            <w:vMerge/>
            <w:tcBorders>
              <w:left w:val="single" w:sz="6" w:space="0" w:color="000000"/>
              <w:bottom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5"/>
              <w:ind w:left="105"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86" w:type="dxa"/>
            <w:vMerge/>
            <w:tcBorders>
              <w:left w:val="single" w:sz="6" w:space="0" w:color="000000"/>
              <w:right w:val="single" w:sz="6" w:space="0" w:color="000000"/>
            </w:tcBorders>
            <w:shd w:val="clear" w:color="auto" w:fill="D2D2D2"/>
          </w:tcPr>
          <w:p>
            <w:pPr/>
          </w:p>
        </w:tc>
      </w:tr>
      <w:tr>
        <w:trPr>
          <w:trHeight w:val="210" w:hRule="exact"/>
        </w:trPr>
        <w:tc>
          <w:tcPr>
            <w:tcW w:w="1247" w:type="dxa"/>
            <w:vMerge w:val="restart"/>
            <w:tcBorders>
              <w:top w:val="nil" w:sz="6" w:space="0" w:color="auto"/>
              <w:left w:val="single" w:sz="6" w:space="0" w:color="000000"/>
              <w:right w:val="single" w:sz="6" w:space="0" w:color="000000"/>
            </w:tcBorders>
            <w:shd w:val="clear" w:color="auto" w:fill="D2D2D2"/>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488" w:type="dxa"/>
            <w:vMerge w:val="restart"/>
            <w:tcBorders>
              <w:top w:val="single" w:sz="6" w:space="0" w:color="000000"/>
              <w:left w:val="single" w:sz="6" w:space="0" w:color="000000"/>
              <w:right w:val="single" w:sz="6" w:space="0" w:color="000000"/>
            </w:tcBorders>
            <w:shd w:val="clear" w:color="auto" w:fill="D2D2D2"/>
          </w:tcPr>
          <w:p>
            <w:pPr/>
          </w:p>
        </w:tc>
        <w:tc>
          <w:tcPr>
            <w:tcW w:w="14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90" w:right="11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58" w:hRule="exact"/>
        </w:trPr>
        <w:tc>
          <w:tcPr>
            <w:tcW w:w="1247" w:type="dxa"/>
            <w:vMerge/>
            <w:tcBorders>
              <w:left w:val="single" w:sz="6" w:space="0" w:color="000000"/>
              <w:bottom w:val="nil" w:sz="6" w:space="0" w:color="auto"/>
              <w:right w:val="single" w:sz="6" w:space="0" w:color="000000"/>
            </w:tcBorders>
            <w:shd w:val="clear" w:color="auto" w:fill="D2D2D2"/>
          </w:tcPr>
          <w:p>
            <w:pPr/>
          </w:p>
        </w:tc>
        <w:tc>
          <w:tcPr>
            <w:tcW w:w="488" w:type="dxa"/>
            <w:vMerge/>
            <w:tcBorders>
              <w:left w:val="single" w:sz="6" w:space="0" w:color="000000"/>
              <w:bottom w:val="nil" w:sz="6" w:space="0" w:color="auto"/>
              <w:right w:val="single" w:sz="6" w:space="0" w:color="000000"/>
            </w:tcBorders>
            <w:shd w:val="clear" w:color="auto" w:fill="D2D2D2"/>
          </w:tcPr>
          <w:p>
            <w:pPr/>
          </w:p>
        </w:tc>
        <w:tc>
          <w:tcPr>
            <w:tcW w:w="1412" w:type="dxa"/>
            <w:gridSpan w:val="3"/>
            <w:vMerge/>
            <w:tcBorders>
              <w:left w:val="single" w:sz="6" w:space="0" w:color="000000"/>
              <w:bottom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89" w:right="11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90" w:right="28"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90"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104"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383" w:hRule="exact"/>
        </w:trPr>
        <w:tc>
          <w:tcPr>
            <w:tcW w:w="1247" w:type="dxa"/>
            <w:vMerge w:val="restart"/>
            <w:tcBorders>
              <w:top w:val="nil" w:sz="6" w:space="0" w:color="auto"/>
              <w:left w:val="single" w:sz="6" w:space="0" w:color="000000"/>
              <w:right w:val="single" w:sz="6" w:space="0" w:color="000000"/>
            </w:tcBorders>
            <w:shd w:val="clear" w:color="auto" w:fill="D2D2D2"/>
          </w:tcPr>
          <w:p>
            <w:pPr/>
          </w:p>
        </w:tc>
        <w:tc>
          <w:tcPr>
            <w:tcW w:w="4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5"/>
              <w:ind w:left="135" w:right="43" w:hanging="91"/>
              <w:jc w:val="left"/>
              <w:rPr>
                <w:rFonts w:ascii="宋体" w:hAnsi="宋体" w:cs="宋体" w:eastAsia="宋体" w:hint="default"/>
                <w:sz w:val="18"/>
                <w:szCs w:val="18"/>
              </w:rPr>
            </w:pPr>
            <w:r>
              <w:rPr>
                <w:rFonts w:ascii="宋体" w:hAnsi="宋体" w:cs="宋体" w:eastAsia="宋体" w:hint="default"/>
                <w:sz w:val="18"/>
                <w:szCs w:val="18"/>
              </w:rPr>
              <w:t>优先 股</w:t>
            </w:r>
          </w:p>
        </w:tc>
        <w:tc>
          <w:tcPr>
            <w:tcW w:w="48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5"/>
              <w:ind w:left="135" w:right="60"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43" w:hRule="exact"/>
        </w:trPr>
        <w:tc>
          <w:tcPr>
            <w:tcW w:w="1247" w:type="dxa"/>
            <w:vMerge/>
            <w:tcBorders>
              <w:left w:val="single" w:sz="6" w:space="0" w:color="000000"/>
              <w:right w:val="single" w:sz="6" w:space="0" w:color="000000"/>
            </w:tcBorders>
            <w:shd w:val="clear" w:color="auto" w:fill="D2D2D2"/>
          </w:tcPr>
          <w:p>
            <w:pPr/>
          </w:p>
        </w:tc>
        <w:tc>
          <w:tcPr>
            <w:tcW w:w="488" w:type="dxa"/>
            <w:vMerge w:val="restart"/>
            <w:tcBorders>
              <w:top w:val="nil" w:sz="6" w:space="0" w:color="auto"/>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16" w:hRule="exact"/>
        </w:trPr>
        <w:tc>
          <w:tcPr>
            <w:tcW w:w="1247" w:type="dxa"/>
            <w:vMerge/>
            <w:tcBorders>
              <w:left w:val="single" w:sz="6" w:space="0" w:color="000000"/>
              <w:right w:val="single" w:sz="6" w:space="0" w:color="000000"/>
            </w:tcBorders>
            <w:shd w:val="clear" w:color="auto" w:fill="D2D2D2"/>
          </w:tcPr>
          <w:p>
            <w:pPr/>
          </w:p>
        </w:tc>
        <w:tc>
          <w:tcPr>
            <w:tcW w:w="488" w:type="dxa"/>
            <w:vMerge/>
            <w:tcBorders>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r>
      <w:tr>
        <w:trPr>
          <w:trHeight w:val="98" w:hRule="exact"/>
        </w:trPr>
        <w:tc>
          <w:tcPr>
            <w:tcW w:w="1247" w:type="dxa"/>
            <w:vMerge/>
            <w:tcBorders>
              <w:left w:val="single" w:sz="6" w:space="0" w:color="000000"/>
              <w:bottom w:val="single" w:sz="6" w:space="0" w:color="000000"/>
              <w:right w:val="single" w:sz="6" w:space="0" w:color="000000"/>
            </w:tcBorders>
            <w:shd w:val="clear" w:color="auto" w:fill="D2D2D2"/>
          </w:tcPr>
          <w:p>
            <w:pPr/>
          </w:p>
        </w:tc>
        <w:tc>
          <w:tcPr>
            <w:tcW w:w="488" w:type="dxa"/>
            <w:vMerge/>
            <w:tcBorders>
              <w:left w:val="single" w:sz="6" w:space="0" w:color="000000"/>
              <w:bottom w:val="single" w:sz="6" w:space="0" w:color="000000"/>
              <w:right w:val="single" w:sz="6" w:space="0" w:color="000000"/>
            </w:tcBorders>
            <w:shd w:val="clear" w:color="auto" w:fill="D2D2D2"/>
          </w:tcPr>
          <w:p>
            <w:pPr/>
          </w:p>
        </w:tc>
        <w:tc>
          <w:tcPr>
            <w:tcW w:w="465"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6"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1247" w:type="dxa"/>
            <w:tcBorders>
              <w:top w:val="single" w:sz="6" w:space="0" w:color="000000"/>
              <w:left w:val="single" w:sz="6" w:space="0" w:color="000000"/>
              <w:bottom w:val="nil" w:sz="6" w:space="0" w:color="auto"/>
              <w:right w:val="single" w:sz="6" w:space="0" w:color="000000"/>
            </w:tcBorders>
            <w:shd w:val="clear" w:color="auto" w:fill="D2D2D2"/>
          </w:tcPr>
          <w:p>
            <w:pPr/>
          </w:p>
        </w:tc>
        <w:tc>
          <w:tcPr>
            <w:tcW w:w="488" w:type="dxa"/>
            <w:vMerge w:val="restart"/>
            <w:tcBorders>
              <w:top w:val="single" w:sz="6" w:space="0" w:color="000000"/>
              <w:left w:val="single" w:sz="18" w:space="0" w:color="D2D2D2"/>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r>
              <w:rPr>
                <w:rFonts w:ascii="Times New Roman"/>
                <w:sz w:val="18"/>
              </w:rPr>
              <w:t>579,9</w:t>
            </w:r>
          </w:p>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71,70</w:t>
            </w:r>
          </w:p>
          <w:p>
            <w:pPr>
              <w:pStyle w:val="TableParagraph"/>
              <w:spacing w:line="240" w:lineRule="auto" w:before="108"/>
              <w:ind w:left="127" w:right="0"/>
              <w:jc w:val="left"/>
              <w:rPr>
                <w:rFonts w:ascii="Times New Roman" w:hAnsi="Times New Roman" w:cs="Times New Roman" w:eastAsia="Times New Roman" w:hint="default"/>
                <w:sz w:val="18"/>
                <w:szCs w:val="18"/>
              </w:rPr>
            </w:pPr>
            <w:r>
              <w:rPr>
                <w:rFonts w:ascii="Times New Roman"/>
                <w:sz w:val="18"/>
              </w:rPr>
              <w:t>4.00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1,302,</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061,40</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5.04</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13,994</w:t>
            </w:r>
          </w:p>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z w:val="18"/>
              </w:rPr>
              <w:t>,925.0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-35,14</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2.49</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73,608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,812.4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586" w:type="dxa"/>
            <w:vMerge w:val="restart"/>
            <w:tcBorders>
              <w:top w:val="single" w:sz="24" w:space="0" w:color="D2D2D2"/>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79"/>
              <w:ind w:right="13"/>
              <w:jc w:val="right"/>
              <w:rPr>
                <w:rFonts w:ascii="Times New Roman" w:hAnsi="Times New Roman" w:cs="Times New Roman" w:eastAsia="Times New Roman" w:hint="default"/>
                <w:sz w:val="18"/>
                <w:szCs w:val="18"/>
              </w:rPr>
            </w:pPr>
            <w:r>
              <w:rPr>
                <w:rFonts w:ascii="Times New Roman"/>
                <w:sz w:val="18"/>
              </w:rPr>
              <w:t>43,483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,948.8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9</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1,985,</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095,80</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2.85</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-3,099,</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847.25</w:t>
            </w:r>
          </w:p>
        </w:tc>
        <w:tc>
          <w:tcPr>
            <w:tcW w:w="586" w:type="dxa"/>
            <w:vMerge w:val="restart"/>
            <w:tcBorders>
              <w:top w:val="single" w:sz="42" w:space="0" w:color="D2D2D2"/>
              <w:left w:val="single" w:sz="6" w:space="0" w:color="000000"/>
              <w:right w:val="single" w:sz="6" w:space="0" w:color="000000"/>
            </w:tcBorders>
          </w:tcPr>
          <w:p>
            <w:pPr>
              <w:pStyle w:val="TableParagraph"/>
              <w:spacing w:line="240" w:lineRule="auto" w:before="56"/>
              <w:ind w:left="60" w:right="0"/>
              <w:jc w:val="center"/>
              <w:rPr>
                <w:rFonts w:ascii="Times New Roman" w:hAnsi="Times New Roman" w:cs="Times New Roman" w:eastAsia="Times New Roman" w:hint="default"/>
                <w:sz w:val="18"/>
                <w:szCs w:val="18"/>
              </w:rPr>
            </w:pPr>
            <w:r>
              <w:rPr>
                <w:rFonts w:ascii="Times New Roman"/>
                <w:sz w:val="18"/>
              </w:rPr>
              <w:t>1,981,</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995,95</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5.60</w:t>
            </w:r>
          </w:p>
        </w:tc>
      </w:tr>
      <w:tr>
        <w:trPr>
          <w:trHeight w:val="705" w:hRule="exact"/>
        </w:trPr>
        <w:tc>
          <w:tcPr>
            <w:tcW w:w="12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4"/>
              <w:ind w:left="7" w:right="21"/>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8" w:type="dxa"/>
            <w:vMerge/>
            <w:tcBorders>
              <w:left w:val="single" w:sz="18"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58" w:hRule="exact"/>
        </w:trPr>
        <w:tc>
          <w:tcPr>
            <w:tcW w:w="1247" w:type="dxa"/>
            <w:tcBorders>
              <w:top w:val="nil" w:sz="6" w:space="0" w:color="auto"/>
              <w:left w:val="single" w:sz="6" w:space="0" w:color="000000"/>
              <w:bottom w:val="single" w:sz="6" w:space="0" w:color="000000"/>
              <w:right w:val="single" w:sz="6" w:space="0" w:color="000000"/>
            </w:tcBorders>
            <w:shd w:val="clear" w:color="auto" w:fill="D2D2D2"/>
          </w:tcPr>
          <w:p>
            <w:pPr/>
          </w:p>
        </w:tc>
        <w:tc>
          <w:tcPr>
            <w:tcW w:w="488" w:type="dxa"/>
            <w:vMerge/>
            <w:tcBorders>
              <w:left w:val="single" w:sz="18"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173" w:hRule="exact"/>
        </w:trPr>
        <w:tc>
          <w:tcPr>
            <w:tcW w:w="1247" w:type="dxa"/>
            <w:tcBorders>
              <w:top w:val="single" w:sz="6" w:space="0" w:color="000000"/>
              <w:left w:val="single" w:sz="6" w:space="0" w:color="000000"/>
              <w:bottom w:val="nil" w:sz="6" w:space="0" w:color="auto"/>
              <w:right w:val="single" w:sz="6" w:space="0" w:color="000000"/>
            </w:tcBorders>
            <w:shd w:val="clear" w:color="auto" w:fill="D2D2D2"/>
          </w:tcPr>
          <w:p>
            <w:pPr/>
          </w:p>
        </w:tc>
        <w:tc>
          <w:tcPr>
            <w:tcW w:w="488" w:type="dxa"/>
            <w:vMerge w:val="restart"/>
            <w:tcBorders>
              <w:top w:val="single" w:sz="6" w:space="0" w:color="000000"/>
              <w:left w:val="single" w:sz="12" w:space="0" w:color="D2D2D2"/>
              <w:right w:val="single" w:sz="6" w:space="0" w:color="000000"/>
            </w:tcBorders>
          </w:tcPr>
          <w:p>
            <w:pP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31,542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,907.3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31,542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,907.3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31,542</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,907.3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w:t>
            </w:r>
          </w:p>
        </w:tc>
      </w:tr>
      <w:tr>
        <w:trPr>
          <w:trHeight w:val="690" w:hRule="exact"/>
        </w:trPr>
        <w:tc>
          <w:tcPr>
            <w:tcW w:w="124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7" w:lineRule="auto" w:before="44"/>
              <w:ind w:left="7" w:right="21"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w:t>
            </w:r>
            <w:r>
              <w:rPr>
                <w:rFonts w:ascii="宋体" w:hAnsi="宋体" w:cs="宋体" w:eastAsia="宋体" w:hint="default"/>
                <w:sz w:val="18"/>
                <w:szCs w:val="18"/>
              </w:rPr>
              <w:t> 策变更</w:t>
            </w:r>
          </w:p>
        </w:tc>
        <w:tc>
          <w:tcPr>
            <w:tcW w:w="488" w:type="dxa"/>
            <w:vMerge/>
            <w:tcBorders>
              <w:left w:val="single" w:sz="12"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73" w:hRule="exact"/>
        </w:trPr>
        <w:tc>
          <w:tcPr>
            <w:tcW w:w="1247" w:type="dxa"/>
            <w:tcBorders>
              <w:top w:val="nil" w:sz="6" w:space="0" w:color="auto"/>
              <w:left w:val="single" w:sz="6" w:space="0" w:color="000000"/>
              <w:bottom w:val="single" w:sz="6" w:space="0" w:color="000000"/>
              <w:right w:val="single" w:sz="6" w:space="0" w:color="000000"/>
            </w:tcBorders>
            <w:shd w:val="clear" w:color="auto" w:fill="D2D2D2"/>
          </w:tcPr>
          <w:p>
            <w:pPr/>
          </w:p>
        </w:tc>
        <w:tc>
          <w:tcPr>
            <w:tcW w:w="488" w:type="dxa"/>
            <w:vMerge/>
            <w:tcBorders>
              <w:left w:val="single" w:sz="12"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706" w:hRule="exact"/>
        </w:trPr>
        <w:tc>
          <w:tcPr>
            <w:tcW w:w="12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8"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676" w:hRule="exact"/>
        </w:trPr>
        <w:tc>
          <w:tcPr>
            <w:tcW w:w="12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142" w:firstLine="721"/>
              <w:jc w:val="left"/>
              <w:rPr>
                <w:rFonts w:ascii="宋体" w:hAnsi="宋体" w:cs="宋体" w:eastAsia="宋体" w:hint="default"/>
                <w:sz w:val="18"/>
                <w:szCs w:val="18"/>
              </w:rPr>
            </w:pPr>
            <w:r>
              <w:rPr>
                <w:rFonts w:ascii="宋体" w:hAnsi="宋体" w:cs="宋体" w:eastAsia="宋体" w:hint="default"/>
                <w:sz w:val="18"/>
                <w:szCs w:val="18"/>
              </w:rPr>
              <w:t>同一 控制下企业合</w:t>
            </w:r>
          </w:p>
        </w:tc>
        <w:tc>
          <w:tcPr>
            <w:tcW w:w="488"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36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并</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579,9</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71,70</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4.00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1,302,</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061,40</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5.04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13,994</w:t>
            </w:r>
          </w:p>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z w:val="18"/>
              </w:rPr>
              <w:t>,925.0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-35,14</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2.49</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73,608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,812.4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75,026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,856.2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638,71</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0.17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-3,099,</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847.25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538,86</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2.92</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2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-2,06</w:t>
            </w:r>
          </w:p>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-10,88</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0,182.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96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66,228</w:t>
            </w:r>
          </w:p>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z w:val="18"/>
              </w:rPr>
              <w:t>,072.9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-54,45</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6.39</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3,274,</w:t>
            </w:r>
          </w:p>
          <w:p>
            <w:pPr>
              <w:pStyle w:val="TableParagraph"/>
              <w:spacing w:line="240" w:lineRule="auto" w:before="108"/>
              <w:ind w:left="59" w:right="0"/>
              <w:jc w:val="left"/>
              <w:rPr>
                <w:rFonts w:ascii="Times New Roman" w:hAnsi="Times New Roman" w:cs="Times New Roman" w:eastAsia="Times New Roman" w:hint="default"/>
                <w:sz w:val="18"/>
                <w:szCs w:val="18"/>
              </w:rPr>
            </w:pPr>
            <w:r>
              <w:rPr>
                <w:rFonts w:ascii="Times New Roman"/>
                <w:sz w:val="18"/>
              </w:rPr>
              <w:t>841.76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46,970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,930.5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-28,98</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1,939.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97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-2,752,</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037.43</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-31,73</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3,977.</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40</w:t>
            </w:r>
          </w:p>
        </w:tc>
      </w:tr>
      <w:tr>
        <w:trPr>
          <w:trHeight w:val="10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50,245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,772.3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50,245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,772.3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-2,752,</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037.43</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47,493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,734.9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-2,06</w:t>
            </w:r>
          </w:p>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-12,42</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8,090.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66,228</w:t>
            </w:r>
          </w:p>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z w:val="18"/>
              </w:rPr>
              <w:t>,072.9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-80,72</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1,163.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-80,72</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1,163.</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02</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73" w:lineRule="auto"/>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75,252</w:t>
            </w:r>
          </w:p>
          <w:p>
            <w:pPr>
              <w:pStyle w:val="TableParagraph"/>
              <w:spacing w:line="240" w:lineRule="auto" w:before="108"/>
              <w:ind w:right="30"/>
              <w:jc w:val="right"/>
              <w:rPr>
                <w:rFonts w:ascii="Times New Roman" w:hAnsi="Times New Roman" w:cs="Times New Roman" w:eastAsia="Times New Roman" w:hint="default"/>
                <w:sz w:val="18"/>
                <w:szCs w:val="18"/>
              </w:rPr>
            </w:pPr>
            <w:r>
              <w:rPr>
                <w:rFonts w:ascii="Times New Roman"/>
                <w:sz w:val="18"/>
              </w:rPr>
              <w:t>,122.9</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-75,25</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2,122.</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95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-75,25</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2,122.</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95</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-2,06</w:t>
            </w:r>
          </w:p>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-12,42</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8,090.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-9,024,</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050.00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-5,469,</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040.07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-5,469,</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040.07</w:t>
            </w: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4" w:right="0"/>
              <w:jc w:val="left"/>
              <w:rPr>
                <w:rFonts w:ascii="Times New Roman" w:hAnsi="Times New Roman" w:cs="Times New Roman" w:eastAsia="Times New Roman" w:hint="default"/>
                <w:sz w:val="18"/>
                <w:szCs w:val="18"/>
              </w:rPr>
            </w:pPr>
            <w:r>
              <w:rPr>
                <w:rFonts w:ascii="Times New Roman"/>
                <w:sz w:val="18"/>
              </w:rPr>
              <w:t>3,274,</w:t>
            </w:r>
          </w:p>
          <w:p>
            <w:pPr>
              <w:pStyle w:val="TableParagraph"/>
              <w:spacing w:line="240" w:lineRule="auto" w:before="108"/>
              <w:ind w:left="59" w:right="0"/>
              <w:jc w:val="left"/>
              <w:rPr>
                <w:rFonts w:ascii="Times New Roman" w:hAnsi="Times New Roman" w:cs="Times New Roman" w:eastAsia="Times New Roman" w:hint="default"/>
                <w:sz w:val="18"/>
                <w:szCs w:val="18"/>
              </w:rPr>
            </w:pPr>
            <w:r>
              <w:rPr>
                <w:rFonts w:ascii="Times New Roman"/>
                <w:sz w:val="18"/>
              </w:rPr>
              <w:t>841.76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-3,274,</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841.76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left"/>
              <w:rPr>
                <w:rFonts w:ascii="Times New Roman" w:hAnsi="Times New Roman" w:cs="Times New Roman" w:eastAsia="Times New Roman" w:hint="default"/>
                <w:sz w:val="18"/>
                <w:szCs w:val="18"/>
              </w:rPr>
            </w:pPr>
            <w:r>
              <w:rPr>
                <w:rFonts w:ascii="Times New Roman"/>
                <w:sz w:val="18"/>
              </w:rPr>
              <w:t>3,274,</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841.76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left"/>
              <w:rPr>
                <w:rFonts w:ascii="Times New Roman" w:hAnsi="Times New Roman" w:cs="Times New Roman" w:eastAsia="Times New Roman" w:hint="default"/>
                <w:sz w:val="18"/>
                <w:szCs w:val="18"/>
              </w:rPr>
            </w:pPr>
            <w:r>
              <w:rPr>
                <w:rFonts w:ascii="Times New Roman"/>
                <w:sz w:val="18"/>
              </w:rPr>
              <w:t>-3,274,</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841.76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．对所有者（或</w:t>
            </w:r>
            <w:r>
              <w:rPr>
                <w:rFonts w:ascii="宋体" w:hAnsi="宋体" w:cs="宋体" w:eastAsia="宋体" w:hint="default"/>
                <w:sz w:val="18"/>
                <w:szCs w:val="18"/>
              </w:rPr>
              <w:t> 股东）的分配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4" w:right="0"/>
              <w:jc w:val="lef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2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67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15" w:right="149"/>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1,547,</w:t>
            </w:r>
          </w:p>
          <w:p>
            <w:pPr>
              <w:pStyle w:val="TableParagraph"/>
              <w:spacing w:line="240" w:lineRule="auto" w:before="108"/>
              <w:ind w:left="44" w:right="0"/>
              <w:jc w:val="left"/>
              <w:rPr>
                <w:rFonts w:ascii="Times New Roman" w:hAnsi="Times New Roman" w:cs="Times New Roman" w:eastAsia="Times New Roman" w:hint="default"/>
                <w:sz w:val="18"/>
                <w:szCs w:val="18"/>
              </w:rPr>
            </w:pPr>
            <w:r>
              <w:rPr>
                <w:rFonts w:ascii="Times New Roman"/>
                <w:sz w:val="18"/>
              </w:rPr>
              <w:t>907.11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-54,45</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6.39</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5" w:right="0"/>
              <w:jc w:val="left"/>
              <w:rPr>
                <w:rFonts w:ascii="Times New Roman" w:hAnsi="Times New Roman" w:cs="Times New Roman" w:eastAsia="Times New Roman" w:hint="default"/>
                <w:sz w:val="18"/>
                <w:szCs w:val="18"/>
              </w:rPr>
            </w:pPr>
            <w:r>
              <w:rPr>
                <w:rFonts w:ascii="Times New Roman"/>
                <w:sz w:val="18"/>
              </w:rPr>
              <w:t>1,493,</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450.72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1,493,</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450.72</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577,9</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06,70</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4.00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1,291,</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181,22</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2.08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80,222</w:t>
            </w:r>
          </w:p>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z w:val="18"/>
              </w:rPr>
              <w:t>,997.9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-89,59</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8.88</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76,883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,654.1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121,99</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7,786.</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78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1,987,</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656,77</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0.20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-5,851,</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884.68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1,981,</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804,88</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5.52</w:t>
            </w:r>
          </w:p>
        </w:tc>
      </w:tr>
    </w:tbl>
    <w:p>
      <w:pPr>
        <w:pStyle w:val="BodyText"/>
        <w:spacing w:line="240" w:lineRule="auto" w:before="44"/>
        <w:ind w:right="0"/>
        <w:jc w:val="left"/>
      </w:pPr>
      <w:r>
        <w:rPr/>
        <w:t>上期金额</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202"/>
        <w:gridCol w:w="488"/>
        <w:gridCol w:w="450"/>
        <w:gridCol w:w="451"/>
        <w:gridCol w:w="496"/>
        <w:gridCol w:w="570"/>
        <w:gridCol w:w="586"/>
        <w:gridCol w:w="571"/>
        <w:gridCol w:w="585"/>
        <w:gridCol w:w="571"/>
        <w:gridCol w:w="586"/>
        <w:gridCol w:w="586"/>
        <w:gridCol w:w="571"/>
        <w:gridCol w:w="571"/>
        <w:gridCol w:w="631"/>
        <w:gridCol w:w="661"/>
      </w:tblGrid>
      <w:tr>
        <w:trPr>
          <w:trHeight w:val="406"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373"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47" w:hRule="exact"/>
        </w:trPr>
        <w:tc>
          <w:tcPr>
            <w:tcW w:w="1202" w:type="dxa"/>
            <w:vMerge/>
            <w:tcBorders>
              <w:left w:val="single" w:sz="6" w:space="0" w:color="000000"/>
              <w:right w:val="single" w:sz="6" w:space="0" w:color="000000"/>
            </w:tcBorders>
            <w:shd w:val="clear" w:color="auto" w:fill="D2D2D2"/>
          </w:tcPr>
          <w:p>
            <w:pPr/>
          </w:p>
        </w:tc>
        <w:tc>
          <w:tcPr>
            <w:tcW w:w="7082"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23"/>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31" w:type="dxa"/>
            <w:vMerge w:val="restart"/>
            <w:tcBorders>
              <w:top w:val="single" w:sz="6" w:space="0" w:color="000000"/>
              <w:left w:val="single" w:sz="6" w:space="0" w:color="000000"/>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43" w:hRule="exact"/>
        </w:trPr>
        <w:tc>
          <w:tcPr>
            <w:tcW w:w="1202" w:type="dxa"/>
            <w:vMerge/>
            <w:tcBorders>
              <w:left w:val="single" w:sz="6" w:space="0" w:color="000000"/>
              <w:right w:val="single" w:sz="6" w:space="0" w:color="000000"/>
            </w:tcBorders>
            <w:shd w:val="clear" w:color="auto" w:fill="D2D2D2"/>
          </w:tcPr>
          <w:p>
            <w:pPr/>
          </w:p>
        </w:tc>
        <w:tc>
          <w:tcPr>
            <w:tcW w:w="7082" w:type="dxa"/>
            <w:gridSpan w:val="13"/>
            <w:vMerge/>
            <w:tcBorders>
              <w:left w:val="single" w:sz="6" w:space="0" w:color="000000"/>
              <w:bottom w:val="single" w:sz="6" w:space="0" w:color="FFFFFF"/>
              <w:right w:val="single" w:sz="6" w:space="0" w:color="000000"/>
            </w:tcBorders>
            <w:shd w:val="clear" w:color="auto" w:fill="D2D2D2"/>
          </w:tcPr>
          <w:p>
            <w:pPr/>
          </w:p>
        </w:tc>
        <w:tc>
          <w:tcPr>
            <w:tcW w:w="631" w:type="dxa"/>
            <w:vMerge/>
            <w:tcBorders>
              <w:left w:val="single" w:sz="6" w:space="0" w:color="000000"/>
              <w:bottom w:val="single" w:sz="6" w:space="0" w:color="FFFFFF"/>
              <w:right w:val="single" w:sz="6" w:space="0" w:color="000000"/>
            </w:tcBorders>
            <w:shd w:val="clear" w:color="auto" w:fill="D2D2D2"/>
          </w:tcPr>
          <w:p>
            <w:pP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60" w:right="4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3" w:hRule="exact"/>
        </w:trPr>
        <w:tc>
          <w:tcPr>
            <w:tcW w:w="1202" w:type="dxa"/>
            <w:vMerge/>
            <w:tcBorders>
              <w:left w:val="single" w:sz="6" w:space="0" w:color="000000"/>
              <w:right w:val="single" w:sz="6" w:space="0" w:color="000000"/>
            </w:tcBorders>
            <w:shd w:val="clear" w:color="auto" w:fill="D2D2D2"/>
          </w:tcPr>
          <w:p>
            <w:pPr/>
          </w:p>
        </w:tc>
        <w:tc>
          <w:tcPr>
            <w:tcW w:w="488" w:type="dxa"/>
            <w:vMerge w:val="restart"/>
            <w:tcBorders>
              <w:top w:val="single" w:sz="6" w:space="0" w:color="FFFFFF"/>
              <w:left w:val="single" w:sz="6" w:space="0" w:color="000000"/>
              <w:right w:val="single" w:sz="6" w:space="0" w:color="000000"/>
            </w:tcBorders>
            <w:shd w:val="clear" w:color="auto" w:fill="D2D2D2"/>
          </w:tcPr>
          <w:p>
            <w:pPr/>
          </w:p>
        </w:tc>
        <w:tc>
          <w:tcPr>
            <w:tcW w:w="1397" w:type="dxa"/>
            <w:gridSpan w:val="3"/>
            <w:vMerge w:val="restart"/>
            <w:tcBorders>
              <w:top w:val="single" w:sz="6" w:space="0" w:color="FFFFFF"/>
              <w:left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0" w:type="dxa"/>
            <w:tcBorders>
              <w:top w:val="single" w:sz="6" w:space="0" w:color="FFFFFF"/>
              <w:left w:val="single" w:sz="6" w:space="0" w:color="000000"/>
              <w:bottom w:val="nil" w:sz="6" w:space="0" w:color="auto"/>
              <w:right w:val="single" w:sz="6" w:space="0" w:color="000000"/>
            </w:tcBorders>
            <w:shd w:val="clear" w:color="auto" w:fill="D2D2D2"/>
          </w:tcPr>
          <w:p>
            <w:pPr/>
          </w:p>
        </w:tc>
        <w:tc>
          <w:tcPr>
            <w:tcW w:w="586" w:type="dxa"/>
            <w:tcBorders>
              <w:top w:val="single" w:sz="6" w:space="0" w:color="FFFFFF"/>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FFFFFF"/>
              <w:left w:val="single" w:sz="6" w:space="0" w:color="000000"/>
              <w:right w:val="single" w:sz="6" w:space="0" w:color="000000"/>
            </w:tcBorders>
            <w:shd w:val="clear" w:color="auto" w:fill="D2D2D2"/>
          </w:tcPr>
          <w:p>
            <w:pPr>
              <w:pStyle w:val="TableParagraph"/>
              <w:spacing w:line="314" w:lineRule="auto" w:before="90"/>
              <w:ind w:left="90"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5" w:type="dxa"/>
            <w:tcBorders>
              <w:top w:val="single" w:sz="6" w:space="0" w:color="FFFFFF"/>
              <w:left w:val="single" w:sz="6" w:space="0" w:color="000000"/>
              <w:bottom w:val="nil" w:sz="6" w:space="0" w:color="auto"/>
              <w:right w:val="single" w:sz="6" w:space="0" w:color="000000"/>
            </w:tcBorders>
            <w:shd w:val="clear" w:color="auto" w:fill="D2D2D2"/>
          </w:tcPr>
          <w:p>
            <w:pPr/>
          </w:p>
        </w:tc>
        <w:tc>
          <w:tcPr>
            <w:tcW w:w="571" w:type="dxa"/>
            <w:tcBorders>
              <w:top w:val="single" w:sz="6" w:space="0" w:color="FFFFFF"/>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FFFFFF"/>
              <w:left w:val="single" w:sz="6" w:space="0" w:color="000000"/>
              <w:right w:val="single" w:sz="6" w:space="0" w:color="000000"/>
            </w:tcBorders>
            <w:shd w:val="clear" w:color="auto" w:fill="D2D2D2"/>
          </w:tcPr>
          <w:p>
            <w:pPr>
              <w:pStyle w:val="TableParagraph"/>
              <w:spacing w:line="314" w:lineRule="auto" w:before="90"/>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FFFFFF"/>
              <w:left w:val="single" w:sz="6" w:space="0" w:color="000000"/>
              <w:right w:val="single" w:sz="6" w:space="0" w:color="000000"/>
            </w:tcBorders>
            <w:shd w:val="clear" w:color="auto" w:fill="D2D2D2"/>
          </w:tcPr>
          <w:p>
            <w:pPr>
              <w:pStyle w:val="TableParagraph"/>
              <w:spacing w:line="314" w:lineRule="auto" w:before="90"/>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71" w:type="dxa"/>
            <w:vMerge w:val="restart"/>
            <w:tcBorders>
              <w:top w:val="single" w:sz="6" w:space="0" w:color="FFFFFF"/>
              <w:left w:val="single" w:sz="6" w:space="0" w:color="000000"/>
              <w:right w:val="single" w:sz="6" w:space="0" w:color="000000"/>
            </w:tcBorders>
            <w:shd w:val="clear" w:color="auto" w:fill="D2D2D2"/>
          </w:tcPr>
          <w:p>
            <w:pPr/>
          </w:p>
        </w:tc>
        <w:tc>
          <w:tcPr>
            <w:tcW w:w="571" w:type="dxa"/>
            <w:vMerge w:val="restart"/>
            <w:tcBorders>
              <w:top w:val="single" w:sz="6" w:space="0" w:color="FFFFFF"/>
              <w:left w:val="single" w:sz="6" w:space="0" w:color="000000"/>
              <w:right w:val="single" w:sz="6" w:space="0" w:color="000000"/>
            </w:tcBorders>
            <w:shd w:val="clear" w:color="auto" w:fill="D2D2D2"/>
          </w:tcPr>
          <w:p>
            <w:pPr/>
          </w:p>
        </w:tc>
        <w:tc>
          <w:tcPr>
            <w:tcW w:w="631" w:type="dxa"/>
            <w:vMerge w:val="restart"/>
            <w:tcBorders>
              <w:top w:val="single" w:sz="6" w:space="0" w:color="FFFFFF"/>
              <w:left w:val="single" w:sz="6" w:space="0" w:color="000000"/>
              <w:right w:val="single" w:sz="6" w:space="0" w:color="000000"/>
            </w:tcBorders>
            <w:shd w:val="clear" w:color="auto" w:fill="D2D2D2"/>
          </w:tcPr>
          <w:p>
            <w:pPr>
              <w:pStyle w:val="TableParagraph"/>
              <w:spacing w:line="321" w:lineRule="auto" w:before="45"/>
              <w:ind w:left="30" w:right="4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1" w:type="dxa"/>
            <w:vMerge/>
            <w:tcBorders>
              <w:left w:val="single" w:sz="6" w:space="0" w:color="000000"/>
              <w:right w:val="single" w:sz="6" w:space="0" w:color="000000"/>
            </w:tcBorders>
            <w:shd w:val="clear" w:color="auto" w:fill="D2D2D2"/>
          </w:tcPr>
          <w:p>
            <w:pPr/>
          </w:p>
        </w:tc>
      </w:tr>
      <w:tr>
        <w:trPr>
          <w:trHeight w:val="184" w:hRule="exact"/>
        </w:trPr>
        <w:tc>
          <w:tcPr>
            <w:tcW w:w="1202" w:type="dxa"/>
            <w:vMerge/>
            <w:tcBorders>
              <w:left w:val="single" w:sz="6" w:space="0" w:color="000000"/>
              <w:right w:val="single" w:sz="6" w:space="0" w:color="000000"/>
            </w:tcBorders>
            <w:shd w:val="clear" w:color="auto" w:fill="D2D2D2"/>
          </w:tcPr>
          <w:p>
            <w:pPr/>
          </w:p>
        </w:tc>
        <w:tc>
          <w:tcPr>
            <w:tcW w:w="488" w:type="dxa"/>
            <w:vMerge/>
            <w:tcBorders>
              <w:left w:val="single" w:sz="6" w:space="0" w:color="000000"/>
              <w:bottom w:val="nil" w:sz="6" w:space="0" w:color="auto"/>
              <w:right w:val="single" w:sz="6" w:space="0" w:color="000000"/>
            </w:tcBorders>
            <w:shd w:val="clear" w:color="auto" w:fill="D2D2D2"/>
          </w:tcPr>
          <w:p>
            <w:pPr/>
          </w:p>
        </w:tc>
        <w:tc>
          <w:tcPr>
            <w:tcW w:w="1397" w:type="dxa"/>
            <w:gridSpan w:val="3"/>
            <w:vMerge/>
            <w:tcBorders>
              <w:left w:val="single" w:sz="6" w:space="0" w:color="000000"/>
              <w:bottom w:val="single" w:sz="6" w:space="0" w:color="000000"/>
              <w:right w:val="single" w:sz="6" w:space="0" w:color="000000"/>
            </w:tcBorders>
            <w:shd w:val="clear" w:color="auto" w:fill="D2D2D2"/>
          </w:tcPr>
          <w:p>
            <w:pP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04" w:right="8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05" w:right="13"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71"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05"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90"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76" w:hRule="exact"/>
        </w:trPr>
        <w:tc>
          <w:tcPr>
            <w:tcW w:w="1202" w:type="dxa"/>
            <w:vMerge/>
            <w:tcBorders>
              <w:left w:val="single" w:sz="6" w:space="0" w:color="000000"/>
              <w:right w:val="single" w:sz="6" w:space="0" w:color="000000"/>
            </w:tcBorders>
            <w:shd w:val="clear" w:color="auto" w:fill="D2D2D2"/>
          </w:tcPr>
          <w:p>
            <w:pPr/>
          </w:p>
        </w:tc>
        <w:tc>
          <w:tcPr>
            <w:tcW w:w="48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3"/>
              <w:ind w:left="135" w:right="2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3"/>
              <w:ind w:left="135" w:right="28"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84" w:hRule="exact"/>
        </w:trPr>
        <w:tc>
          <w:tcPr>
            <w:tcW w:w="1202" w:type="dxa"/>
            <w:vMerge/>
            <w:tcBorders>
              <w:left w:val="single" w:sz="6" w:space="0" w:color="000000"/>
              <w:right w:val="single" w:sz="6" w:space="0" w:color="000000"/>
            </w:tcBorders>
            <w:shd w:val="clear" w:color="auto" w:fill="D2D2D2"/>
          </w:tcPr>
          <w:p>
            <w:pPr/>
          </w:p>
        </w:tc>
        <w:tc>
          <w:tcPr>
            <w:tcW w:w="488" w:type="dxa"/>
            <w:vMerge/>
            <w:tcBorders>
              <w:left w:val="single" w:sz="6" w:space="0" w:color="000000"/>
              <w:bottom w:val="nil" w:sz="6" w:space="0" w:color="auto"/>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single" w:sz="18" w:space="0" w:color="FFFFFF"/>
              <w:right w:val="single" w:sz="6" w:space="0" w:color="000000"/>
            </w:tcBorders>
            <w:shd w:val="clear" w:color="auto" w:fill="D2D2D2"/>
          </w:tcPr>
          <w:p>
            <w:pPr/>
          </w:p>
        </w:tc>
        <w:tc>
          <w:tcPr>
            <w:tcW w:w="631" w:type="dxa"/>
            <w:vMerge/>
            <w:tcBorders>
              <w:left w:val="single" w:sz="6" w:space="0" w:color="000000"/>
              <w:bottom w:val="single" w:sz="18" w:space="0" w:color="FFFFFF"/>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39" w:hRule="exact"/>
        </w:trPr>
        <w:tc>
          <w:tcPr>
            <w:tcW w:w="1202" w:type="dxa"/>
            <w:vMerge/>
            <w:tcBorders>
              <w:left w:val="single" w:sz="6" w:space="0" w:color="000000"/>
              <w:right w:val="single" w:sz="6" w:space="0" w:color="000000"/>
            </w:tcBorders>
            <w:shd w:val="clear" w:color="auto" w:fill="D2D2D2"/>
          </w:tcPr>
          <w:p>
            <w:pPr/>
          </w:p>
        </w:tc>
        <w:tc>
          <w:tcPr>
            <w:tcW w:w="488" w:type="dxa"/>
            <w:vMerge w:val="restart"/>
            <w:tcBorders>
              <w:top w:val="nil" w:sz="6" w:space="0" w:color="auto"/>
              <w:left w:val="single" w:sz="6" w:space="0" w:color="000000"/>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val="restart"/>
            <w:tcBorders>
              <w:top w:val="single" w:sz="18" w:space="0" w:color="FFFFFF"/>
              <w:left w:val="single" w:sz="6" w:space="0" w:color="000000"/>
              <w:right w:val="single" w:sz="6" w:space="0" w:color="000000"/>
            </w:tcBorders>
            <w:shd w:val="clear" w:color="auto" w:fill="D2D2D2"/>
          </w:tcPr>
          <w:p>
            <w:pPr/>
          </w:p>
        </w:tc>
        <w:tc>
          <w:tcPr>
            <w:tcW w:w="631" w:type="dxa"/>
            <w:vMerge w:val="restart"/>
            <w:tcBorders>
              <w:top w:val="single" w:sz="18" w:space="0" w:color="FFFFFF"/>
              <w:left w:val="single" w:sz="6" w:space="0" w:color="000000"/>
              <w:right w:val="single" w:sz="6" w:space="0" w:color="000000"/>
            </w:tcBorders>
            <w:shd w:val="clear" w:color="auto" w:fill="D2D2D2"/>
          </w:tcPr>
          <w:p>
            <w:pPr/>
          </w:p>
        </w:tc>
        <w:tc>
          <w:tcPr>
            <w:tcW w:w="661" w:type="dxa"/>
            <w:vMerge/>
            <w:tcBorders>
              <w:left w:val="single" w:sz="6" w:space="0" w:color="000000"/>
              <w:bottom w:val="nil" w:sz="6" w:space="0" w:color="auto"/>
              <w:right w:val="single" w:sz="6" w:space="0" w:color="000000"/>
            </w:tcBorders>
            <w:shd w:val="clear" w:color="auto" w:fill="D2D2D2"/>
          </w:tcPr>
          <w:p>
            <w:pPr/>
          </w:p>
        </w:tc>
      </w:tr>
      <w:tr>
        <w:trPr>
          <w:trHeight w:val="229"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488" w:type="dxa"/>
            <w:vMerge/>
            <w:tcBorders>
              <w:left w:val="single" w:sz="6" w:space="0" w:color="000000"/>
              <w:bottom w:val="single" w:sz="6" w:space="0" w:color="000000"/>
              <w:right w:val="single" w:sz="6" w:space="0" w:color="000000"/>
            </w:tcBorders>
            <w:shd w:val="clear" w:color="auto" w:fill="D2D2D2"/>
          </w:tcPr>
          <w:p>
            <w:pPr/>
          </w:p>
        </w:tc>
        <w:tc>
          <w:tcPr>
            <w:tcW w:w="450" w:type="dxa"/>
            <w:vMerge/>
            <w:tcBorders>
              <w:left w:val="single" w:sz="6" w:space="0" w:color="000000"/>
              <w:bottom w:val="single" w:sz="6" w:space="0" w:color="000000"/>
              <w:right w:val="single" w:sz="6" w:space="0" w:color="000000"/>
            </w:tcBorders>
            <w:shd w:val="clear" w:color="auto" w:fill="D2D2D2"/>
          </w:tcPr>
          <w:p>
            <w:pPr/>
          </w:p>
        </w:tc>
        <w:tc>
          <w:tcPr>
            <w:tcW w:w="451" w:type="dxa"/>
            <w:vMerge/>
            <w:tcBorders>
              <w:left w:val="single" w:sz="6" w:space="0" w:color="000000"/>
              <w:bottom w:val="single" w:sz="6" w:space="0" w:color="000000"/>
              <w:right w:val="single" w:sz="6" w:space="0" w:color="000000"/>
            </w:tcBorders>
            <w:shd w:val="clear" w:color="auto" w:fill="D2D2D2"/>
          </w:tcPr>
          <w:p>
            <w:pPr/>
          </w:p>
        </w:tc>
        <w:tc>
          <w:tcPr>
            <w:tcW w:w="49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single" w:sz="6" w:space="0" w:color="000000"/>
              <w:right w:val="single" w:sz="6" w:space="0" w:color="000000"/>
            </w:tcBorders>
            <w:shd w:val="clear" w:color="auto" w:fill="D2D2D2"/>
          </w:tcPr>
          <w:p>
            <w:pPr/>
          </w:p>
        </w:tc>
        <w:tc>
          <w:tcPr>
            <w:tcW w:w="66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7" w:right="98"/>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581,0</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39,20</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4.00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4" w:right="0"/>
              <w:jc w:val="center"/>
              <w:rPr>
                <w:rFonts w:ascii="Times New Roman" w:hAnsi="Times New Roman" w:cs="Times New Roman" w:eastAsia="Times New Roman" w:hint="default"/>
                <w:sz w:val="18"/>
                <w:szCs w:val="18"/>
              </w:rPr>
            </w:pPr>
            <w:r>
              <w:rPr>
                <w:rFonts w:ascii="Times New Roman"/>
                <w:sz w:val="18"/>
              </w:rPr>
              <w:t>1,305,</w:t>
            </w:r>
          </w:p>
          <w:p>
            <w:pPr>
              <w:pStyle w:val="TableParagraph"/>
              <w:spacing w:line="240" w:lineRule="auto" w:before="108"/>
              <w:ind w:left="59" w:right="0"/>
              <w:jc w:val="center"/>
              <w:rPr>
                <w:rFonts w:ascii="Times New Roman" w:hAnsi="Times New Roman" w:cs="Times New Roman" w:eastAsia="Times New Roman" w:hint="default"/>
                <w:sz w:val="18"/>
                <w:szCs w:val="18"/>
              </w:rPr>
            </w:pPr>
            <w:r>
              <w:rPr>
                <w:rFonts w:ascii="Times New Roman"/>
                <w:sz w:val="18"/>
              </w:rPr>
              <w:t>445,16</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3.41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18,916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100,17</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4.77</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70,566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,466.3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24" w:space="0" w:color="D2D2D2"/>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184,19</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3,290.</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16</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2,122,</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428,19</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8.66</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2,122,4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28,198.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66</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97"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97"/>
              <w:jc w:val="right"/>
              <w:rPr>
                <w:rFonts w:ascii="宋体" w:hAnsi="宋体" w:cs="宋体" w:eastAsia="宋体" w:hint="default"/>
                <w:sz w:val="18"/>
                <w:szCs w:val="18"/>
              </w:rPr>
            </w:pPr>
            <w:r>
              <w:rPr>
                <w:rFonts w:ascii="宋体" w:hAnsi="宋体" w:cs="宋体" w:eastAsia="宋体" w:hint="default"/>
                <w:sz w:val="18"/>
                <w:szCs w:val="18"/>
              </w:rPr>
              <w:t>其他</w:t>
            </w:r>
          </w:p>
        </w:tc>
        <w:tc>
          <w:tcPr>
            <w:tcW w:w="488"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98"/>
              <w:jc w:val="right"/>
              <w:rPr>
                <w:rFonts w:ascii="宋体" w:hAnsi="宋体" w:cs="宋体" w:eastAsia="宋体" w:hint="default"/>
                <w:sz w:val="18"/>
                <w:szCs w:val="18"/>
              </w:rPr>
            </w:pPr>
            <w:r>
              <w:rPr>
                <w:rFonts w:ascii="宋体" w:hAnsi="宋体" w:cs="宋体" w:eastAsia="宋体" w:hint="default"/>
                <w:sz w:val="18"/>
                <w:szCs w:val="18"/>
              </w:rPr>
              <w:t>二、本年期初</w:t>
            </w:r>
          </w:p>
        </w:tc>
        <w:tc>
          <w:tcPr>
            <w:tcW w:w="48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581,0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4" w:right="0"/>
              <w:jc w:val="left"/>
              <w:rPr>
                <w:rFonts w:ascii="Times New Roman" w:hAnsi="Times New Roman" w:cs="Times New Roman" w:eastAsia="Times New Roman" w:hint="default"/>
                <w:sz w:val="18"/>
                <w:szCs w:val="18"/>
              </w:rPr>
            </w:pPr>
            <w:r>
              <w:rPr>
                <w:rFonts w:ascii="Times New Roman"/>
                <w:sz w:val="18"/>
              </w:rPr>
              <w:t>1,305,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left"/>
              <w:rPr>
                <w:rFonts w:ascii="Times New Roman" w:hAnsi="Times New Roman" w:cs="Times New Roman" w:eastAsia="Times New Roman" w:hint="default"/>
                <w:sz w:val="18"/>
                <w:szCs w:val="18"/>
              </w:rPr>
            </w:pPr>
            <w:r>
              <w:rPr>
                <w:rFonts w:ascii="Times New Roman"/>
                <w:sz w:val="18"/>
              </w:rPr>
              <w:t>18,916</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100,17</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70,566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left"/>
              <w:rPr>
                <w:rFonts w:ascii="Times New Roman" w:hAnsi="Times New Roman" w:cs="Times New Roman" w:eastAsia="Times New Roman" w:hint="default"/>
                <w:sz w:val="18"/>
                <w:szCs w:val="18"/>
              </w:rPr>
            </w:pPr>
            <w:r>
              <w:rPr>
                <w:rFonts w:ascii="Times New Roman"/>
                <w:sz w:val="18"/>
              </w:rPr>
              <w:t>184,19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5" w:right="0"/>
              <w:jc w:val="left"/>
              <w:rPr>
                <w:rFonts w:ascii="Times New Roman" w:hAnsi="Times New Roman" w:cs="Times New Roman" w:eastAsia="Times New Roman" w:hint="default"/>
                <w:sz w:val="18"/>
                <w:szCs w:val="18"/>
              </w:rPr>
            </w:pPr>
            <w:r>
              <w:rPr>
                <w:rFonts w:ascii="Times New Roman"/>
                <w:sz w:val="18"/>
              </w:rPr>
              <w:t>2,122,</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0" w:right="0"/>
              <w:jc w:val="left"/>
              <w:rPr>
                <w:rFonts w:ascii="Times New Roman" w:hAnsi="Times New Roman" w:cs="Times New Roman" w:eastAsia="Times New Roman" w:hint="default"/>
                <w:sz w:val="18"/>
                <w:szCs w:val="18"/>
              </w:rPr>
            </w:pPr>
            <w:r>
              <w:rPr>
                <w:rFonts w:ascii="Times New Roman"/>
                <w:sz w:val="18"/>
              </w:rPr>
              <w:t>2,122,4</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67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5" w:right="0"/>
              <w:jc w:val="left"/>
              <w:rPr>
                <w:rFonts w:ascii="Times New Roman" w:hAnsi="Times New Roman" w:cs="Times New Roman" w:eastAsia="Times New Roman" w:hint="default"/>
                <w:sz w:val="18"/>
                <w:szCs w:val="18"/>
              </w:rPr>
            </w:pPr>
            <w:r>
              <w:rPr>
                <w:rFonts w:ascii="Times New Roman"/>
                <w:sz w:val="18"/>
              </w:rPr>
              <w:t>39,20</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4.00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59" w:right="0"/>
              <w:jc w:val="center"/>
              <w:rPr>
                <w:rFonts w:ascii="Times New Roman" w:hAnsi="Times New Roman" w:cs="Times New Roman" w:eastAsia="Times New Roman" w:hint="default"/>
                <w:sz w:val="18"/>
                <w:szCs w:val="18"/>
              </w:rPr>
            </w:pPr>
            <w:r>
              <w:rPr>
                <w:rFonts w:ascii="Times New Roman"/>
                <w:sz w:val="18"/>
              </w:rPr>
              <w:t>445,16</w:t>
            </w:r>
          </w:p>
          <w:p>
            <w:pPr>
              <w:pStyle w:val="TableParagraph"/>
              <w:spacing w:line="240" w:lineRule="auto" w:before="93"/>
              <w:ind w:left="239" w:right="0"/>
              <w:jc w:val="center"/>
              <w:rPr>
                <w:rFonts w:ascii="Times New Roman" w:hAnsi="Times New Roman" w:cs="Times New Roman" w:eastAsia="Times New Roman" w:hint="default"/>
                <w:sz w:val="18"/>
                <w:szCs w:val="18"/>
              </w:rPr>
            </w:pPr>
            <w:r>
              <w:rPr>
                <w:rFonts w:ascii="Times New Roman"/>
                <w:sz w:val="18"/>
              </w:rPr>
              <w:t>3.41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25" w:right="0"/>
              <w:jc w:val="left"/>
              <w:rPr>
                <w:rFonts w:ascii="Times New Roman" w:hAnsi="Times New Roman" w:cs="Times New Roman" w:eastAsia="Times New Roman" w:hint="default"/>
                <w:sz w:val="18"/>
                <w:szCs w:val="18"/>
              </w:rPr>
            </w:pPr>
            <w:r>
              <w:rPr>
                <w:rFonts w:ascii="Times New Roman"/>
                <w:sz w:val="18"/>
              </w:rPr>
              <w:t>4.77</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,466.3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05" w:right="0"/>
              <w:jc w:val="left"/>
              <w:rPr>
                <w:rFonts w:ascii="Times New Roman" w:hAnsi="Times New Roman" w:cs="Times New Roman" w:eastAsia="Times New Roman" w:hint="default"/>
                <w:sz w:val="18"/>
                <w:szCs w:val="18"/>
              </w:rPr>
            </w:pPr>
            <w:r>
              <w:rPr>
                <w:rFonts w:ascii="Times New Roman"/>
                <w:sz w:val="18"/>
              </w:rPr>
              <w:t>3,290.</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16</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428,19</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8.66</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28,198.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66</w:t>
            </w:r>
          </w:p>
        </w:tc>
      </w:tr>
      <w:tr>
        <w:trPr>
          <w:trHeight w:val="13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04"/>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19" w:lineRule="exact"/>
              <w:ind w:left="15" w:right="0"/>
              <w:jc w:val="both"/>
              <w:rPr>
                <w:rFonts w:ascii="宋体" w:hAnsi="宋体" w:cs="宋体" w:eastAsia="宋体" w:hint="default"/>
                <w:sz w:val="18"/>
                <w:szCs w:val="18"/>
              </w:rPr>
            </w:pPr>
            <w:r>
              <w:rPr>
                <w:rFonts w:ascii="宋体" w:hAnsi="宋体" w:cs="宋体" w:eastAsia="宋体" w:hint="default"/>
                <w:sz w:val="18"/>
                <w:szCs w:val="18"/>
              </w:rPr>
              <w:t>列）</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-1,06</w:t>
            </w:r>
          </w:p>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-3,383,</w:t>
            </w:r>
          </w:p>
          <w:p>
            <w:pPr>
              <w:pStyle w:val="TableParagraph"/>
              <w:spacing w:line="240" w:lineRule="auto" w:before="108"/>
              <w:ind w:left="59" w:right="0"/>
              <w:jc w:val="left"/>
              <w:rPr>
                <w:rFonts w:ascii="Times New Roman" w:hAnsi="Times New Roman" w:cs="Times New Roman" w:eastAsia="Times New Roman" w:hint="default"/>
                <w:sz w:val="18"/>
                <w:szCs w:val="18"/>
              </w:rPr>
            </w:pPr>
            <w:r>
              <w:rPr>
                <w:rFonts w:ascii="Times New Roman"/>
                <w:sz w:val="18"/>
              </w:rPr>
              <w:t>758.37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-4,921,</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175.00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-135,3</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17.26</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3,042,</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346.09</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-140,7</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09,341</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.27</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-137,3</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32,395</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.81</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-3,099,</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847.25</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-140,43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2,243.0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w:t>
            </w: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-135,3</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17.26</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-102,8</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04,664</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.07</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-102,9</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39,981</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.33</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-5,099,</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847.25</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-108,03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9,828.5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15" w:right="104"/>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-1,06</w:t>
            </w:r>
          </w:p>
          <w:p>
            <w:pPr>
              <w:pStyle w:val="TableParagraph"/>
              <w:spacing w:line="240" w:lineRule="auto" w:before="108"/>
              <w:ind w:left="29" w:right="0"/>
              <w:jc w:val="center"/>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-2,418,</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830.66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-4,921,</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175.00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1,434,</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844.34</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00.00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3,434,8</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44.34</w:t>
            </w: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的普通股</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00.00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00.00</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-1,06</w:t>
            </w:r>
          </w:p>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7,500</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-2,418,</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830.66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-4,921,</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175.00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1,434,</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844.34</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1,434,8</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44.34</w:t>
            </w: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3,042,</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346.09</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-37,90</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4,677.</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20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-34,86</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2,331.</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11</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-34,862</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,331.11</w:t>
            </w:r>
          </w:p>
        </w:tc>
      </w:tr>
      <w:tr>
        <w:trPr>
          <w:trHeight w:val="7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3,042,</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346.09</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-3,042,</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346.09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1"/>
              <w:ind w:left="15" w:right="104"/>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-34,86</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2,331.</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11</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-34,86</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2,331.</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11</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-34,862</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,331.11</w:t>
            </w: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04"/>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04"/>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-964,9</w:t>
            </w:r>
          </w:p>
          <w:p>
            <w:pPr>
              <w:pStyle w:val="TableParagraph"/>
              <w:spacing w:line="240" w:lineRule="auto" w:before="108"/>
              <w:ind w:left="149" w:right="0"/>
              <w:jc w:val="left"/>
              <w:rPr>
                <w:rFonts w:ascii="Times New Roman" w:hAnsi="Times New Roman" w:cs="Times New Roman" w:eastAsia="Times New Roman" w:hint="default"/>
                <w:sz w:val="18"/>
                <w:szCs w:val="18"/>
              </w:rPr>
            </w:pPr>
            <w:r>
              <w:rPr>
                <w:rFonts w:ascii="Times New Roman"/>
                <w:sz w:val="18"/>
              </w:rPr>
              <w:t>27.71</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-964,9</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27.71</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-964,92</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7.71</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579,9</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71,70</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4.00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center"/>
              <w:rPr>
                <w:rFonts w:ascii="Times New Roman" w:hAnsi="Times New Roman" w:cs="Times New Roman" w:eastAsia="Times New Roman" w:hint="default"/>
                <w:sz w:val="18"/>
                <w:szCs w:val="18"/>
              </w:rPr>
            </w:pPr>
            <w:r>
              <w:rPr>
                <w:rFonts w:ascii="Times New Roman"/>
                <w:sz w:val="18"/>
              </w:rPr>
              <w:t>1,302,</w:t>
            </w:r>
          </w:p>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061,40</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5.04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13,994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,925.0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-35,14</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2.49</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73,608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,812.4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43,483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,948.8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1,985,</w:t>
            </w:r>
          </w:p>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095,80</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2.85</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-3,099,</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847.25</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1,981,9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95,955.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60</w:t>
            </w:r>
          </w:p>
        </w:tc>
      </w:tr>
    </w:tbl>
    <w:p>
      <w:pPr>
        <w:spacing w:line="240" w:lineRule="auto" w:before="5"/>
        <w:rPr>
          <w:rFonts w:ascii="Times New Roman" w:hAnsi="Times New Roman" w:cs="Times New Roman" w:eastAsia="Times New Roman" w:hint="default"/>
          <w:sz w:val="22"/>
          <w:szCs w:val="22"/>
        </w:rPr>
      </w:pPr>
    </w:p>
    <w:p>
      <w:pPr>
        <w:pStyle w:val="Heading5"/>
        <w:spacing w:line="240" w:lineRule="auto" w:before="45"/>
        <w:ind w:right="0"/>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spacing w:val="4"/>
        </w:rPr>
        <w:t>8</w:t>
      </w:r>
      <w:r>
        <w:rPr>
          <w:spacing w:val="4"/>
        </w:rPr>
        <w:t>、母公司所有者权益变动表</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09"/>
        <w:ind w:left="0" w:right="1110"/>
        <w:jc w:val="right"/>
      </w:pPr>
      <w:r>
        <w:rPr/>
        <w:t>单位：元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99"/>
        <w:gridCol w:w="638"/>
        <w:gridCol w:w="601"/>
        <w:gridCol w:w="601"/>
        <w:gridCol w:w="615"/>
        <w:gridCol w:w="721"/>
        <w:gridCol w:w="736"/>
        <w:gridCol w:w="721"/>
        <w:gridCol w:w="736"/>
        <w:gridCol w:w="721"/>
        <w:gridCol w:w="616"/>
        <w:gridCol w:w="706"/>
        <w:gridCol w:w="871"/>
      </w:tblGrid>
      <w:tr>
        <w:trPr>
          <w:trHeight w:val="398" w:hRule="exact"/>
        </w:trPr>
        <w:tc>
          <w:tcPr>
            <w:tcW w:w="129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8283"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10" w:hRule="exact"/>
        </w:trPr>
        <w:tc>
          <w:tcPr>
            <w:tcW w:w="1299" w:type="dxa"/>
            <w:vMerge/>
            <w:tcBorders>
              <w:left w:val="single" w:sz="6" w:space="0" w:color="000000"/>
              <w:right w:val="single" w:sz="6" w:space="0" w:color="000000"/>
            </w:tcBorders>
            <w:shd w:val="clear" w:color="auto" w:fill="D2D2D2"/>
          </w:tcPr>
          <w:p>
            <w:pPr/>
          </w:p>
        </w:tc>
        <w:tc>
          <w:tcPr>
            <w:tcW w:w="638" w:type="dxa"/>
            <w:tcBorders>
              <w:top w:val="single" w:sz="6" w:space="0" w:color="000000"/>
              <w:left w:val="single" w:sz="6" w:space="0" w:color="000000"/>
              <w:bottom w:val="nil" w:sz="6" w:space="0" w:color="auto"/>
              <w:right w:val="single" w:sz="6" w:space="0" w:color="000000"/>
            </w:tcBorders>
            <w:shd w:val="clear" w:color="auto" w:fill="D2D2D2"/>
          </w:tcPr>
          <w:p>
            <w:pPr/>
          </w:p>
        </w:tc>
        <w:tc>
          <w:tcPr>
            <w:tcW w:w="181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3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55" w:right="90"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70" w:right="15" w:hanging="241"/>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75" w:right="9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70" w:right="8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54" w:right="8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44" w:hanging="91"/>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6" w:type="dxa"/>
            <w:tcBorders>
              <w:top w:val="single" w:sz="6" w:space="0" w:color="000000"/>
              <w:left w:val="single" w:sz="6" w:space="0" w:color="000000"/>
              <w:bottom w:val="nil" w:sz="6" w:space="0" w:color="auto"/>
              <w:right w:val="single" w:sz="6" w:space="0" w:color="000000"/>
            </w:tcBorders>
            <w:shd w:val="clear" w:color="auto" w:fill="D2D2D2"/>
          </w:tcPr>
          <w:p>
            <w:pP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65" w:right="5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99" w:type="dxa"/>
            <w:vMerge/>
            <w:tcBorders>
              <w:left w:val="single" w:sz="6" w:space="0" w:color="000000"/>
              <w:right w:val="single" w:sz="6" w:space="0" w:color="000000"/>
            </w:tcBorders>
            <w:shd w:val="clear" w:color="auto" w:fill="D2D2D2"/>
          </w:tcPr>
          <w:p>
            <w:pPr/>
          </w:p>
        </w:tc>
        <w:tc>
          <w:tcPr>
            <w:tcW w:w="63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7" w:type="dxa"/>
            <w:gridSpan w:val="3"/>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6" w:space="0" w:color="000000"/>
              <w:right w:val="single" w:sz="6" w:space="0" w:color="000000"/>
            </w:tcBorders>
            <w:shd w:val="clear" w:color="auto" w:fill="D2D2D2"/>
          </w:tcPr>
          <w:p>
            <w:pPr/>
          </w:p>
        </w:tc>
      </w:tr>
      <w:tr>
        <w:trPr>
          <w:trHeight w:val="203" w:hRule="exact"/>
        </w:trPr>
        <w:tc>
          <w:tcPr>
            <w:tcW w:w="1299" w:type="dxa"/>
            <w:vMerge/>
            <w:tcBorders>
              <w:left w:val="single" w:sz="6" w:space="0" w:color="000000"/>
              <w:right w:val="single" w:sz="6" w:space="0" w:color="000000"/>
            </w:tcBorders>
            <w:shd w:val="clear" w:color="auto" w:fill="D2D2D2"/>
          </w:tcPr>
          <w:p>
            <w:pPr/>
          </w:p>
        </w:tc>
        <w:tc>
          <w:tcPr>
            <w:tcW w:w="638" w:type="dxa"/>
            <w:vMerge/>
            <w:tcBorders>
              <w:left w:val="single" w:sz="6" w:space="0" w:color="000000"/>
              <w:bottom w:val="nil" w:sz="6" w:space="0" w:color="auto"/>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tcBorders>
              <w:left w:val="single" w:sz="6" w:space="0" w:color="000000"/>
              <w:bottom w:val="nil" w:sz="6" w:space="0" w:color="auto"/>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r>
      <w:tr>
        <w:trPr>
          <w:trHeight w:val="203" w:hRule="exact"/>
        </w:trPr>
        <w:tc>
          <w:tcPr>
            <w:tcW w:w="1299" w:type="dxa"/>
            <w:vMerge/>
            <w:tcBorders>
              <w:left w:val="single" w:sz="6" w:space="0" w:color="000000"/>
              <w:bottom w:val="single" w:sz="6" w:space="0" w:color="000000"/>
              <w:right w:val="single" w:sz="6" w:space="0" w:color="000000"/>
            </w:tcBorders>
            <w:shd w:val="clear" w:color="auto" w:fill="D2D2D2"/>
          </w:tcPr>
          <w:p>
            <w:pPr/>
          </w:p>
        </w:tc>
        <w:tc>
          <w:tcPr>
            <w:tcW w:w="638" w:type="dxa"/>
            <w:tcBorders>
              <w:top w:val="nil" w:sz="6" w:space="0" w:color="auto"/>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15"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616" w:type="dxa"/>
            <w:vMerge/>
            <w:tcBorders>
              <w:left w:val="single" w:sz="6" w:space="0" w:color="000000"/>
              <w:bottom w:val="single" w:sz="6" w:space="0" w:color="000000"/>
              <w:right w:val="single" w:sz="6" w:space="0" w:color="000000"/>
            </w:tcBorders>
            <w:shd w:val="clear" w:color="auto" w:fill="D2D2D2"/>
          </w:tcPr>
          <w:p>
            <w:pPr/>
          </w:p>
        </w:tc>
        <w:tc>
          <w:tcPr>
            <w:tcW w:w="706" w:type="dxa"/>
            <w:tcBorders>
              <w:top w:val="nil" w:sz="6" w:space="0" w:color="auto"/>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1"/>
              <w:jc w:val="left"/>
              <w:rPr>
                <w:rFonts w:ascii="宋体" w:hAnsi="宋体" w:cs="宋体" w:eastAsia="宋体" w:hint="default"/>
                <w:sz w:val="18"/>
                <w:szCs w:val="18"/>
              </w:rPr>
            </w:pPr>
            <w:r>
              <w:rPr>
                <w:rFonts w:ascii="宋体" w:hAnsi="宋体" w:cs="宋体" w:eastAsia="宋体" w:hint="default"/>
                <w:spacing w:val="-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579,97</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1,704.0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1,297,49</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2,952.36</w:t>
            </w:r>
          </w:p>
        </w:tc>
        <w:tc>
          <w:tcPr>
            <w:tcW w:w="736"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13,994,9</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25.00</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73,608,8</w:t>
            </w:r>
          </w:p>
          <w:p>
            <w:pPr>
              <w:pStyle w:val="TableParagraph"/>
              <w:spacing w:line="240" w:lineRule="auto" w:before="108"/>
              <w:ind w:left="284" w:right="0"/>
              <w:jc w:val="left"/>
              <w:rPr>
                <w:rFonts w:ascii="Times New Roman" w:hAnsi="Times New Roman" w:cs="Times New Roman" w:eastAsia="Times New Roman" w:hint="default"/>
                <w:sz w:val="18"/>
                <w:szCs w:val="18"/>
              </w:rPr>
            </w:pPr>
            <w:r>
              <w:rPr>
                <w:rFonts w:ascii="Times New Roman"/>
                <w:sz w:val="18"/>
              </w:rPr>
              <w:t>12.41</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393,21</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6,980.5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3</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2,330,295,</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524.30</w:t>
            </w:r>
          </w:p>
        </w:tc>
      </w:tr>
      <w:tr>
        <w:trPr>
          <w:trHeight w:val="705"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21" w:firstLine="360"/>
              <w:jc w:val="left"/>
              <w:rPr>
                <w:rFonts w:ascii="宋体" w:hAnsi="宋体" w:cs="宋体" w:eastAsia="宋体" w:hint="default"/>
                <w:sz w:val="18"/>
                <w:szCs w:val="18"/>
              </w:rPr>
            </w:pPr>
            <w:r>
              <w:rPr>
                <w:rFonts w:ascii="宋体" w:hAnsi="宋体" w:cs="宋体" w:eastAsia="宋体" w:hint="default"/>
                <w:spacing w:val="-3"/>
                <w:sz w:val="18"/>
                <w:szCs w:val="18"/>
              </w:rPr>
              <w:t>加：会计政</w:t>
            </w:r>
            <w:r>
              <w:rPr>
                <w:rFonts w:ascii="宋体" w:hAnsi="宋体" w:cs="宋体" w:eastAsia="宋体" w:hint="default"/>
                <w:sz w:val="18"/>
                <w:szCs w:val="18"/>
              </w:rPr>
              <w:t> 策变更</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13,068,</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411.12</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0" w:right="0"/>
              <w:jc w:val="left"/>
              <w:rPr>
                <w:rFonts w:ascii="Times New Roman" w:hAnsi="Times New Roman" w:cs="Times New Roman" w:eastAsia="Times New Roman" w:hint="default"/>
                <w:sz w:val="18"/>
                <w:szCs w:val="18"/>
              </w:rPr>
            </w:pPr>
            <w:r>
              <w:rPr>
                <w:rFonts w:ascii="Times New Roman"/>
                <w:sz w:val="18"/>
              </w:rPr>
              <w:t>13,068,41</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1.12</w:t>
            </w:r>
          </w:p>
        </w:tc>
      </w:tr>
      <w:tr>
        <w:trPr>
          <w:trHeight w:val="7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21"/>
              <w:jc w:val="left"/>
              <w:rPr>
                <w:rFonts w:ascii="宋体" w:hAnsi="宋体" w:cs="宋体" w:eastAsia="宋体" w:hint="default"/>
                <w:sz w:val="18"/>
                <w:szCs w:val="18"/>
              </w:rPr>
            </w:pPr>
            <w:r>
              <w:rPr>
                <w:rFonts w:ascii="宋体" w:hAnsi="宋体" w:cs="宋体" w:eastAsia="宋体" w:hint="default"/>
                <w:spacing w:val="-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579,97</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1,704.0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1,297,49</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2,952.36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13,994,9</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25.00</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73,608,8</w:t>
            </w:r>
          </w:p>
          <w:p>
            <w:pPr>
              <w:pStyle w:val="TableParagraph"/>
              <w:spacing w:line="240" w:lineRule="auto" w:before="93"/>
              <w:ind w:left="284" w:right="0"/>
              <w:jc w:val="left"/>
              <w:rPr>
                <w:rFonts w:ascii="Times New Roman" w:hAnsi="Times New Roman" w:cs="Times New Roman" w:eastAsia="Times New Roman" w:hint="default"/>
                <w:sz w:val="18"/>
                <w:szCs w:val="18"/>
              </w:rPr>
            </w:pPr>
            <w:r>
              <w:rPr>
                <w:rFonts w:ascii="Times New Roman"/>
                <w:sz w:val="18"/>
              </w:rPr>
              <w:t>12.41</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406,28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5,391.6</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2,343,363,</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935.42</w:t>
            </w:r>
          </w:p>
        </w:tc>
      </w:tr>
      <w:tr>
        <w:trPr>
          <w:trHeight w:val="705"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15"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动金额（减少以</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000.00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-12,428,</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090.11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66,228,0</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72.95</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3,274,84</w:t>
            </w:r>
          </w:p>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1.76</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29,473,</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575.84</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-47,972,74</w:t>
            </w:r>
          </w:p>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5.46</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36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宋体" w:hAnsi="宋体" w:cs="宋体" w:eastAsia="宋体" w:hint="default"/>
                <w:spacing w:val="-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32,748,</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417.60</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32,748,41</w:t>
            </w:r>
          </w:p>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7.60</w:t>
            </w: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29"/>
              <w:jc w:val="left"/>
              <w:rPr>
                <w:rFonts w:ascii="宋体" w:hAnsi="宋体" w:cs="宋体" w:eastAsia="宋体" w:hint="default"/>
                <w:sz w:val="18"/>
                <w:szCs w:val="18"/>
              </w:rPr>
            </w:pPr>
            <w:r>
              <w:rPr>
                <w:rFonts w:ascii="宋体" w:hAnsi="宋体" w:cs="宋体" w:eastAsia="宋体" w:hint="default"/>
                <w:spacing w:val="-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000.00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4" w:right="0"/>
              <w:jc w:val="center"/>
              <w:rPr>
                <w:rFonts w:ascii="Times New Roman" w:hAnsi="Times New Roman" w:cs="Times New Roman" w:eastAsia="Times New Roman" w:hint="default"/>
                <w:sz w:val="18"/>
                <w:szCs w:val="18"/>
              </w:rPr>
            </w:pPr>
            <w:r>
              <w:rPr>
                <w:rFonts w:ascii="Times New Roman"/>
                <w:sz w:val="18"/>
              </w:rPr>
              <w:t>-12,428,</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090.11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66,228,0</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72.95</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-80,721,16</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3.06</w:t>
            </w:r>
          </w:p>
        </w:tc>
      </w:tr>
      <w:tr>
        <w:trPr>
          <w:trHeight w:val="7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75,252,1</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22.95</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-75,252,12</w:t>
            </w:r>
          </w:p>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2.95</w:t>
            </w: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-2,065,</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000.00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-12,428,</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090.11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-9,024,0</w:t>
            </w:r>
          </w:p>
          <w:p>
            <w:pPr>
              <w:pStyle w:val="TableParagraph"/>
              <w:spacing w:line="240" w:lineRule="auto" w:before="108"/>
              <w:ind w:left="285" w:right="0"/>
              <w:jc w:val="center"/>
              <w:rPr>
                <w:rFonts w:ascii="Times New Roman" w:hAnsi="Times New Roman" w:cs="Times New Roman" w:eastAsia="Times New Roman" w:hint="default"/>
                <w:sz w:val="18"/>
                <w:szCs w:val="18"/>
              </w:rPr>
            </w:pPr>
            <w:r>
              <w:rPr>
                <w:rFonts w:ascii="Times New Roman"/>
                <w:sz w:val="18"/>
              </w:rPr>
              <w:t>50.00</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-5,469,040</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.11</w:t>
            </w: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left"/>
              <w:rPr>
                <w:rFonts w:ascii="Times New Roman" w:hAnsi="Times New Roman" w:cs="Times New Roman" w:eastAsia="Times New Roman" w:hint="default"/>
                <w:sz w:val="18"/>
                <w:szCs w:val="18"/>
              </w:rPr>
            </w:pPr>
            <w:r>
              <w:rPr>
                <w:rFonts w:ascii="Times New Roman"/>
                <w:sz w:val="18"/>
              </w:rPr>
              <w:t>3,274,84</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1.76</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-3,274,</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841.76</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3,274,84</w:t>
            </w:r>
          </w:p>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1.76</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-3,274,</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841.76</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5"/>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pacing w:val="-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577,90</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6,704.0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1,285,06</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4,862.25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80,222,9</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97.95</w:t>
            </w: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76,883,6</w:t>
            </w:r>
          </w:p>
          <w:p>
            <w:pPr>
              <w:pStyle w:val="TableParagraph"/>
              <w:spacing w:line="240" w:lineRule="auto" w:before="108"/>
              <w:ind w:left="284" w:right="0"/>
              <w:jc w:val="left"/>
              <w:rPr>
                <w:rFonts w:ascii="Times New Roman" w:hAnsi="Times New Roman" w:cs="Times New Roman" w:eastAsia="Times New Roman" w:hint="default"/>
                <w:sz w:val="18"/>
                <w:szCs w:val="18"/>
              </w:rPr>
            </w:pPr>
            <w:r>
              <w:rPr>
                <w:rFonts w:ascii="Times New Roman"/>
                <w:sz w:val="18"/>
              </w:rPr>
              <w:t>54.17</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435,75</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8,967.4</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9</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2,295,391,</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189.96</w:t>
            </w:r>
          </w:p>
        </w:tc>
      </w:tr>
    </w:tbl>
    <w:p>
      <w:pPr>
        <w:pStyle w:val="BodyText"/>
        <w:spacing w:line="240" w:lineRule="auto" w:before="45"/>
        <w:ind w:right="0"/>
        <w:jc w:val="left"/>
      </w:pPr>
      <w:r>
        <w:rPr/>
        <w:t>上期金额</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224"/>
        <w:gridCol w:w="601"/>
        <w:gridCol w:w="571"/>
        <w:gridCol w:w="570"/>
        <w:gridCol w:w="571"/>
        <w:gridCol w:w="691"/>
        <w:gridCol w:w="676"/>
        <w:gridCol w:w="691"/>
        <w:gridCol w:w="781"/>
        <w:gridCol w:w="675"/>
        <w:gridCol w:w="796"/>
        <w:gridCol w:w="796"/>
        <w:gridCol w:w="931"/>
      </w:tblGrid>
      <w:tr>
        <w:trPr>
          <w:trHeight w:val="405" w:hRule="exact"/>
        </w:trPr>
        <w:tc>
          <w:tcPr>
            <w:tcW w:w="122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8350"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03" w:hRule="exact"/>
        </w:trPr>
        <w:tc>
          <w:tcPr>
            <w:tcW w:w="1224" w:type="dxa"/>
            <w:vMerge/>
            <w:tcBorders>
              <w:left w:val="single" w:sz="6" w:space="0" w:color="000000"/>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
        </w:tc>
        <w:tc>
          <w:tcPr>
            <w:tcW w:w="17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vMerge w:val="restart"/>
            <w:tcBorders>
              <w:top w:val="single" w:sz="6" w:space="0" w:color="000000"/>
              <w:left w:val="single" w:sz="6" w:space="0" w:color="000000"/>
              <w:right w:val="single" w:sz="6" w:space="0" w:color="000000"/>
            </w:tcBorders>
            <w:shd w:val="clear" w:color="auto" w:fill="D2D2D2"/>
          </w:tcPr>
          <w:p>
            <w:pPr/>
          </w:p>
        </w:tc>
        <w:tc>
          <w:tcPr>
            <w:tcW w:w="675"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07" w:lineRule="auto"/>
              <w:ind w:left="180" w:right="10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76" w:hRule="exact"/>
        </w:trPr>
        <w:tc>
          <w:tcPr>
            <w:tcW w:w="1224" w:type="dxa"/>
            <w:vMerge/>
            <w:tcBorders>
              <w:left w:val="single" w:sz="6" w:space="0" w:color="000000"/>
              <w:right w:val="single" w:sz="6" w:space="0" w:color="000000"/>
            </w:tcBorders>
            <w:shd w:val="clear" w:color="auto" w:fill="D2D2D2"/>
          </w:tcPr>
          <w:p>
            <w:pPr/>
          </w:p>
        </w:tc>
        <w:tc>
          <w:tcPr>
            <w:tcW w:w="601" w:type="dxa"/>
            <w:vMerge/>
            <w:tcBorders>
              <w:left w:val="single" w:sz="6" w:space="0" w:color="000000"/>
              <w:bottom w:val="nil" w:sz="6" w:space="0" w:color="auto"/>
              <w:right w:val="single" w:sz="6" w:space="0" w:color="000000"/>
            </w:tcBorders>
            <w:shd w:val="clear" w:color="auto" w:fill="D2D2D2"/>
          </w:tcPr>
          <w:p>
            <w:pPr/>
          </w:p>
        </w:tc>
        <w:tc>
          <w:tcPr>
            <w:tcW w:w="1712" w:type="dxa"/>
            <w:gridSpan w:val="3"/>
            <w:vMerge/>
            <w:tcBorders>
              <w:left w:val="single" w:sz="6" w:space="0" w:color="000000"/>
              <w:bottom w:val="single" w:sz="6" w:space="0" w:color="000000"/>
              <w:right w:val="single" w:sz="6" w:space="0" w:color="000000"/>
            </w:tcBorders>
            <w:shd w:val="clear" w:color="auto" w:fill="D2D2D2"/>
          </w:tcPr>
          <w:p>
            <w:pP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55" w:right="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40" w:right="15"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75" w:right="6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1" w:type="dxa"/>
            <w:vMerge/>
            <w:tcBorders>
              <w:left w:val="single" w:sz="6" w:space="0" w:color="000000"/>
              <w:bottom w:val="nil" w:sz="6" w:space="0" w:color="auto"/>
              <w:right w:val="single" w:sz="6" w:space="0" w:color="000000"/>
            </w:tcBorders>
            <w:shd w:val="clear" w:color="auto" w:fill="D2D2D2"/>
          </w:tcPr>
          <w:p>
            <w:pPr/>
          </w:p>
        </w:tc>
        <w:tc>
          <w:tcPr>
            <w:tcW w:w="67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40" w:right="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285" w:right="4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364" w:hRule="exact"/>
        </w:trPr>
        <w:tc>
          <w:tcPr>
            <w:tcW w:w="1224" w:type="dxa"/>
            <w:vMerge/>
            <w:tcBorders>
              <w:left w:val="single" w:sz="6" w:space="0" w:color="000000"/>
              <w:right w:val="single" w:sz="6" w:space="0" w:color="000000"/>
            </w:tcBorders>
            <w:shd w:val="clear" w:color="auto" w:fill="D2D2D2"/>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9"/>
              <w:ind w:left="12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56"/>
              <w:ind w:left="180" w:right="10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56"/>
              <w:ind w:left="180" w:right="10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91" w:type="dxa"/>
            <w:vMerge/>
            <w:tcBorders>
              <w:left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9"/>
              <w:ind w:left="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75"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65" w:hRule="exact"/>
        </w:trPr>
        <w:tc>
          <w:tcPr>
            <w:tcW w:w="1224" w:type="dxa"/>
            <w:vMerge/>
            <w:tcBorders>
              <w:left w:val="single" w:sz="6" w:space="0" w:color="000000"/>
              <w:right w:val="single" w:sz="6" w:space="0" w:color="000000"/>
            </w:tcBorders>
            <w:shd w:val="clear" w:color="auto" w:fill="D2D2D2"/>
          </w:tcPr>
          <w:p>
            <w:pPr/>
          </w:p>
        </w:tc>
        <w:tc>
          <w:tcPr>
            <w:tcW w:w="601" w:type="dxa"/>
            <w:vMerge w:val="restart"/>
            <w:tcBorders>
              <w:top w:val="nil" w:sz="6" w:space="0" w:color="auto"/>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bottom w:val="nil" w:sz="6" w:space="0" w:color="auto"/>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
        </w:tc>
        <w:tc>
          <w:tcPr>
            <w:tcW w:w="675"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203" w:hRule="exact"/>
        </w:trPr>
        <w:tc>
          <w:tcPr>
            <w:tcW w:w="1224"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0"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tcBorders>
              <w:top w:val="nil" w:sz="6" w:space="0" w:color="auto"/>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675"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2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z w:val="18"/>
                <w:szCs w:val="18"/>
              </w:rPr>
              <w:t> 额</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67" w:right="0"/>
              <w:jc w:val="left"/>
              <w:rPr>
                <w:rFonts w:ascii="Times New Roman" w:hAnsi="Times New Roman" w:cs="Times New Roman" w:eastAsia="Times New Roman" w:hint="default"/>
                <w:sz w:val="18"/>
                <w:szCs w:val="18"/>
              </w:rPr>
            </w:pPr>
            <w:r>
              <w:rPr>
                <w:rFonts w:ascii="Times New Roman"/>
                <w:sz w:val="18"/>
              </w:rPr>
              <w:t>581,03</w:t>
            </w:r>
          </w:p>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9,204.</w:t>
            </w:r>
          </w:p>
          <w:p>
            <w:pPr>
              <w:pStyle w:val="TableParagraph"/>
              <w:spacing w:line="240" w:lineRule="auto" w:before="108"/>
              <w:ind w:left="383"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1,305,4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31,783.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18,916,1</w:t>
            </w:r>
          </w:p>
          <w:p>
            <w:pPr>
              <w:pStyle w:val="TableParagraph"/>
              <w:spacing w:line="240" w:lineRule="auto" w:before="108"/>
              <w:ind w:left="240" w:right="0"/>
              <w:jc w:val="left"/>
              <w:rPr>
                <w:rFonts w:ascii="Times New Roman" w:hAnsi="Times New Roman" w:cs="Times New Roman" w:eastAsia="Times New Roman" w:hint="default"/>
                <w:sz w:val="18"/>
                <w:szCs w:val="18"/>
              </w:rPr>
            </w:pPr>
            <w:r>
              <w:rPr>
                <w:rFonts w:ascii="Times New Roman"/>
                <w:sz w:val="18"/>
              </w:rPr>
              <w:t>00.00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-59,509.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42</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70,566,</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466.32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400,698,1</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96.79</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2,338,760,0</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40.69</w:t>
            </w:r>
          </w:p>
        </w:tc>
      </w:tr>
      <w:tr>
        <w:trPr>
          <w:trHeight w:val="70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30" w:firstLine="360"/>
              <w:jc w:val="left"/>
              <w:rPr>
                <w:rFonts w:ascii="宋体" w:hAnsi="宋体" w:cs="宋体" w:eastAsia="宋体" w:hint="default"/>
                <w:sz w:val="18"/>
                <w:szCs w:val="18"/>
              </w:rPr>
            </w:pP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7" w:right="2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z w:val="18"/>
                <w:szCs w:val="18"/>
              </w:rPr>
              <w:t> 额</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67" w:right="0"/>
              <w:jc w:val="left"/>
              <w:rPr>
                <w:rFonts w:ascii="Times New Roman" w:hAnsi="Times New Roman" w:cs="Times New Roman" w:eastAsia="Times New Roman" w:hint="default"/>
                <w:sz w:val="18"/>
                <w:szCs w:val="18"/>
              </w:rPr>
            </w:pPr>
            <w:r>
              <w:rPr>
                <w:rFonts w:ascii="Times New Roman"/>
                <w:sz w:val="18"/>
              </w:rPr>
              <w:t>581,03</w:t>
            </w:r>
          </w:p>
          <w:p>
            <w:pPr>
              <w:pStyle w:val="TableParagraph"/>
              <w:spacing w:line="240" w:lineRule="auto" w:before="108"/>
              <w:ind w:left="112" w:right="0"/>
              <w:jc w:val="left"/>
              <w:rPr>
                <w:rFonts w:ascii="Times New Roman" w:hAnsi="Times New Roman" w:cs="Times New Roman" w:eastAsia="Times New Roman" w:hint="default"/>
                <w:sz w:val="18"/>
                <w:szCs w:val="18"/>
              </w:rPr>
            </w:pPr>
            <w:r>
              <w:rPr>
                <w:rFonts w:ascii="Times New Roman"/>
                <w:sz w:val="18"/>
              </w:rPr>
              <w:t>9,204.</w:t>
            </w:r>
          </w:p>
          <w:p>
            <w:pPr>
              <w:pStyle w:val="TableParagraph"/>
              <w:spacing w:line="240" w:lineRule="auto" w:before="108"/>
              <w:ind w:left="383"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1,305,4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31,783.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18,916,1</w:t>
            </w:r>
          </w:p>
          <w:p>
            <w:pPr>
              <w:pStyle w:val="TableParagraph"/>
              <w:spacing w:line="240" w:lineRule="auto" w:before="93"/>
              <w:ind w:left="240" w:right="0"/>
              <w:jc w:val="left"/>
              <w:rPr>
                <w:rFonts w:ascii="Times New Roman" w:hAnsi="Times New Roman" w:cs="Times New Roman" w:eastAsia="Times New Roman" w:hint="default"/>
                <w:sz w:val="18"/>
                <w:szCs w:val="18"/>
              </w:rPr>
            </w:pPr>
            <w:r>
              <w:rPr>
                <w:rFonts w:ascii="Times New Roman"/>
                <w:sz w:val="18"/>
              </w:rPr>
              <w:t>00.00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-59,509.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42</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70,566,</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466.32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400,698,1</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96.79</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2,338,760,0</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40.69</w:t>
            </w: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2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z w:val="18"/>
                <w:szCs w:val="18"/>
              </w:rPr>
              <w:t> </w:t>
            </w:r>
            <w:r>
              <w:rPr>
                <w:rFonts w:ascii="宋体" w:hAnsi="宋体" w:cs="宋体" w:eastAsia="宋体" w:hint="default"/>
                <w:spacing w:val="-13"/>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-1,067,</w:t>
            </w:r>
          </w:p>
          <w:p>
            <w:pPr>
              <w:pStyle w:val="TableParagraph"/>
              <w:spacing w:line="240" w:lineRule="auto" w:before="108"/>
              <w:ind w:left="67" w:right="0"/>
              <w:jc w:val="left"/>
              <w:rPr>
                <w:rFonts w:ascii="Times New Roman" w:hAnsi="Times New Roman" w:cs="Times New Roman" w:eastAsia="Times New Roman" w:hint="default"/>
                <w:sz w:val="18"/>
                <w:szCs w:val="18"/>
              </w:rPr>
            </w:pPr>
            <w:r>
              <w:rPr>
                <w:rFonts w:ascii="Times New Roman"/>
                <w:sz w:val="18"/>
              </w:rPr>
              <w:t>500.00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-7,938,8</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30.64</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-4,921,1</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75.00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59,509.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42</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3,042,3</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46.09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-7,481,21</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6.26</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-8,464,516.</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39</w:t>
            </w:r>
          </w:p>
        </w:tc>
      </w:tr>
      <w:tr>
        <w:trPr>
          <w:trHeight w:val="720"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2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z w:val="18"/>
                <w:szCs w:val="18"/>
              </w:rPr>
              <w:t> 总额</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59,509.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42</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30,423,46</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0.94</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30,482,970.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36</w:t>
            </w:r>
          </w:p>
        </w:tc>
      </w:tr>
      <w:tr>
        <w:trPr>
          <w:trHeight w:val="7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2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z w:val="18"/>
                <w:szCs w:val="18"/>
              </w:rPr>
              <w:t> 入和减少资本</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-1,067,</w:t>
            </w:r>
          </w:p>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500.00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-2,418,8</w:t>
            </w:r>
          </w:p>
          <w:p>
            <w:pPr>
              <w:pStyle w:val="TableParagraph"/>
              <w:spacing w:line="240" w:lineRule="auto" w:before="93"/>
              <w:ind w:left="239" w:right="0"/>
              <w:jc w:val="center"/>
              <w:rPr>
                <w:rFonts w:ascii="Times New Roman" w:hAnsi="Times New Roman" w:cs="Times New Roman" w:eastAsia="Times New Roman" w:hint="default"/>
                <w:sz w:val="18"/>
                <w:szCs w:val="18"/>
              </w:rPr>
            </w:pPr>
            <w:r>
              <w:rPr>
                <w:rFonts w:ascii="Times New Roman"/>
                <w:sz w:val="18"/>
              </w:rPr>
              <w:t>30.64</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-4,921,1</w:t>
            </w:r>
          </w:p>
          <w:p>
            <w:pPr>
              <w:pStyle w:val="TableParagraph"/>
              <w:spacing w:line="240" w:lineRule="auto" w:before="93"/>
              <w:ind w:left="224" w:right="0"/>
              <w:jc w:val="center"/>
              <w:rPr>
                <w:rFonts w:ascii="Times New Roman" w:hAnsi="Times New Roman" w:cs="Times New Roman" w:eastAsia="Times New Roman" w:hint="default"/>
                <w:sz w:val="18"/>
                <w:szCs w:val="18"/>
              </w:rPr>
            </w:pPr>
            <w:r>
              <w:rPr>
                <w:rFonts w:ascii="Times New Roman"/>
                <w:sz w:val="18"/>
              </w:rPr>
              <w:t>75.00</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1,434,844.3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w:t>
            </w:r>
          </w:p>
        </w:tc>
      </w:tr>
      <w:tr>
        <w:trPr>
          <w:trHeight w:val="70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7"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-1,067,</w:t>
            </w:r>
          </w:p>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500.00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-2,418,8</w:t>
            </w:r>
          </w:p>
          <w:p>
            <w:pPr>
              <w:pStyle w:val="TableParagraph"/>
              <w:spacing w:line="240" w:lineRule="auto" w:before="93"/>
              <w:ind w:left="239" w:right="0"/>
              <w:jc w:val="center"/>
              <w:rPr>
                <w:rFonts w:ascii="Times New Roman" w:hAnsi="Times New Roman" w:cs="Times New Roman" w:eastAsia="Times New Roman" w:hint="default"/>
                <w:sz w:val="18"/>
                <w:szCs w:val="18"/>
              </w:rPr>
            </w:pPr>
            <w:r>
              <w:rPr>
                <w:rFonts w:ascii="Times New Roman"/>
                <w:sz w:val="18"/>
              </w:rPr>
              <w:t>30.64</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-4,921,1</w:t>
            </w:r>
          </w:p>
          <w:p>
            <w:pPr>
              <w:pStyle w:val="TableParagraph"/>
              <w:spacing w:line="240" w:lineRule="auto" w:before="93"/>
              <w:ind w:left="224" w:right="0"/>
              <w:jc w:val="center"/>
              <w:rPr>
                <w:rFonts w:ascii="Times New Roman" w:hAnsi="Times New Roman" w:cs="Times New Roman" w:eastAsia="Times New Roman" w:hint="default"/>
                <w:sz w:val="18"/>
                <w:szCs w:val="18"/>
              </w:rPr>
            </w:pPr>
            <w:r>
              <w:rPr>
                <w:rFonts w:ascii="Times New Roman"/>
                <w:sz w:val="18"/>
              </w:rPr>
              <w:t>75.00</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1,434,844.3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利润分配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center"/>
              <w:rPr>
                <w:rFonts w:ascii="Times New Roman" w:hAnsi="Times New Roman" w:cs="Times New Roman" w:eastAsia="Times New Roman" w:hint="default"/>
                <w:sz w:val="18"/>
                <w:szCs w:val="18"/>
              </w:rPr>
            </w:pPr>
            <w:r>
              <w:rPr>
                <w:rFonts w:ascii="Times New Roman"/>
                <w:sz w:val="18"/>
              </w:rPr>
              <w:t>3,042,3</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46.09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-37,904,6</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77.20</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-34,862,331</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.11</w:t>
            </w: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3,042,3</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46.09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-3,042,34</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6.09</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股东）的分配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-34,862,3</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31.11</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-34,862,331</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.11</w:t>
            </w:r>
          </w:p>
        </w:tc>
      </w:tr>
      <w:tr>
        <w:trPr>
          <w:trHeight w:val="39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z w:val="18"/>
                <w:szCs w:val="18"/>
              </w:rPr>
              <w:t> 益内部结转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sz w:val="18"/>
                <w:szCs w:val="18"/>
              </w:rPr>
              <w:t>专项储备</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-5,520,0</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00.00</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-5,520,000.</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00</w:t>
            </w: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z w:val="18"/>
                <w:szCs w:val="18"/>
              </w:rPr>
              <w:t> 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579,97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1,704.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1,297,4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92,952.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36</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13,994,9</w:t>
            </w:r>
          </w:p>
          <w:p>
            <w:pPr>
              <w:pStyle w:val="TableParagraph"/>
              <w:spacing w:line="240" w:lineRule="auto" w:before="108"/>
              <w:ind w:left="240" w:right="0"/>
              <w:jc w:val="left"/>
              <w:rPr>
                <w:rFonts w:ascii="Times New Roman" w:hAnsi="Times New Roman" w:cs="Times New Roman" w:eastAsia="Times New Roman" w:hint="default"/>
                <w:sz w:val="18"/>
                <w:szCs w:val="18"/>
              </w:rPr>
            </w:pPr>
            <w:r>
              <w:rPr>
                <w:rFonts w:ascii="Times New Roman"/>
                <w:sz w:val="18"/>
              </w:rPr>
              <w:t>25.00</w:t>
            </w: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73,608,</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812.41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393,216,9</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80.53</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2,330,295,5</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24.30</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三、公司基本情况" w:id="168"/>
      <w:bookmarkEnd w:id="168"/>
      <w:r>
        <w:rPr>
          <w:b w:val="0"/>
          <w:bCs w:val="0"/>
        </w:rPr>
      </w:r>
      <w:r>
        <w:rPr/>
        <w:t>三、公司基本情况</w:t>
      </w:r>
      <w:r>
        <w:rPr>
          <w:b w:val="0"/>
          <w:bCs w:val="0"/>
        </w:rPr>
      </w: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7"/>
          <w:szCs w:val="27"/>
        </w:rPr>
      </w:pPr>
    </w:p>
    <w:p>
      <w:pPr>
        <w:pStyle w:val="BodyText"/>
        <w:spacing w:line="240" w:lineRule="auto"/>
        <w:ind w:left="50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公司注册地、组织形式和总部地址</w:t>
      </w:r>
    </w:p>
    <w:p>
      <w:pPr>
        <w:pStyle w:val="BodyText"/>
        <w:spacing w:line="240" w:lineRule="auto" w:before="66"/>
        <w:ind w:left="501" w:right="0"/>
        <w:jc w:val="left"/>
        <w:rPr>
          <w:rFonts w:ascii="Times New Roman" w:hAnsi="Times New Roman" w:cs="Times New Roman" w:eastAsia="Times New Roman" w:hint="default"/>
        </w:rPr>
      </w:pPr>
      <w:r>
        <w:rPr/>
        <w:t>深圳市卓翼科技股份有限公</w:t>
      </w:r>
      <w:r>
        <w:rPr>
          <w:spacing w:val="3"/>
        </w:rPr>
        <w:t>司</w:t>
      </w:r>
      <w:r>
        <w:rPr>
          <w:rFonts w:ascii="Times New Roman" w:hAnsi="Times New Roman" w:cs="Times New Roman" w:eastAsia="Times New Roman" w:hint="default"/>
        </w:rPr>
        <w:t>(</w:t>
      </w:r>
      <w:r>
        <w:rPr/>
        <w:t>以下简</w:t>
      </w:r>
      <w:r>
        <w:rPr>
          <w:spacing w:val="1"/>
        </w:rPr>
        <w:t>称</w:t>
      </w:r>
      <w:r>
        <w:rPr>
          <w:rFonts w:ascii="Times New Roman" w:hAnsi="Times New Roman" w:cs="Times New Roman" w:eastAsia="Times New Roman" w:hint="default"/>
          <w:spacing w:val="10"/>
          <w:w w:val="100"/>
        </w:rPr>
        <w:t>“</w:t>
      </w:r>
      <w:r>
        <w:rPr/>
        <w:t>公司</w:t>
      </w:r>
      <w:r>
        <w:rPr>
          <w:rFonts w:ascii="Times New Roman" w:hAnsi="Times New Roman" w:cs="Times New Roman" w:eastAsia="Times New Roman" w:hint="default"/>
          <w:spacing w:val="-5"/>
          <w:w w:val="100"/>
        </w:rPr>
        <w:t>”</w:t>
      </w:r>
      <w:r>
        <w:rPr/>
        <w:t>或</w:t>
      </w:r>
      <w:r>
        <w:rPr>
          <w:rFonts w:ascii="Times New Roman" w:hAnsi="Times New Roman" w:cs="Times New Roman" w:eastAsia="Times New Roman" w:hint="default"/>
          <w:spacing w:val="10"/>
          <w:w w:val="100"/>
        </w:rPr>
        <w:t>“</w:t>
      </w:r>
      <w:r>
        <w:rPr/>
        <w:t>本公司</w:t>
      </w:r>
      <w:r>
        <w:rPr>
          <w:rFonts w:ascii="Times New Roman" w:hAnsi="Times New Roman" w:cs="Times New Roman" w:eastAsia="Times New Roman" w:hint="default"/>
          <w:spacing w:val="-5"/>
          <w:w w:val="100"/>
        </w:rPr>
        <w:t>”</w:t>
      </w:r>
      <w:r>
        <w:rPr>
          <w:rFonts w:ascii="Times New Roman" w:hAnsi="Times New Roman" w:cs="Times New Roman" w:eastAsia="Times New Roman" w:hint="default"/>
          <w:w w:val="100"/>
        </w:rPr>
        <w:t>)</w:t>
      </w:r>
      <w:r>
        <w:rPr/>
        <w:t>的前身为深圳市卓翼科技发展有限公司</w:t>
      </w:r>
      <w:r>
        <w:rPr>
          <w:spacing w:val="-76"/>
        </w:rPr>
        <w:t>，</w:t>
      </w:r>
      <w:r>
        <w:rPr/>
        <w:t>成立</w:t>
      </w:r>
      <w:r>
        <w:rPr>
          <w:spacing w:val="5"/>
        </w:rPr>
        <w:t>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p>
    <w:p>
      <w:pPr>
        <w:pStyle w:val="BodyText"/>
        <w:spacing w:line="240" w:lineRule="auto" w:before="51"/>
        <w:ind w:right="0"/>
        <w:jc w:val="left"/>
      </w:pPr>
      <w:r>
        <w:rPr/>
        <w:t>日。根据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日董事会决议及</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日发起人协议的规定，本公司由有限责任公司整体变更为股份有限公司，</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0"/>
        <w:jc w:val="left"/>
      </w:pPr>
      <w:r>
        <w:rPr/>
        <w:t>变更后注册资本为人民币</w:t>
      </w:r>
      <w:r>
        <w:rPr>
          <w:rFonts w:ascii="Times New Roman" w:hAnsi="Times New Roman" w:cs="Times New Roman" w:eastAsia="Times New Roman" w:hint="default"/>
        </w:rPr>
        <w:t>6,937.50</w:t>
      </w:r>
      <w:r>
        <w:rPr/>
        <w:t>万元，股本为人民币</w:t>
      </w:r>
      <w:r>
        <w:rPr>
          <w:rFonts w:ascii="Times New Roman" w:hAnsi="Times New Roman" w:cs="Times New Roman" w:eastAsia="Times New Roman" w:hint="default"/>
        </w:rPr>
        <w:t>6,937.50</w:t>
      </w:r>
      <w:r>
        <w:rPr/>
        <w:t>万元。</w:t>
      </w:r>
    </w:p>
    <w:p>
      <w:pPr>
        <w:pStyle w:val="BodyText"/>
        <w:spacing w:line="304" w:lineRule="auto" w:before="66"/>
        <w:ind w:right="1172" w:firstLine="360"/>
        <w:jc w:val="both"/>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日，经公司第一次临时股东大会决议和修改后公司章程的规定，增加注册资本人民币</w:t>
      </w:r>
      <w:r>
        <w:rPr>
          <w:rFonts w:ascii="Times New Roman" w:hAnsi="Times New Roman" w:cs="Times New Roman" w:eastAsia="Times New Roman" w:hint="default"/>
        </w:rPr>
        <w:t>562.50</w:t>
      </w:r>
      <w:r>
        <w:rPr/>
        <w:t>万元，由袁军 等</w:t>
      </w:r>
      <w:r>
        <w:rPr>
          <w:rFonts w:ascii="Times New Roman" w:hAnsi="Times New Roman" w:cs="Times New Roman" w:eastAsia="Times New Roman" w:hint="default"/>
        </w:rPr>
        <w:t>6</w:t>
      </w:r>
      <w:r>
        <w:rPr/>
        <w:t>位自然人新股东认缴，变更后的注册资本为人民币</w:t>
      </w:r>
      <w:r>
        <w:rPr>
          <w:rFonts w:ascii="Times New Roman" w:hAnsi="Times New Roman" w:cs="Times New Roman" w:eastAsia="Times New Roman" w:hint="default"/>
        </w:rPr>
        <w:t>7,500.00</w:t>
      </w:r>
      <w:r>
        <w:rPr/>
        <w:t>万元。</w:t>
      </w:r>
    </w:p>
    <w:p>
      <w:pPr>
        <w:pStyle w:val="BodyText"/>
        <w:spacing w:line="304" w:lineRule="auto"/>
        <w:ind w:right="1096" w:firstLine="360"/>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27</w:t>
      </w:r>
      <w:r>
        <w:rPr>
          <w:spacing w:val="-1"/>
        </w:rPr>
        <w:t>日，经中国证券监督管理委员会证监许可</w:t>
      </w:r>
      <w:r>
        <w:rPr>
          <w:rFonts w:ascii="Times New Roman" w:hAnsi="Times New Roman" w:cs="Times New Roman" w:eastAsia="Times New Roman" w:hint="default"/>
          <w:spacing w:val="-1"/>
        </w:rPr>
        <w:t>[2010]118</w:t>
      </w:r>
      <w:r>
        <w:rPr>
          <w:spacing w:val="-1"/>
        </w:rPr>
        <w:t>号文《关于核准深圳市卓翼科技股份有限公司首次公开</w:t>
      </w:r>
      <w:r>
        <w:rPr/>
        <w:t> </w:t>
      </w:r>
      <w:r>
        <w:rPr>
          <w:spacing w:val="-1"/>
        </w:rPr>
        <w:t>发行股票的批复》的核准，本公司于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w:t>
      </w:r>
      <w:r>
        <w:rPr>
          <w:spacing w:val="-1"/>
        </w:rPr>
        <w:t>日向社会公众投资者公开发行人民币普通股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)2,500.00</w:t>
      </w:r>
      <w:r>
        <w:rPr>
          <w:spacing w:val="-1"/>
        </w:rPr>
        <w:t>万股，每股面值人</w:t>
      </w:r>
      <w:r>
        <w:rPr>
          <w:spacing w:val="-61"/>
        </w:rPr>
        <w:t> </w:t>
      </w:r>
      <w:r>
        <w:rPr>
          <w:spacing w:val="-61"/>
        </w:rPr>
      </w:r>
      <w:r>
        <w:rPr/>
        <w:t>民币</w:t>
      </w:r>
      <w:r>
        <w:rPr>
          <w:rFonts w:ascii="Times New Roman" w:hAnsi="Times New Roman" w:cs="Times New Roman" w:eastAsia="Times New Roman" w:hint="default"/>
        </w:rPr>
        <w:t>1.00</w:t>
      </w:r>
      <w:r>
        <w:rPr/>
        <w:t>元，发行后本公司注册资本变更为人民币</w:t>
      </w:r>
      <w:r>
        <w:rPr>
          <w:rFonts w:ascii="Times New Roman" w:hAnsi="Times New Roman" w:cs="Times New Roman" w:eastAsia="Times New Roman" w:hint="default"/>
        </w:rPr>
        <w:t>10,000.00</w:t>
      </w:r>
      <w:r>
        <w:rPr/>
        <w:t>万元。</w:t>
      </w:r>
    </w:p>
    <w:p>
      <w:pPr>
        <w:pStyle w:val="BodyText"/>
        <w:spacing w:line="304" w:lineRule="auto" w:before="12"/>
        <w:ind w:right="1022" w:firstLine="360"/>
        <w:jc w:val="both"/>
      </w:pPr>
      <w:r>
        <w:rPr>
          <w:spacing w:val="-2"/>
        </w:rPr>
        <w:t>根据</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11</w:t>
      </w:r>
      <w:r>
        <w:rPr>
          <w:spacing w:val="-2"/>
        </w:rPr>
        <w:t>日第二届董事会第四次会议、</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6</w:t>
      </w:r>
      <w:r>
        <w:rPr>
          <w:spacing w:val="-2"/>
        </w:rPr>
        <w:t>日召开的</w:t>
      </w:r>
      <w:r>
        <w:rPr>
          <w:rFonts w:ascii="Times New Roman" w:hAnsi="Times New Roman" w:cs="Times New Roman" w:eastAsia="Times New Roman" w:hint="default"/>
          <w:spacing w:val="-2"/>
        </w:rPr>
        <w:t>2010</w:t>
      </w:r>
      <w:r>
        <w:rPr>
          <w:spacing w:val="-2"/>
        </w:rPr>
        <w:t>年年度股东大会决议和修改后公司章程的规定，</w:t>
      </w:r>
      <w:r>
        <w:rPr/>
        <w:t> </w:t>
      </w:r>
      <w:r>
        <w:rPr>
          <w:spacing w:val="-2"/>
        </w:rPr>
        <w:t>本公司于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日以资本公积按每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股的比例转增股本，本次转增后，注册资本变更为人民币</w:t>
      </w:r>
      <w:r>
        <w:rPr>
          <w:rFonts w:ascii="Times New Roman" w:hAnsi="Times New Roman" w:cs="Times New Roman" w:eastAsia="Times New Roman" w:hint="default"/>
          <w:spacing w:val="-2"/>
        </w:rPr>
        <w:t>20,000.00</w:t>
      </w:r>
      <w:r>
        <w:rPr>
          <w:spacing w:val="-2"/>
        </w:rPr>
        <w:t>万元。</w:t>
      </w:r>
    </w:p>
    <w:p>
      <w:pPr>
        <w:pStyle w:val="BodyText"/>
        <w:spacing w:line="304" w:lineRule="auto"/>
        <w:ind w:right="1111" w:firstLine="36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w:t>
      </w:r>
      <w:r>
        <w:rPr>
          <w:spacing w:val="-1"/>
        </w:rPr>
        <w:t>日，经中国证券监督管理委员会证监许可</w:t>
      </w:r>
      <w:r>
        <w:rPr>
          <w:rFonts w:ascii="Times New Roman" w:hAnsi="Times New Roman" w:cs="Times New Roman" w:eastAsia="Times New Roman" w:hint="default"/>
          <w:spacing w:val="-1"/>
        </w:rPr>
        <w:t>[2012]1019</w:t>
      </w:r>
      <w:r>
        <w:rPr>
          <w:spacing w:val="-1"/>
        </w:rPr>
        <w:t>号文《关于核准深圳市卓翼科技股份有限公司非公开发</w:t>
      </w:r>
      <w:r>
        <w:rPr/>
        <w:t> 行股票的批复》的核准，本公司于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19</w:t>
      </w:r>
      <w:r>
        <w:rPr/>
        <w:t>日向特定对象非公开发行人民币普通股</w:t>
      </w:r>
      <w:r>
        <w:rPr>
          <w:spacing w:val="-46"/>
        </w:rPr>
        <w:t> </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)4,000.00</w:t>
      </w:r>
      <w:r>
        <w:rPr/>
        <w:t>万股，每股面值人民币 </w:t>
      </w:r>
      <w:r>
        <w:rPr>
          <w:rFonts w:ascii="Times New Roman" w:hAnsi="Times New Roman" w:cs="Times New Roman" w:eastAsia="Times New Roman" w:hint="default"/>
        </w:rPr>
        <w:t>1.00</w:t>
      </w:r>
      <w:r>
        <w:rPr/>
        <w:t>元，发行后本公司注册资本变更为人民币</w:t>
      </w:r>
      <w:r>
        <w:rPr>
          <w:rFonts w:ascii="Times New Roman" w:hAnsi="Times New Roman" w:cs="Times New Roman" w:eastAsia="Times New Roman" w:hint="default"/>
        </w:rPr>
        <w:t>24,000.00</w:t>
      </w:r>
      <w:r>
        <w:rPr/>
        <w:t>万元。</w:t>
      </w:r>
    </w:p>
    <w:p>
      <w:pPr>
        <w:pStyle w:val="BodyText"/>
        <w:spacing w:line="297" w:lineRule="auto" w:before="12"/>
        <w:ind w:right="1126"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2013</w:t>
      </w:r>
      <w:r>
        <w:rPr/>
        <w:t>年年度股东大会审议通过了《</w:t>
      </w:r>
      <w:r>
        <w:rPr>
          <w:rFonts w:ascii="Times New Roman" w:hAnsi="Times New Roman" w:cs="Times New Roman" w:eastAsia="Times New Roman" w:hint="default"/>
        </w:rPr>
        <w:t>2013</w:t>
      </w:r>
      <w:r>
        <w:rPr/>
        <w:t>年度利润分配及资本公积金转增股本的议案》</w:t>
      </w:r>
      <w:r>
        <w:rPr>
          <w:rFonts w:ascii="Times New Roman" w:hAnsi="Times New Roman" w:cs="Times New Roman" w:eastAsia="Times New Roman" w:hint="default"/>
        </w:rPr>
        <w:t>,</w:t>
      </w:r>
      <w:r>
        <w:rPr/>
        <w:t>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 </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240,000,000</w:t>
      </w:r>
      <w:r>
        <w:rPr>
          <w:spacing w:val="-2"/>
        </w:rPr>
        <w:t>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股，合计转增股本</w:t>
      </w:r>
      <w:r>
        <w:rPr>
          <w:rFonts w:ascii="Times New Roman" w:hAnsi="Times New Roman" w:cs="Times New Roman" w:eastAsia="Times New Roman" w:hint="default"/>
          <w:spacing w:val="-2"/>
        </w:rPr>
        <w:t>240,000,000</w:t>
      </w:r>
      <w:r>
        <w:rPr>
          <w:spacing w:val="-2"/>
        </w:rPr>
        <w:t>股，转增后总股本为</w:t>
      </w:r>
      <w:r>
        <w:rPr>
          <w:spacing w:val="-37"/>
        </w:rPr>
        <w:t> </w:t>
      </w:r>
      <w:r>
        <w:rPr>
          <w:spacing w:val="-37"/>
        </w:rPr>
      </w:r>
      <w:r>
        <w:rPr>
          <w:rFonts w:ascii="Times New Roman" w:hAnsi="Times New Roman" w:cs="Times New Roman" w:eastAsia="Times New Roman" w:hint="default"/>
        </w:rPr>
        <w:t>480,000,000</w:t>
      </w:r>
      <w:r>
        <w:rPr/>
        <w:t>股，注册资本变更为</w:t>
      </w:r>
      <w:r>
        <w:rPr>
          <w:rFonts w:ascii="Times New Roman" w:hAnsi="Times New Roman" w:cs="Times New Roman" w:eastAsia="Times New Roman" w:hint="default"/>
        </w:rPr>
        <w:t>480,000,000.00</w:t>
      </w:r>
      <w:r>
        <w:rPr/>
        <w:t>元。</w:t>
      </w:r>
    </w:p>
    <w:p>
      <w:pPr>
        <w:pStyle w:val="BodyText"/>
        <w:spacing w:line="295" w:lineRule="auto" w:before="18"/>
        <w:ind w:right="1119" w:firstLine="360"/>
        <w:jc w:val="left"/>
      </w:pPr>
      <w:r>
        <w:rPr/>
        <w:t>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19</w:t>
      </w:r>
      <w:r>
        <w:rPr/>
        <w:t>日召开的</w:t>
      </w:r>
      <w:r>
        <w:rPr>
          <w:rFonts w:ascii="Times New Roman" w:hAnsi="Times New Roman" w:cs="Times New Roman" w:eastAsia="Times New Roman" w:hint="default"/>
        </w:rPr>
        <w:t>2014</w:t>
      </w:r>
      <w:r>
        <w:rPr/>
        <w:t>年第一次临时股东大会决议审议通过的《关于〈深圳市卓翼科技股份有限公司限制性股 票激励计划（草案修订稿）〉及其摘要的议案》和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日召开的第三届董事会第八次会议审议通过的《关于对</w:t>
      </w:r>
      <w:r>
        <w:rPr>
          <w:rFonts w:ascii="Times New Roman" w:hAnsi="Times New Roman" w:cs="Times New Roman" w:eastAsia="Times New Roman" w:hint="default"/>
        </w:rPr>
        <w:t>&lt;</w:t>
      </w:r>
      <w:r>
        <w:rPr/>
        <w:t>深</w:t>
      </w:r>
      <w:r>
        <w:rPr>
          <w:spacing w:val="-78"/>
        </w:rPr>
        <w:t> </w:t>
      </w:r>
      <w:r>
        <w:rPr>
          <w:spacing w:val="-2"/>
        </w:rPr>
        <w:t>圳市卓翼科技股份有限公司限制性股票激励计划（草案修订稿）〉及其摘要激进行调整的议案》、《关于向激励对象授予限</w:t>
      </w:r>
    </w:p>
    <w:p>
      <w:pPr>
        <w:pStyle w:val="BodyText"/>
        <w:spacing w:line="300" w:lineRule="auto" w:before="53"/>
        <w:ind w:right="1119"/>
        <w:jc w:val="left"/>
      </w:pPr>
      <w:r>
        <w:rPr/>
        <w:t>制性股票的议案》，首次授予的激励对象人数由</w:t>
      </w:r>
      <w:r>
        <w:rPr>
          <w:rFonts w:ascii="Times New Roman" w:hAnsi="Times New Roman" w:cs="Times New Roman" w:eastAsia="Times New Roman" w:hint="default"/>
        </w:rPr>
        <w:t>122</w:t>
      </w:r>
      <w:r>
        <w:rPr/>
        <w:t>人调整为</w:t>
      </w:r>
      <w:r>
        <w:rPr>
          <w:rFonts w:ascii="Times New Roman" w:hAnsi="Times New Roman" w:cs="Times New Roman" w:eastAsia="Times New Roman" w:hint="default"/>
        </w:rPr>
        <w:t>104</w:t>
      </w:r>
      <w:r>
        <w:rPr/>
        <w:t>人，本次激励计划授予数量由</w:t>
      </w:r>
      <w:r>
        <w:rPr>
          <w:rFonts w:ascii="Times New Roman" w:hAnsi="Times New Roman" w:cs="Times New Roman" w:eastAsia="Times New Roman" w:hint="default"/>
        </w:rPr>
        <w:t>1,477.80</w:t>
      </w:r>
      <w:r>
        <w:rPr/>
        <w:t>万股调整为</w:t>
      </w:r>
      <w:r>
        <w:rPr>
          <w:rFonts w:ascii="Times New Roman" w:hAnsi="Times New Roman" w:cs="Times New Roman" w:eastAsia="Times New Roman" w:hint="default"/>
        </w:rPr>
        <w:t>1,344.10</w:t>
      </w:r>
      <w:r>
        <w:rPr>
          <w:rFonts w:ascii="Times New Roman" w:hAnsi="Times New Roman" w:cs="Times New Roman" w:eastAsia="Times New Roman" w:hint="default"/>
          <w:spacing w:val="-37"/>
        </w:rPr>
        <w:t> </w:t>
      </w:r>
      <w:r>
        <w:rPr/>
        <w:t>万股，其中首次授予股票数量为</w:t>
      </w:r>
      <w:r>
        <w:rPr>
          <w:rFonts w:ascii="Times New Roman" w:hAnsi="Times New Roman" w:cs="Times New Roman" w:eastAsia="Times New Roman" w:hint="default"/>
        </w:rPr>
        <w:t>1,198.10</w:t>
      </w:r>
      <w:r>
        <w:rPr/>
        <w:t>万股，预留部分为</w:t>
      </w:r>
      <w:r>
        <w:rPr>
          <w:rFonts w:ascii="Times New Roman" w:hAnsi="Times New Roman" w:cs="Times New Roman" w:eastAsia="Times New Roman" w:hint="default"/>
        </w:rPr>
        <w:t>146</w:t>
      </w:r>
      <w:r>
        <w:rPr/>
        <w:t>万股，最终向周诗红等</w:t>
      </w:r>
      <w:r>
        <w:rPr>
          <w:rFonts w:ascii="Times New Roman" w:hAnsi="Times New Roman" w:cs="Times New Roman" w:eastAsia="Times New Roman" w:hint="default"/>
        </w:rPr>
        <w:t>104</w:t>
      </w:r>
      <w:r>
        <w:rPr/>
        <w:t>位激励对象定向发行限制性股票共</w:t>
      </w:r>
      <w:r>
        <w:rPr>
          <w:spacing w:val="-85"/>
        </w:rPr>
        <w:t> </w:t>
      </w:r>
      <w:r>
        <w:rPr/>
        <w:t>计</w:t>
      </w:r>
      <w:r>
        <w:rPr>
          <w:rFonts w:ascii="Times New Roman" w:hAnsi="Times New Roman" w:cs="Times New Roman" w:eastAsia="Times New Roman" w:hint="default"/>
        </w:rPr>
        <w:t>1,198.10</w:t>
      </w:r>
      <w:r>
        <w:rPr/>
        <w:t>万股，由激励对象以</w:t>
      </w:r>
      <w:r>
        <w:rPr>
          <w:rFonts w:ascii="Times New Roman" w:hAnsi="Times New Roman" w:cs="Times New Roman" w:eastAsia="Times New Roman" w:hint="default"/>
        </w:rPr>
        <w:t>3.85</w:t>
      </w:r>
      <w:r>
        <w:rPr/>
        <w:t>元</w:t>
      </w:r>
      <w:r>
        <w:rPr>
          <w:rFonts w:ascii="Times New Roman" w:hAnsi="Times New Roman" w:cs="Times New Roman" w:eastAsia="Times New Roman" w:hint="default"/>
        </w:rPr>
        <w:t>/</w:t>
      </w:r>
      <w:r>
        <w:rPr/>
        <w:t>股的价格认购，增加股本人民币</w:t>
      </w:r>
      <w:r>
        <w:rPr>
          <w:rFonts w:ascii="Times New Roman" w:hAnsi="Times New Roman" w:cs="Times New Roman" w:eastAsia="Times New Roman" w:hint="default"/>
        </w:rPr>
        <w:t>11,981,000.00</w:t>
      </w:r>
      <w:r>
        <w:rPr/>
        <w:t>元，变更后的注册资本为人民币 </w:t>
      </w:r>
      <w:r>
        <w:rPr>
          <w:rFonts w:ascii="Times New Roman" w:hAnsi="Times New Roman" w:cs="Times New Roman" w:eastAsia="Times New Roman" w:hint="default"/>
        </w:rPr>
        <w:t>491,981,000.00</w:t>
      </w:r>
      <w:r>
        <w:rPr/>
        <w:t>元。</w:t>
      </w:r>
    </w:p>
    <w:p>
      <w:pPr>
        <w:pStyle w:val="BodyText"/>
        <w:spacing w:line="304" w:lineRule="auto" w:before="16"/>
        <w:ind w:right="1119" w:firstLine="360"/>
        <w:jc w:val="both"/>
      </w:pPr>
      <w:r>
        <w:rPr>
          <w:spacing w:val="-2"/>
        </w:rPr>
        <w:t>根据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8</w:t>
      </w:r>
      <w:r>
        <w:rPr>
          <w:spacing w:val="-2"/>
        </w:rPr>
        <w:t>日第三届董事会第十二次会议决议，同意本公司回购注销未达到第一期解锁条件及部分已不符合激励条</w:t>
      </w:r>
      <w:r>
        <w:rPr/>
        <w:t> 件的激励对象已获授但未解锁的限制性股票</w:t>
      </w:r>
      <w:r>
        <w:rPr>
          <w:rFonts w:ascii="Times New Roman" w:hAnsi="Times New Roman" w:cs="Times New Roman" w:eastAsia="Times New Roman" w:hint="default"/>
        </w:rPr>
        <w:t>3,032,750</w:t>
      </w:r>
      <w:r>
        <w:rPr/>
        <w:t>股，变更后的股本</w:t>
      </w:r>
      <w:r>
        <w:rPr>
          <w:rFonts w:ascii="Times New Roman" w:hAnsi="Times New Roman" w:cs="Times New Roman" w:eastAsia="Times New Roman" w:hint="default"/>
        </w:rPr>
        <w:t>488,948,250.00</w:t>
      </w:r>
      <w:r>
        <w:rPr/>
        <w:t>元，注册资本为</w:t>
      </w:r>
      <w:r>
        <w:rPr>
          <w:rFonts w:ascii="Times New Roman" w:hAnsi="Times New Roman" w:cs="Times New Roman" w:eastAsia="Times New Roman" w:hint="default"/>
        </w:rPr>
        <w:t>488,948,250.00</w:t>
      </w:r>
      <w:r>
        <w:rPr/>
        <w:t>元。</w:t>
      </w:r>
    </w:p>
    <w:p>
      <w:pPr>
        <w:pStyle w:val="BodyText"/>
        <w:spacing w:line="302" w:lineRule="auto"/>
        <w:ind w:right="1134" w:firstLine="360"/>
        <w:jc w:val="both"/>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日第三届董事会第十六次会议决议，同意本公司回购注销已不符合激励条件的激励对象已获授但未解 锁的限制性股票</w:t>
      </w:r>
      <w:r>
        <w:rPr>
          <w:rFonts w:ascii="Times New Roman" w:hAnsi="Times New Roman" w:cs="Times New Roman" w:eastAsia="Times New Roman" w:hint="default"/>
        </w:rPr>
        <w:t>310,500</w:t>
      </w:r>
      <w:r>
        <w:rPr/>
        <w:t>股，变更后的股本</w:t>
      </w:r>
      <w:r>
        <w:rPr>
          <w:rFonts w:ascii="Times New Roman" w:hAnsi="Times New Roman" w:cs="Times New Roman" w:eastAsia="Times New Roman" w:hint="default"/>
        </w:rPr>
        <w:t>488,637,750.00</w:t>
      </w:r>
      <w:r>
        <w:rPr/>
        <w:t>元，注册资本为</w:t>
      </w:r>
      <w:r>
        <w:rPr>
          <w:rFonts w:ascii="Times New Roman" w:hAnsi="Times New Roman" w:cs="Times New Roman" w:eastAsia="Times New Roman" w:hint="default"/>
        </w:rPr>
        <w:t>488,637,750.00</w:t>
      </w:r>
      <w:r>
        <w:rPr/>
        <w:t>元。</w:t>
      </w:r>
    </w:p>
    <w:p>
      <w:pPr>
        <w:pStyle w:val="BodyText"/>
        <w:spacing w:line="302" w:lineRule="auto" w:before="14"/>
        <w:ind w:right="1134" w:firstLine="360"/>
        <w:jc w:val="both"/>
      </w:pPr>
      <w:r>
        <w:rPr/>
        <w:t>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日第三届董事会第二十一次会议决议，同意本公司回购注销已不符合激励条件的激励对象已获授但未 解锁的限制性股票</w:t>
      </w:r>
      <w:r>
        <w:rPr>
          <w:rFonts w:ascii="Times New Roman" w:hAnsi="Times New Roman" w:cs="Times New Roman" w:eastAsia="Times New Roman" w:hint="default"/>
        </w:rPr>
        <w:t>4,634,800</w:t>
      </w:r>
      <w:r>
        <w:rPr/>
        <w:t>股，变更后的股本</w:t>
      </w:r>
      <w:r>
        <w:rPr>
          <w:rFonts w:ascii="Times New Roman" w:hAnsi="Times New Roman" w:cs="Times New Roman" w:eastAsia="Times New Roman" w:hint="default"/>
        </w:rPr>
        <w:t>484,002,950.00</w:t>
      </w:r>
      <w:r>
        <w:rPr/>
        <w:t>元，注册资本为</w:t>
      </w:r>
      <w:r>
        <w:rPr>
          <w:rFonts w:ascii="Times New Roman" w:hAnsi="Times New Roman" w:cs="Times New Roman" w:eastAsia="Times New Roman" w:hint="default"/>
        </w:rPr>
        <w:t>484,002,950.00</w:t>
      </w:r>
      <w:r>
        <w:rPr/>
        <w:t>元。</w:t>
      </w:r>
    </w:p>
    <w:p>
      <w:pPr>
        <w:pStyle w:val="BodyText"/>
        <w:spacing w:line="288" w:lineRule="auto" w:before="14"/>
        <w:ind w:right="1267" w:firstLine="360"/>
        <w:jc w:val="left"/>
      </w:pPr>
      <w:r>
        <w:rPr/>
        <w:t>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日第四届董事会第五次会议决议</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同意本公司回购注销已不符合激励条件的激励对象已获授但未解 锁的限制性股票</w:t>
      </w:r>
      <w:r>
        <w:rPr>
          <w:rFonts w:ascii="Times New Roman" w:hAnsi="Times New Roman" w:cs="Times New Roman" w:eastAsia="Times New Roman" w:hint="default"/>
        </w:rPr>
        <w:t>89,600</w:t>
      </w:r>
      <w:r>
        <w:rPr/>
        <w:t>股，变更后的股本</w:t>
      </w:r>
      <w:r>
        <w:rPr>
          <w:rFonts w:ascii="Times New Roman" w:hAnsi="Times New Roman" w:cs="Times New Roman" w:eastAsia="Times New Roman" w:hint="default"/>
        </w:rPr>
        <w:t>483,913,350.00</w:t>
      </w:r>
      <w:r>
        <w:rPr/>
        <w:t>元，注册资本为</w:t>
      </w:r>
      <w:r>
        <w:rPr>
          <w:rFonts w:ascii="Times New Roman" w:hAnsi="Times New Roman" w:cs="Times New Roman" w:eastAsia="Times New Roman" w:hint="default"/>
        </w:rPr>
        <w:t>483,913,350.00</w:t>
      </w:r>
      <w:r>
        <w:rPr/>
        <w:t>元。</w:t>
      </w:r>
    </w:p>
    <w:p>
      <w:pPr>
        <w:pStyle w:val="BodyText"/>
        <w:spacing w:line="304" w:lineRule="auto" w:before="26"/>
        <w:ind w:right="1100" w:firstLine="360"/>
        <w:jc w:val="both"/>
      </w:pPr>
      <w:r>
        <w:rPr>
          <w:spacing w:val="-1"/>
        </w:rPr>
        <w:t>根据中国证券监督管理委员会（以下简称</w:t>
      </w:r>
      <w:r>
        <w:rPr>
          <w:rFonts w:ascii="Times New Roman" w:hAnsi="Times New Roman" w:cs="Times New Roman" w:eastAsia="Times New Roman" w:hint="default"/>
          <w:spacing w:val="-1"/>
        </w:rPr>
        <w:t>“</w:t>
      </w:r>
      <w:r>
        <w:rPr>
          <w:spacing w:val="-1"/>
        </w:rPr>
        <w:t>中国证监会</w:t>
      </w:r>
      <w:r>
        <w:rPr>
          <w:rFonts w:ascii="Times New Roman" w:hAnsi="Times New Roman" w:cs="Times New Roman" w:eastAsia="Times New Roman" w:hint="default"/>
          <w:spacing w:val="-1"/>
        </w:rPr>
        <w:t>”</w:t>
      </w:r>
      <w:r>
        <w:rPr>
          <w:spacing w:val="-1"/>
        </w:rPr>
        <w:t>）出具的《关于核准深圳市卓翼科技股份有限公司非公开发行股</w:t>
      </w:r>
      <w:r>
        <w:rPr/>
        <w:t> </w:t>
      </w:r>
      <w:r>
        <w:rPr>
          <w:spacing w:val="-5"/>
        </w:rPr>
        <w:t>票的批复》（证监许可【</w:t>
      </w:r>
      <w:r>
        <w:rPr>
          <w:rFonts w:ascii="Times New Roman" w:hAnsi="Times New Roman" w:cs="Times New Roman" w:eastAsia="Times New Roman" w:hint="default"/>
          <w:spacing w:val="-5"/>
        </w:rPr>
        <w:t>2016</w:t>
      </w:r>
      <w:r>
        <w:rPr>
          <w:spacing w:val="-5"/>
        </w:rPr>
        <w:t>】</w:t>
      </w:r>
      <w:r>
        <w:rPr>
          <w:rFonts w:ascii="Times New Roman" w:hAnsi="Times New Roman" w:cs="Times New Roman" w:eastAsia="Times New Roman" w:hint="default"/>
          <w:spacing w:val="-5"/>
        </w:rPr>
        <w:t>3213</w:t>
      </w:r>
      <w:r>
        <w:rPr>
          <w:spacing w:val="-5"/>
        </w:rPr>
        <w:t>号），本公司于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24</w:t>
      </w:r>
      <w:r>
        <w:rPr>
          <w:spacing w:val="-5"/>
        </w:rPr>
        <w:t>日非公开发行</w:t>
      </w:r>
      <w:r>
        <w:rPr>
          <w:rFonts w:ascii="Times New Roman" w:hAnsi="Times New Roman" w:cs="Times New Roman" w:eastAsia="Times New Roman" w:hint="default"/>
          <w:spacing w:val="-5"/>
        </w:rPr>
        <w:t>96,769,204</w:t>
      </w:r>
      <w:r>
        <w:rPr>
          <w:spacing w:val="-5"/>
        </w:rPr>
        <w:t>股新股，变更后的股本</w:t>
      </w:r>
      <w:r>
        <w:rPr>
          <w:rFonts w:ascii="Times New Roman" w:hAnsi="Times New Roman" w:cs="Times New Roman" w:eastAsia="Times New Roman" w:hint="default"/>
          <w:spacing w:val="-5"/>
        </w:rPr>
        <w:t>580,682,554.00</w:t>
      </w:r>
      <w:r>
        <w:rPr>
          <w:rFonts w:ascii="Times New Roman" w:hAnsi="Times New Roman" w:cs="Times New Roman" w:eastAsia="Times New Roman" w:hint="default"/>
          <w:spacing w:val="26"/>
        </w:rPr>
        <w:t> </w:t>
      </w:r>
      <w:r>
        <w:rPr/>
        <w:t>元，注册资本为</w:t>
      </w:r>
      <w:r>
        <w:rPr>
          <w:rFonts w:ascii="Times New Roman" w:hAnsi="Times New Roman" w:cs="Times New Roman" w:eastAsia="Times New Roman" w:hint="default"/>
        </w:rPr>
        <w:t>580,682,554.00</w:t>
      </w:r>
      <w:r>
        <w:rPr/>
        <w:t>元。</w:t>
      </w:r>
    </w:p>
    <w:p>
      <w:pPr>
        <w:pStyle w:val="BodyText"/>
        <w:spacing w:line="295" w:lineRule="auto" w:before="12"/>
        <w:ind w:right="1119" w:firstLine="360"/>
        <w:jc w:val="both"/>
      </w:pPr>
      <w:r>
        <w:rPr/>
        <w:t>根据</w:t>
      </w:r>
      <w:r>
        <w:rPr>
          <w:rFonts w:ascii="Times New Roman" w:hAnsi="Times New Roman" w:cs="Times New Roman" w:eastAsia="Times New Roman" w:hint="default"/>
        </w:rPr>
        <w:t>2017</w:t>
      </w:r>
      <w:r>
        <w:rPr/>
        <w:t>年</w:t>
      </w:r>
      <w:r>
        <w:rPr>
          <w:spacing w:val="16"/>
        </w:rPr>
        <w:t> </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日第四届董事会第七次会议，审议通过了《关于回购注销未达到第三期解锁条件的激励对象已获授权</w:t>
      </w:r>
      <w:r>
        <w:rPr/>
        <w:t> </w:t>
      </w:r>
      <w:r>
        <w:rPr>
          <w:spacing w:val="-1"/>
        </w:rPr>
        <w:t>但尚未解锁的限制性股票的议案》，公司决定回购注销未达到第三期解锁条件的激励对象持有获授的限制性股票总数的</w:t>
      </w:r>
      <w:r>
        <w:rPr>
          <w:rFonts w:ascii="Times New Roman" w:hAnsi="Times New Roman" w:cs="Times New Roman" w:eastAsia="Times New Roman" w:hint="default"/>
          <w:spacing w:val="-1"/>
        </w:rPr>
        <w:t>35%</w:t>
      </w:r>
      <w:r>
        <w:rPr>
          <w:rFonts w:ascii="Times New Roman" w:hAnsi="Times New Roman" w:cs="Times New Roman" w:eastAsia="Times New Roman" w:hint="default"/>
          <w:spacing w:val="-41"/>
        </w:rPr>
        <w:t> </w:t>
      </w:r>
      <w:r>
        <w:rPr/>
        <w:t>的全部限制性股票，共计</w:t>
      </w:r>
      <w:r>
        <w:rPr>
          <w:rFonts w:ascii="Times New Roman" w:hAnsi="Times New Roman" w:cs="Times New Roman" w:eastAsia="Times New Roman" w:hint="default"/>
        </w:rPr>
        <w:t>3,913,350</w:t>
      </w:r>
      <w:r>
        <w:rPr/>
        <w:t>股，变更后的股本</w:t>
      </w:r>
      <w:r>
        <w:rPr>
          <w:rFonts w:ascii="Times New Roman" w:hAnsi="Times New Roman" w:cs="Times New Roman" w:eastAsia="Times New Roman" w:hint="default"/>
        </w:rPr>
        <w:t>576,769,204.00</w:t>
      </w:r>
      <w:r>
        <w:rPr/>
        <w:t>元，注册资本为</w:t>
      </w:r>
      <w:r>
        <w:rPr>
          <w:rFonts w:ascii="Times New Roman" w:hAnsi="Times New Roman" w:cs="Times New Roman" w:eastAsia="Times New Roman" w:hint="default"/>
        </w:rPr>
        <w:t>576,769,204.00</w:t>
      </w:r>
      <w:r>
        <w:rPr/>
        <w:t>元。</w:t>
      </w:r>
    </w:p>
    <w:p>
      <w:pPr>
        <w:pStyle w:val="BodyText"/>
        <w:spacing w:line="295" w:lineRule="auto" w:before="20"/>
        <w:ind w:right="1126"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18</w:t>
      </w:r>
      <w:r>
        <w:rPr>
          <w:spacing w:val="-2"/>
        </w:rPr>
        <w:t>日，公司召开</w:t>
      </w:r>
      <w:r>
        <w:rPr>
          <w:rFonts w:ascii="Times New Roman" w:hAnsi="Times New Roman" w:cs="Times New Roman" w:eastAsia="Times New Roman" w:hint="default"/>
          <w:spacing w:val="-2"/>
        </w:rPr>
        <w:t>2017</w:t>
      </w:r>
      <w:r>
        <w:rPr>
          <w:spacing w:val="-2"/>
        </w:rPr>
        <w:t>年第二次临时股东大会，审议通过了《关于提请股东大会授权董事会办理公司</w:t>
      </w:r>
      <w:r>
        <w:rPr>
          <w:rFonts w:ascii="Times New Roman" w:hAnsi="Times New Roman" w:cs="Times New Roman" w:eastAsia="Times New Roman" w:hint="default"/>
          <w:spacing w:val="-2"/>
        </w:rPr>
        <w:t>2017</w:t>
      </w:r>
      <w:r>
        <w:rPr>
          <w:spacing w:val="-2"/>
        </w:rPr>
        <w:t>年股</w:t>
      </w:r>
      <w:r>
        <w:rPr/>
        <w:t> 票期权与限制性股票激励计划有关事项的议案》，向</w:t>
      </w:r>
      <w:r>
        <w:rPr>
          <w:rFonts w:ascii="Times New Roman" w:hAnsi="Times New Roman" w:cs="Times New Roman" w:eastAsia="Times New Roman" w:hint="default"/>
        </w:rPr>
        <w:t>13</w:t>
      </w:r>
      <w:r>
        <w:rPr/>
        <w:t>名激励对象授予</w:t>
      </w:r>
      <w:r>
        <w:rPr>
          <w:rFonts w:ascii="Times New Roman" w:hAnsi="Times New Roman" w:cs="Times New Roman" w:eastAsia="Times New Roman" w:hint="default"/>
        </w:rPr>
        <w:t>427</w:t>
      </w:r>
      <w:r>
        <w:rPr/>
        <w:t>万股限制性股票。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日大华会计师事</w:t>
      </w:r>
      <w:r>
        <w:rPr>
          <w:spacing w:val="-82"/>
        </w:rPr>
        <w:t> </w:t>
      </w:r>
      <w:r>
        <w:rPr>
          <w:spacing w:val="-4"/>
        </w:rPr>
        <w:t>务所（特殊普通合伙）出具了</w:t>
      </w:r>
      <w:r>
        <w:rPr>
          <w:rFonts w:ascii="Times New Roman" w:hAnsi="Times New Roman" w:cs="Times New Roman" w:eastAsia="Times New Roman" w:hint="default"/>
          <w:spacing w:val="-4"/>
        </w:rPr>
        <w:t>“</w:t>
      </w:r>
      <w:r>
        <w:rPr>
          <w:spacing w:val="-4"/>
        </w:rPr>
        <w:t>大华验字</w:t>
      </w:r>
      <w:r>
        <w:rPr>
          <w:rFonts w:ascii="Times New Roman" w:hAnsi="Times New Roman" w:cs="Times New Roman" w:eastAsia="Times New Roman" w:hint="default"/>
          <w:spacing w:val="-4"/>
        </w:rPr>
        <w:t>[2017]000885</w:t>
      </w:r>
      <w:r>
        <w:rPr>
          <w:spacing w:val="-4"/>
        </w:rPr>
        <w:t>号</w:t>
      </w:r>
      <w:r>
        <w:rPr>
          <w:rFonts w:ascii="Times New Roman" w:hAnsi="Times New Roman" w:cs="Times New Roman" w:eastAsia="Times New Roman" w:hint="default"/>
          <w:spacing w:val="-4"/>
        </w:rPr>
        <w:t>”</w:t>
      </w:r>
      <w:r>
        <w:rPr>
          <w:spacing w:val="-4"/>
        </w:rPr>
        <w:t>验资报告，变更后的股本</w:t>
      </w:r>
      <w:r>
        <w:rPr>
          <w:rFonts w:ascii="Times New Roman" w:hAnsi="Times New Roman" w:cs="Times New Roman" w:eastAsia="Times New Roman" w:hint="default"/>
          <w:spacing w:val="-4"/>
        </w:rPr>
        <w:t>581,039,204.00</w:t>
      </w:r>
      <w:r>
        <w:rPr>
          <w:spacing w:val="-4"/>
        </w:rPr>
        <w:t>元，注册资本为</w:t>
      </w:r>
      <w:r>
        <w:rPr>
          <w:rFonts w:ascii="Times New Roman" w:hAnsi="Times New Roman" w:cs="Times New Roman" w:eastAsia="Times New Roman" w:hint="default"/>
          <w:spacing w:val="-4"/>
        </w:rPr>
        <w:t>581,039,204.00</w:t>
      </w:r>
      <w:r>
        <w:rPr>
          <w:rFonts w:ascii="Times New Roman" w:hAnsi="Times New Roman" w:cs="Times New Roman" w:eastAsia="Times New Roman" w:hint="default"/>
          <w:spacing w:val="-12"/>
        </w:rPr>
        <w:t> </w:t>
      </w:r>
      <w:r>
        <w:rPr/>
        <w:t>元。</w:t>
      </w:r>
    </w:p>
    <w:p>
      <w:pPr>
        <w:pStyle w:val="BodyText"/>
        <w:spacing w:line="300" w:lineRule="auto" w:before="53"/>
        <w:ind w:right="0" w:firstLine="360"/>
        <w:jc w:val="left"/>
      </w:pPr>
      <w:r>
        <w:rPr/>
        <w:t>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日第四届董事会第二十次会议，审议通过了《关于注销部分股票期权及回购注销部分限制性股票的议 案》，因原激励对象部分员工不再符合公司股权激励条件，同时，公司股权激励计划因未达到</w:t>
      </w:r>
      <w:r>
        <w:rPr>
          <w:rFonts w:ascii="Times New Roman" w:hAnsi="Times New Roman" w:cs="Times New Roman" w:eastAsia="Times New Roman" w:hint="default"/>
        </w:rPr>
        <w:t>2017</w:t>
      </w:r>
      <w:r>
        <w:rPr/>
        <w:t>年股票期权与限制性股票 激励计划第一期行权</w:t>
      </w:r>
      <w:r>
        <w:rPr>
          <w:rFonts w:ascii="Times New Roman" w:hAnsi="Times New Roman" w:cs="Times New Roman" w:eastAsia="Times New Roman" w:hint="default"/>
        </w:rPr>
        <w:t>/</w:t>
      </w:r>
      <w:r>
        <w:rPr/>
        <w:t>解锁条件，公司决定将上述原因确认的限制性股票进行回购注销，共计</w:t>
      </w:r>
      <w:r>
        <w:rPr>
          <w:rFonts w:ascii="Times New Roman" w:hAnsi="Times New Roman" w:cs="Times New Roman" w:eastAsia="Times New Roman" w:hint="default"/>
        </w:rPr>
        <w:t>1,067,500</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w:t>
      </w:r>
      <w:r>
        <w:rPr>
          <w:spacing w:val="-86"/>
        </w:rPr>
        <w:t> </w:t>
      </w:r>
      <w:r>
        <w:rPr>
          <w:spacing w:val="-3"/>
        </w:rPr>
        <w:t>公司召开</w:t>
      </w:r>
      <w:r>
        <w:rPr>
          <w:rFonts w:ascii="Times New Roman" w:hAnsi="Times New Roman" w:cs="Times New Roman" w:eastAsia="Times New Roman" w:hint="default"/>
          <w:spacing w:val="-3"/>
        </w:rPr>
        <w:t>2017</w:t>
      </w:r>
      <w:r>
        <w:rPr>
          <w:spacing w:val="-3"/>
        </w:rPr>
        <w:t>年度股东大会，审议并通过了上述议案。限制性股票回购注销业经亚太（集团）会计师事务所（特殊普通合伙）</w:t>
      </w:r>
      <w:r>
        <w:rPr>
          <w:spacing w:val="-73"/>
        </w:rPr>
        <w:t> </w:t>
      </w:r>
      <w:r>
        <w:rPr>
          <w:spacing w:val="-73"/>
        </w:rPr>
      </w:r>
      <w:r>
        <w:rPr/>
        <w:t>验证，并出具亚会</w:t>
      </w:r>
      <w:r>
        <w:rPr>
          <w:rFonts w:ascii="Times New Roman" w:hAnsi="Times New Roman" w:cs="Times New Roman" w:eastAsia="Times New Roman" w:hint="default"/>
        </w:rPr>
        <w:t>A</w:t>
      </w:r>
      <w:r>
        <w:rPr/>
        <w:t>验字（</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0005</w:t>
      </w:r>
      <w:r>
        <w:rPr/>
        <w:t>号验资报告，变更后的股本为</w:t>
      </w:r>
      <w:r>
        <w:rPr>
          <w:rFonts w:ascii="Times New Roman" w:hAnsi="Times New Roman" w:cs="Times New Roman" w:eastAsia="Times New Roman" w:hint="default"/>
        </w:rPr>
        <w:t>579,971,704.00</w:t>
      </w:r>
      <w:r>
        <w:rPr/>
        <w:t>元，注册资本为</w:t>
      </w:r>
      <w:r>
        <w:rPr>
          <w:rFonts w:ascii="Times New Roman" w:hAnsi="Times New Roman" w:cs="Times New Roman" w:eastAsia="Times New Roman" w:hint="default"/>
        </w:rPr>
        <w:t>579,971,704.00</w:t>
      </w:r>
      <w:r>
        <w:rPr/>
        <w:t>元。</w:t>
      </w:r>
    </w:p>
    <w:p>
      <w:pPr>
        <w:spacing w:after="0" w:line="30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0" w:lineRule="auto" w:before="44"/>
        <w:ind w:right="0" w:firstLine="360"/>
        <w:jc w:val="left"/>
      </w:pPr>
      <w:r>
        <w:rPr>
          <w:spacing w:val="-2"/>
        </w:rPr>
        <w:t>根据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w:t>
      </w:r>
      <w:r>
        <w:rPr>
          <w:spacing w:val="-2"/>
        </w:rPr>
        <w:t>日第四届董事会第三十三次会议，审议通过的《关于注销部分股票期权及回购注销部分限制性股票的议</w:t>
      </w:r>
      <w:r>
        <w:rPr/>
        <w:t> 案》，因原激励对象部分员工不再符合公司股权激励条件，公司决定对上述原因确认的</w:t>
      </w:r>
      <w:r>
        <w:rPr>
          <w:rFonts w:ascii="Times New Roman" w:hAnsi="Times New Roman" w:cs="Times New Roman" w:eastAsia="Times New Roman" w:hint="default"/>
        </w:rPr>
        <w:t>765,000.00</w:t>
      </w:r>
      <w:r>
        <w:rPr/>
        <w:t>股限制性股票进行回购注</w:t>
      </w:r>
      <w:r>
        <w:rPr>
          <w:spacing w:val="-81"/>
        </w:rPr>
        <w:t> </w:t>
      </w:r>
      <w:r>
        <w:rPr>
          <w:spacing w:val="-2"/>
        </w:rPr>
        <w:t>销。</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21</w:t>
      </w:r>
      <w:r>
        <w:rPr>
          <w:spacing w:val="-2"/>
        </w:rPr>
        <w:t>日，公司召开</w:t>
      </w:r>
      <w:r>
        <w:rPr>
          <w:rFonts w:ascii="Times New Roman" w:hAnsi="Times New Roman" w:cs="Times New Roman" w:eastAsia="Times New Roman" w:hint="default"/>
          <w:spacing w:val="-2"/>
        </w:rPr>
        <w:t>2019</w:t>
      </w:r>
      <w:r>
        <w:rPr>
          <w:spacing w:val="-2"/>
        </w:rPr>
        <w:t>年第一次临时股东大会，审议并通过了上述议案。限制性股票回购注销业经亚太（集团）</w:t>
      </w:r>
      <w:r>
        <w:rPr>
          <w:spacing w:val="-45"/>
        </w:rPr>
        <w:t> </w:t>
      </w:r>
      <w:r>
        <w:rPr>
          <w:spacing w:val="-45"/>
        </w:rPr>
      </w:r>
      <w:r>
        <w:rPr>
          <w:spacing w:val="-2"/>
        </w:rPr>
        <w:t>会计师事务所（特殊普通合伙）验证，并出具亚会</w:t>
      </w:r>
      <w:r>
        <w:rPr>
          <w:rFonts w:ascii="Times New Roman" w:hAnsi="Times New Roman" w:cs="Times New Roman" w:eastAsia="Times New Roman" w:hint="default"/>
          <w:spacing w:val="-2"/>
        </w:rPr>
        <w:t>A</w:t>
      </w:r>
      <w:r>
        <w:rPr>
          <w:spacing w:val="-2"/>
        </w:rPr>
        <w:t>验字（</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0003</w:t>
      </w:r>
      <w:r>
        <w:rPr>
          <w:spacing w:val="-2"/>
        </w:rPr>
        <w:t>号验资报告，变更后的股本为</w:t>
      </w:r>
      <w:r>
        <w:rPr>
          <w:rFonts w:ascii="Times New Roman" w:hAnsi="Times New Roman" w:cs="Times New Roman" w:eastAsia="Times New Roman" w:hint="default"/>
          <w:spacing w:val="-2"/>
        </w:rPr>
        <w:t>579,206,704.00</w:t>
      </w:r>
      <w:r>
        <w:rPr>
          <w:spacing w:val="-2"/>
        </w:rPr>
        <w:t>元，注册</w:t>
      </w:r>
      <w:r>
        <w:rPr>
          <w:spacing w:val="-38"/>
        </w:rPr>
        <w:t> </w:t>
      </w:r>
      <w:r>
        <w:rPr>
          <w:spacing w:val="-38"/>
        </w:rPr>
      </w:r>
      <w:r>
        <w:rPr/>
        <w:t>资本为</w:t>
      </w:r>
      <w:r>
        <w:rPr>
          <w:rFonts w:ascii="Times New Roman" w:hAnsi="Times New Roman" w:cs="Times New Roman" w:eastAsia="Times New Roman" w:hint="default"/>
        </w:rPr>
        <w:t>579,206,704.00</w:t>
      </w:r>
      <w:r>
        <w:rPr/>
        <w:t>元。</w:t>
      </w:r>
    </w:p>
    <w:p>
      <w:pPr>
        <w:pStyle w:val="BodyText"/>
        <w:spacing w:line="300" w:lineRule="auto" w:before="16"/>
        <w:ind w:right="1125" w:firstLine="360"/>
        <w:jc w:val="both"/>
      </w:pPr>
      <w:r>
        <w:rPr/>
        <w:t>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日第四届董事会第三十七次会议，审议通过的《关于注销部分股票期权及回购注销部分限制性股票的 议案》，因公司未达到</w:t>
      </w:r>
      <w:r>
        <w:rPr>
          <w:rFonts w:ascii="Times New Roman" w:hAnsi="Times New Roman" w:cs="Times New Roman" w:eastAsia="Times New Roman" w:hint="default"/>
        </w:rPr>
        <w:t>2017</w:t>
      </w:r>
      <w:r>
        <w:rPr/>
        <w:t>年限制性股票激励计划第二期解锁条件</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公司决定对上述原因确认的</w:t>
      </w:r>
      <w:r>
        <w:rPr>
          <w:rFonts w:ascii="Times New Roman" w:hAnsi="Times New Roman" w:cs="Times New Roman" w:eastAsia="Times New Roman" w:hint="default"/>
        </w:rPr>
        <w:t>1,300,000</w:t>
      </w:r>
      <w:r>
        <w:rPr/>
        <w:t>股限制性股票进行 回购注销。</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日，公司召开</w:t>
      </w:r>
      <w:r>
        <w:rPr>
          <w:rFonts w:ascii="Times New Roman" w:hAnsi="Times New Roman" w:cs="Times New Roman" w:eastAsia="Times New Roman" w:hint="default"/>
        </w:rPr>
        <w:t>2018</w:t>
      </w:r>
      <w:r>
        <w:rPr/>
        <w:t>年度股东大会，审议并通过了上述议案，限制性股票回购注销业经亚太（集团） </w:t>
      </w:r>
      <w:r>
        <w:rPr>
          <w:spacing w:val="-2"/>
        </w:rPr>
        <w:t>会计师事务所（特殊普通合伙）验证，并出具亚会</w:t>
      </w:r>
      <w:r>
        <w:rPr>
          <w:rFonts w:ascii="Times New Roman" w:hAnsi="Times New Roman" w:cs="Times New Roman" w:eastAsia="Times New Roman" w:hint="default"/>
          <w:spacing w:val="-2"/>
        </w:rPr>
        <w:t>A</w:t>
      </w:r>
      <w:r>
        <w:rPr>
          <w:spacing w:val="-2"/>
        </w:rPr>
        <w:t>验字（</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0011</w:t>
      </w:r>
      <w:r>
        <w:rPr>
          <w:spacing w:val="-2"/>
        </w:rPr>
        <w:t>号验资报告，变更后的股本为</w:t>
      </w:r>
      <w:r>
        <w:rPr>
          <w:rFonts w:ascii="Times New Roman" w:hAnsi="Times New Roman" w:cs="Times New Roman" w:eastAsia="Times New Roman" w:hint="default"/>
          <w:spacing w:val="-2"/>
        </w:rPr>
        <w:t>577,906,704.00</w:t>
      </w:r>
      <w:r>
        <w:rPr>
          <w:spacing w:val="-2"/>
        </w:rPr>
        <w:t>元，注册</w:t>
      </w:r>
      <w:r>
        <w:rPr>
          <w:spacing w:val="-38"/>
        </w:rPr>
        <w:t> </w:t>
      </w:r>
      <w:r>
        <w:rPr>
          <w:spacing w:val="-38"/>
        </w:rPr>
      </w:r>
      <w:r>
        <w:rPr/>
        <w:t>资本为</w:t>
      </w:r>
      <w:r>
        <w:rPr>
          <w:rFonts w:ascii="Times New Roman" w:hAnsi="Times New Roman" w:cs="Times New Roman" w:eastAsia="Times New Roman" w:hint="default"/>
        </w:rPr>
        <w:t>577,906,704.00</w:t>
      </w:r>
      <w:r>
        <w:rPr/>
        <w:t>元。</w:t>
      </w:r>
    </w:p>
    <w:p>
      <w:pPr>
        <w:pStyle w:val="BodyText"/>
        <w:spacing w:line="240" w:lineRule="auto" w:before="16"/>
        <w:ind w:left="501"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日止，本公司累计股本总数</w:t>
      </w:r>
      <w:r>
        <w:rPr>
          <w:rFonts w:ascii="Times New Roman" w:hAnsi="Times New Roman" w:cs="Times New Roman" w:eastAsia="Times New Roman" w:hint="default"/>
        </w:rPr>
        <w:t>577,906,704</w:t>
      </w:r>
      <w:r>
        <w:rPr/>
        <w:t>股，注册资本为人民币</w:t>
      </w:r>
      <w:r>
        <w:rPr>
          <w:rFonts w:ascii="Times New Roman" w:hAnsi="Times New Roman" w:cs="Times New Roman" w:eastAsia="Times New Roman" w:hint="default"/>
        </w:rPr>
        <w:t>577,906,704.00</w:t>
      </w:r>
      <w:r>
        <w:rPr/>
        <w:t>元，统一社会信用代码：</w:t>
      </w:r>
    </w:p>
    <w:p>
      <w:pPr>
        <w:pStyle w:val="BodyText"/>
        <w:spacing w:line="240" w:lineRule="auto" w:before="66"/>
        <w:ind w:right="0"/>
        <w:jc w:val="left"/>
      </w:pPr>
      <w:r>
        <w:rPr>
          <w:rFonts w:ascii="Times New Roman" w:hAnsi="Times New Roman" w:cs="Times New Roman" w:eastAsia="Times New Roman" w:hint="default"/>
        </w:rPr>
        <w:t>914403007586256618</w:t>
      </w:r>
      <w:r>
        <w:rPr/>
        <w:t>，注册及总部地址：深圳市南山区西丽平山民企科技工业园</w:t>
      </w:r>
      <w:r>
        <w:rPr>
          <w:rFonts w:ascii="Times New Roman" w:hAnsi="Times New Roman" w:cs="Times New Roman" w:eastAsia="Times New Roman" w:hint="default"/>
        </w:rPr>
        <w:t>5</w:t>
      </w:r>
      <w:r>
        <w:rPr/>
        <w:t>栋。</w:t>
      </w:r>
    </w:p>
    <w:p>
      <w:pPr>
        <w:spacing w:line="240" w:lineRule="auto" w:before="0"/>
        <w:rPr>
          <w:rFonts w:ascii="宋体" w:hAnsi="宋体" w:cs="宋体" w:eastAsia="宋体" w:hint="default"/>
          <w:sz w:val="18"/>
          <w:szCs w:val="18"/>
        </w:rPr>
      </w:pPr>
    </w:p>
    <w:p>
      <w:pPr>
        <w:pStyle w:val="BodyText"/>
        <w:spacing w:line="290" w:lineRule="auto" w:before="131"/>
        <w:ind w:left="50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公司业务性质和主要经营活动 </w:t>
      </w:r>
      <w:r>
        <w:rPr>
          <w:spacing w:val="-4"/>
        </w:rPr>
        <w:t>本公司所属行业是计算机、通信和其他电子设备制造业，主营业务是提供网络通讯、消费电子以及智能终端产品的研发、</w:t>
      </w:r>
    </w:p>
    <w:p>
      <w:pPr>
        <w:pStyle w:val="BodyText"/>
        <w:spacing w:line="295" w:lineRule="auto" w:before="56"/>
        <w:ind w:right="1009"/>
        <w:jc w:val="left"/>
      </w:pPr>
      <w:r>
        <w:rPr>
          <w:spacing w:val="-2"/>
        </w:rPr>
        <w:t>生产制造与销售服务。主要产品为：</w:t>
      </w:r>
      <w:r>
        <w:rPr>
          <w:rFonts w:ascii="Times New Roman" w:hAnsi="Times New Roman" w:cs="Times New Roman" w:eastAsia="Times New Roman" w:hint="default"/>
          <w:spacing w:val="-2"/>
        </w:rPr>
        <w:t>3C</w:t>
      </w:r>
      <w:r>
        <w:rPr>
          <w:spacing w:val="-2"/>
        </w:rPr>
        <w:t>产品：网络通讯类的如无线网卡、数据卡、光纤接入设备、</w:t>
      </w:r>
      <w:r>
        <w:rPr>
          <w:rFonts w:ascii="Times New Roman" w:hAnsi="Times New Roman" w:cs="Times New Roman" w:eastAsia="Times New Roman" w:hint="default"/>
          <w:spacing w:val="-2"/>
        </w:rPr>
        <w:t>4G</w:t>
      </w:r>
      <w:r>
        <w:rPr>
          <w:spacing w:val="-2"/>
        </w:rPr>
        <w:t>路由器、</w:t>
      </w:r>
      <w:r>
        <w:rPr>
          <w:rFonts w:ascii="Times New Roman" w:hAnsi="Times New Roman" w:cs="Times New Roman" w:eastAsia="Times New Roman" w:hint="default"/>
          <w:spacing w:val="-2"/>
        </w:rPr>
        <w:t>4G</w:t>
      </w:r>
      <w:r>
        <w:rPr>
          <w:rFonts w:ascii="Times New Roman" w:hAnsi="Times New Roman" w:cs="Times New Roman" w:eastAsia="Times New Roman" w:hint="default"/>
          <w:spacing w:val="-1"/>
        </w:rPr>
        <w:t> </w:t>
      </w:r>
      <w:r>
        <w:rPr>
          <w:rFonts w:ascii="Times New Roman" w:hAnsi="Times New Roman" w:cs="Times New Roman" w:eastAsia="Times New Roman" w:hint="default"/>
        </w:rPr>
        <w:t>LTE</w:t>
      </w:r>
      <w:r>
        <w:rPr/>
        <w:t>网关、 </w:t>
      </w:r>
      <w:r>
        <w:rPr>
          <w:rFonts w:ascii="Times New Roman" w:hAnsi="Times New Roman" w:cs="Times New Roman" w:eastAsia="Times New Roman" w:hint="default"/>
        </w:rPr>
        <w:t>IPTV</w:t>
      </w:r>
      <w:r>
        <w:rPr/>
        <w:t>机顶盒、以太网交换机等，消费电子类的如智能手机、平板电脑、手提电脑、随身</w:t>
      </w:r>
      <w:r>
        <w:rPr>
          <w:rFonts w:ascii="Times New Roman" w:hAnsi="Times New Roman" w:cs="Times New Roman" w:eastAsia="Times New Roman" w:hint="default"/>
        </w:rPr>
        <w:t>WiFi</w:t>
      </w:r>
      <w:r>
        <w:rPr/>
        <w:t>、移动电源、网络摄像机等； 智能硬件产品：智能手环、智能手表、</w:t>
      </w:r>
      <w:r>
        <w:rPr>
          <w:rFonts w:ascii="Times New Roman" w:hAnsi="Times New Roman" w:cs="Times New Roman" w:eastAsia="Times New Roman" w:hint="default"/>
        </w:rPr>
        <w:t>AR</w:t>
      </w:r>
      <w:r>
        <w:rPr/>
        <w:t>眼镜等智能穿戴类产品，智能空气净化器、智能充电器、智能床头灯、智能门铃</w:t>
      </w:r>
      <w:r>
        <w:rPr>
          <w:spacing w:val="-84"/>
        </w:rPr>
        <w:t> </w:t>
      </w:r>
      <w:r>
        <w:rPr>
          <w:spacing w:val="-2"/>
        </w:rPr>
        <w:t>等智能家居产品，有行车电脑、汽车智能避障系统等车联网产品，应用于智能电视、智能空调等家电的关键组件等；智能装</w:t>
      </w:r>
    </w:p>
    <w:p>
      <w:pPr>
        <w:pStyle w:val="BodyText"/>
        <w:spacing w:line="321" w:lineRule="auto" w:before="38"/>
        <w:ind w:right="1029"/>
        <w:jc w:val="left"/>
      </w:pPr>
      <w:r>
        <w:rPr/>
        <w:t>备：自主研发的全数字高速自动点胶机、全自动视觉贴膜机以及自动上下吸尘分板机等智能制造专用装备；光电显示业务：</w:t>
      </w:r>
      <w:r>
        <w:rPr>
          <w:spacing w:val="-81"/>
        </w:rPr>
        <w:t> </w:t>
      </w:r>
      <w:r>
        <w:rPr>
          <w:spacing w:val="-81"/>
        </w:rPr>
      </w:r>
      <w:r>
        <w:rPr/>
        <w:t>自主研发量子点材料和半导体工艺等。</w:t>
      </w:r>
    </w:p>
    <w:p>
      <w:pPr>
        <w:spacing w:line="240" w:lineRule="auto" w:before="8"/>
        <w:rPr>
          <w:rFonts w:ascii="宋体" w:hAnsi="宋体" w:cs="宋体" w:eastAsia="宋体" w:hint="default"/>
          <w:sz w:val="26"/>
          <w:szCs w:val="26"/>
        </w:rPr>
      </w:pPr>
    </w:p>
    <w:p>
      <w:pPr>
        <w:pStyle w:val="BodyText"/>
        <w:spacing w:line="290" w:lineRule="auto"/>
        <w:ind w:left="561" w:right="5919" w:hanging="6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财务报表的批准报出 本财务报表业经公司董事会于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日批准报出。</w:t>
      </w:r>
    </w:p>
    <w:p>
      <w:pPr>
        <w:pStyle w:val="BodyText"/>
        <w:spacing w:line="240" w:lineRule="auto" w:before="24"/>
        <w:ind w:right="0"/>
        <w:jc w:val="left"/>
      </w:pPr>
      <w:r>
        <w:rPr/>
        <w:t>本期纳入合并财务报表范围的主体共</w:t>
      </w:r>
      <w:r>
        <w:rPr>
          <w:rFonts w:ascii="Times New Roman" w:hAnsi="Times New Roman" w:cs="Times New Roman" w:eastAsia="Times New Roman" w:hint="default"/>
        </w:rPr>
        <w:t>13</w:t>
      </w:r>
      <w:r>
        <w:rPr/>
        <w:t>家，具体包括：</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697"/>
        <w:gridCol w:w="1712"/>
        <w:gridCol w:w="1697"/>
        <w:gridCol w:w="1712"/>
        <w:gridCol w:w="1697"/>
      </w:tblGrid>
      <w:tr>
        <w:trPr>
          <w:trHeight w:val="34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97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right="58"/>
              <w:jc w:val="both"/>
              <w:rPr>
                <w:rFonts w:ascii="宋体" w:hAnsi="宋体" w:cs="宋体" w:eastAsia="宋体" w:hint="default"/>
                <w:sz w:val="18"/>
                <w:szCs w:val="18"/>
              </w:rPr>
            </w:pPr>
            <w:r>
              <w:rPr>
                <w:rFonts w:ascii="宋体" w:hAnsi="宋体" w:cs="宋体" w:eastAsia="宋体" w:hint="default"/>
                <w:sz w:val="18"/>
                <w:szCs w:val="18"/>
              </w:rPr>
              <w:t>卓翼科技</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 公司（以下简称卓翼 香港）</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sz w:val="18"/>
              </w:rPr>
              <w:t>100%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sz w:val="18"/>
              </w:rPr>
              <w:t>100%</w:t>
            </w:r>
          </w:p>
        </w:tc>
      </w:tr>
      <w:tr>
        <w:trPr>
          <w:trHeight w:val="97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right="60"/>
              <w:jc w:val="both"/>
              <w:rPr>
                <w:rFonts w:ascii="宋体" w:hAnsi="宋体" w:cs="宋体" w:eastAsia="宋体" w:hint="default"/>
                <w:sz w:val="18"/>
                <w:szCs w:val="18"/>
              </w:rPr>
            </w:pPr>
            <w:r>
              <w:rPr>
                <w:rFonts w:ascii="宋体" w:hAnsi="宋体" w:cs="宋体" w:eastAsia="宋体" w:hint="default"/>
                <w:sz w:val="18"/>
                <w:szCs w:val="18"/>
              </w:rPr>
              <w:t>深圳市卓大精密模具 有限公司（以下简称 卓大精密）</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sz w:val="18"/>
              </w:rPr>
              <w:t>100%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sz w:val="18"/>
              </w:rPr>
              <w:t>100%</w:t>
            </w:r>
          </w:p>
        </w:tc>
      </w:tr>
      <w:tr>
        <w:trPr>
          <w:trHeight w:val="961"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60"/>
              <w:jc w:val="both"/>
              <w:rPr>
                <w:rFonts w:ascii="宋体" w:hAnsi="宋体" w:cs="宋体" w:eastAsia="宋体" w:hint="default"/>
                <w:sz w:val="18"/>
                <w:szCs w:val="18"/>
              </w:rPr>
            </w:pPr>
            <w:r>
              <w:rPr>
                <w:rFonts w:ascii="宋体" w:hAnsi="宋体" w:cs="宋体" w:eastAsia="宋体" w:hint="default"/>
                <w:sz w:val="18"/>
                <w:szCs w:val="18"/>
              </w:rPr>
              <w:t>深圳市翼丰盛科技有 限公司（以下简称翼 丰盛）</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控股子（孙）公司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sz w:val="18"/>
              </w:rPr>
              <w:t>51%</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sz w:val="18"/>
              </w:rPr>
              <w:t>51%</w:t>
            </w:r>
          </w:p>
        </w:tc>
      </w:tr>
      <w:tr>
        <w:trPr>
          <w:trHeight w:val="97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60"/>
              <w:jc w:val="both"/>
              <w:rPr>
                <w:rFonts w:ascii="宋体" w:hAnsi="宋体" w:cs="宋体" w:eastAsia="宋体" w:hint="default"/>
                <w:sz w:val="18"/>
                <w:szCs w:val="18"/>
              </w:rPr>
            </w:pPr>
            <w:r>
              <w:rPr>
                <w:rFonts w:ascii="宋体" w:hAnsi="宋体" w:cs="宋体" w:eastAsia="宋体" w:hint="default"/>
                <w:sz w:val="18"/>
                <w:szCs w:val="18"/>
              </w:rPr>
              <w:t>深圳市中广物联科技 有限公司（以下简称 中广物联）</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sz w:val="18"/>
              </w:rPr>
              <w:t>100%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sz w:val="18"/>
              </w:rPr>
              <w:t>100%</w:t>
            </w:r>
          </w:p>
        </w:tc>
      </w:tr>
      <w:tr>
        <w:trPr>
          <w:trHeight w:val="97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right="60"/>
              <w:jc w:val="both"/>
              <w:rPr>
                <w:rFonts w:ascii="宋体" w:hAnsi="宋体" w:cs="宋体" w:eastAsia="宋体" w:hint="default"/>
                <w:sz w:val="18"/>
                <w:szCs w:val="18"/>
              </w:rPr>
            </w:pPr>
            <w:r>
              <w:rPr>
                <w:rFonts w:ascii="宋体" w:hAnsi="宋体" w:cs="宋体" w:eastAsia="宋体" w:hint="default"/>
                <w:sz w:val="18"/>
                <w:szCs w:val="18"/>
              </w:rPr>
              <w:t>中广互联（厦门）信 息科技有限公司（以 下简称中广互联）</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全资子（孙）公司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sz w:val="18"/>
              </w:rPr>
              <w:t>100%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sz w:val="18"/>
              </w:rPr>
              <w:t>100%</w:t>
            </w:r>
          </w:p>
        </w:tc>
      </w:tr>
      <w:tr>
        <w:trPr>
          <w:trHeight w:val="661"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卓翼营销有限公司</w:t>
            </w:r>
          </w:p>
          <w:p>
            <w:pPr>
              <w:pStyle w:val="TableParagraph"/>
              <w:spacing w:line="240" w:lineRule="auto" w:before="79"/>
              <w:ind w:right="0"/>
              <w:jc w:val="left"/>
              <w:rPr>
                <w:rFonts w:ascii="宋体" w:hAnsi="宋体" w:cs="宋体" w:eastAsia="宋体" w:hint="default"/>
                <w:sz w:val="18"/>
                <w:szCs w:val="18"/>
              </w:rPr>
            </w:pPr>
            <w:r>
              <w:rPr>
                <w:rFonts w:ascii="宋体" w:hAnsi="宋体" w:cs="宋体" w:eastAsia="宋体" w:hint="default"/>
                <w:sz w:val="18"/>
                <w:szCs w:val="18"/>
              </w:rPr>
              <w:t>（以下简称卓翼营</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全资子（孙）公司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sz w:val="18"/>
              </w:rPr>
              <w:t>100%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sz w:val="18"/>
              </w:rPr>
              <w:t>100%</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97"/>
        <w:gridCol w:w="1712"/>
        <w:gridCol w:w="1697"/>
        <w:gridCol w:w="1712"/>
        <w:gridCol w:w="1697"/>
      </w:tblGrid>
      <w:tr>
        <w:trPr>
          <w:trHeight w:val="34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销）</w:t>
            </w:r>
          </w:p>
        </w:tc>
        <w:tc>
          <w:tcPr>
            <w:tcW w:w="1712"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97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5"/>
              <w:ind w:right="60"/>
              <w:jc w:val="both"/>
              <w:rPr>
                <w:rFonts w:ascii="宋体" w:hAnsi="宋体" w:cs="宋体" w:eastAsia="宋体" w:hint="default"/>
                <w:sz w:val="18"/>
                <w:szCs w:val="18"/>
              </w:rPr>
            </w:pPr>
            <w:r>
              <w:rPr>
                <w:rFonts w:ascii="宋体" w:hAnsi="宋体" w:cs="宋体" w:eastAsia="宋体" w:hint="default"/>
                <w:sz w:val="18"/>
                <w:szCs w:val="18"/>
              </w:rPr>
              <w:t>西安卓华联盛科技有 限公司（以下简称卓 华联盛）</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全资子（孙）公司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sz w:val="18"/>
              </w:rPr>
              <w:t>100%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sz w:val="18"/>
              </w:rPr>
              <w:t>100%</w:t>
            </w:r>
          </w:p>
        </w:tc>
      </w:tr>
      <w:tr>
        <w:trPr>
          <w:trHeight w:val="97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right="60"/>
              <w:jc w:val="both"/>
              <w:rPr>
                <w:rFonts w:ascii="宋体" w:hAnsi="宋体" w:cs="宋体" w:eastAsia="宋体" w:hint="default"/>
                <w:sz w:val="18"/>
                <w:szCs w:val="18"/>
              </w:rPr>
            </w:pPr>
            <w:r>
              <w:rPr>
                <w:rFonts w:ascii="宋体" w:hAnsi="宋体" w:cs="宋体" w:eastAsia="宋体" w:hint="default"/>
                <w:sz w:val="18"/>
                <w:szCs w:val="18"/>
              </w:rPr>
              <w:t>天津卓达科技发展有 限公司（以下简称天 津卓达）</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sz w:val="18"/>
              </w:rPr>
              <w:t>100%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sz w:val="18"/>
              </w:rPr>
              <w:t>100%</w:t>
            </w:r>
          </w:p>
        </w:tc>
      </w:tr>
      <w:tr>
        <w:trPr>
          <w:trHeight w:val="961"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60"/>
              <w:jc w:val="both"/>
              <w:rPr>
                <w:rFonts w:ascii="宋体" w:hAnsi="宋体" w:cs="宋体" w:eastAsia="宋体" w:hint="default"/>
                <w:sz w:val="18"/>
                <w:szCs w:val="18"/>
              </w:rPr>
            </w:pPr>
            <w:r>
              <w:rPr>
                <w:rFonts w:ascii="宋体" w:hAnsi="宋体" w:cs="宋体" w:eastAsia="宋体" w:hint="default"/>
                <w:sz w:val="18"/>
                <w:szCs w:val="18"/>
              </w:rPr>
              <w:t>深圳市卓翼智造有限 公司（以下简称卓翼 智造）</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sz w:val="18"/>
              </w:rPr>
              <w:t>100%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sz w:val="18"/>
              </w:rPr>
              <w:t>100%</w:t>
            </w:r>
          </w:p>
        </w:tc>
      </w:tr>
      <w:tr>
        <w:trPr>
          <w:trHeight w:val="97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60"/>
              <w:jc w:val="both"/>
              <w:rPr>
                <w:rFonts w:ascii="宋体" w:hAnsi="宋体" w:cs="宋体" w:eastAsia="宋体" w:hint="default"/>
                <w:sz w:val="18"/>
                <w:szCs w:val="18"/>
              </w:rPr>
            </w:pPr>
            <w:r>
              <w:rPr>
                <w:rFonts w:ascii="宋体" w:hAnsi="宋体" w:cs="宋体" w:eastAsia="宋体" w:hint="default"/>
                <w:sz w:val="18"/>
                <w:szCs w:val="18"/>
              </w:rPr>
              <w:t>深圳市翼飞投资有限 公司（以下简称翼飞 投资）</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sz w:val="18"/>
              </w:rPr>
              <w:t>100%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sz w:val="18"/>
              </w:rPr>
              <w:t>100%</w:t>
            </w:r>
          </w:p>
        </w:tc>
      </w:tr>
      <w:tr>
        <w:trPr>
          <w:trHeight w:val="97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right="60"/>
              <w:jc w:val="both"/>
              <w:rPr>
                <w:rFonts w:ascii="宋体" w:hAnsi="宋体" w:cs="宋体" w:eastAsia="宋体" w:hint="default"/>
                <w:sz w:val="18"/>
                <w:szCs w:val="18"/>
              </w:rPr>
            </w:pPr>
            <w:r>
              <w:rPr>
                <w:rFonts w:ascii="宋体" w:hAnsi="宋体" w:cs="宋体" w:eastAsia="宋体" w:hint="default"/>
                <w:sz w:val="18"/>
                <w:szCs w:val="18"/>
              </w:rPr>
              <w:t>深圳市卓博机器人有 限公司（以下简称卓 博机器）</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sz w:val="18"/>
              </w:rPr>
              <w:t>100%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sz w:val="18"/>
              </w:rPr>
              <w:t>100%</w:t>
            </w:r>
          </w:p>
        </w:tc>
      </w:tr>
      <w:tr>
        <w:trPr>
          <w:trHeight w:val="97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60"/>
              <w:jc w:val="both"/>
              <w:rPr>
                <w:rFonts w:ascii="宋体" w:hAnsi="宋体" w:cs="宋体" w:eastAsia="宋体" w:hint="default"/>
                <w:sz w:val="18"/>
                <w:szCs w:val="18"/>
              </w:rPr>
            </w:pPr>
            <w:r>
              <w:rPr>
                <w:rFonts w:ascii="宋体" w:hAnsi="宋体" w:cs="宋体" w:eastAsia="宋体" w:hint="default"/>
                <w:sz w:val="18"/>
                <w:szCs w:val="18"/>
              </w:rPr>
              <w:t>江西卓翼光显科技有 限公司（以下简称江 西卓翼）</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sz w:val="18"/>
              </w:rPr>
              <w:t>100%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sz w:val="18"/>
              </w:rPr>
              <w:t>100%</w:t>
            </w:r>
          </w:p>
        </w:tc>
      </w:tr>
      <w:tr>
        <w:trPr>
          <w:trHeight w:val="961"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60"/>
              <w:jc w:val="both"/>
              <w:rPr>
                <w:rFonts w:ascii="宋体" w:hAnsi="宋体" w:cs="宋体" w:eastAsia="宋体" w:hint="default"/>
                <w:sz w:val="18"/>
                <w:szCs w:val="18"/>
              </w:rPr>
            </w:pPr>
            <w:r>
              <w:rPr>
                <w:rFonts w:ascii="宋体" w:hAnsi="宋体" w:cs="宋体" w:eastAsia="宋体" w:hint="default"/>
                <w:sz w:val="18"/>
                <w:szCs w:val="18"/>
              </w:rPr>
              <w:t>武汉市卓翼智造科技 有限公司（以下简称 武汉卓翼）</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sz w:val="18"/>
              </w:rPr>
              <w:t>100%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sz w:val="18"/>
              </w:rPr>
              <w:t>100%</w:t>
            </w:r>
          </w:p>
        </w:tc>
      </w:tr>
    </w:tbl>
    <w:p>
      <w:pPr>
        <w:pStyle w:val="BodyText"/>
        <w:spacing w:line="240" w:lineRule="auto" w:before="15"/>
        <w:ind w:right="0"/>
        <w:jc w:val="left"/>
      </w:pPr>
      <w:r>
        <w:rPr/>
        <w:t>本期纳入合并财务报表范围的主体共</w:t>
      </w:r>
      <w:r>
        <w:rPr>
          <w:rFonts w:ascii="Times New Roman" w:hAnsi="Times New Roman" w:cs="Times New Roman" w:eastAsia="Times New Roman" w:hint="default"/>
        </w:rPr>
        <w:t>13</w:t>
      </w:r>
      <w:r>
        <w:rPr/>
        <w:t>家，新增西安卓华联盛科技有限公司和武汉市卓翼智造科技有限公司，具体信息详见</w:t>
      </w:r>
    </w:p>
    <w:p>
      <w:pPr>
        <w:pStyle w:val="BodyText"/>
        <w:spacing w:line="240" w:lineRule="auto" w:before="66"/>
        <w:ind w:right="0"/>
        <w:jc w:val="left"/>
      </w:pPr>
      <w:r>
        <w:rPr>
          <w:rFonts w:ascii="Times New Roman" w:hAnsi="Times New Roman" w:cs="Times New Roman" w:eastAsia="Times New Roman" w:hint="default"/>
        </w:rPr>
        <w:t>“</w:t>
      </w:r>
      <w:r>
        <w:rPr/>
        <w:t>第十二节、九、在其他主体中的权益</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3"/>
        <w:rPr>
          <w:rFonts w:ascii="宋体" w:hAnsi="宋体" w:cs="宋体" w:eastAsia="宋体" w:hint="default"/>
          <w:b/>
          <w:bCs/>
          <w:sz w:val="27"/>
          <w:szCs w:val="27"/>
        </w:rPr>
      </w:pPr>
    </w:p>
    <w:p>
      <w:pPr>
        <w:pStyle w:val="Heading6"/>
        <w:spacing w:line="240" w:lineRule="auto"/>
        <w:ind w:right="0"/>
        <w:jc w:val="left"/>
        <w:rPr>
          <w:b w:val="0"/>
          <w:bCs w:val="0"/>
        </w:rPr>
      </w:pPr>
      <w:bookmarkStart w:name="1、编制基础" w:id="170"/>
      <w:bookmarkEnd w:id="17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1"/>
        <w:rPr>
          <w:rFonts w:ascii="宋体" w:hAnsi="宋体" w:cs="宋体" w:eastAsia="宋体" w:hint="default"/>
          <w:b/>
          <w:bCs/>
          <w:sz w:val="26"/>
          <w:szCs w:val="26"/>
        </w:rPr>
      </w:pPr>
    </w:p>
    <w:p>
      <w:pPr>
        <w:pStyle w:val="BodyText"/>
        <w:spacing w:line="312" w:lineRule="auto"/>
        <w:ind w:right="0" w:firstLine="420"/>
        <w:jc w:val="left"/>
      </w:pPr>
      <w:r>
        <w:rPr>
          <w:spacing w:val="-2"/>
        </w:rPr>
        <w:t>本公司财务报表以持续经营假设为基础，根据实际发生的交易和事项，按照财政部颁布的企业会计准则及其应用指南、</w:t>
      </w:r>
      <w:r>
        <w:rPr/>
        <w:t> 解释及其他有关规定（统称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）编制；按照中国证监会《公开发行证券的公司信息披露编报规则第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 报告的一般规定》（</w:t>
      </w:r>
      <w:r>
        <w:rPr>
          <w:rFonts w:ascii="Times New Roman" w:hAnsi="Times New Roman" w:cs="Times New Roman" w:eastAsia="Times New Roman" w:hint="default"/>
        </w:rPr>
        <w:t>2014</w:t>
      </w:r>
      <w:r>
        <w:rPr/>
        <w:t>年修订）披露有关财务信息。</w:t>
      </w:r>
    </w:p>
    <w:p>
      <w:pPr>
        <w:pStyle w:val="BodyText"/>
        <w:spacing w:line="321" w:lineRule="auto"/>
        <w:ind w:right="1149" w:firstLine="420"/>
        <w:jc w:val="left"/>
      </w:pPr>
      <w:r>
        <w:rPr/>
        <w:t>本公司会计核算以权责发生制为基础。除某些金融工具外，财务报表均以历史成本为计量基础。资产如果发生减值， 则按照相关规定计提相应的减值准备。</w:t>
      </w:r>
    </w:p>
    <w:p>
      <w:pPr>
        <w:spacing w:line="240" w:lineRule="auto" w:before="7"/>
        <w:rPr>
          <w:rFonts w:ascii="宋体" w:hAnsi="宋体" w:cs="宋体" w:eastAsia="宋体" w:hint="default"/>
          <w:sz w:val="25"/>
          <w:szCs w:val="25"/>
        </w:rPr>
      </w:pPr>
    </w:p>
    <w:p>
      <w:pPr>
        <w:pStyle w:val="Heading6"/>
        <w:spacing w:line="240" w:lineRule="auto"/>
        <w:ind w:right="0"/>
        <w:jc w:val="left"/>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0"/>
        <w:rPr>
          <w:rFonts w:ascii="宋体" w:hAnsi="宋体" w:cs="宋体" w:eastAsia="宋体" w:hint="default"/>
          <w:b/>
          <w:bCs/>
          <w:sz w:val="18"/>
          <w:szCs w:val="18"/>
        </w:rPr>
      </w:pPr>
    </w:p>
    <w:p>
      <w:pPr>
        <w:pStyle w:val="BodyText"/>
        <w:spacing w:line="273" w:lineRule="auto" w:before="130"/>
        <w:ind w:right="1149" w:firstLine="420"/>
        <w:jc w:val="left"/>
      </w:pPr>
      <w:r>
        <w:rPr/>
        <w:t>本公司对报告期末起</w:t>
      </w:r>
      <w:r>
        <w:rPr>
          <w:rFonts w:ascii="Times New Roman" w:hAnsi="Times New Roman" w:cs="Times New Roman" w:eastAsia="Times New Roman" w:hint="default"/>
        </w:rPr>
        <w:t>12</w:t>
      </w:r>
      <w:r>
        <w:rPr/>
        <w:t>个月的持续经营能力进行了评价，未发现对持续经营能力产生重大怀疑的事项或情况。因此， 本财务报表系在持续经营假设的基础上编制。</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1"/>
        <w:rPr>
          <w:rFonts w:ascii="宋体" w:hAnsi="宋体" w:cs="宋体" w:eastAsia="宋体" w:hint="default"/>
          <w:b/>
          <w:bCs/>
          <w:sz w:val="26"/>
          <w:szCs w:val="26"/>
        </w:rPr>
      </w:pPr>
    </w:p>
    <w:p>
      <w:pPr>
        <w:pStyle w:val="BodyText"/>
        <w:spacing w:line="352" w:lineRule="auto"/>
        <w:ind w:right="8229"/>
        <w:jc w:val="left"/>
      </w:pPr>
      <w:r>
        <w:rPr/>
        <w:t>具体会计政策和会计估计提示： 无</w:t>
      </w:r>
    </w:p>
    <w:p>
      <w:pPr>
        <w:spacing w:after="0" w:line="352" w:lineRule="auto"/>
        <w:jc w:val="left"/>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spacing w:val="4"/>
        </w:rPr>
        <w:t>1</w:t>
      </w:r>
      <w:r>
        <w:rPr>
          <w:spacing w:val="4"/>
        </w:rPr>
        <w:t>、遵循企业会计准则的声明</w:t>
      </w:r>
      <w:r>
        <w:rPr>
          <w:b w:val="0"/>
          <w:bCs w:val="0"/>
          <w:spacing w:val="4"/>
        </w:rPr>
      </w:r>
    </w:p>
    <w:p>
      <w:pPr>
        <w:spacing w:line="240" w:lineRule="auto" w:before="9"/>
        <w:rPr>
          <w:rFonts w:ascii="宋体" w:hAnsi="宋体" w:cs="宋体" w:eastAsia="宋体" w:hint="default"/>
          <w:b/>
          <w:bCs/>
          <w:sz w:val="26"/>
          <w:szCs w:val="26"/>
        </w:rPr>
      </w:pPr>
    </w:p>
    <w:p>
      <w:pPr>
        <w:pStyle w:val="BodyText"/>
        <w:spacing w:line="321" w:lineRule="auto"/>
        <w:ind w:right="1115"/>
        <w:jc w:val="left"/>
      </w:pPr>
      <w:r>
        <w:rPr>
          <w:spacing w:val="-2"/>
        </w:rPr>
        <w:t>本公司所编制的财务报表符合企业会计准则的要求，真实、完整地反映了报告期公司的财务状况、经营成果、现金流量等有</w:t>
      </w:r>
      <w:r>
        <w:rPr>
          <w:spacing w:val="-42"/>
        </w:rPr>
        <w:t> </w:t>
      </w:r>
      <w:r>
        <w:rPr>
          <w:spacing w:val="-42"/>
        </w:rPr>
      </w:r>
      <w:r>
        <w:rPr/>
        <w:t>关信息。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0"/>
          <w:szCs w:val="20"/>
        </w:rPr>
      </w:pPr>
    </w:p>
    <w:p>
      <w:pPr>
        <w:spacing w:line="576" w:lineRule="auto" w:before="0"/>
        <w:ind w:left="141" w:right="7149" w:firstLine="0"/>
        <w:jc w:val="left"/>
        <w:rPr>
          <w:rFonts w:ascii="宋体" w:hAnsi="宋体" w:cs="宋体" w:eastAsia="宋体" w:hint="default"/>
          <w:sz w:val="19"/>
          <w:szCs w:val="19"/>
        </w:rPr>
      </w:pPr>
      <w:bookmarkStart w:name="2、会计期间" w:id="174"/>
      <w:bookmarkEnd w:id="174"/>
      <w:r>
        <w:rPr/>
      </w:r>
      <w:r>
        <w:rPr>
          <w:rFonts w:ascii="Times New Roman" w:hAnsi="Times New Roman" w:cs="Times New Roman" w:eastAsia="Times New Roman" w:hint="default"/>
          <w:b/>
          <w:bCs/>
          <w:spacing w:val="5"/>
          <w:sz w:val="19"/>
          <w:szCs w:val="19"/>
        </w:rPr>
        <w:t>2</w:t>
      </w:r>
      <w:r>
        <w:rPr>
          <w:rFonts w:ascii="宋体" w:hAnsi="宋体" w:cs="宋体" w:eastAsia="宋体" w:hint="default"/>
          <w:b/>
          <w:bCs/>
          <w:spacing w:val="5"/>
          <w:sz w:val="19"/>
          <w:szCs w:val="19"/>
        </w:rPr>
        <w:t>、会计期间</w:t>
      </w:r>
      <w:r>
        <w:rPr>
          <w:rFonts w:ascii="宋体" w:hAnsi="宋体" w:cs="宋体" w:eastAsia="宋体" w:hint="default"/>
          <w:b/>
          <w:bCs/>
          <w:spacing w:val="-65"/>
          <w:sz w:val="19"/>
          <w:szCs w:val="19"/>
        </w:rPr>
        <w:t> </w:t>
      </w:r>
      <w:r>
        <w:rPr>
          <w:rFonts w:ascii="宋体" w:hAnsi="宋体" w:cs="宋体" w:eastAsia="宋体" w:hint="default"/>
          <w:b/>
          <w:bCs/>
          <w:spacing w:val="-65"/>
          <w:sz w:val="19"/>
          <w:szCs w:val="19"/>
        </w:rPr>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bookmarkStart w:name="3、营业周期" w:id="175"/>
      <w:bookmarkEnd w:id="175"/>
      <w:r>
        <w:rPr>
          <w:rFonts w:ascii="宋体" w:hAnsi="宋体" w:cs="宋体" w:eastAsia="宋体" w:hint="default"/>
          <w:sz w:val="18"/>
          <w:szCs w:val="18"/>
        </w:rPr>
      </w:r>
      <w:r>
        <w:rPr>
          <w:rFonts w:ascii="Times New Roman" w:hAnsi="Times New Roman" w:cs="Times New Roman" w:eastAsia="Times New Roman" w:hint="default"/>
          <w:b/>
          <w:bCs/>
          <w:spacing w:val="5"/>
          <w:sz w:val="19"/>
          <w:szCs w:val="19"/>
        </w:rPr>
        <w:t>3</w:t>
      </w:r>
      <w:r>
        <w:rPr>
          <w:rFonts w:ascii="宋体" w:hAnsi="宋体" w:cs="宋体" w:eastAsia="宋体" w:hint="default"/>
          <w:b/>
          <w:bCs/>
          <w:spacing w:val="5"/>
          <w:sz w:val="19"/>
          <w:szCs w:val="19"/>
        </w:rPr>
        <w:t>、营业周期</w:t>
      </w:r>
      <w:r>
        <w:rPr>
          <w:rFonts w:ascii="宋体" w:hAnsi="宋体" w:cs="宋体" w:eastAsia="宋体" w:hint="default"/>
          <w:spacing w:val="5"/>
          <w:sz w:val="19"/>
          <w:szCs w:val="19"/>
        </w:rPr>
      </w:r>
    </w:p>
    <w:p>
      <w:pPr>
        <w:pStyle w:val="BodyText"/>
        <w:spacing w:line="240" w:lineRule="auto" w:before="69"/>
        <w:ind w:right="0"/>
        <w:jc w:val="left"/>
      </w:pPr>
      <w:r>
        <w:rPr/>
        <w:t>本公司以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4、记账本位币" w:id="176"/>
      <w:bookmarkEnd w:id="176"/>
      <w:r>
        <w:rPr>
          <w:b w:val="0"/>
          <w:bCs w:val="0"/>
        </w:rPr>
      </w:r>
      <w:r>
        <w:rPr>
          <w:rFonts w:ascii="Times New Roman" w:hAnsi="Times New Roman" w:cs="Times New Roman" w:eastAsia="Times New Roman" w:hint="default"/>
          <w:spacing w:val="4"/>
        </w:rPr>
        <w:t>4</w:t>
      </w:r>
      <w:r>
        <w:rPr>
          <w:spacing w:val="4"/>
        </w:rPr>
        <w:t>、记账本位币</w:t>
      </w:r>
      <w:r>
        <w:rPr>
          <w:b w:val="0"/>
          <w:bCs w:val="0"/>
          <w:spacing w:val="4"/>
        </w:rPr>
      </w:r>
    </w:p>
    <w:p>
      <w:pPr>
        <w:spacing w:line="240" w:lineRule="auto" w:before="9"/>
        <w:rPr>
          <w:rFonts w:ascii="宋体" w:hAnsi="宋体" w:cs="宋体" w:eastAsia="宋体" w:hint="default"/>
          <w:b/>
          <w:bCs/>
          <w:sz w:val="26"/>
          <w:szCs w:val="26"/>
        </w:rPr>
      </w:pPr>
    </w:p>
    <w:p>
      <w:pPr>
        <w:pStyle w:val="BodyText"/>
        <w:spacing w:line="304" w:lineRule="auto"/>
        <w:ind w:right="3009"/>
        <w:jc w:val="left"/>
      </w:pPr>
      <w:r>
        <w:rPr/>
        <w:t>采用人民币为记账本位币。 境外子公司以其经营所处的主要经济环境中的货币为记账本位币，编制财务报表时折算为人民币。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5"/>
        <w:spacing w:line="240" w:lineRule="auto"/>
        <w:ind w:right="0"/>
        <w:jc w:val="left"/>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spacing w:val="5"/>
        </w:rPr>
        <w:t>5</w:t>
      </w:r>
      <w:r>
        <w:rPr>
          <w:spacing w:val="5"/>
        </w:rPr>
        <w:t>、同一控制下和非同一控制下企业合并的会计处理方法</w:t>
      </w:r>
      <w:r>
        <w:rPr>
          <w:b w:val="0"/>
          <w:bCs w:val="0"/>
          <w:spacing w:val="5"/>
        </w:rPr>
      </w:r>
    </w:p>
    <w:p>
      <w:pPr>
        <w:spacing w:line="240" w:lineRule="auto" w:before="11"/>
        <w:rPr>
          <w:rFonts w:ascii="宋体" w:hAnsi="宋体" w:cs="宋体" w:eastAsia="宋体" w:hint="default"/>
          <w:b/>
          <w:bCs/>
          <w:sz w:val="27"/>
          <w:szCs w:val="27"/>
        </w:rPr>
      </w:pPr>
    </w:p>
    <w:p>
      <w:pPr>
        <w:pStyle w:val="Heading6"/>
        <w:spacing w:line="290" w:lineRule="auto"/>
        <w:ind w:right="1174" w:firstLine="766"/>
        <w:jc w:val="left"/>
        <w:rPr>
          <w:b w:val="0"/>
          <w:bCs w:val="0"/>
        </w:rPr>
      </w:pPr>
      <w:r>
        <w:rPr>
          <w:rFonts w:ascii="Times New Roman" w:hAnsi="Times New Roman" w:cs="Times New Roman" w:eastAsia="Times New Roman" w:hint="default"/>
        </w:rPr>
        <w:t>1.</w:t>
      </w:r>
      <w:r>
        <w:rPr/>
        <w:t>分步实现企业合并过程中的各项交易的条款、条件以及经济影响符合以下一种或多种情况，将多次交易事项作</w:t>
      </w:r>
      <w:r>
        <w:rPr>
          <w:w w:val="99"/>
        </w:rPr>
        <w:t> </w:t>
      </w:r>
      <w:r>
        <w:rPr/>
        <w:t>为一揽子交易进行会计处理：</w:t>
      </w:r>
      <w:r>
        <w:rPr>
          <w:b w:val="0"/>
          <w:bCs w:val="0"/>
        </w:rPr>
      </w:r>
    </w:p>
    <w:p>
      <w:pPr>
        <w:pStyle w:val="BodyText"/>
        <w:spacing w:line="240" w:lineRule="auto" w:before="41"/>
        <w:ind w:left="501" w:right="0"/>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6"/>
        <w:ind w:left="501" w:right="0"/>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6"/>
        <w:ind w:left="501" w:right="0"/>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66"/>
        <w:ind w:left="501" w:right="0"/>
        <w:jc w:val="left"/>
      </w:pPr>
      <w:r>
        <w:rPr/>
        <w:t>（</w:t>
      </w:r>
      <w:r>
        <w:rPr>
          <w:rFonts w:ascii="Times New Roman" w:hAnsi="Times New Roman" w:cs="Times New Roman" w:eastAsia="Times New Roman" w:hint="default"/>
        </w:rPr>
        <w:t>4</w:t>
      </w:r>
      <w:r>
        <w:rPr/>
        <w:t>）一项交易单独看是不经济的，但是和其他交易一并考虑时是经济的。</w:t>
      </w:r>
    </w:p>
    <w:p>
      <w:pPr>
        <w:pStyle w:val="BodyText"/>
        <w:spacing w:line="276" w:lineRule="auto" w:before="66"/>
        <w:ind w:left="501" w:right="1133" w:firstLine="300"/>
        <w:jc w:val="left"/>
      </w:pPr>
      <w:r>
        <w:rPr>
          <w:rFonts w:ascii="Times New Roman" w:hAnsi="Times New Roman" w:cs="Times New Roman" w:eastAsia="Times New Roman" w:hint="default"/>
          <w:b/>
          <w:bCs/>
        </w:rPr>
        <w:t>2.</w:t>
      </w:r>
      <w:r>
        <w:rPr>
          <w:rFonts w:ascii="宋体" w:hAnsi="宋体" w:cs="宋体" w:eastAsia="宋体" w:hint="default"/>
          <w:b/>
          <w:bCs/>
        </w:rPr>
        <w:t>同一控制下的企业合并</w:t>
      </w:r>
      <w:r>
        <w:rPr>
          <w:rFonts w:ascii="宋体" w:hAnsi="宋体" w:cs="宋体" w:eastAsia="宋体" w:hint="default"/>
          <w:b/>
          <w:bCs/>
          <w:w w:val="99"/>
        </w:rPr>
        <w:t> </w:t>
      </w:r>
      <w:r>
        <w:rPr>
          <w:spacing w:val="-2"/>
        </w:rPr>
        <w:t>本公司在企业合并中取得的资产和负债，按照合并日在被合并方资产、负债（包括最终控制方收购被合并方而形成的商</w:t>
      </w:r>
    </w:p>
    <w:p>
      <w:pPr>
        <w:pStyle w:val="BodyText"/>
        <w:spacing w:line="321" w:lineRule="auto" w:before="52"/>
        <w:ind w:right="0"/>
        <w:jc w:val="left"/>
      </w:pPr>
      <w:r>
        <w:rPr>
          <w:spacing w:val="-2"/>
        </w:rPr>
        <w:t>誉）在最终控制方合并财务报表中的账面价值计量。在合并中取得的净资产账面价值与支付的合并对价账面价值（或发行股</w:t>
      </w:r>
      <w:r>
        <w:rPr>
          <w:spacing w:val="-75"/>
        </w:rPr>
        <w:t> </w:t>
      </w:r>
      <w:r>
        <w:rPr>
          <w:spacing w:val="-75"/>
        </w:rPr>
      </w:r>
      <w:r>
        <w:rPr/>
        <w:t>份面值总额）的差额，调整资本公积中的股本溢价，资本公积中的股本溢价不足冲减的，调整留存收益。</w:t>
      </w:r>
    </w:p>
    <w:p>
      <w:pPr>
        <w:pStyle w:val="BodyText"/>
        <w:spacing w:line="240" w:lineRule="auto" w:before="19"/>
        <w:ind w:left="501" w:right="0"/>
        <w:jc w:val="left"/>
      </w:pPr>
      <w:r>
        <w:rPr/>
        <w:t>如果存在或有对价并需要确认预计负债或资产，该预计负债或资产金额与后续或有对价结算金额的差额，调整资本公积</w:t>
      </w:r>
    </w:p>
    <w:p>
      <w:pPr>
        <w:pStyle w:val="BodyText"/>
        <w:spacing w:line="307" w:lineRule="auto" w:before="79"/>
        <w:ind w:left="501" w:right="0" w:hanging="361"/>
        <w:jc w:val="left"/>
      </w:pPr>
      <w:r>
        <w:rPr/>
        <w:t>（资本溢价或股本溢价），资本公积不足的，调整留存收益。 </w:t>
      </w:r>
      <w:r>
        <w:rPr>
          <w:spacing w:val="-2"/>
        </w:rPr>
        <w:t>对于通过多次交易最终实现企业合并的，属于一揽子交易的，将各项交易作为一项取得控制权的交易进行会计处理；不</w:t>
      </w:r>
    </w:p>
    <w:p>
      <w:pPr>
        <w:pStyle w:val="BodyText"/>
        <w:spacing w:line="316" w:lineRule="auto" w:before="29"/>
        <w:ind w:right="1045"/>
        <w:jc w:val="both"/>
      </w:pPr>
      <w:r>
        <w:rPr>
          <w:spacing w:val="-2"/>
        </w:rPr>
        <w:t>属于一揽子交易的，在取得控制权日，长期股权投资初始投资成本，与达到合并前的长期股权投资账面价值加上合并日进一</w:t>
      </w:r>
      <w:r>
        <w:rPr>
          <w:spacing w:val="-75"/>
        </w:rPr>
        <w:t> </w:t>
      </w:r>
      <w:r>
        <w:rPr>
          <w:spacing w:val="-75"/>
        </w:rPr>
      </w:r>
      <w:r>
        <w:rPr>
          <w:spacing w:val="-2"/>
        </w:rPr>
        <w:t>步取得股份新支付对价的账面价值之和的差额，调整资本公积；资本公积不足冲减的，调整留存收益。对于合并日之前持有</w:t>
      </w:r>
      <w:r>
        <w:rPr>
          <w:spacing w:val="-42"/>
        </w:rPr>
        <w:t> </w:t>
      </w:r>
      <w:r>
        <w:rPr>
          <w:spacing w:val="-42"/>
        </w:rPr>
      </w:r>
      <w:r>
        <w:rPr>
          <w:spacing w:val="-2"/>
        </w:rPr>
        <w:t>的股权投资，因采用权益法核算或金融工具确认和计量准则核算而确认的其他综合收益，暂不进行会计处理，直至处置该项</w:t>
      </w:r>
      <w:r>
        <w:rPr>
          <w:spacing w:val="-75"/>
        </w:rPr>
        <w:t> </w:t>
      </w:r>
      <w:r>
        <w:rPr>
          <w:spacing w:val="-75"/>
        </w:rPr>
      </w:r>
      <w:r>
        <w:rPr>
          <w:spacing w:val="-2"/>
        </w:rPr>
        <w:t>投资时采用与被投资单位直接处置相关资产或负债相同的基础进行会计处理；因采用权益法核算而确认的被投资单位净资产</w:t>
      </w:r>
      <w:r>
        <w:rPr>
          <w:spacing w:val="-58"/>
        </w:rPr>
        <w:t> </w:t>
      </w:r>
      <w:r>
        <w:rPr>
          <w:spacing w:val="-58"/>
        </w:rPr>
      </w:r>
      <w:r>
        <w:rPr>
          <w:spacing w:val="-4"/>
        </w:rPr>
        <w:t>中除净损益、其他综合收益和利润分配以外的所有者权益其他变动，暂不进行会计处理，直至处置该项投资时转入当期损益。</w:t>
      </w:r>
    </w:p>
    <w:p>
      <w:pPr>
        <w:spacing w:line="288" w:lineRule="auto" w:before="37"/>
        <w:ind w:left="50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非同一控制下的企业合并</w:t>
      </w:r>
      <w:r>
        <w:rPr>
          <w:rFonts w:ascii="宋体" w:hAnsi="宋体" w:cs="宋体" w:eastAsia="宋体" w:hint="default"/>
          <w:b/>
          <w:bCs/>
          <w:spacing w:val="-85"/>
          <w:sz w:val="18"/>
          <w:szCs w:val="18"/>
        </w:rPr>
        <w:t> </w:t>
      </w:r>
      <w:r>
        <w:rPr>
          <w:rFonts w:ascii="宋体" w:hAnsi="宋体" w:cs="宋体" w:eastAsia="宋体" w:hint="default"/>
          <w:b/>
          <w:bCs/>
          <w:spacing w:val="-85"/>
          <w:sz w:val="18"/>
          <w:szCs w:val="18"/>
        </w:rPr>
      </w:r>
      <w:r>
        <w:rPr>
          <w:rFonts w:ascii="宋体" w:hAnsi="宋体" w:cs="宋体" w:eastAsia="宋体" w:hint="default"/>
          <w:spacing w:val="-4"/>
          <w:sz w:val="18"/>
          <w:szCs w:val="18"/>
        </w:rPr>
        <w:t>本公司在购买日对作为企业合并对价付出的资产、发生或承担的负债按照公允价值计量，公允价值与其账面价值的差额，</w:t>
      </w:r>
    </w:p>
    <w:p>
      <w:pPr>
        <w:pStyle w:val="BodyText"/>
        <w:spacing w:line="321" w:lineRule="auto" w:before="44"/>
        <w:ind w:left="501" w:right="1133" w:hanging="361"/>
        <w:jc w:val="left"/>
      </w:pPr>
      <w:r>
        <w:rPr/>
        <w:t>计入当期损益。 </w:t>
      </w:r>
      <w:r>
        <w:rPr>
          <w:spacing w:val="-2"/>
        </w:rPr>
        <w:t>本公司对合并成本大于合并中取得的被购买方可辨认净资产公允价值份额的差额，确认为商誉；合并成本小于合并中取</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left="501" w:right="0" w:hanging="361"/>
        <w:jc w:val="left"/>
      </w:pPr>
      <w:r>
        <w:rPr/>
        <w:t>得的被购买方可辨认净资产公允价值份额的差额，经复核后，计入当期损益。 </w:t>
      </w:r>
      <w:r>
        <w:rPr>
          <w:spacing w:val="-2"/>
        </w:rPr>
        <w:t>通过多次交换交易分步实现的非同一控制下企业合并，属于一揽子交易的，将各项交易作为一项取得控制权的交易进行</w:t>
      </w:r>
    </w:p>
    <w:p>
      <w:pPr>
        <w:pStyle w:val="BodyText"/>
        <w:spacing w:line="319" w:lineRule="auto" w:before="18"/>
        <w:ind w:right="1116"/>
        <w:jc w:val="both"/>
      </w:pPr>
      <w:r>
        <w:rPr>
          <w:spacing w:val="-2"/>
        </w:rPr>
        <w:t>会计处理；不属于一揽子交易的，合并日之前持有的股权投资采用权益法核算的，以购买日之前所持被购买方的股权投资的</w:t>
      </w:r>
      <w:r>
        <w:rPr>
          <w:spacing w:val="-75"/>
        </w:rPr>
        <w:t> </w:t>
      </w:r>
      <w:r>
        <w:rPr>
          <w:spacing w:val="-75"/>
        </w:rPr>
      </w:r>
      <w:r>
        <w:rPr>
          <w:spacing w:val="-2"/>
        </w:rPr>
        <w:t>账面价值与购买日新增投资成本之和，作为该项投资的初始投资成本；购买日之前持有的股权投资因采用权益法核算而确认</w:t>
      </w:r>
      <w:r>
        <w:rPr>
          <w:spacing w:val="-72"/>
        </w:rPr>
        <w:t> </w:t>
      </w:r>
      <w:r>
        <w:rPr>
          <w:spacing w:val="-72"/>
        </w:rPr>
      </w:r>
      <w:r>
        <w:rPr>
          <w:spacing w:val="-2"/>
        </w:rPr>
        <w:t>的其他综合收益，在处置该项投资时采用与被投资单位直接处置相关资产或负债相同的基础进行会计处理。合并日之前持有</w:t>
      </w:r>
      <w:r>
        <w:rPr>
          <w:spacing w:val="-72"/>
        </w:rPr>
        <w:t> </w:t>
      </w:r>
      <w:r>
        <w:rPr>
          <w:spacing w:val="-72"/>
        </w:rPr>
      </w:r>
      <w:r>
        <w:rPr>
          <w:spacing w:val="-2"/>
        </w:rPr>
        <w:t>的股权投资采用金融工具确认和计量准则核算的，以该股权投资在合并日的公允价值加上新增投资成本之和，作为合并日的</w:t>
      </w:r>
      <w:r>
        <w:rPr>
          <w:spacing w:val="-72"/>
        </w:rPr>
        <w:t> </w:t>
      </w:r>
      <w:r>
        <w:rPr>
          <w:spacing w:val="-72"/>
        </w:rPr>
      </w:r>
      <w:r>
        <w:rPr>
          <w:spacing w:val="-2"/>
        </w:rPr>
        <w:t>初始投资成本。原持有股权的公允价值与账面价值之间的差额以及原计入其他综合收益的累计公允价值变动应全部转入合并</w:t>
      </w:r>
      <w:r>
        <w:rPr>
          <w:spacing w:val="-52"/>
        </w:rPr>
        <w:t> </w:t>
      </w:r>
      <w:r>
        <w:rPr>
          <w:spacing w:val="-52"/>
        </w:rPr>
      </w:r>
      <w:r>
        <w:rPr/>
        <w:t>日当期的投资收益。</w:t>
      </w:r>
    </w:p>
    <w:p>
      <w:pPr>
        <w:pStyle w:val="BodyText"/>
        <w:spacing w:line="290" w:lineRule="auto" w:before="20"/>
        <w:ind w:left="501" w:right="0"/>
        <w:jc w:val="left"/>
      </w:pPr>
      <w:r>
        <w:rPr>
          <w:rFonts w:ascii="Times New Roman" w:hAnsi="Times New Roman" w:cs="Times New Roman" w:eastAsia="Times New Roman" w:hint="default"/>
          <w:b/>
          <w:bCs/>
        </w:rPr>
        <w:t>4.</w:t>
      </w:r>
      <w:r>
        <w:rPr>
          <w:rFonts w:ascii="宋体" w:hAnsi="宋体" w:cs="宋体" w:eastAsia="宋体" w:hint="default"/>
          <w:b/>
          <w:bCs/>
        </w:rPr>
        <w:t>为合并发生的相关费用</w:t>
      </w:r>
      <w:r>
        <w:rPr>
          <w:rFonts w:ascii="宋体" w:hAnsi="宋体" w:cs="宋体" w:eastAsia="宋体" w:hint="default"/>
          <w:b/>
          <w:bCs/>
          <w:spacing w:val="-84"/>
        </w:rPr>
        <w:t> </w:t>
      </w:r>
      <w:r>
        <w:rPr>
          <w:rFonts w:ascii="宋体" w:hAnsi="宋体" w:cs="宋体" w:eastAsia="宋体" w:hint="default"/>
          <w:b/>
          <w:bCs/>
          <w:spacing w:val="-84"/>
        </w:rPr>
      </w:r>
      <w:r>
        <w:rPr>
          <w:spacing w:val="-2"/>
        </w:rPr>
        <w:t>为企业合并发生的审计、法律服务、评估咨询等中介费用以及其他直接相关费用，于发生时计入当期损益；为企业合并</w:t>
      </w:r>
    </w:p>
    <w:p>
      <w:pPr>
        <w:pStyle w:val="BodyText"/>
        <w:spacing w:line="240" w:lineRule="auto" w:before="41"/>
        <w:ind w:right="0"/>
        <w:jc w:val="both"/>
      </w:pPr>
      <w:r>
        <w:rPr/>
        <w:t>而发行权益性证券的交易费用，可直接归属于权益性交易的从权益中扣减。</w:t>
      </w:r>
    </w:p>
    <w:p>
      <w:pPr>
        <w:spacing w:line="240" w:lineRule="auto" w:before="0"/>
        <w:rPr>
          <w:rFonts w:ascii="宋体" w:hAnsi="宋体" w:cs="宋体" w:eastAsia="宋体" w:hint="default"/>
          <w:sz w:val="18"/>
          <w:szCs w:val="18"/>
        </w:rPr>
      </w:pPr>
    </w:p>
    <w:p>
      <w:pPr>
        <w:pStyle w:val="Heading5"/>
        <w:spacing w:line="240" w:lineRule="auto" w:before="148"/>
        <w:ind w:right="0"/>
        <w:jc w:val="both"/>
        <w:rPr>
          <w:b w:val="0"/>
          <w:bCs w:val="0"/>
        </w:rPr>
      </w:pPr>
      <w:bookmarkStart w:name="6、合并财务报表的编制方法" w:id="178"/>
      <w:bookmarkEnd w:id="178"/>
      <w:r>
        <w:rPr>
          <w:b w:val="0"/>
          <w:bCs w:val="0"/>
        </w:rPr>
      </w:r>
      <w:r>
        <w:rPr>
          <w:rFonts w:ascii="Times New Roman" w:hAnsi="Times New Roman" w:cs="Times New Roman" w:eastAsia="Times New Roman" w:hint="default"/>
          <w:spacing w:val="4"/>
        </w:rPr>
        <w:t>6</w:t>
      </w:r>
      <w:r>
        <w:rPr>
          <w:spacing w:val="4"/>
        </w:rPr>
        <w:t>、合并财务报表的编制方法</w:t>
      </w:r>
      <w:r>
        <w:rPr>
          <w:b w:val="0"/>
          <w:bCs w:val="0"/>
          <w:spacing w:val="4"/>
        </w:rPr>
      </w:r>
    </w:p>
    <w:p>
      <w:pPr>
        <w:spacing w:line="240" w:lineRule="auto" w:before="11"/>
        <w:rPr>
          <w:rFonts w:ascii="宋体" w:hAnsi="宋体" w:cs="宋体" w:eastAsia="宋体" w:hint="default"/>
          <w:b/>
          <w:bCs/>
          <w:sz w:val="27"/>
          <w:szCs w:val="27"/>
        </w:rPr>
      </w:pPr>
    </w:p>
    <w:p>
      <w:pPr>
        <w:pStyle w:val="BodyText"/>
        <w:spacing w:line="273" w:lineRule="auto"/>
        <w:ind w:left="501" w:right="1029"/>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w w:val="99"/>
        </w:rPr>
        <w:t> </w:t>
      </w:r>
      <w:r>
        <w:rPr>
          <w:spacing w:val="-4"/>
        </w:rPr>
        <w:t>本公司合并财务报表的合并范围以控制为基础确定，所有子公司（包括本公司所控制的单独主体）均纳入合并财务报表。</w:t>
      </w:r>
    </w:p>
    <w:p>
      <w:pPr>
        <w:pStyle w:val="BodyText"/>
        <w:spacing w:line="288" w:lineRule="auto" w:before="69"/>
        <w:ind w:left="501" w:right="1081"/>
        <w:jc w:val="left"/>
      </w:pPr>
      <w:r>
        <w:rPr>
          <w:rFonts w:ascii="Times New Roman" w:hAnsi="Times New Roman" w:cs="Times New Roman" w:eastAsia="Times New Roman" w:hint="default"/>
          <w:b/>
          <w:bCs/>
        </w:rPr>
        <w:t>2.</w:t>
      </w:r>
      <w:r>
        <w:rPr>
          <w:rFonts w:ascii="宋体" w:hAnsi="宋体" w:cs="宋体" w:eastAsia="宋体" w:hint="default"/>
          <w:b/>
          <w:bCs/>
        </w:rPr>
        <w:t>合并程序</w:t>
      </w:r>
      <w:r>
        <w:rPr>
          <w:rFonts w:ascii="宋体" w:hAnsi="宋体" w:cs="宋体" w:eastAsia="宋体" w:hint="default"/>
          <w:b/>
          <w:bCs/>
          <w:w w:val="99"/>
        </w:rPr>
        <w:t> </w:t>
      </w:r>
      <w:r>
        <w:rPr>
          <w:spacing w:val="-1"/>
        </w:rPr>
        <w:t>本公司以自身和各子公司的财务报表为基础，根据其他有关资料，编制合并财务报表。本公司编制合并财务报表，将整</w:t>
      </w:r>
    </w:p>
    <w:p>
      <w:pPr>
        <w:pStyle w:val="BodyText"/>
        <w:spacing w:line="321" w:lineRule="auto" w:before="44"/>
        <w:ind w:right="1106"/>
        <w:jc w:val="both"/>
      </w:pPr>
      <w:r>
        <w:rPr>
          <w:spacing w:val="-2"/>
        </w:rPr>
        <w:t>个企业集团视为一个会计主体，依据相关企业会计准则的确认、计量和列报要求，按照统一的会计政策，反映本企业集团整</w:t>
      </w:r>
      <w:r>
        <w:rPr>
          <w:spacing w:val="-42"/>
        </w:rPr>
        <w:t> </w:t>
      </w:r>
      <w:r>
        <w:rPr>
          <w:spacing w:val="-42"/>
        </w:rPr>
      </w:r>
      <w:r>
        <w:rPr/>
        <w:t>体财务状况、经营成果和现金流量。</w:t>
      </w:r>
    </w:p>
    <w:p>
      <w:pPr>
        <w:pStyle w:val="BodyText"/>
        <w:spacing w:line="321" w:lineRule="auto" w:before="3"/>
        <w:ind w:right="1136" w:firstLine="360"/>
        <w:jc w:val="both"/>
      </w:pPr>
      <w:r>
        <w:rPr>
          <w:spacing w:val="-2"/>
        </w:rPr>
        <w:t>所有纳入合并财务报表合并范围的子公司所采用的会计政策、会计期间与本公司一致，如子公司采用的会计政策、会计</w:t>
      </w:r>
      <w:r>
        <w:rPr/>
        <w:t> 期间与本公司不一致的，在编制合并财务报表时，按本公司的会计政策、会计期间进行必要的调整。</w:t>
      </w:r>
    </w:p>
    <w:p>
      <w:pPr>
        <w:pStyle w:val="BodyText"/>
        <w:spacing w:line="321" w:lineRule="auto" w:before="18"/>
        <w:ind w:right="1131" w:firstLine="360"/>
        <w:jc w:val="both"/>
      </w:pPr>
      <w:r>
        <w:rPr>
          <w:spacing w:val="-2"/>
        </w:rPr>
        <w:t>合并财务报表时抵销本公司与各子公司、各子公司相互之间发生的内部交易对合并资产负债表、合并利润表、合并现金</w:t>
      </w:r>
      <w:r>
        <w:rPr/>
        <w:t> </w:t>
      </w:r>
      <w:r>
        <w:rPr>
          <w:spacing w:val="-2"/>
        </w:rPr>
        <w:t>流量表、合并股东权益变动表的影响。如果站在企业集团合并财务报表角度与以本公司或子公司为会计主体对同一交易的认</w:t>
      </w:r>
      <w:r>
        <w:rPr>
          <w:spacing w:val="-67"/>
        </w:rPr>
        <w:t> </w:t>
      </w:r>
      <w:r>
        <w:rPr>
          <w:spacing w:val="-67"/>
        </w:rPr>
      </w:r>
      <w:r>
        <w:rPr/>
        <w:t>定不同时，从企业集团的角度对该交易予以调整。</w:t>
      </w:r>
    </w:p>
    <w:p>
      <w:pPr>
        <w:pStyle w:val="BodyText"/>
        <w:spacing w:line="321" w:lineRule="auto" w:before="3"/>
        <w:ind w:right="112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58"/>
        </w:rPr>
        <w:t> </w:t>
      </w:r>
      <w:r>
        <w:rPr>
          <w:spacing w:val="-58"/>
        </w:rPr>
      </w:r>
      <w:r>
        <w:rPr/>
        <w:t>所有者权益中所享有份额而形成的余额，冲减少数股东权益。</w:t>
      </w:r>
    </w:p>
    <w:p>
      <w:pPr>
        <w:pStyle w:val="BodyText"/>
        <w:spacing w:line="321" w:lineRule="auto" w:before="18"/>
        <w:ind w:right="1105" w:firstLine="360"/>
        <w:jc w:val="both"/>
      </w:pPr>
      <w:r>
        <w:rPr>
          <w:spacing w:val="-2"/>
        </w:rPr>
        <w:t>对于同一控制下企业合并取得的子公司，以其资产、负债（包括最终控制方收购该子公司而形成的商誉）在最终控制方</w:t>
      </w:r>
      <w:r>
        <w:rPr/>
        <w:t> 财务报表中的账面价值为基础对其财务报表进行调整。</w:t>
      </w:r>
    </w:p>
    <w:p>
      <w:pPr>
        <w:pStyle w:val="BodyText"/>
        <w:spacing w:line="240" w:lineRule="auto" w:before="3"/>
        <w:ind w:left="501" w:right="0"/>
        <w:jc w:val="left"/>
      </w:pPr>
      <w:r>
        <w:rPr/>
        <w:t>对于非同一控制下企业合并取得的子公司，以购买日可辨认净资产公允价值为基础对其财务报表进行调整。</w:t>
      </w:r>
    </w:p>
    <w:p>
      <w:pPr>
        <w:pStyle w:val="BodyText"/>
        <w:spacing w:line="288" w:lineRule="auto" w:before="95"/>
        <w:ind w:left="501" w:right="1133" w:firstLine="300"/>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21" w:lineRule="auto" w:before="44"/>
        <w:ind w:right="1136"/>
        <w:jc w:val="both"/>
      </w:pPr>
      <w:r>
        <w:rPr>
          <w:spacing w:val="-2"/>
        </w:rPr>
        <w:t>期期初至报告期末的收入、费用、利润纳入合并利润表；将子公司或业务合并当期期初至报告期末的现金流量纳入合并现金</w:t>
      </w:r>
      <w:r>
        <w:rPr>
          <w:spacing w:val="-75"/>
        </w:rPr>
        <w:t> </w:t>
      </w:r>
      <w:r>
        <w:rPr>
          <w:spacing w:val="-75"/>
        </w:rPr>
      </w:r>
      <w:r>
        <w:rPr/>
        <w:t>流量表，同时对比较报表的相关项目进行调整，视同合并后的报告主体自最终控制方开始控制时点起一直存在。</w:t>
      </w:r>
    </w:p>
    <w:p>
      <w:pPr>
        <w:pStyle w:val="BodyText"/>
        <w:spacing w:line="321" w:lineRule="auto" w:before="3"/>
        <w:ind w:right="1116"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72"/>
        </w:rPr>
        <w:t> </w:t>
      </w:r>
      <w:r>
        <w:rPr>
          <w:spacing w:val="-72"/>
        </w:rPr>
      </w:r>
      <w:r>
        <w:rPr>
          <w:spacing w:val="-2"/>
        </w:rPr>
        <w:t>日孰晚日起至合并日之间已确认有关损益、其他综合收益以及其他净资产变动，分别冲减比较报表期间的期初留存收益或当</w:t>
      </w:r>
      <w:r>
        <w:rPr>
          <w:spacing w:val="-72"/>
        </w:rPr>
        <w:t> </w:t>
      </w:r>
      <w:r>
        <w:rPr>
          <w:spacing w:val="-72"/>
        </w:rPr>
      </w:r>
      <w:r>
        <w:rPr/>
        <w:t>期损益。</w:t>
      </w:r>
    </w:p>
    <w:p>
      <w:pPr>
        <w:pStyle w:val="BodyText"/>
        <w:spacing w:line="314" w:lineRule="auto" w:before="18"/>
        <w:ind w:right="1136"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75"/>
        </w:rPr>
        <w:t> </w:t>
      </w:r>
      <w:r>
        <w:rPr>
          <w:spacing w:val="-75"/>
        </w:rPr>
      </w:r>
      <w:r>
        <w:rPr/>
        <w:t>表。</w:t>
      </w:r>
    </w:p>
    <w:p>
      <w:pPr>
        <w:pStyle w:val="BodyText"/>
        <w:spacing w:line="321" w:lineRule="auto" w:before="24"/>
        <w:ind w:right="1133" w:firstLine="360"/>
        <w:jc w:val="left"/>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36"/>
        <w:jc w:val="both"/>
      </w:pPr>
      <w:r>
        <w:rPr>
          <w:spacing w:val="-2"/>
        </w:rPr>
        <w:t>权涉及权益法核算下的其他综合收益以及除净损益、其他综合收益和利润分配之外的其他所有者权益变动的，与其相关的其</w:t>
      </w:r>
      <w:r>
        <w:rPr>
          <w:spacing w:val="-72"/>
        </w:rPr>
        <w:t> </w:t>
      </w:r>
      <w:r>
        <w:rPr>
          <w:spacing w:val="-72"/>
        </w:rPr>
      </w:r>
      <w:r>
        <w:rPr>
          <w:spacing w:val="-2"/>
        </w:rPr>
        <w:t>他综合收益、其他所有者权益变动转为购买日所属当期投资收益，由于被投资方重新计量设定受益计划净负债或净资产变动</w:t>
      </w:r>
      <w:r>
        <w:rPr>
          <w:spacing w:val="-72"/>
        </w:rPr>
        <w:t> </w:t>
      </w:r>
      <w:r>
        <w:rPr>
          <w:spacing w:val="-72"/>
        </w:rPr>
      </w:r>
      <w:r>
        <w:rPr/>
        <w:t>而产生的其他综合收益除外。</w:t>
      </w:r>
    </w:p>
    <w:p>
      <w:pPr>
        <w:pStyle w:val="BodyText"/>
        <w:spacing w:line="240" w:lineRule="auto" w:before="18"/>
        <w:ind w:left="501" w:right="0"/>
        <w:jc w:val="left"/>
      </w:pPr>
      <w:r>
        <w:rPr/>
        <w:t>（</w:t>
      </w:r>
      <w:r>
        <w:rPr>
          <w:rFonts w:ascii="Times New Roman" w:hAnsi="Times New Roman" w:cs="Times New Roman" w:eastAsia="Times New Roman" w:hint="default"/>
        </w:rPr>
        <w:t>2</w:t>
      </w:r>
      <w:r>
        <w:rPr/>
        <w:t>）处置子公司或业务</w:t>
      </w:r>
    </w:p>
    <w:p>
      <w:pPr>
        <w:pStyle w:val="BodyText"/>
        <w:spacing w:line="290" w:lineRule="auto" w:before="66"/>
        <w:ind w:left="501" w:right="0" w:firstLine="375"/>
        <w:jc w:val="left"/>
      </w:pPr>
      <w:r>
        <w:rPr>
          <w:rFonts w:ascii="Times New Roman" w:hAnsi="Times New Roman" w:cs="Times New Roman" w:eastAsia="Times New Roman" w:hint="default"/>
        </w:rPr>
        <w:t>1</w:t>
      </w:r>
      <w:r>
        <w:rPr/>
        <w:t>）一般处理方法 </w:t>
      </w:r>
      <w:r>
        <w:rPr>
          <w:spacing w:val="-2"/>
        </w:rPr>
        <w:t>在报告期内，本公司处置子公司或业务，则该子公司或业务期初至处置日的收入、费用、利润纳入合并利润表；该子公</w:t>
      </w:r>
    </w:p>
    <w:p>
      <w:pPr>
        <w:pStyle w:val="BodyText"/>
        <w:spacing w:line="321" w:lineRule="auto" w:before="41"/>
        <w:ind w:left="501" w:right="1133"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21" w:lineRule="auto" w:before="3"/>
        <w:ind w:right="1029"/>
        <w:jc w:val="left"/>
      </w:pPr>
      <w:r>
        <w:rPr>
          <w:spacing w:val="-2"/>
        </w:rPr>
        <w:t>日的公允价值进行重新计量。处置股权取得的对价与剩余股权公允价值之和，减去按原持股比例计算应享有原有子公司自购</w:t>
      </w:r>
      <w:r>
        <w:rPr>
          <w:spacing w:val="-72"/>
        </w:rPr>
        <w:t> </w:t>
      </w:r>
      <w:r>
        <w:rPr>
          <w:spacing w:val="-72"/>
        </w:rPr>
      </w:r>
      <w:r>
        <w:rPr>
          <w:spacing w:val="-2"/>
        </w:rPr>
        <w:t>买日或合并日开始持续计算的净资产的份额与商誉之和的差额，计入丧失控制权当期的投资收益。与原有子公司股权投资相</w:t>
      </w:r>
      <w:r>
        <w:rPr>
          <w:spacing w:val="-72"/>
        </w:rPr>
        <w:t> </w:t>
      </w:r>
      <w:r>
        <w:rPr>
          <w:spacing w:val="-72"/>
        </w:rPr>
      </w:r>
      <w:r>
        <w:rPr/>
        <w:t>关的其他综合收益或除净损益、其他综合收益及利润分配之外的其他所有者权益变动，在丧失控制权时转为当期投资收益，</w:t>
      </w:r>
      <w:r>
        <w:rPr>
          <w:spacing w:val="-84"/>
        </w:rPr>
        <w:t> </w:t>
      </w:r>
      <w:r>
        <w:rPr>
          <w:spacing w:val="-84"/>
        </w:rPr>
      </w:r>
      <w:r>
        <w:rPr/>
        <w:t>由于被投资方重新计量设定受益计划净负债或净资产变动而产生的其他综合收益除外。</w:t>
      </w:r>
    </w:p>
    <w:p>
      <w:pPr>
        <w:pStyle w:val="BodyText"/>
        <w:spacing w:line="273" w:lineRule="auto" w:before="34"/>
        <w:ind w:left="501" w:right="1133" w:firstLine="375"/>
        <w:jc w:val="left"/>
      </w:pPr>
      <w:r>
        <w:rPr>
          <w:rFonts w:ascii="Times New Roman" w:hAnsi="Times New Roman" w:cs="Times New Roman" w:eastAsia="Times New Roman" w:hint="default"/>
        </w:rPr>
        <w:t>2</w:t>
      </w:r>
      <w:r>
        <w:rPr/>
        <w:t>）分步处置子公司 </w:t>
      </w:r>
      <w:r>
        <w:rPr>
          <w:spacing w:val="-2"/>
        </w:rPr>
        <w:t>通过多次交易分步处置对子公司股权投资直至丧失控制权的，处置对子公司股权投资的各项交易的条款、条件以及经济</w:t>
      </w:r>
    </w:p>
    <w:p>
      <w:pPr>
        <w:pStyle w:val="BodyText"/>
        <w:spacing w:line="321" w:lineRule="auto" w:before="55"/>
        <w:ind w:left="862" w:right="3549" w:hanging="721"/>
        <w:jc w:val="left"/>
      </w:pPr>
      <w:r>
        <w:rPr/>
        <w:t>影响符合以下一种或多种情况，通常表明应将多次交易事项作为一揽子交易进行会计处理： </w:t>
      </w:r>
      <w:r>
        <w:rPr>
          <w:rFonts w:ascii="宋体" w:hAnsi="宋体" w:cs="宋体" w:eastAsia="宋体" w:hint="default"/>
        </w:rPr>
        <w:t>A.</w:t>
      </w:r>
      <w:r>
        <w:rPr/>
        <w:t>这些交易是同时或者在考虑了彼此影响的情况下订立的； </w:t>
      </w:r>
      <w:r>
        <w:rPr>
          <w:rFonts w:ascii="宋体" w:hAnsi="宋体" w:cs="宋体" w:eastAsia="宋体" w:hint="default"/>
        </w:rPr>
        <w:t>B.</w:t>
      </w:r>
      <w:r>
        <w:rPr/>
        <w:t>这些交易整体才能达成一项完整的商业结果； </w:t>
      </w:r>
      <w:r>
        <w:rPr>
          <w:rFonts w:ascii="宋体" w:hAnsi="宋体" w:cs="宋体" w:eastAsia="宋体" w:hint="default"/>
        </w:rPr>
        <w:t>C.</w:t>
      </w:r>
      <w:r>
        <w:rPr/>
        <w:t>一项交易的发生取决于其他至少一项交易的发生；</w:t>
      </w:r>
    </w:p>
    <w:p>
      <w:pPr>
        <w:pStyle w:val="BodyText"/>
        <w:spacing w:line="288" w:lineRule="auto" w:before="19"/>
        <w:ind w:left="501" w:right="0" w:firstLine="75"/>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30"/>
        </w:rPr>
        <w:t> </w:t>
      </w:r>
      <w:r>
        <w:rPr/>
        <w:t>一项交易单独看是不经济的，但是和其他交易一并考虑时是经济的。 </w:t>
      </w:r>
      <w:r>
        <w:rPr>
          <w:spacing w:val="-2"/>
        </w:rPr>
        <w:t>处置对子公司股权投资直至丧失控制权的各项交易属于一揽子交易的，本公司将各项交易作为一项处置子公司并丧失控</w:t>
      </w:r>
    </w:p>
    <w:p>
      <w:pPr>
        <w:pStyle w:val="BodyText"/>
        <w:spacing w:line="321" w:lineRule="auto" w:before="44"/>
        <w:ind w:right="0"/>
        <w:jc w:val="left"/>
      </w:pPr>
      <w:r>
        <w:rPr>
          <w:spacing w:val="-2"/>
        </w:rPr>
        <w:t>制权的交易进行会计处理；但是，在丧失控制权之前每一次处置价款与处置投资对应的享有该子公司净资产份额的差额，在</w:t>
      </w:r>
      <w:r>
        <w:rPr>
          <w:spacing w:val="-75"/>
        </w:rPr>
        <w:t> </w:t>
      </w:r>
      <w:r>
        <w:rPr>
          <w:spacing w:val="-75"/>
        </w:rPr>
      </w:r>
      <w:r>
        <w:rPr/>
        <w:t>合并财务报表中确认为其他综合收益，在丧失控制权时一并转入丧失控制权当期的损益。</w:t>
      </w:r>
    </w:p>
    <w:p>
      <w:pPr>
        <w:pStyle w:val="BodyText"/>
        <w:spacing w:line="307" w:lineRule="auto" w:before="18"/>
        <w:ind w:right="1133" w:firstLine="360"/>
        <w:jc w:val="left"/>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290" w:lineRule="auto" w:before="44"/>
        <w:ind w:left="501" w:right="1133"/>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21" w:lineRule="auto" w:before="41"/>
        <w:ind w:right="1118"/>
        <w:jc w:val="left"/>
      </w:pPr>
      <w:r>
        <w:rPr>
          <w:spacing w:val="-2"/>
        </w:rPr>
        <w:t>算的净资产份额之间的差额，调整合并资产负债表中的资本公积中的股本溢价，资本公积中的股本溢价不足冲减的，调整留</w:t>
      </w:r>
      <w:r>
        <w:rPr>
          <w:spacing w:val="-75"/>
        </w:rPr>
        <w:t> </w:t>
      </w:r>
      <w:r>
        <w:rPr>
          <w:spacing w:val="-75"/>
        </w:rPr>
      </w:r>
      <w:r>
        <w:rPr/>
        <w:t>存收益。</w:t>
      </w:r>
    </w:p>
    <w:p>
      <w:pPr>
        <w:pStyle w:val="BodyText"/>
        <w:spacing w:line="290" w:lineRule="auto" w:before="18"/>
        <w:ind w:left="501" w:right="1209"/>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21" w:lineRule="auto" w:before="41"/>
        <w:ind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spacing w:val="5"/>
        </w:rPr>
        <w:t>7</w:t>
      </w:r>
      <w:r>
        <w:rPr>
          <w:spacing w:val="5"/>
        </w:rPr>
        <w:t>、合营安排分类及共同经营会计处理方法</w:t>
      </w:r>
      <w:r>
        <w:rPr>
          <w:b w:val="0"/>
          <w:bCs w:val="0"/>
          <w:spacing w:val="5"/>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8、现金及现金等价物的确定标准" w:id="180"/>
      <w:bookmarkEnd w:id="180"/>
      <w:r>
        <w:rPr>
          <w:b w:val="0"/>
          <w:bCs w:val="0"/>
        </w:rPr>
      </w:r>
      <w:r>
        <w:rPr>
          <w:rFonts w:ascii="Times New Roman" w:hAnsi="Times New Roman" w:cs="Times New Roman" w:eastAsia="Times New Roman" w:hint="default"/>
          <w:spacing w:val="5"/>
        </w:rPr>
        <w:t>8</w:t>
      </w:r>
      <w:r>
        <w:rPr>
          <w:spacing w:val="5"/>
        </w:rPr>
        <w:t>、现金及现金等价物的确定标准</w:t>
      </w:r>
      <w:r>
        <w:rPr>
          <w:b w:val="0"/>
          <w:bCs w:val="0"/>
          <w:spacing w:val="5"/>
        </w:rPr>
      </w:r>
    </w:p>
    <w:p>
      <w:pPr>
        <w:spacing w:line="240" w:lineRule="auto" w:before="9"/>
        <w:rPr>
          <w:rFonts w:ascii="宋体" w:hAnsi="宋体" w:cs="宋体" w:eastAsia="宋体" w:hint="default"/>
          <w:b/>
          <w:bCs/>
          <w:sz w:val="26"/>
          <w:szCs w:val="26"/>
        </w:rPr>
      </w:pPr>
    </w:p>
    <w:p>
      <w:pPr>
        <w:pStyle w:val="BodyText"/>
        <w:spacing w:line="321" w:lineRule="auto"/>
        <w:ind w:right="1029" w:firstLine="420"/>
        <w:jc w:val="left"/>
      </w:pPr>
      <w:r>
        <w:rPr/>
        <w:t>在编制现金流量表时，将本公司库存现金以及可以随时用于支付的存款确认为现金。将同时具备期限短（一般从购买 日起，三个月内到期）、流动性强、易于转换为已知金额的现金、价值变动风险很小四个条件的投资，确定为现金等价物。</w:t>
      </w:r>
    </w:p>
    <w:p>
      <w:pPr>
        <w:spacing w:line="240" w:lineRule="auto" w:before="8"/>
        <w:rPr>
          <w:rFonts w:ascii="宋体" w:hAnsi="宋体" w:cs="宋体" w:eastAsia="宋体" w:hint="default"/>
          <w:sz w:val="24"/>
          <w:szCs w:val="24"/>
        </w:rPr>
      </w:pPr>
    </w:p>
    <w:p>
      <w:pPr>
        <w:pStyle w:val="Heading5"/>
        <w:spacing w:line="240" w:lineRule="auto"/>
        <w:ind w:right="0"/>
        <w:jc w:val="left"/>
        <w:rPr>
          <w:b w:val="0"/>
          <w:bCs w:val="0"/>
        </w:rPr>
      </w:pPr>
      <w:bookmarkStart w:name="9、外币业务和外币报表折算" w:id="181"/>
      <w:bookmarkEnd w:id="181"/>
      <w:r>
        <w:rPr>
          <w:b w:val="0"/>
          <w:bCs w:val="0"/>
        </w:rPr>
      </w:r>
      <w:r>
        <w:rPr>
          <w:rFonts w:ascii="Times New Roman" w:hAnsi="Times New Roman" w:cs="Times New Roman" w:eastAsia="Times New Roman" w:hint="default"/>
          <w:spacing w:val="4"/>
        </w:rPr>
        <w:t>9</w:t>
      </w:r>
      <w:r>
        <w:rPr>
          <w:spacing w:val="4"/>
        </w:rPr>
        <w:t>、外币业务和外币报表折算</w:t>
      </w:r>
      <w:r>
        <w:rPr>
          <w:b w:val="0"/>
          <w:bCs w:val="0"/>
          <w:spacing w:val="4"/>
        </w:rPr>
      </w:r>
    </w:p>
    <w:p>
      <w:pPr>
        <w:spacing w:line="240" w:lineRule="auto" w:before="9"/>
        <w:rPr>
          <w:rFonts w:ascii="宋体" w:hAnsi="宋体" w:cs="宋体" w:eastAsia="宋体" w:hint="default"/>
          <w:b/>
          <w:bCs/>
          <w:sz w:val="26"/>
          <w:szCs w:val="26"/>
        </w:rPr>
      </w:pPr>
    </w:p>
    <w:p>
      <w:pPr>
        <w:pStyle w:val="Heading6"/>
        <w:spacing w:line="240" w:lineRule="auto"/>
        <w:ind w:left="621" w:right="0"/>
        <w:jc w:val="left"/>
        <w:rPr>
          <w:b w:val="0"/>
          <w:bCs w:val="0"/>
        </w:rPr>
      </w:pPr>
      <w:r>
        <w:rPr>
          <w:rFonts w:ascii="宋体" w:hAnsi="宋体" w:cs="宋体" w:eastAsia="宋体" w:hint="default"/>
        </w:rPr>
        <w:t>1.</w:t>
      </w:r>
      <w:r>
        <w:rPr>
          <w:rFonts w:ascii="宋体" w:hAnsi="宋体" w:cs="宋体" w:eastAsia="宋体" w:hint="default"/>
          <w:spacing w:val="85"/>
        </w:rPr>
        <w:t> </w:t>
      </w:r>
      <w:r>
        <w:rPr/>
        <w:t>外币业务</w:t>
      </w:r>
      <w:r>
        <w:rPr>
          <w:b w:val="0"/>
          <w:bCs w:val="0"/>
        </w:rPr>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b/>
          <w:bCs/>
          <w:sz w:val="26"/>
          <w:szCs w:val="26"/>
        </w:rPr>
      </w:pPr>
    </w:p>
    <w:p>
      <w:pPr>
        <w:pStyle w:val="BodyText"/>
        <w:spacing w:line="321" w:lineRule="auto" w:before="44"/>
        <w:ind w:left="561" w:right="1149"/>
        <w:jc w:val="left"/>
      </w:pPr>
      <w:r>
        <w:rPr/>
        <w:t>外币业务交易在初始确认时，采用交易发生日的即期汇率作为折算汇率折合成人民币记账。 资产负债表日，外币货币性项目按资产负债表日即期汇率折算，由此产生的汇兑差额，除属于与购建符合资本化条件</w:t>
      </w:r>
    </w:p>
    <w:p>
      <w:pPr>
        <w:pStyle w:val="BodyText"/>
        <w:spacing w:line="307" w:lineRule="auto" w:before="18"/>
        <w:ind w:right="0"/>
        <w:jc w:val="left"/>
      </w:pPr>
      <w:r>
        <w:rPr>
          <w:spacing w:val="-2"/>
        </w:rPr>
        <w:t>的资产相关的外币专门借款产生的汇兑差额按照借款费用资本化的原则处理外，均计入当期损益。以历史成本计量的外币非</w:t>
      </w:r>
      <w:r>
        <w:rPr>
          <w:spacing w:val="-72"/>
        </w:rPr>
        <w:t> </w:t>
      </w:r>
      <w:r>
        <w:rPr>
          <w:spacing w:val="-72"/>
        </w:rPr>
      </w:r>
      <w:r>
        <w:rPr/>
        <w:t>货币性项目，仍采用交易发生日的即期汇率折算，不改变其记账本位币金额。</w:t>
      </w:r>
    </w:p>
    <w:p>
      <w:pPr>
        <w:pStyle w:val="BodyText"/>
        <w:spacing w:line="321" w:lineRule="auto" w:before="29"/>
        <w:ind w:right="1167" w:firstLine="420"/>
        <w:jc w:val="both"/>
      </w:pPr>
      <w:r>
        <w:rPr/>
        <w:t>以公允价值计量的外币非货币性项目，采用公允价值确定日的即期汇率折算，由此产生的汇兑差额作为公允价值变动 损益计入当期损益。如属于可供出售外币非货币性项目的，形成的汇兑差额计入其他综合收益。</w:t>
      </w:r>
    </w:p>
    <w:p>
      <w:pPr>
        <w:pStyle w:val="Heading6"/>
        <w:spacing w:line="240" w:lineRule="auto" w:before="33"/>
        <w:ind w:left="591" w:right="0"/>
        <w:jc w:val="left"/>
        <w:rPr>
          <w:b w:val="0"/>
          <w:bCs w:val="0"/>
        </w:rPr>
      </w:pPr>
      <w:r>
        <w:rPr>
          <w:rFonts w:ascii="Times New Roman" w:hAnsi="Times New Roman" w:cs="Times New Roman" w:eastAsia="Times New Roman" w:hint="default"/>
        </w:rPr>
        <w:t>2.</w:t>
      </w:r>
      <w:r>
        <w:rPr/>
        <w:t>外币财务报表的折算</w:t>
      </w:r>
      <w:r>
        <w:rPr>
          <w:b w:val="0"/>
          <w:bCs w:val="0"/>
        </w:rPr>
      </w:r>
    </w:p>
    <w:p>
      <w:pPr>
        <w:pStyle w:val="BodyText"/>
        <w:spacing w:line="297" w:lineRule="auto" w:before="66"/>
        <w:ind w:right="1136" w:firstLine="420"/>
        <w:jc w:val="both"/>
      </w:pP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 </w:t>
      </w:r>
      <w:r>
        <w:rPr>
          <w:spacing w:val="-2"/>
        </w:rPr>
        <w:t>项目采用发生时的即期汇率折算。利润表中的收入和费用项目，采用当期平均汇率折算。按照上述折算产生的外币财务报表</w:t>
      </w:r>
      <w:r>
        <w:rPr>
          <w:spacing w:val="-75"/>
        </w:rPr>
        <w:t> </w:t>
      </w:r>
      <w:r>
        <w:rPr>
          <w:spacing w:val="-75"/>
        </w:rPr>
      </w:r>
      <w:r>
        <w:rPr/>
        <w:t>折算差额计入其他综合收益。</w:t>
      </w:r>
    </w:p>
    <w:p>
      <w:pPr>
        <w:pStyle w:val="BodyText"/>
        <w:spacing w:line="316" w:lineRule="auto" w:before="36"/>
        <w:ind w:right="1121" w:firstLine="420"/>
        <w:jc w:val="both"/>
      </w:pPr>
      <w:r>
        <w:rPr/>
        <w:t>处置境外经营时，将资产负债表中其他综合收益项目中列示的、与该境外经营相关的外币财务报表折算差额，自其他 </w:t>
      </w:r>
      <w:r>
        <w:rPr>
          <w:spacing w:val="-2"/>
        </w:rPr>
        <w:t>综合收益项目转入处置当期损益；在处置部分股权投资或其他原因导致持有境外经营权益比例降低但不丧失对境外经营控制</w:t>
      </w:r>
      <w:r>
        <w:rPr>
          <w:spacing w:val="-58"/>
        </w:rPr>
        <w:t> </w:t>
      </w:r>
      <w:r>
        <w:rPr>
          <w:spacing w:val="-58"/>
        </w:rPr>
      </w:r>
      <w:r>
        <w:rPr>
          <w:spacing w:val="-2"/>
        </w:rPr>
        <w:t>权时，与该境外经营处置部分相关的外币报表折算差额将归属于少数股东权益，不转入当期损益。在处置境外经营为联营企</w:t>
      </w:r>
      <w:r>
        <w:rPr>
          <w:spacing w:val="-64"/>
        </w:rPr>
        <w:t> </w:t>
      </w:r>
      <w:r>
        <w:rPr>
          <w:spacing w:val="-64"/>
        </w:rPr>
      </w:r>
      <w:r>
        <w:rPr/>
        <w:t>业或合营企业的部分股权时，与该境外经营相关的外币报表折算差额，按处置该境外经营的比例转入处置当期损益。</w:t>
      </w:r>
    </w:p>
    <w:p>
      <w:pPr>
        <w:spacing w:line="240" w:lineRule="auto" w:before="12"/>
        <w:rPr>
          <w:rFonts w:ascii="宋体" w:hAnsi="宋体" w:cs="宋体" w:eastAsia="宋体" w:hint="default"/>
          <w:sz w:val="24"/>
          <w:szCs w:val="24"/>
        </w:rPr>
      </w:pPr>
    </w:p>
    <w:p>
      <w:pPr>
        <w:pStyle w:val="Heading5"/>
        <w:spacing w:line="240" w:lineRule="auto"/>
        <w:ind w:right="0"/>
        <w:jc w:val="left"/>
        <w:rPr>
          <w:b w:val="0"/>
          <w:bCs w:val="0"/>
        </w:rPr>
      </w:pPr>
      <w:bookmarkStart w:name="10、金融工具" w:id="182"/>
      <w:bookmarkEnd w:id="182"/>
      <w:r>
        <w:rPr>
          <w:b w:val="0"/>
          <w:bCs w:val="0"/>
        </w:rPr>
      </w:r>
      <w:r>
        <w:rPr>
          <w:rFonts w:ascii="Times New Roman" w:hAnsi="Times New Roman" w:cs="Times New Roman" w:eastAsia="Times New Roman" w:hint="default"/>
          <w:spacing w:val="3"/>
        </w:rPr>
        <w:t>10</w:t>
      </w:r>
      <w:r>
        <w:rPr>
          <w:spacing w:val="3"/>
        </w:rPr>
        <w:t>、金融工具</w:t>
      </w:r>
      <w:r>
        <w:rPr>
          <w:b w:val="0"/>
          <w:bCs w:val="0"/>
          <w:spacing w:val="3"/>
        </w:rPr>
      </w:r>
    </w:p>
    <w:p>
      <w:pPr>
        <w:spacing w:line="240" w:lineRule="auto" w:before="9"/>
        <w:rPr>
          <w:rFonts w:ascii="宋体" w:hAnsi="宋体" w:cs="宋体" w:eastAsia="宋体" w:hint="default"/>
          <w:b/>
          <w:bCs/>
          <w:sz w:val="26"/>
          <w:szCs w:val="26"/>
        </w:rPr>
      </w:pPr>
    </w:p>
    <w:p>
      <w:pPr>
        <w:pStyle w:val="BodyText"/>
        <w:spacing w:line="321" w:lineRule="auto"/>
        <w:ind w:left="501" w:right="1133"/>
        <w:jc w:val="left"/>
      </w:pPr>
      <w:r>
        <w:rPr>
          <w:rFonts w:ascii="宋体" w:hAnsi="宋体" w:cs="宋体" w:eastAsia="宋体" w:hint="default"/>
          <w:b/>
          <w:bCs/>
        </w:rPr>
        <w:t>（一）金融工具</w:t>
      </w:r>
      <w:r>
        <w:rPr>
          <w:rFonts w:ascii="宋体" w:hAnsi="宋体" w:cs="宋体" w:eastAsia="宋体" w:hint="default"/>
          <w:b/>
          <w:bCs/>
          <w:w w:val="99"/>
        </w:rPr>
        <w:t> </w:t>
      </w:r>
      <w:r>
        <w:rPr>
          <w:spacing w:val="-2"/>
        </w:rPr>
        <w:t>金融工具，是指形成一方的金融资产并形成其他方的金融负债或权益工具的合同。在本公司成为金融工具合同的一方时</w:t>
      </w:r>
    </w:p>
    <w:p>
      <w:pPr>
        <w:spacing w:line="307" w:lineRule="auto" w:before="18"/>
        <w:ind w:left="141" w:right="8229" w:firstLine="0"/>
        <w:jc w:val="left"/>
        <w:rPr>
          <w:rFonts w:ascii="宋体" w:hAnsi="宋体" w:cs="宋体" w:eastAsia="宋体" w:hint="default"/>
          <w:sz w:val="18"/>
          <w:szCs w:val="18"/>
        </w:rPr>
      </w:pPr>
      <w:r>
        <w:rPr>
          <w:rFonts w:ascii="宋体" w:hAnsi="宋体" w:cs="宋体" w:eastAsia="宋体" w:hint="default"/>
          <w:sz w:val="18"/>
          <w:szCs w:val="18"/>
        </w:rPr>
        <w:t>确认一项金融资产或金融负债。 </w:t>
      </w:r>
      <w:r>
        <w:rPr>
          <w:rFonts w:ascii="宋体" w:hAnsi="宋体" w:cs="宋体" w:eastAsia="宋体" w:hint="default"/>
          <w:b/>
          <w:bCs/>
          <w:sz w:val="18"/>
          <w:szCs w:val="18"/>
        </w:rPr>
        <w:t>1.</w:t>
      </w:r>
      <w:r>
        <w:rPr>
          <w:rFonts w:ascii="宋体" w:hAnsi="宋体" w:cs="宋体" w:eastAsia="宋体" w:hint="default"/>
          <w:b/>
          <w:bCs/>
          <w:spacing w:val="83"/>
          <w:sz w:val="18"/>
          <w:szCs w:val="18"/>
        </w:rPr>
        <w:t> </w:t>
      </w:r>
      <w:r>
        <w:rPr>
          <w:rFonts w:ascii="宋体" w:hAnsi="宋体" w:cs="宋体" w:eastAsia="宋体" w:hint="default"/>
          <w:b/>
          <w:bCs/>
          <w:sz w:val="18"/>
          <w:szCs w:val="18"/>
        </w:rPr>
        <w:t>金融工具的分类</w:t>
      </w:r>
      <w:r>
        <w:rPr>
          <w:rFonts w:ascii="宋体" w:hAnsi="宋体" w:cs="宋体" w:eastAsia="宋体" w:hint="default"/>
          <w:sz w:val="18"/>
          <w:szCs w:val="18"/>
        </w:rPr>
      </w:r>
    </w:p>
    <w:p>
      <w:pPr>
        <w:pStyle w:val="BodyText"/>
        <w:spacing w:line="328" w:lineRule="auto" w:before="29"/>
        <w:ind w:right="1029" w:firstLine="360"/>
        <w:jc w:val="left"/>
        <w:rPr>
          <w:rFonts w:ascii="宋体" w:hAnsi="宋体" w:cs="宋体" w:eastAsia="宋体" w:hint="default"/>
        </w:rPr>
      </w:pPr>
      <w:r>
        <w:rPr>
          <w:spacing w:val="-4"/>
        </w:rPr>
        <w:t>本公司根据管理金融资产的业务模式和金融资产的合同现金流量特征，将金融资产划分为：以摊余成本计量的金融资产；</w:t>
      </w:r>
      <w:r>
        <w:rPr/>
        <w:t> 以公允价值计量且其变动计入其他综合收益的金融资产；以公允价值计量且其变动计入当期损益的金融资产。 </w:t>
      </w:r>
      <w:r>
        <w:rPr>
          <w:rFonts w:ascii="Times New Roman" w:hAnsi="Times New Roman" w:cs="Times New Roman" w:eastAsia="Times New Roman" w:hint="default"/>
          <w:b/>
          <w:bCs/>
        </w:rPr>
        <w:t>2.</w:t>
      </w:r>
      <w:r>
        <w:rPr>
          <w:rFonts w:ascii="宋体" w:hAnsi="宋体" w:cs="宋体" w:eastAsia="宋体" w:hint="default"/>
          <w:b/>
          <w:bCs/>
        </w:rPr>
        <w:t>金融资产的确认和计量</w:t>
      </w:r>
      <w:r>
        <w:rPr>
          <w:rFonts w:ascii="宋体" w:hAnsi="宋体" w:cs="宋体" w:eastAsia="宋体" w:hint="default"/>
        </w:rPr>
      </w:r>
    </w:p>
    <w:p>
      <w:pPr>
        <w:pStyle w:val="BodyText"/>
        <w:spacing w:line="213" w:lineRule="exact"/>
        <w:ind w:left="561" w:right="0"/>
        <w:jc w:val="left"/>
      </w:pPr>
      <w:r>
        <w:rPr/>
        <w:t>金融资产在初始确认时以公允价值计量。对于以公允价值计量且其变动计入当期损益的金融资产，相关交易费用直接</w:t>
      </w:r>
    </w:p>
    <w:p>
      <w:pPr>
        <w:pStyle w:val="BodyText"/>
        <w:spacing w:line="321" w:lineRule="auto" w:before="65"/>
        <w:ind w:right="0"/>
        <w:jc w:val="left"/>
      </w:pPr>
      <w:r>
        <w:rPr>
          <w:spacing w:val="-2"/>
        </w:rPr>
        <w:t>计入当期损益；对于其他类别的金融资产，相关交易费用计入初始确认金额。因销售产品或提供劳务而产生的、未包含或不</w:t>
      </w:r>
      <w:r>
        <w:rPr>
          <w:spacing w:val="-42"/>
        </w:rPr>
        <w:t> </w:t>
      </w:r>
      <w:r>
        <w:rPr>
          <w:spacing w:val="-42"/>
        </w:rPr>
      </w:r>
      <w:r>
        <w:rPr/>
        <w:t>考虑重大融资成分的应收账款或应收票据，本公司按照预期有权收取的对价金额作为初始确认金额。</w:t>
      </w:r>
    </w:p>
    <w:p>
      <w:pPr>
        <w:spacing w:line="405" w:lineRule="auto" w:before="154"/>
        <w:ind w:left="561" w:right="1149" w:hanging="1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以摊余成本计量的金融资产</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z w:val="18"/>
          <w:szCs w:val="18"/>
        </w:rPr>
        <w:t>本公司管理以摊余成本计量的金融资产的业务模式为以收取合同现金流量为目标，且此类金融资产的合同现金流量特</w:t>
      </w:r>
    </w:p>
    <w:p>
      <w:pPr>
        <w:pStyle w:val="BodyText"/>
        <w:spacing w:line="191" w:lineRule="exact"/>
        <w:ind w:right="0"/>
        <w:jc w:val="left"/>
      </w:pPr>
      <w:r>
        <w:rPr/>
        <w:t>征与基本借贷安排相一致，即在特定日期产生的现金流量，仅为对本金和以未偿付本金金额为基础的利息的支付。本公司对</w:t>
      </w:r>
    </w:p>
    <w:p>
      <w:pPr>
        <w:pStyle w:val="BodyText"/>
        <w:spacing w:line="240" w:lineRule="auto" w:before="65"/>
        <w:ind w:right="0"/>
        <w:jc w:val="left"/>
      </w:pPr>
      <w:r>
        <w:rPr/>
        <w:t>于此类金融资产，采用实际利率法，按照摊余成本进行后续计量，其摊销或减值产生的利得或损失，计入当期损益。</w:t>
      </w:r>
    </w:p>
    <w:p>
      <w:pPr>
        <w:spacing w:line="240" w:lineRule="auto" w:before="6"/>
        <w:rPr>
          <w:rFonts w:ascii="宋体" w:hAnsi="宋体" w:cs="宋体" w:eastAsia="宋体" w:hint="default"/>
          <w:sz w:val="16"/>
          <w:szCs w:val="16"/>
        </w:rPr>
      </w:pPr>
    </w:p>
    <w:p>
      <w:pPr>
        <w:spacing w:line="405" w:lineRule="auto" w:before="0"/>
        <w:ind w:left="561" w:right="1149" w:hanging="1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以公允价值计量且其变动计入其他综合收益的金融资产</w:t>
      </w:r>
      <w:r>
        <w:rPr>
          <w:rFonts w:ascii="宋体" w:hAnsi="宋体" w:cs="宋体" w:eastAsia="宋体" w:hint="default"/>
          <w:b/>
          <w:bCs/>
          <w:spacing w:val="-80"/>
          <w:sz w:val="18"/>
          <w:szCs w:val="18"/>
        </w:rPr>
        <w:t> </w:t>
      </w:r>
      <w:r>
        <w:rPr>
          <w:rFonts w:ascii="宋体" w:hAnsi="宋体" w:cs="宋体" w:eastAsia="宋体" w:hint="default"/>
          <w:b/>
          <w:bCs/>
          <w:spacing w:val="-80"/>
          <w:sz w:val="18"/>
          <w:szCs w:val="18"/>
        </w:rPr>
      </w:r>
      <w:r>
        <w:rPr>
          <w:rFonts w:ascii="宋体" w:hAnsi="宋体" w:cs="宋体" w:eastAsia="宋体" w:hint="default"/>
          <w:sz w:val="18"/>
          <w:szCs w:val="18"/>
        </w:rPr>
        <w:t>本公司管理此类金融资产的业务模式为既以收取合同现金流量为目标又以出售为目标，且此类金融资产的合同现金流</w:t>
      </w:r>
    </w:p>
    <w:p>
      <w:pPr>
        <w:pStyle w:val="BodyText"/>
        <w:spacing w:line="191" w:lineRule="exact"/>
        <w:ind w:right="0"/>
        <w:jc w:val="left"/>
      </w:pPr>
      <w:r>
        <w:rPr/>
        <w:t>量特征与基本借贷安排相一致。本公司对此类金融资产按照公允价值计量且其变动计入其他综合收益，但减值损失或利得、</w:t>
      </w:r>
    </w:p>
    <w:p>
      <w:pPr>
        <w:pStyle w:val="BodyText"/>
        <w:spacing w:line="307" w:lineRule="auto" w:before="79"/>
        <w:ind w:left="561" w:right="1149" w:hanging="421"/>
        <w:jc w:val="left"/>
      </w:pPr>
      <w:r>
        <w:rPr/>
        <w:t>汇兑损益和按照实际利率法计算的利息收入计入当期损益。 此外，本公司将部分非交易性权益工具投资指定为以公允价值计量且其变动计入其他综合收益的金融资产。本公司将</w:t>
      </w:r>
    </w:p>
    <w:p>
      <w:pPr>
        <w:pStyle w:val="BodyText"/>
        <w:spacing w:line="321" w:lineRule="auto" w:before="29"/>
        <w:ind w:right="0"/>
        <w:jc w:val="left"/>
      </w:pPr>
      <w:r>
        <w:rPr>
          <w:spacing w:val="-2"/>
        </w:rPr>
        <w:t>该类金融资产的相关股利收入计入当期损益，公允价值变动计入其他综合收益。当该金融资产终止确认时，之前计入其他综</w:t>
      </w:r>
      <w:r>
        <w:rPr>
          <w:spacing w:val="-75"/>
        </w:rPr>
        <w:t> </w:t>
      </w:r>
      <w:r>
        <w:rPr>
          <w:spacing w:val="-75"/>
        </w:rPr>
      </w:r>
      <w:r>
        <w:rPr/>
        <w:t>合收益的累计利得或损失将从其他综合收益转入留存收益，不计入当期损益。</w:t>
      </w:r>
    </w:p>
    <w:p>
      <w:pPr>
        <w:spacing w:line="420" w:lineRule="exact" w:before="28"/>
        <w:ind w:left="561" w:right="1149" w:hanging="1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以公允价值计量且其变动计入当期损益的金融资产</w:t>
      </w:r>
      <w:r>
        <w:rPr>
          <w:rFonts w:ascii="宋体" w:hAnsi="宋体" w:cs="宋体" w:eastAsia="宋体" w:hint="default"/>
          <w:b/>
          <w:bCs/>
          <w:spacing w:val="-79"/>
          <w:sz w:val="18"/>
          <w:szCs w:val="18"/>
        </w:rPr>
        <w:t> </w:t>
      </w:r>
      <w:r>
        <w:rPr>
          <w:rFonts w:ascii="宋体" w:hAnsi="宋体" w:cs="宋体" w:eastAsia="宋体" w:hint="default"/>
          <w:b/>
          <w:bCs/>
          <w:spacing w:val="-79"/>
          <w:sz w:val="18"/>
          <w:szCs w:val="18"/>
        </w:rPr>
      </w:r>
      <w:r>
        <w:rPr>
          <w:rFonts w:ascii="宋体" w:hAnsi="宋体" w:cs="宋体" w:eastAsia="宋体" w:hint="default"/>
          <w:sz w:val="18"/>
          <w:szCs w:val="18"/>
        </w:rPr>
        <w:t>本公司将上述以摊余成本计量的金融资产和以公允价值计量且其变动计入其他综合收益的金融资产之外的金融资产，</w:t>
      </w:r>
    </w:p>
    <w:p>
      <w:pPr>
        <w:pStyle w:val="BodyText"/>
        <w:spacing w:line="321" w:lineRule="auto" w:before="5"/>
        <w:ind w:right="0"/>
        <w:jc w:val="left"/>
      </w:pPr>
      <w:r>
        <w:rPr>
          <w:spacing w:val="-2"/>
        </w:rPr>
        <w:t>分类为以公允价值计量且其变动计入当期损益的金融资产。此外，在初始确认时，本公司为了消除或显著减少会计错配，将</w:t>
      </w:r>
      <w:r>
        <w:rPr>
          <w:spacing w:val="-46"/>
        </w:rPr>
        <w:t> </w:t>
      </w:r>
      <w:r>
        <w:rPr>
          <w:spacing w:val="-46"/>
        </w:rPr>
      </w:r>
      <w:r>
        <w:rPr>
          <w:spacing w:val="-2"/>
        </w:rPr>
        <w:t>部分金融资产指定为以公允价值计量且其变动计入当期损益的金融资产。对于此类金融资产，本公司采用公允价值进行后续</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计量，公允价值变动计入当期损益。</w:t>
      </w:r>
    </w:p>
    <w:p>
      <w:pPr>
        <w:spacing w:line="290" w:lineRule="auto" w:before="94"/>
        <w:ind w:left="561" w:right="1149" w:hanging="34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金融负债的分类、确认和计量</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z w:val="18"/>
          <w:szCs w:val="18"/>
        </w:rPr>
        <w:t>金融负债于初始确认时分类为以公允价值计量且其变动计入当期损益的金融负债和其他金融负债。对于以公允价值计</w:t>
      </w:r>
    </w:p>
    <w:p>
      <w:pPr>
        <w:pStyle w:val="BodyText"/>
        <w:spacing w:line="240" w:lineRule="auto" w:before="27"/>
        <w:ind w:right="0"/>
        <w:jc w:val="left"/>
      </w:pPr>
      <w:r>
        <w:rPr/>
        <w:t>量且其变动计入当期损益的金融负债</w:t>
      </w:r>
      <w:r>
        <w:rPr>
          <w:spacing w:val="-90"/>
        </w:rPr>
        <w:t>，</w:t>
      </w:r>
      <w:r>
        <w:rPr/>
        <w:t>相关交易费用直接计入当期损益</w:t>
      </w:r>
      <w:r>
        <w:rPr>
          <w:spacing w:val="-90"/>
        </w:rPr>
        <w:t>，</w:t>
      </w:r>
      <w:r>
        <w:rPr/>
        <w:t>其他金融负债的相关交易费用计入其初始确认金额。</w:t>
      </w:r>
    </w:p>
    <w:p>
      <w:pPr>
        <w:spacing w:line="240" w:lineRule="auto" w:before="5"/>
        <w:rPr>
          <w:rFonts w:ascii="宋体" w:hAnsi="宋体" w:cs="宋体" w:eastAsia="宋体" w:hint="default"/>
          <w:sz w:val="16"/>
          <w:szCs w:val="16"/>
        </w:rPr>
      </w:pPr>
    </w:p>
    <w:p>
      <w:pPr>
        <w:spacing w:line="405" w:lineRule="auto" w:before="0"/>
        <w:ind w:left="561" w:right="1149" w:hanging="1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以公允价值计量且其变动计入当期损益的金融负债</w:t>
      </w:r>
      <w:r>
        <w:rPr>
          <w:rFonts w:ascii="宋体" w:hAnsi="宋体" w:cs="宋体" w:eastAsia="宋体" w:hint="default"/>
          <w:b/>
          <w:bCs/>
          <w:spacing w:val="-79"/>
          <w:sz w:val="18"/>
          <w:szCs w:val="18"/>
        </w:rPr>
        <w:t> </w:t>
      </w:r>
      <w:r>
        <w:rPr>
          <w:rFonts w:ascii="宋体" w:hAnsi="宋体" w:cs="宋体" w:eastAsia="宋体" w:hint="default"/>
          <w:b/>
          <w:bCs/>
          <w:spacing w:val="-79"/>
          <w:sz w:val="18"/>
          <w:szCs w:val="18"/>
        </w:rPr>
      </w:r>
      <w:r>
        <w:rPr>
          <w:rFonts w:ascii="宋体" w:hAnsi="宋体" w:cs="宋体" w:eastAsia="宋体" w:hint="default"/>
          <w:sz w:val="18"/>
          <w:szCs w:val="18"/>
        </w:rPr>
        <w:t>以公允价值计量且其变动计入当期损益的金融负债，包括交易性金融负债（含属于金融负债的衍生工具）和初始确认</w:t>
      </w:r>
    </w:p>
    <w:p>
      <w:pPr>
        <w:pStyle w:val="BodyText"/>
        <w:spacing w:line="191" w:lineRule="exact"/>
        <w:ind w:right="0"/>
        <w:jc w:val="left"/>
      </w:pPr>
      <w:r>
        <w:rPr/>
        <w:t>时指定为以公允价值计量且其变动计入当期损益的金融负债。</w:t>
      </w:r>
    </w:p>
    <w:p>
      <w:pPr>
        <w:pStyle w:val="BodyText"/>
        <w:spacing w:line="307" w:lineRule="auto" w:before="79"/>
        <w:ind w:right="1167" w:firstLine="420"/>
        <w:jc w:val="both"/>
      </w:pPr>
      <w:r>
        <w:rPr/>
        <w:t>交易性金融负债（含属于金融负债的衍生工具），按照公允价值进行后续计量，除与套期会计有关外，公允价值变动 计入当期损益。</w:t>
      </w:r>
    </w:p>
    <w:p>
      <w:pPr>
        <w:pStyle w:val="BodyText"/>
        <w:spacing w:line="321" w:lineRule="auto" w:before="29"/>
        <w:ind w:right="1128" w:firstLine="420"/>
        <w:jc w:val="both"/>
      </w:pPr>
      <w:r>
        <w:rPr/>
        <w:t>被指定为以公允价值计量且其变动计入当期损益的金融负债，该负债由本公司自身信用风险变动引起的公允价值变动 </w:t>
      </w:r>
      <w:r>
        <w:rPr>
          <w:spacing w:val="-2"/>
        </w:rPr>
        <w:t>计入其他综合收益，且终止确认该负债时，计入其他综合收益的自身信用风险变动引起的其公允价值累计变动额转入留存收</w:t>
      </w:r>
      <w:r>
        <w:rPr>
          <w:spacing w:val="-72"/>
        </w:rPr>
        <w:t> </w:t>
      </w:r>
      <w:r>
        <w:rPr>
          <w:spacing w:val="-72"/>
        </w:rPr>
      </w:r>
      <w:r>
        <w:rPr>
          <w:spacing w:val="-2"/>
        </w:rPr>
        <w:t>益。其余公允价值变动计入当期损益。若按上述方式对该等金融负债的自身信用风险变动的影响进行处理会造成或扩大损益</w:t>
      </w:r>
      <w:r>
        <w:rPr>
          <w:spacing w:val="-63"/>
        </w:rPr>
        <w:t> </w:t>
      </w:r>
      <w:r>
        <w:rPr>
          <w:spacing w:val="-63"/>
        </w:rPr>
      </w:r>
      <w:r>
        <w:rPr/>
        <w:t>中的会计错配的，本公司将该金融负债的全部利得或损失（包括企业自身信用风险变动的影响金额）计入当期损益。</w:t>
      </w:r>
    </w:p>
    <w:p>
      <w:pPr>
        <w:pStyle w:val="BodyText"/>
        <w:spacing w:line="405" w:lineRule="auto" w:before="139"/>
        <w:ind w:left="561" w:right="1149" w:hanging="120"/>
        <w:jc w:val="left"/>
      </w:pPr>
      <w:r>
        <w:rPr>
          <w:rFonts w:ascii="Times New Roman" w:hAnsi="Times New Roman" w:cs="Times New Roman" w:eastAsia="Times New Roman" w:hint="default"/>
          <w:b/>
          <w:bCs/>
        </w:rPr>
        <w:t>(2)</w:t>
      </w:r>
      <w:r>
        <w:rPr>
          <w:rFonts w:ascii="宋体" w:hAnsi="宋体" w:cs="宋体" w:eastAsia="宋体" w:hint="default"/>
          <w:b/>
          <w:bCs/>
        </w:rPr>
        <w:t>其他金融负债</w:t>
      </w:r>
      <w:r>
        <w:rPr>
          <w:rFonts w:ascii="宋体" w:hAnsi="宋体" w:cs="宋体" w:eastAsia="宋体" w:hint="default"/>
          <w:b/>
          <w:bCs/>
          <w:spacing w:val="-81"/>
        </w:rPr>
        <w:t> </w:t>
      </w:r>
      <w:r>
        <w:rPr>
          <w:rFonts w:ascii="宋体" w:hAnsi="宋体" w:cs="宋体" w:eastAsia="宋体" w:hint="default"/>
          <w:b/>
          <w:bCs/>
          <w:spacing w:val="-81"/>
        </w:rPr>
      </w:r>
      <w:r>
        <w:rPr/>
        <w:t>除金融资产转移不符合终止确认条件或继续涉入被转移金融资产所形成的金融负债、财务担保合同外的其他金融负债</w:t>
      </w:r>
    </w:p>
    <w:p>
      <w:pPr>
        <w:pStyle w:val="BodyText"/>
        <w:spacing w:line="191" w:lineRule="exact"/>
        <w:ind w:right="0"/>
        <w:jc w:val="left"/>
      </w:pPr>
      <w:r>
        <w:rPr/>
        <w:t>分类为以摊余成本计量的金融负债，按摊余成本进行后续计量，终止确认或摊销产生的利得或损失计入当期损益。</w:t>
      </w:r>
    </w:p>
    <w:p>
      <w:pPr>
        <w:pStyle w:val="Heading6"/>
        <w:spacing w:line="240" w:lineRule="auto" w:before="95"/>
        <w:ind w:left="216" w:right="0"/>
        <w:jc w:val="left"/>
        <w:rPr>
          <w:b w:val="0"/>
          <w:bCs w:val="0"/>
        </w:rPr>
      </w:pPr>
      <w:r>
        <w:rPr>
          <w:rFonts w:ascii="Times New Roman" w:hAnsi="Times New Roman" w:cs="Times New Roman" w:eastAsia="Times New Roman" w:hint="default"/>
        </w:rPr>
        <w:t>4.</w:t>
      </w:r>
      <w:r>
        <w:rPr/>
        <w:t>金融资产转移的确认依据和计量方法</w:t>
      </w:r>
      <w:r>
        <w:rPr>
          <w:b w:val="0"/>
          <w:bCs w:val="0"/>
        </w:rPr>
      </w:r>
    </w:p>
    <w:p>
      <w:pPr>
        <w:pStyle w:val="BodyText"/>
        <w:spacing w:line="314" w:lineRule="auto" w:before="51"/>
        <w:ind w:right="990" w:firstLine="420"/>
        <w:jc w:val="left"/>
      </w:pPr>
      <w:r>
        <w:rPr/>
        <w:t>满足下列条件之一的金融资产，予以终止确认：① 收取该金融资产现金流量的合同权利终止；②</w:t>
      </w:r>
      <w:r>
        <w:rPr>
          <w:spacing w:val="-21"/>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72"/>
        </w:rPr>
        <w:t> </w:t>
      </w:r>
      <w:r>
        <w:rPr>
          <w:spacing w:val="-72"/>
        </w:rPr>
      </w:r>
      <w:r>
        <w:rPr/>
        <w:t>产所有权上几乎所有的风险和报酬，但是放弃了对该金融资产的控制。</w:t>
      </w:r>
    </w:p>
    <w:p>
      <w:pPr>
        <w:pStyle w:val="BodyText"/>
        <w:spacing w:line="321" w:lineRule="auto" w:before="24"/>
        <w:ind w:right="1136" w:firstLine="420"/>
        <w:jc w:val="both"/>
      </w:pPr>
      <w:r>
        <w:rPr/>
        <w:t>若企业既没有转移也没有保留金融资产所有权上几乎所有的风险和报酬，且未放弃对该金融资产的控制的，则按照继 </w:t>
      </w:r>
      <w:r>
        <w:rPr>
          <w:spacing w:val="-2"/>
        </w:rPr>
        <w:t>续涉入所转移金融资产的程度确认有关金融资产，并相应确认有关负债。继续涉入所转移金融资产的程度，是指该金融资产</w:t>
      </w:r>
      <w:r>
        <w:rPr>
          <w:spacing w:val="-75"/>
        </w:rPr>
        <w:t> </w:t>
      </w:r>
      <w:r>
        <w:rPr>
          <w:spacing w:val="-75"/>
        </w:rPr>
      </w:r>
      <w:r>
        <w:rPr/>
        <w:t>价值变动使企业面临的风险水平。</w:t>
      </w:r>
    </w:p>
    <w:p>
      <w:pPr>
        <w:pStyle w:val="BodyText"/>
        <w:spacing w:line="321" w:lineRule="auto" w:before="3"/>
        <w:ind w:right="1167" w:firstLine="420"/>
        <w:jc w:val="both"/>
      </w:pPr>
      <w:r>
        <w:rPr/>
        <w:t>金融资产整体转移满足终止确认条件的，将所转移金融资产的账面价值及因转移而收到的对价与原计入其他综合收益 的公允价值变动累计额之和的差额计入当期损益。</w:t>
      </w:r>
    </w:p>
    <w:p>
      <w:pPr>
        <w:pStyle w:val="BodyText"/>
        <w:spacing w:line="321" w:lineRule="auto" w:before="18"/>
        <w:ind w:right="1121" w:firstLine="420"/>
        <w:jc w:val="both"/>
      </w:pPr>
      <w:r>
        <w:rPr/>
        <w:t>金融资产部分转移满足终止确认条件的，将所转移金融资产的账面价值在终止确认及未终止确认部分之间按其相对的 </w:t>
      </w:r>
      <w:r>
        <w:rPr>
          <w:spacing w:val="-2"/>
        </w:rPr>
        <w:t>公允价值进行分摊，并将因转移而收到的对价与应分摊至终止确认部分的原计入其他综合收益的公允价值变动累计额之和与</w:t>
      </w:r>
      <w:r>
        <w:rPr>
          <w:spacing w:val="-58"/>
        </w:rPr>
        <w:t> </w:t>
      </w:r>
      <w:r>
        <w:rPr>
          <w:spacing w:val="-58"/>
        </w:rPr>
      </w:r>
      <w:r>
        <w:rPr/>
        <w:t>分摊的前述账面金额之差额计入当期损益。</w:t>
      </w:r>
    </w:p>
    <w:p>
      <w:pPr>
        <w:pStyle w:val="BodyText"/>
        <w:spacing w:line="324" w:lineRule="auto" w:before="3"/>
        <w:ind w:right="1118" w:firstLine="420"/>
        <w:jc w:val="left"/>
        <w:rPr>
          <w:rFonts w:ascii="宋体" w:hAnsi="宋体" w:cs="宋体" w:eastAsia="宋体" w:hint="default"/>
        </w:rPr>
      </w:pPr>
      <w:r>
        <w:rPr/>
        <w:t>本公司对采用附追索权方式出售的金融资产，或将持有的金融资产背书转让，需确定该金融资产所有权上几乎所有的 </w:t>
      </w:r>
      <w:r>
        <w:rPr>
          <w:spacing w:val="-2"/>
        </w:rPr>
        <w:t>风险和报酬是否已经转移。已将该金融资产所有权上几乎所有的风险和报酬转移给转入方的，终止确认该金融资产；保留了</w:t>
      </w:r>
      <w:r>
        <w:rPr>
          <w:spacing w:val="-75"/>
        </w:rPr>
        <w:t> </w:t>
      </w:r>
      <w:r>
        <w:rPr>
          <w:spacing w:val="-75"/>
        </w:rPr>
      </w:r>
      <w:r>
        <w:rPr>
          <w:spacing w:val="-2"/>
        </w:rPr>
        <w:t>金融资产所有权上几乎所有的风险和报酬的，不终止确认该金融资产；既没有转移也没有保留金融资产所有权上几乎所有的</w:t>
      </w:r>
      <w:r>
        <w:rPr>
          <w:spacing w:val="-71"/>
        </w:rPr>
        <w:t> </w:t>
      </w:r>
      <w:r>
        <w:rPr>
          <w:spacing w:val="-71"/>
        </w:rPr>
      </w:r>
      <w:r>
        <w:rPr/>
        <w:t>风险和报酬的，则继续判断企业是否对该资产保留了控制，并根据前面各段所述的原则进行会计处理。 </w:t>
      </w:r>
      <w:r>
        <w:rPr>
          <w:rFonts w:ascii="Times New Roman" w:hAnsi="Times New Roman" w:cs="Times New Roman" w:eastAsia="Times New Roman" w:hint="default"/>
          <w:b/>
          <w:bCs/>
        </w:rPr>
        <w:t>5.</w:t>
      </w:r>
      <w:r>
        <w:rPr>
          <w:rFonts w:ascii="宋体" w:hAnsi="宋体" w:cs="宋体" w:eastAsia="宋体" w:hint="default"/>
          <w:b/>
          <w:bCs/>
        </w:rPr>
        <w:t>金融负债终止确认</w:t>
      </w:r>
      <w:r>
        <w:rPr>
          <w:rFonts w:ascii="宋体" w:hAnsi="宋体" w:cs="宋体" w:eastAsia="宋体" w:hint="default"/>
        </w:rPr>
      </w:r>
    </w:p>
    <w:p>
      <w:pPr>
        <w:pStyle w:val="BodyText"/>
        <w:spacing w:line="202" w:lineRule="exact"/>
        <w:ind w:left="561" w:right="0"/>
        <w:jc w:val="left"/>
      </w:pPr>
      <w:r>
        <w:rPr/>
        <w:t>金融负债（或其一部分）的现时义务已经解除的，本公司终止确认该金融负债（或该部分金融负债）。本公司（借入</w:t>
      </w:r>
    </w:p>
    <w:p>
      <w:pPr>
        <w:pStyle w:val="BodyText"/>
        <w:spacing w:line="321" w:lineRule="auto" w:before="79"/>
        <w:ind w:right="1029"/>
        <w:jc w:val="left"/>
      </w:pPr>
      <w:r>
        <w:rPr/>
        <w:t>方）与借出方签订协议，以承担新金融负债的方式替换原金融负债，且新金融负债与原金融负债的合同条款实质上不同的， </w:t>
      </w:r>
      <w:r>
        <w:rPr>
          <w:spacing w:val="-2"/>
        </w:rPr>
        <w:t>终止确认原金融负债，同时确认一项新金融负债。本公司对原金融负债（或其一部分）的合同条款作出实质性修改的，终止</w:t>
      </w:r>
      <w:r>
        <w:rPr>
          <w:spacing w:val="-48"/>
        </w:rPr>
        <w:t> </w:t>
      </w:r>
      <w:r>
        <w:rPr>
          <w:spacing w:val="-48"/>
        </w:rPr>
      </w:r>
      <w:r>
        <w:rPr/>
        <w:t>确认原金融负债，同时按照修改后的条款确认一项新金融负债。</w:t>
      </w:r>
    </w:p>
    <w:p>
      <w:pPr>
        <w:pStyle w:val="BodyText"/>
        <w:spacing w:line="307" w:lineRule="auto" w:before="18"/>
        <w:ind w:right="1167" w:firstLine="420"/>
        <w:jc w:val="both"/>
      </w:pPr>
      <w:r>
        <w:rPr/>
        <w:t>金融负债（或其一部分）终止确认的，本公司将其账面价值与支付的对价（包括转出的非现金资产或承担的负债）之 间的差额，计入当期损益。</w:t>
      </w:r>
    </w:p>
    <w:p>
      <w:pPr>
        <w:spacing w:line="290" w:lineRule="auto" w:before="44"/>
        <w:ind w:left="561" w:right="1149" w:hanging="34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金融资产和金融负债的抵销</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z w:val="18"/>
          <w:szCs w:val="18"/>
        </w:rPr>
        <w:t>当本公司具有抵销已确认金额的金融资产和金融负债的法定权利，且该种法定权利是当前可执行的，同时本公司计划</w:t>
      </w:r>
    </w:p>
    <w:p>
      <w:pPr>
        <w:pStyle w:val="BodyText"/>
        <w:spacing w:line="321" w:lineRule="auto" w:before="41"/>
        <w:ind w:right="0"/>
        <w:jc w:val="left"/>
      </w:pPr>
      <w:r>
        <w:rPr>
          <w:spacing w:val="-2"/>
        </w:rPr>
        <w:t>以净额结算或同时变现该金融资产和清偿该金融负债时，金融资产和金融负债以相互抵销后的净额在资产负债表内列示。除</w:t>
      </w:r>
      <w:r>
        <w:rPr>
          <w:spacing w:val="-72"/>
        </w:rPr>
        <w:t> </w:t>
      </w:r>
      <w:r>
        <w:rPr>
          <w:spacing w:val="-72"/>
        </w:rPr>
      </w:r>
      <w:r>
        <w:rPr/>
        <w:t>此以外，金融资产和金融负债在资产负债表内分别列示，不予相互抵销。</w:t>
      </w:r>
    </w:p>
    <w:p>
      <w:pPr>
        <w:spacing w:after="0" w:line="321"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spacing w:line="288" w:lineRule="auto" w:before="44"/>
        <w:ind w:left="561" w:right="1149" w:hanging="34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公允价值，是指市场参与者在计量日发生的有序交易中，出售一项资产所能收到或者转移一项负债所需支付的价格。</w:t>
      </w:r>
    </w:p>
    <w:p>
      <w:pPr>
        <w:pStyle w:val="BodyText"/>
        <w:spacing w:line="316" w:lineRule="auto" w:before="44"/>
        <w:ind w:right="0"/>
        <w:jc w:val="left"/>
      </w:pPr>
      <w:r>
        <w:rPr>
          <w:spacing w:val="-2"/>
        </w:rPr>
        <w:t>金融工具存在活跃市场的，本公司采用活跃市场中的报价确定其公允价值。活跃市场中的报价是指易于定期从交易所、经纪</w:t>
      </w:r>
      <w:r>
        <w:rPr>
          <w:spacing w:val="-75"/>
        </w:rPr>
        <w:t> </w:t>
      </w:r>
      <w:r>
        <w:rPr>
          <w:spacing w:val="-75"/>
        </w:rPr>
      </w:r>
      <w:r>
        <w:rPr>
          <w:spacing w:val="-2"/>
        </w:rPr>
        <w:t>商、行业协会、定价服务机构等获得的价格，且代表了在公平交易中实际发生的市场交易的价格。金融工具不存在活跃市场</w:t>
      </w:r>
      <w:r>
        <w:rPr>
          <w:spacing w:val="-42"/>
        </w:rPr>
        <w:t> </w:t>
      </w:r>
      <w:r>
        <w:rPr>
          <w:spacing w:val="-42"/>
        </w:rPr>
      </w:r>
      <w:r>
        <w:rPr>
          <w:spacing w:val="-4"/>
        </w:rPr>
        <w:t>的，本公司采用估值技术确定其公允价值。估值技术包括参考熟悉情况并自愿交易的各方最近进行的市场交易中使用的价格、</w:t>
      </w:r>
      <w:r>
        <w:rPr>
          <w:spacing w:val="-50"/>
        </w:rPr>
        <w:t> </w:t>
      </w:r>
      <w:r>
        <w:rPr>
          <w:spacing w:val="-50"/>
        </w:rPr>
      </w:r>
      <w:r>
        <w:rPr>
          <w:spacing w:val="-2"/>
        </w:rPr>
        <w:t>参照实质上相同的其他金融工具当前的公允价值、现金流量折现法和期权定价模型等。在估值时，公司采用在当前情况下适</w:t>
      </w:r>
      <w:r>
        <w:rPr>
          <w:spacing w:val="-72"/>
        </w:rPr>
        <w:t> </w:t>
      </w:r>
      <w:r>
        <w:rPr>
          <w:spacing w:val="-72"/>
        </w:rPr>
      </w:r>
      <w:r>
        <w:rPr>
          <w:spacing w:val="-2"/>
        </w:rPr>
        <w:t>用并且有足够可利用数据和其他信息支持的估值技术，选择与市场参与者在相关资产或负债的交易中所考虑的资产或负债特</w:t>
      </w:r>
      <w:r>
        <w:rPr>
          <w:spacing w:val="-58"/>
        </w:rPr>
        <w:t> </w:t>
      </w:r>
      <w:r>
        <w:rPr>
          <w:spacing w:val="-58"/>
        </w:rPr>
      </w:r>
      <w:r>
        <w:rPr>
          <w:spacing w:val="-2"/>
        </w:rPr>
        <w:t>征相一致的输入值，并尽可能优先使用相关可观察输入值。在相关可观察输入值无法取得或取得不切实可行的情况下，使用</w:t>
      </w:r>
      <w:r>
        <w:rPr>
          <w:spacing w:val="-75"/>
        </w:rPr>
        <w:t> </w:t>
      </w:r>
      <w:r>
        <w:rPr>
          <w:spacing w:val="-75"/>
        </w:rPr>
      </w:r>
      <w:r>
        <w:rPr/>
        <w:t>不可观察输入值。</w:t>
      </w:r>
    </w:p>
    <w:p>
      <w:pPr>
        <w:pStyle w:val="Heading6"/>
        <w:spacing w:line="240" w:lineRule="auto" w:before="37"/>
        <w:ind w:left="216" w:right="0"/>
        <w:jc w:val="left"/>
        <w:rPr>
          <w:b w:val="0"/>
          <w:bCs w:val="0"/>
        </w:rPr>
      </w:pPr>
      <w:r>
        <w:rPr>
          <w:rFonts w:ascii="Times New Roman" w:hAnsi="Times New Roman" w:cs="Times New Roman" w:eastAsia="Times New Roman" w:hint="default"/>
        </w:rPr>
        <w:t>8.</w:t>
      </w:r>
      <w:r>
        <w:rPr/>
        <w:t>权益工具</w:t>
      </w:r>
      <w:r>
        <w:rPr>
          <w:b w:val="0"/>
          <w:bCs w:val="0"/>
        </w:rPr>
      </w:r>
    </w:p>
    <w:p>
      <w:pPr>
        <w:pStyle w:val="BodyText"/>
        <w:spacing w:line="321" w:lineRule="auto" w:before="51"/>
        <w:ind w:right="1128" w:firstLine="420"/>
        <w:jc w:val="both"/>
      </w:pPr>
      <w:r>
        <w:rPr/>
        <w:t>权益工具是指能证明拥有本公司在扣除所有负债后的资产中的剩余权益的合同。本公司发行（含再融资）、回购、出 </w:t>
      </w:r>
      <w:r>
        <w:rPr>
          <w:spacing w:val="-2"/>
        </w:rPr>
        <w:t>售或注销权益工具作为权益的变动处理，与权益性交易相关的交易费用从权益中扣减。本公司不确认权益工具的公允价值变</w:t>
      </w:r>
      <w:r>
        <w:rPr>
          <w:spacing w:val="-63"/>
        </w:rPr>
        <w:t> </w:t>
      </w:r>
      <w:r>
        <w:rPr>
          <w:spacing w:val="-63"/>
        </w:rPr>
      </w:r>
      <w:r>
        <w:rPr/>
        <w:t>动。</w:t>
      </w:r>
    </w:p>
    <w:p>
      <w:pPr>
        <w:pStyle w:val="BodyText"/>
        <w:spacing w:line="240" w:lineRule="auto" w:before="18"/>
        <w:ind w:right="0"/>
        <w:jc w:val="left"/>
      </w:pPr>
      <w:r>
        <w:rPr/>
        <w:t>本公司权益工具在存续期间分派股利（含分类为权益工具的工具所产生的</w:t>
      </w:r>
      <w:r>
        <w:rPr>
          <w:rFonts w:ascii="Times New Roman" w:hAnsi="Times New Roman" w:cs="Times New Roman" w:eastAsia="Times New Roman" w:hint="default"/>
        </w:rPr>
        <w:t>“</w:t>
      </w:r>
      <w:r>
        <w:rPr/>
        <w:t>利息</w:t>
      </w:r>
      <w:r>
        <w:rPr>
          <w:rFonts w:ascii="Times New Roman" w:hAnsi="Times New Roman" w:cs="Times New Roman" w:eastAsia="Times New Roman" w:hint="default"/>
        </w:rPr>
        <w:t>”</w:t>
      </w:r>
      <w:r>
        <w:rPr/>
        <w:t>）的，作为利润分配处理。</w:t>
      </w:r>
    </w:p>
    <w:p>
      <w:pPr>
        <w:spacing w:line="240" w:lineRule="auto" w:before="1"/>
        <w:rPr>
          <w:rFonts w:ascii="宋体" w:hAnsi="宋体" w:cs="宋体" w:eastAsia="宋体" w:hint="default"/>
          <w:sz w:val="13"/>
          <w:szCs w:val="13"/>
        </w:rPr>
      </w:pPr>
    </w:p>
    <w:p>
      <w:pPr>
        <w:pStyle w:val="BodyText"/>
        <w:spacing w:line="321" w:lineRule="auto"/>
        <w:ind w:left="561" w:right="1149" w:hanging="421"/>
        <w:jc w:val="left"/>
      </w:pPr>
      <w:r>
        <w:rPr>
          <w:rFonts w:ascii="宋体" w:hAnsi="宋体" w:cs="宋体" w:eastAsia="宋体" w:hint="default"/>
          <w:b/>
          <w:bCs/>
        </w:rPr>
        <w:t>（二）金融资产减值</w:t>
      </w:r>
      <w:r>
        <w:rPr>
          <w:rFonts w:ascii="宋体" w:hAnsi="宋体" w:cs="宋体" w:eastAsia="宋体" w:hint="default"/>
          <w:b/>
          <w:bCs/>
          <w:w w:val="99"/>
        </w:rPr>
        <w:t> </w:t>
      </w:r>
      <w:r>
        <w:rPr/>
        <w:t>本公司需确认减值损失的金融资产系以摊余成本计量的金融资产、以公允价值计量且其变动计入其他综合收益的债务</w:t>
      </w:r>
    </w:p>
    <w:p>
      <w:pPr>
        <w:pStyle w:val="BodyText"/>
        <w:spacing w:line="321" w:lineRule="auto" w:before="18"/>
        <w:ind w:right="0"/>
        <w:jc w:val="left"/>
      </w:pPr>
      <w:r>
        <w:rPr>
          <w:spacing w:val="-2"/>
        </w:rPr>
        <w:t>工具投资、租赁应收款，主要包括应收票据、应收账款、其他应收款、债权投资、其他债权投资、长期应收款等。此外，对</w:t>
      </w:r>
      <w:r>
        <w:rPr>
          <w:spacing w:val="-76"/>
        </w:rPr>
        <w:t> </w:t>
      </w:r>
      <w:r>
        <w:rPr>
          <w:spacing w:val="-76"/>
        </w:rPr>
      </w:r>
      <w:r>
        <w:rPr/>
        <w:t>合同资产及部分财务担保合同，也按照本部分所述会计政策计提减值准备和确认信用减值损失。</w:t>
      </w:r>
    </w:p>
    <w:p>
      <w:pPr>
        <w:pStyle w:val="BodyText"/>
        <w:spacing w:line="405" w:lineRule="auto" w:before="139"/>
        <w:ind w:left="561" w:right="1149" w:hanging="346"/>
        <w:jc w:val="left"/>
      </w:pPr>
      <w:r>
        <w:rPr>
          <w:rFonts w:ascii="Times New Roman" w:hAnsi="Times New Roman" w:cs="Times New Roman" w:eastAsia="Times New Roman" w:hint="default"/>
          <w:b/>
          <w:bCs/>
        </w:rPr>
        <w:t>1.</w:t>
      </w:r>
      <w:r>
        <w:rPr>
          <w:rFonts w:ascii="宋体" w:hAnsi="宋体" w:cs="宋体" w:eastAsia="宋体" w:hint="default"/>
          <w:b/>
          <w:bCs/>
        </w:rPr>
        <w:t>减值准备的确认方法</w:t>
      </w:r>
      <w:r>
        <w:rPr>
          <w:rFonts w:ascii="宋体" w:hAnsi="宋体" w:cs="宋体" w:eastAsia="宋体" w:hint="default"/>
          <w:b/>
          <w:bCs/>
          <w:spacing w:val="-84"/>
        </w:rPr>
        <w:t> </w:t>
      </w:r>
      <w:r>
        <w:rPr>
          <w:rFonts w:ascii="宋体" w:hAnsi="宋体" w:cs="宋体" w:eastAsia="宋体" w:hint="default"/>
          <w:b/>
          <w:bCs/>
          <w:spacing w:val="-84"/>
        </w:rPr>
      </w:r>
      <w:r>
        <w:rPr/>
        <w:t>本公司以预期信用损失为基础，对上述各项目按照其适用的预期信用损失计量方法（一般方法或简化方法）计提减值</w:t>
      </w:r>
    </w:p>
    <w:p>
      <w:pPr>
        <w:pStyle w:val="BodyText"/>
        <w:spacing w:line="191" w:lineRule="exact"/>
        <w:ind w:right="0"/>
        <w:jc w:val="left"/>
      </w:pPr>
      <w:r>
        <w:rPr/>
        <w:t>准备并确认信用减值损失。</w:t>
      </w:r>
    </w:p>
    <w:p>
      <w:pPr>
        <w:pStyle w:val="BodyText"/>
        <w:spacing w:line="314" w:lineRule="auto" w:before="79"/>
        <w:ind w:right="0" w:firstLine="420"/>
        <w:jc w:val="left"/>
      </w:pPr>
      <w:r>
        <w:rPr/>
        <w:t>信用损失，是指本公司按照原实际利率折现的、根据合同应收的所有合同现金流量与预期收取的所有现金流量之间的 </w:t>
      </w:r>
      <w:r>
        <w:rPr>
          <w:spacing w:val="-2"/>
        </w:rPr>
        <w:t>差额，即全部现金短缺的现值。其中，对于购买或源生的已发生信用减值的金融资产，本公司按照该金融资产经信用调整的</w:t>
      </w:r>
      <w:r>
        <w:rPr>
          <w:spacing w:val="-42"/>
        </w:rPr>
        <w:t> </w:t>
      </w:r>
      <w:r>
        <w:rPr>
          <w:spacing w:val="-42"/>
        </w:rPr>
      </w:r>
      <w:r>
        <w:rPr/>
        <w:t>实际利率折现。</w:t>
      </w:r>
    </w:p>
    <w:p>
      <w:pPr>
        <w:pStyle w:val="BodyText"/>
        <w:spacing w:line="321" w:lineRule="auto" w:before="24"/>
        <w:ind w:right="0" w:firstLine="420"/>
        <w:jc w:val="left"/>
      </w:pPr>
      <w:r>
        <w:rPr/>
        <w:t>预期信用损失计量的一般方法是指，本公司在每个资产负债表日评估金融资产（含合同资产等其他适用项目，下同） </w:t>
      </w:r>
      <w:r>
        <w:rPr>
          <w:spacing w:val="-2"/>
        </w:rPr>
        <w:t>的信用风险自初始确认后是否已经显著增加，如果信用风险自初始确认后已显著增加，本公司按照相当于整个存续期内预期</w:t>
      </w:r>
    </w:p>
    <w:p>
      <w:pPr>
        <w:pStyle w:val="BodyText"/>
        <w:spacing w:line="288" w:lineRule="auto" w:before="34"/>
        <w:ind w:right="0"/>
        <w:jc w:val="left"/>
      </w:pPr>
      <w:r>
        <w:rPr>
          <w:spacing w:val="-2"/>
        </w:rPr>
        <w:t>信用损失的金额计量损失准备；如果信用风险自初始确认后未显著增加，本公司按照相当于未来</w:t>
      </w:r>
      <w:r>
        <w:rPr>
          <w:rFonts w:ascii="Times New Roman" w:hAnsi="Times New Roman" w:cs="Times New Roman" w:eastAsia="Times New Roman" w:hint="default"/>
          <w:spacing w:val="-2"/>
        </w:rPr>
        <w:t>12</w:t>
      </w:r>
      <w:r>
        <w:rPr>
          <w:spacing w:val="-2"/>
        </w:rPr>
        <w:t>个月内预期信用损失的金</w:t>
      </w:r>
      <w:r>
        <w:rPr>
          <w:spacing w:val="-61"/>
        </w:rPr>
        <w:t> </w:t>
      </w:r>
      <w:r>
        <w:rPr/>
        <w:t>额计量损失准备。本公司在评估预期信用损失时，考虑所有合理且有依据的信息，包括前瞻性信息。</w:t>
      </w:r>
    </w:p>
    <w:p>
      <w:pPr>
        <w:pStyle w:val="BodyText"/>
        <w:spacing w:line="240" w:lineRule="auto" w:before="44"/>
        <w:ind w:left="561" w:right="0"/>
        <w:jc w:val="left"/>
        <w:rPr>
          <w:rFonts w:ascii="Times New Roman" w:hAnsi="Times New Roman" w:cs="Times New Roman" w:eastAsia="Times New Roman" w:hint="default"/>
        </w:rPr>
      </w:pPr>
      <w:r>
        <w:rPr/>
        <w:t>对于在资产负债表日具有较低信用风险的金融工具，本公司假设其信用风险自初始确认后并未显著增加，按照未来</w:t>
      </w:r>
      <w:r>
        <w:rPr>
          <w:spacing w:val="-34"/>
        </w:rPr>
        <w:t> </w:t>
      </w:r>
      <w:r>
        <w:rPr>
          <w:rFonts w:ascii="Times New Roman" w:hAnsi="Times New Roman" w:cs="Times New Roman" w:eastAsia="Times New Roman" w:hint="default"/>
        </w:rPr>
        <w:t>12</w:t>
      </w:r>
    </w:p>
    <w:p>
      <w:pPr>
        <w:pStyle w:val="BodyText"/>
        <w:spacing w:line="240" w:lineRule="auto" w:before="51"/>
        <w:ind w:right="0"/>
        <w:jc w:val="left"/>
      </w:pPr>
      <w:r>
        <w:rPr/>
        <w:t>个月内的预期信用损失计量损失准备。</w:t>
      </w:r>
    </w:p>
    <w:p>
      <w:pPr>
        <w:spacing w:line="240" w:lineRule="auto" w:before="6"/>
        <w:rPr>
          <w:rFonts w:ascii="宋体" w:hAnsi="宋体" w:cs="宋体" w:eastAsia="宋体" w:hint="default"/>
          <w:sz w:val="16"/>
          <w:szCs w:val="16"/>
        </w:rPr>
      </w:pPr>
    </w:p>
    <w:p>
      <w:pPr>
        <w:spacing w:line="405" w:lineRule="auto" w:before="0"/>
        <w:ind w:left="561" w:right="1149" w:hanging="34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信用风险自初始确认后是否显著增加的判断标准</w:t>
      </w:r>
      <w:r>
        <w:rPr>
          <w:rFonts w:ascii="宋体" w:hAnsi="宋体" w:cs="宋体" w:eastAsia="宋体" w:hint="default"/>
          <w:b/>
          <w:bCs/>
          <w:w w:val="99"/>
          <w:sz w:val="18"/>
          <w:szCs w:val="18"/>
        </w:rPr>
        <w:t> </w:t>
      </w:r>
      <w:r>
        <w:rPr>
          <w:rFonts w:ascii="宋体" w:hAnsi="宋体" w:cs="宋体" w:eastAsia="宋体" w:hint="default"/>
          <w:sz w:val="18"/>
          <w:szCs w:val="18"/>
        </w:rPr>
        <w:t>如果某项金融资产在资产负债表日确定的预计存续期内的违约概率显著高于在初始确认时确定的预计存续期内的违约</w:t>
      </w:r>
    </w:p>
    <w:p>
      <w:pPr>
        <w:pStyle w:val="BodyText"/>
        <w:spacing w:line="220" w:lineRule="exact"/>
        <w:ind w:right="0"/>
        <w:jc w:val="left"/>
      </w:pPr>
      <w:r>
        <w:rPr/>
        <w:t>概率，则表明该项金融资产的信用风险显著增加。除特殊情况外，本公司采用未来</w:t>
      </w:r>
      <w:r>
        <w:rPr>
          <w:rFonts w:ascii="Times New Roman" w:hAnsi="Times New Roman" w:cs="Times New Roman" w:eastAsia="Times New Roman" w:hint="default"/>
        </w:rPr>
        <w:t>12</w:t>
      </w:r>
      <w:r>
        <w:rPr/>
        <w:t>个月内发生的违约风险的变化作为整个</w:t>
      </w:r>
    </w:p>
    <w:p>
      <w:pPr>
        <w:pStyle w:val="BodyText"/>
        <w:spacing w:line="240" w:lineRule="auto" w:before="36"/>
        <w:ind w:right="0"/>
        <w:jc w:val="left"/>
      </w:pPr>
      <w:r>
        <w:rPr/>
        <w:t>存续期内发生违约风险变化的合理估计，来确定自初始确认后信用风险是否显著增加。</w:t>
      </w:r>
    </w:p>
    <w:p>
      <w:pPr>
        <w:spacing w:line="240" w:lineRule="auto" w:before="6"/>
        <w:rPr>
          <w:rFonts w:ascii="宋体" w:hAnsi="宋体" w:cs="宋体" w:eastAsia="宋体" w:hint="default"/>
          <w:sz w:val="16"/>
          <w:szCs w:val="16"/>
        </w:rPr>
      </w:pPr>
    </w:p>
    <w:p>
      <w:pPr>
        <w:spacing w:line="405" w:lineRule="auto" w:before="0"/>
        <w:ind w:left="561" w:right="1149" w:hanging="34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以组合为基础评估预期信用风险的组合方法</w:t>
      </w:r>
      <w:r>
        <w:rPr>
          <w:rFonts w:ascii="宋体" w:hAnsi="宋体" w:cs="宋体" w:eastAsia="宋体" w:hint="default"/>
          <w:b/>
          <w:bCs/>
          <w:w w:val="99"/>
          <w:sz w:val="18"/>
          <w:szCs w:val="18"/>
        </w:rPr>
        <w:t> </w:t>
      </w:r>
      <w:r>
        <w:rPr>
          <w:rFonts w:ascii="宋体" w:hAnsi="宋体" w:cs="宋体" w:eastAsia="宋体" w:hint="default"/>
          <w:sz w:val="18"/>
          <w:szCs w:val="18"/>
        </w:rPr>
        <w:t>本公司对信用风险显著不同的金融资产单项评价信用风险，如：应收关联方款项；与对方存在争议或涉及诉讼、仲裁</w:t>
      </w:r>
    </w:p>
    <w:p>
      <w:pPr>
        <w:pStyle w:val="BodyText"/>
        <w:spacing w:line="191" w:lineRule="exact"/>
        <w:ind w:right="0"/>
        <w:jc w:val="left"/>
      </w:pPr>
      <w:r>
        <w:rPr/>
        <w:t>的应收款项；已有明显迹象表明债务人很可能无法履行还款义务的应收款项等。</w:t>
      </w:r>
    </w:p>
    <w:p>
      <w:pPr>
        <w:pStyle w:val="BodyText"/>
        <w:spacing w:line="304" w:lineRule="auto" w:before="80"/>
        <w:ind w:right="1149" w:firstLine="420"/>
        <w:jc w:val="left"/>
      </w:pPr>
      <w:r>
        <w:rPr/>
        <w:t>除了单项评估信用风险的金融资产外，本公司基于共同风险特征将金融资产划分为不同的组别，在组合的基础上评估 信用风险。</w:t>
      </w:r>
    </w:p>
    <w:p>
      <w:pPr>
        <w:spacing w:line="240" w:lineRule="auto" w:before="9"/>
        <w:rPr>
          <w:rFonts w:ascii="宋体" w:hAnsi="宋体" w:cs="宋体" w:eastAsia="宋体" w:hint="default"/>
          <w:sz w:val="12"/>
          <w:szCs w:val="12"/>
        </w:rPr>
      </w:pPr>
    </w:p>
    <w:p>
      <w:pPr>
        <w:spacing w:line="405" w:lineRule="auto" w:before="0"/>
        <w:ind w:left="561" w:right="1149" w:hanging="34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金融资产减值的会计处理方法</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z w:val="18"/>
          <w:szCs w:val="18"/>
        </w:rPr>
        <w:t>期末，本公司计算各类金融资产的预计信用损失，如果该预计信用损失大于其当前减值准备的账面金额，将其差额确</w:t>
      </w:r>
    </w:p>
    <w:p>
      <w:pPr>
        <w:spacing w:after="0" w:line="405"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认为减值损失；如果小于当前减值准备的账面金额，则将差额确认为减值利得。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Heading5"/>
        <w:spacing w:line="240" w:lineRule="auto"/>
        <w:ind w:right="0"/>
        <w:jc w:val="left"/>
        <w:rPr>
          <w:b w:val="0"/>
          <w:bCs w:val="0"/>
        </w:rPr>
      </w:pPr>
      <w:bookmarkStart w:name="11、应收票据" w:id="183"/>
      <w:bookmarkEnd w:id="183"/>
      <w:r>
        <w:rPr>
          <w:b w:val="0"/>
          <w:bCs w:val="0"/>
        </w:rPr>
      </w:r>
      <w:r>
        <w:rPr>
          <w:rFonts w:ascii="Times New Roman" w:hAnsi="Times New Roman" w:cs="Times New Roman" w:eastAsia="Times New Roman" w:hint="default"/>
          <w:spacing w:val="3"/>
        </w:rPr>
        <w:t>11</w:t>
      </w:r>
      <w:r>
        <w:rPr>
          <w:spacing w:val="3"/>
        </w:rPr>
        <w:t>、应收票据</w:t>
      </w:r>
      <w:r>
        <w:rPr>
          <w:b w:val="0"/>
          <w:bCs w:val="0"/>
          <w:spacing w:val="3"/>
        </w:rPr>
      </w:r>
    </w:p>
    <w:p>
      <w:pPr>
        <w:spacing w:line="240" w:lineRule="auto" w:before="7"/>
        <w:rPr>
          <w:rFonts w:ascii="宋体" w:hAnsi="宋体" w:cs="宋体" w:eastAsia="宋体" w:hint="default"/>
          <w:b/>
          <w:bCs/>
          <w:sz w:val="25"/>
          <w:szCs w:val="25"/>
        </w:rPr>
      </w:pPr>
    </w:p>
    <w:p>
      <w:pPr>
        <w:pStyle w:val="BodyText"/>
        <w:spacing w:line="321" w:lineRule="auto"/>
        <w:ind w:right="1149" w:firstLine="420"/>
        <w:jc w:val="left"/>
      </w:pPr>
      <w:r>
        <w:rPr/>
        <w:t>本公司对于应收票据按照相当于整个存续期内的预期信用损失金额计量损失准备。基于应收票据的信用风险特征，将 其划分为不同组合：</w:t>
      </w:r>
    </w:p>
    <w:tbl>
      <w:tblPr>
        <w:tblW w:w="0" w:type="auto"/>
        <w:jc w:val="left"/>
        <w:tblInd w:w="126" w:type="dxa"/>
        <w:tblLayout w:type="fixed"/>
        <w:tblCellMar>
          <w:top w:w="0" w:type="dxa"/>
          <w:left w:w="0" w:type="dxa"/>
          <w:bottom w:w="0" w:type="dxa"/>
          <w:right w:w="0" w:type="dxa"/>
        </w:tblCellMar>
        <w:tblLook w:val="01E0"/>
      </w:tblPr>
      <w:tblGrid>
        <w:gridCol w:w="3064"/>
        <w:gridCol w:w="6023"/>
      </w:tblGrid>
      <w:tr>
        <w:trPr>
          <w:trHeight w:val="345"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0"/>
                <w:sz w:val="18"/>
                <w:szCs w:val="18"/>
              </w:rPr>
              <w:t> </w:t>
            </w:r>
            <w:r>
              <w:rPr>
                <w:rFonts w:ascii="宋体" w:hAnsi="宋体" w:cs="宋体" w:eastAsia="宋体" w:hint="default"/>
                <w:sz w:val="18"/>
                <w:szCs w:val="18"/>
              </w:rPr>
              <w:t>目</w:t>
            </w:r>
          </w:p>
        </w:tc>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6"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承兑人为信用风险较小的银行，参考历史信用损失经验不计提坏账准备</w:t>
            </w:r>
          </w:p>
        </w:tc>
      </w:tr>
      <w:tr>
        <w:trPr>
          <w:trHeight w:val="330"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根据承兑人的信用风险划分，与</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组合划分相同</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5"/>
        <w:spacing w:line="240" w:lineRule="auto" w:before="45"/>
        <w:ind w:right="0"/>
        <w:jc w:val="left"/>
        <w:rPr>
          <w:b w:val="0"/>
          <w:bCs w:val="0"/>
        </w:rPr>
      </w:pPr>
      <w:bookmarkStart w:name="12、应收账款" w:id="184"/>
      <w:bookmarkEnd w:id="184"/>
      <w:r>
        <w:rPr>
          <w:b w:val="0"/>
          <w:bCs w:val="0"/>
        </w:rPr>
      </w:r>
      <w:r>
        <w:rPr>
          <w:rFonts w:ascii="Times New Roman" w:hAnsi="Times New Roman" w:cs="Times New Roman" w:eastAsia="Times New Roman" w:hint="default"/>
          <w:spacing w:val="3"/>
        </w:rPr>
        <w:t>12</w:t>
      </w:r>
      <w:r>
        <w:rPr>
          <w:spacing w:val="3"/>
        </w:rPr>
        <w:t>、应收账款</w:t>
      </w:r>
      <w:r>
        <w:rPr>
          <w:b w:val="0"/>
          <w:bCs w:val="0"/>
          <w:spacing w:val="3"/>
        </w:rPr>
      </w:r>
    </w:p>
    <w:p>
      <w:pPr>
        <w:spacing w:line="240" w:lineRule="auto" w:before="9"/>
        <w:rPr>
          <w:rFonts w:ascii="宋体" w:hAnsi="宋体" w:cs="宋体" w:eastAsia="宋体" w:hint="default"/>
          <w:b/>
          <w:bCs/>
          <w:sz w:val="26"/>
          <w:szCs w:val="26"/>
        </w:rPr>
      </w:pPr>
    </w:p>
    <w:p>
      <w:pPr>
        <w:pStyle w:val="BodyText"/>
        <w:spacing w:line="321" w:lineRule="auto"/>
        <w:ind w:left="561" w:right="1689"/>
        <w:jc w:val="left"/>
      </w:pPr>
      <w:r>
        <w:rPr/>
        <w:t>对于不含重大融资成分的应收款项，本公司按照相当于整个存续期内的预期信用损失金额计量损失准备。 对于包含重大融资成分的应收款项，本公司选择始终按照相当于存续期内预期信用损失的金额计量损失准备。</w:t>
      </w:r>
    </w:p>
    <w:p>
      <w:pPr>
        <w:pStyle w:val="BodyText"/>
        <w:spacing w:line="312" w:lineRule="auto" w:before="3"/>
        <w:ind w:left="561" w:right="1149"/>
        <w:jc w:val="left"/>
      </w:pPr>
      <w:r>
        <w:rPr/>
        <w:t>①</w:t>
      </w:r>
      <w:r>
        <w:rPr>
          <w:spacing w:val="-15"/>
        </w:rPr>
        <w:t> </w:t>
      </w:r>
      <w:r>
        <w:rPr/>
        <w:t>单项金额重大并单项评估信用风险的应收账款</w:t>
      </w:r>
      <w:r>
        <w:rPr/>
        <w:t> 单项金额重大并单项评估信用风险的应收账款的确认标准：应收账款单项金额重大是指人民币超过</w:t>
      </w:r>
      <w:r>
        <w:rPr>
          <w:rFonts w:ascii="Times New Roman" w:hAnsi="Times New Roman" w:cs="Times New Roman" w:eastAsia="Times New Roman" w:hint="default"/>
        </w:rPr>
        <w:t>50</w:t>
      </w:r>
      <w:r>
        <w:rPr/>
        <w:t>万元。</w:t>
      </w:r>
      <w:r>
        <w:rPr>
          <w:spacing w:val="-81"/>
        </w:rPr>
        <w:t> </w:t>
      </w:r>
      <w:r>
        <w:rPr/>
        <w:t>单项金额重大的应收账款预期信用损失的计算方法：单独进行信用减值测试，按照相当于整个存续期内的预期信用损</w:t>
      </w:r>
    </w:p>
    <w:p>
      <w:pPr>
        <w:pStyle w:val="BodyText"/>
        <w:spacing w:line="321" w:lineRule="auto" w:before="25"/>
        <w:ind w:right="0"/>
        <w:jc w:val="left"/>
      </w:pPr>
      <w:r>
        <w:rPr>
          <w:spacing w:val="-2"/>
        </w:rPr>
        <w:t>失金额计量损失准备，计入当期损益。单独进行信用减值测试未发生减值的应收账款，将其归入相应信用风险特征组合计算</w:t>
      </w:r>
      <w:r>
        <w:rPr>
          <w:spacing w:val="-71"/>
        </w:rPr>
        <w:t> </w:t>
      </w:r>
      <w:r>
        <w:rPr>
          <w:spacing w:val="-71"/>
        </w:rPr>
      </w:r>
      <w:r>
        <w:rPr/>
        <w:t>预期信用损失。</w:t>
      </w:r>
    </w:p>
    <w:p>
      <w:pPr>
        <w:pStyle w:val="BodyText"/>
        <w:spacing w:line="321" w:lineRule="auto" w:before="3"/>
        <w:ind w:left="561" w:right="1149"/>
        <w:jc w:val="left"/>
      </w:pPr>
      <w:r>
        <w:rPr/>
        <w:t>②</w:t>
      </w:r>
      <w:r>
        <w:rPr>
          <w:spacing w:val="-15"/>
        </w:rPr>
        <w:t> </w:t>
      </w:r>
      <w:r>
        <w:rPr/>
        <w:t>单项金额虽不重大但单项评估信用风险的应收账款</w:t>
      </w:r>
      <w:r>
        <w:rPr/>
        <w:t> 单项评估信用风险的理由为：存在客观证据表明本公司将无法按应收款项的原有条款收回款项。 预期信用损失的计算方法为：根据应收款项的预计未来现金流量现值低于其账面价值的差额确认应收账款预期信用损</w:t>
      </w:r>
    </w:p>
    <w:p>
      <w:pPr>
        <w:pStyle w:val="BodyText"/>
        <w:spacing w:line="240" w:lineRule="auto" w:before="18"/>
        <w:ind w:right="0"/>
        <w:jc w:val="left"/>
      </w:pPr>
      <w:r>
        <w:rPr/>
        <w:t>失。</w:t>
      </w:r>
    </w:p>
    <w:p>
      <w:pPr>
        <w:pStyle w:val="BodyText"/>
        <w:spacing w:line="240" w:lineRule="auto" w:before="80"/>
        <w:ind w:left="561" w:right="0"/>
        <w:jc w:val="left"/>
      </w:pPr>
      <w:r>
        <w:rPr/>
        <w:t>③</w:t>
      </w:r>
      <w:r>
        <w:rPr>
          <w:spacing w:val="-15"/>
        </w:rPr>
        <w:t> </w:t>
      </w:r>
      <w:r>
        <w:rPr/>
        <w:t>除了单项评估信用风险的应收账款外，基于其信用风险特征，将其划分为不同组合：</w:t>
      </w:r>
    </w:p>
    <w:p>
      <w:pPr>
        <w:spacing w:line="240" w:lineRule="auto" w:before="13"/>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3064"/>
        <w:gridCol w:w="6023"/>
      </w:tblGrid>
      <w:tr>
        <w:trPr>
          <w:trHeight w:val="345"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2"/>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0"/>
                <w:sz w:val="18"/>
                <w:szCs w:val="18"/>
              </w:rPr>
              <w:t> </w:t>
            </w:r>
            <w:r>
              <w:rPr>
                <w:rFonts w:ascii="宋体" w:hAnsi="宋体" w:cs="宋体" w:eastAsia="宋体" w:hint="default"/>
                <w:sz w:val="18"/>
                <w:szCs w:val="18"/>
              </w:rPr>
              <w:t>目</w:t>
            </w:r>
          </w:p>
        </w:tc>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20"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661"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4"/>
              <w:ind w:left="-1" w:right="60"/>
              <w:jc w:val="left"/>
              <w:rPr>
                <w:rFonts w:ascii="宋体" w:hAnsi="宋体" w:cs="宋体" w:eastAsia="宋体" w:hint="default"/>
                <w:sz w:val="18"/>
                <w:szCs w:val="18"/>
              </w:rPr>
            </w:pPr>
            <w:r>
              <w:rPr>
                <w:rFonts w:ascii="宋体" w:hAnsi="宋体" w:cs="宋体" w:eastAsia="宋体" w:hint="default"/>
                <w:sz w:val="18"/>
                <w:szCs w:val="18"/>
              </w:rPr>
              <w:t>本公司根据以往的历史经验对应收款项计提比例作出最佳估计，参考应收款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项的账龄进行信用风险组合分类</w:t>
            </w:r>
          </w:p>
        </w:tc>
      </w:tr>
      <w:tr>
        <w:trPr>
          <w:trHeight w:val="345"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经税务局认定的出口销售业务增值税退税款</w:t>
            </w:r>
          </w:p>
        </w:tc>
      </w:tr>
      <w:tr>
        <w:trPr>
          <w:trHeight w:val="330"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应收集团内公司款项</w:t>
            </w:r>
          </w:p>
        </w:tc>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纳入合并范围的关联方组合</w:t>
            </w:r>
          </w:p>
        </w:tc>
      </w:tr>
      <w:tr>
        <w:trPr>
          <w:trHeight w:val="345"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应收保证金、押金</w:t>
            </w:r>
          </w:p>
        </w:tc>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应收各类保证金、押金组合</w:t>
            </w:r>
          </w:p>
        </w:tc>
      </w:tr>
    </w:tbl>
    <w:p>
      <w:pPr>
        <w:pStyle w:val="Heading4"/>
        <w:spacing w:line="255" w:lineRule="exact"/>
        <w:ind w:left="561" w:right="0"/>
        <w:jc w:val="left"/>
      </w:pPr>
      <w:r>
        <w:rPr/>
        <w:t>根据信用风险特征组合确定的预期信用损失计算方法</w:t>
      </w:r>
    </w:p>
    <w:p>
      <w:pPr>
        <w:pStyle w:val="Heading4"/>
        <w:spacing w:line="240" w:lineRule="auto" w:before="40"/>
        <w:ind w:left="561" w:right="0"/>
        <w:jc w:val="left"/>
      </w:pPr>
      <w:r>
        <w:rPr/>
        <w:t>①采用账龄分析法计算预期信用损失的比例如下</w:t>
      </w:r>
    </w:p>
    <w:p>
      <w:pPr>
        <w:spacing w:line="240" w:lineRule="auto" w:before="9"/>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3094"/>
        <w:gridCol w:w="5962"/>
      </w:tblGrid>
      <w:tr>
        <w:trPr>
          <w:trHeight w:val="330"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r>
      <w:tr>
        <w:trPr>
          <w:trHeight w:val="346"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246"/>
              <w:jc w:val="righ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个月</w:t>
            </w:r>
          </w:p>
        </w:tc>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0</w:t>
            </w:r>
          </w:p>
        </w:tc>
      </w:tr>
      <w:tr>
        <w:trPr>
          <w:trHeight w:val="345"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201"/>
              <w:jc w:val="righ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宋体" w:hAnsi="宋体" w:cs="宋体" w:eastAsia="宋体" w:hint="default"/>
                <w:sz w:val="18"/>
                <w:szCs w:val="18"/>
              </w:rPr>
              <w:t>个月</w:t>
            </w:r>
          </w:p>
        </w:tc>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10</w:t>
            </w:r>
          </w:p>
        </w:tc>
      </w:tr>
      <w:tr>
        <w:trPr>
          <w:trHeight w:val="345"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276"/>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25</w:t>
            </w:r>
          </w:p>
        </w:tc>
      </w:tr>
      <w:tr>
        <w:trPr>
          <w:trHeight w:val="330"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276"/>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50</w:t>
            </w:r>
          </w:p>
        </w:tc>
      </w:tr>
      <w:tr>
        <w:trPr>
          <w:trHeight w:val="345"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27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80</w:t>
            </w:r>
          </w:p>
        </w:tc>
      </w:tr>
      <w:tr>
        <w:trPr>
          <w:trHeight w:val="345"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276"/>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100</w:t>
            </w:r>
          </w:p>
        </w:tc>
      </w:tr>
      <w:tr>
        <w:trPr>
          <w:trHeight w:val="345"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230"/>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5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left="561" w:right="7269"/>
        <w:jc w:val="left"/>
      </w:pPr>
      <w:r>
        <w:rPr/>
        <w:t>②应收出口退税款 应收出口退税款不计算预期信用损失。</w:t>
      </w:r>
    </w:p>
    <w:p>
      <w:pPr>
        <w:pStyle w:val="BodyText"/>
        <w:spacing w:line="307" w:lineRule="auto" w:before="18"/>
        <w:ind w:left="561" w:right="6909"/>
        <w:jc w:val="left"/>
      </w:pPr>
      <w:r>
        <w:rPr/>
        <w:t>③应收集团内公司款项 应收集团内公司款项不计算预期信用损失。</w:t>
      </w:r>
    </w:p>
    <w:p>
      <w:pPr>
        <w:pStyle w:val="BodyText"/>
        <w:spacing w:line="321" w:lineRule="auto" w:before="29"/>
        <w:ind w:left="561" w:right="6729"/>
        <w:jc w:val="left"/>
      </w:pPr>
      <w:r>
        <w:rPr/>
        <w:t>④应收保证金、押金 应收各类保证金、押金不计算预期信用损失。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5"/>
        <w:spacing w:line="240" w:lineRule="auto"/>
        <w:ind w:right="0"/>
        <w:jc w:val="left"/>
        <w:rPr>
          <w:b w:val="0"/>
          <w:bCs w:val="0"/>
        </w:rPr>
      </w:pPr>
      <w:bookmarkStart w:name="13、应收款项融资" w:id="185"/>
      <w:bookmarkEnd w:id="185"/>
      <w:r>
        <w:rPr>
          <w:b w:val="0"/>
          <w:bCs w:val="0"/>
        </w:rPr>
      </w:r>
      <w:r>
        <w:rPr>
          <w:rFonts w:ascii="Times New Roman" w:hAnsi="Times New Roman" w:cs="Times New Roman" w:eastAsia="Times New Roman" w:hint="default"/>
          <w:spacing w:val="4"/>
        </w:rPr>
        <w:t>13</w:t>
      </w:r>
      <w:r>
        <w:rPr>
          <w:spacing w:val="4"/>
        </w:rPr>
        <w:t>、应收款项融资</w:t>
      </w:r>
      <w:r>
        <w:rPr>
          <w:b w:val="0"/>
          <w:bCs w:val="0"/>
          <w:spacing w:val="4"/>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4、其他应收款" w:id="186"/>
      <w:bookmarkEnd w:id="186"/>
      <w:r>
        <w:rPr>
          <w:b w:val="0"/>
          <w:bCs w:val="0"/>
        </w:rPr>
      </w:r>
      <w:r>
        <w:rPr>
          <w:rFonts w:ascii="Times New Roman" w:hAnsi="Times New Roman" w:cs="Times New Roman" w:eastAsia="Times New Roman" w:hint="default"/>
          <w:spacing w:val="5"/>
        </w:rPr>
        <w:t>14</w:t>
      </w:r>
      <w:r>
        <w:rPr>
          <w:spacing w:val="5"/>
        </w:rPr>
        <w:t>、其他应收款</w:t>
      </w:r>
      <w:r>
        <w:rPr>
          <w:b w:val="0"/>
          <w:bCs w:val="0"/>
          <w:spacing w:val="5"/>
        </w:rPr>
      </w:r>
    </w:p>
    <w:p>
      <w:pPr>
        <w:spacing w:line="240" w:lineRule="auto" w:before="11"/>
        <w:rPr>
          <w:rFonts w:ascii="宋体" w:hAnsi="宋体" w:cs="宋体" w:eastAsia="宋体" w:hint="default"/>
          <w:b/>
          <w:bCs/>
          <w:sz w:val="14"/>
          <w:szCs w:val="14"/>
        </w:rPr>
      </w:pPr>
    </w:p>
    <w:p>
      <w:pPr>
        <w:pStyle w:val="BodyText"/>
        <w:spacing w:line="390" w:lineRule="atLeast"/>
        <w:ind w:left="561" w:right="1149" w:hanging="421"/>
        <w:jc w:val="left"/>
      </w:pPr>
      <w:r>
        <w:rPr/>
        <w:t>其他应收款的预期信用损失的确定方法及会计处理方法 本公司依据其他应收款信用风险自初始确认后是否已经显著增加，采用相当于未来</w:t>
      </w:r>
      <w:r>
        <w:rPr>
          <w:rFonts w:ascii="Times New Roman" w:hAnsi="Times New Roman" w:cs="Times New Roman" w:eastAsia="Times New Roman" w:hint="default"/>
        </w:rPr>
        <w:t>12</w:t>
      </w:r>
      <w:r>
        <w:rPr/>
        <w:t>个月内、或整个存续期的预期信</w:t>
      </w:r>
    </w:p>
    <w:p>
      <w:pPr>
        <w:pStyle w:val="BodyText"/>
        <w:spacing w:line="240" w:lineRule="auto" w:before="51"/>
        <w:ind w:right="0"/>
        <w:jc w:val="left"/>
      </w:pPr>
      <w:r>
        <w:rPr/>
        <w:t>用损失的金额计量减值损失。</w:t>
      </w:r>
    </w:p>
    <w:p>
      <w:pPr>
        <w:pStyle w:val="BodyText"/>
        <w:spacing w:line="312" w:lineRule="auto" w:before="64"/>
        <w:ind w:left="561" w:right="1149"/>
        <w:jc w:val="left"/>
      </w:pPr>
      <w:r>
        <w:rPr/>
        <w:t>①</w:t>
      </w:r>
      <w:r>
        <w:rPr>
          <w:spacing w:val="-15"/>
        </w:rPr>
        <w:t> </w:t>
      </w:r>
      <w:r>
        <w:rPr/>
        <w:t>单项金额重大并单项评估信用风险的其他应收款</w:t>
      </w:r>
      <w:r>
        <w:rPr/>
        <w:t> 单项金额重大并单项评估信用风险的其他应收款的确认标准：其他应收款单项金额重大是指人民币超过</w:t>
      </w:r>
      <w:r>
        <w:rPr>
          <w:rFonts w:ascii="Times New Roman" w:hAnsi="Times New Roman" w:cs="Times New Roman" w:eastAsia="Times New Roman" w:hint="default"/>
        </w:rPr>
        <w:t>10</w:t>
      </w:r>
      <w:r>
        <w:rPr/>
        <w:t>万元。</w:t>
      </w:r>
      <w:r>
        <w:rPr>
          <w:spacing w:val="-80"/>
        </w:rPr>
        <w:t> </w:t>
      </w:r>
      <w:r>
        <w:rPr/>
        <w:t>单项金额重大的其他应收款预期信用损失的计算方法：单独进行信用减值测试，按照相当于整个存续期内的预期信用</w:t>
      </w:r>
    </w:p>
    <w:p>
      <w:pPr>
        <w:pStyle w:val="BodyText"/>
        <w:spacing w:line="321" w:lineRule="auto" w:before="26"/>
        <w:ind w:right="0"/>
        <w:jc w:val="left"/>
      </w:pPr>
      <w:r>
        <w:rPr>
          <w:spacing w:val="-2"/>
        </w:rPr>
        <w:t>损失金额计量损失准备，计入当期损益。单独进行信用减值测试未发生减值的应收款项，将其归入相应信用风险特征组合计</w:t>
      </w:r>
      <w:r>
        <w:rPr>
          <w:spacing w:val="-75"/>
        </w:rPr>
        <w:t> </w:t>
      </w:r>
      <w:r>
        <w:rPr>
          <w:spacing w:val="-75"/>
        </w:rPr>
      </w:r>
      <w:r>
        <w:rPr/>
        <w:t>算预期信用损失。</w:t>
      </w:r>
    </w:p>
    <w:p>
      <w:pPr>
        <w:pStyle w:val="BodyText"/>
        <w:spacing w:line="321" w:lineRule="auto" w:before="3"/>
        <w:ind w:left="561" w:right="1149"/>
        <w:jc w:val="left"/>
      </w:pPr>
      <w:r>
        <w:rPr/>
        <w:t>②</w:t>
      </w:r>
      <w:r>
        <w:rPr>
          <w:spacing w:val="-15"/>
        </w:rPr>
        <w:t> </w:t>
      </w:r>
      <w:r>
        <w:rPr/>
        <w:t>单项金额虽不重大但单项评估信用风险的应收款项</w:t>
      </w:r>
      <w:r>
        <w:rPr/>
        <w:t> 单项评估信用风险的理由为：存在客观证据表明本公司将无法按应收款项的原有条款收回款项。 预期信用损失的计算方法为：根据其他应收款的预计未来现金流量现值低于其账面价值的差额确认其他应收款预期信</w:t>
      </w:r>
    </w:p>
    <w:p>
      <w:pPr>
        <w:pStyle w:val="BodyText"/>
        <w:spacing w:line="240" w:lineRule="auto" w:before="19"/>
        <w:ind w:right="0"/>
        <w:jc w:val="left"/>
      </w:pPr>
      <w:r>
        <w:rPr/>
        <w:t>用损失。</w:t>
      </w:r>
    </w:p>
    <w:p>
      <w:pPr>
        <w:pStyle w:val="BodyText"/>
        <w:spacing w:line="240" w:lineRule="auto" w:before="79"/>
        <w:ind w:left="561" w:right="0"/>
        <w:jc w:val="left"/>
      </w:pPr>
      <w:r>
        <w:rPr/>
        <w:t>③</w:t>
      </w:r>
      <w:r>
        <w:rPr>
          <w:spacing w:val="-9"/>
        </w:rPr>
        <w:t> </w:t>
      </w:r>
      <w:r>
        <w:rPr/>
        <w:t>除了单项评估信用风险的其他应收款外，基于其信用风险特征，将其划分为不同组合：</w:t>
      </w:r>
    </w:p>
    <w:p>
      <w:pPr>
        <w:spacing w:line="240" w:lineRule="auto" w:before="12"/>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3064"/>
        <w:gridCol w:w="6023"/>
      </w:tblGrid>
      <w:tr>
        <w:trPr>
          <w:trHeight w:val="346"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2"/>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0"/>
                <w:sz w:val="18"/>
                <w:szCs w:val="18"/>
              </w:rPr>
              <w:t> </w:t>
            </w:r>
            <w:r>
              <w:rPr>
                <w:rFonts w:ascii="宋体" w:hAnsi="宋体" w:cs="宋体" w:eastAsia="宋体" w:hint="default"/>
                <w:sz w:val="18"/>
                <w:szCs w:val="18"/>
              </w:rPr>
              <w:t>目</w:t>
            </w:r>
          </w:p>
        </w:tc>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20"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660"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1" w:right="65"/>
              <w:jc w:val="left"/>
              <w:rPr>
                <w:rFonts w:ascii="宋体" w:hAnsi="宋体" w:cs="宋体" w:eastAsia="宋体" w:hint="default"/>
                <w:sz w:val="18"/>
                <w:szCs w:val="18"/>
              </w:rPr>
            </w:pPr>
            <w:r>
              <w:rPr>
                <w:rFonts w:ascii="宋体" w:hAnsi="宋体" w:cs="宋体" w:eastAsia="宋体" w:hint="default"/>
                <w:sz w:val="18"/>
                <w:szCs w:val="18"/>
              </w:rPr>
              <w:t>本公司根据以往的历史经验对应收款项计提比例作出最佳估计，参考应收款 项的账龄进行信用风险组合分类</w:t>
            </w:r>
          </w:p>
        </w:tc>
      </w:tr>
      <w:tr>
        <w:trPr>
          <w:trHeight w:val="346"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经税务局认定的出口销售业务增值税退税款</w:t>
            </w:r>
          </w:p>
        </w:tc>
      </w:tr>
      <w:tr>
        <w:trPr>
          <w:trHeight w:val="330"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应收集团内公司款项</w:t>
            </w:r>
          </w:p>
        </w:tc>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纳入合并范围的关联方组合</w:t>
            </w:r>
          </w:p>
        </w:tc>
      </w:tr>
      <w:tr>
        <w:trPr>
          <w:trHeight w:val="345" w:hRule="exact"/>
        </w:trPr>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应收保证金、押金</w:t>
            </w:r>
          </w:p>
        </w:tc>
        <w:tc>
          <w:tcPr>
            <w:tcW w:w="60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left"/>
              <w:rPr>
                <w:rFonts w:ascii="宋体" w:hAnsi="宋体" w:cs="宋体" w:eastAsia="宋体" w:hint="default"/>
                <w:sz w:val="18"/>
                <w:szCs w:val="18"/>
              </w:rPr>
            </w:pPr>
            <w:r>
              <w:rPr>
                <w:rFonts w:ascii="宋体" w:hAnsi="宋体" w:cs="宋体" w:eastAsia="宋体" w:hint="default"/>
                <w:sz w:val="18"/>
                <w:szCs w:val="18"/>
              </w:rPr>
              <w:t>应收各类保证金、押金组合</w:t>
            </w:r>
          </w:p>
        </w:tc>
      </w:tr>
    </w:tbl>
    <w:p>
      <w:pPr>
        <w:pStyle w:val="BodyText"/>
        <w:spacing w:line="235" w:lineRule="exact"/>
        <w:ind w:left="561" w:right="0"/>
        <w:jc w:val="left"/>
      </w:pPr>
      <w:r>
        <w:rPr/>
        <w:t>根据信用风险特征组合确定的预期信用损失计算方法</w:t>
      </w:r>
    </w:p>
    <w:p>
      <w:pPr>
        <w:pStyle w:val="BodyText"/>
        <w:spacing w:line="240" w:lineRule="auto" w:before="80"/>
        <w:ind w:left="561" w:right="0"/>
        <w:jc w:val="left"/>
      </w:pPr>
      <w:r>
        <w:rPr/>
        <w:t>①采用账龄分析法计算预期信用损失的比例如下</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064"/>
        <w:gridCol w:w="6015"/>
      </w:tblGrid>
      <w:tr>
        <w:trPr>
          <w:trHeight w:val="353" w:hRule="exact"/>
        </w:trPr>
        <w:tc>
          <w:tcPr>
            <w:tcW w:w="3064"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账龄</w:t>
            </w:r>
          </w:p>
        </w:tc>
        <w:tc>
          <w:tcPr>
            <w:tcW w:w="601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
              <w:ind w:right="28"/>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45" w:hRule="exact"/>
        </w:trPr>
        <w:tc>
          <w:tcPr>
            <w:tcW w:w="3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宋体" w:hAnsi="宋体" w:cs="宋体" w:eastAsia="宋体" w:hint="default"/>
                <w:sz w:val="18"/>
                <w:szCs w:val="18"/>
              </w:rPr>
              <w:t>个月</w:t>
            </w:r>
          </w:p>
        </w:tc>
        <w:tc>
          <w:tcPr>
            <w:tcW w:w="6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0</w:t>
            </w:r>
          </w:p>
        </w:tc>
      </w:tr>
      <w:tr>
        <w:trPr>
          <w:trHeight w:val="361" w:hRule="exact"/>
        </w:trPr>
        <w:tc>
          <w:tcPr>
            <w:tcW w:w="3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宋体" w:hAnsi="宋体" w:cs="宋体" w:eastAsia="宋体" w:hint="default"/>
                <w:sz w:val="18"/>
                <w:szCs w:val="18"/>
              </w:rPr>
              <w:t>个月</w:t>
            </w:r>
          </w:p>
        </w:tc>
        <w:tc>
          <w:tcPr>
            <w:tcW w:w="6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10</w:t>
            </w:r>
          </w:p>
        </w:tc>
      </w:tr>
      <w:tr>
        <w:trPr>
          <w:trHeight w:val="345" w:hRule="exact"/>
        </w:trPr>
        <w:tc>
          <w:tcPr>
            <w:tcW w:w="3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6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25</w:t>
            </w:r>
          </w:p>
        </w:tc>
      </w:tr>
      <w:tr>
        <w:trPr>
          <w:trHeight w:val="345" w:hRule="exact"/>
        </w:trPr>
        <w:tc>
          <w:tcPr>
            <w:tcW w:w="3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6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50</w:t>
            </w:r>
          </w:p>
        </w:tc>
      </w:tr>
      <w:tr>
        <w:trPr>
          <w:trHeight w:val="360" w:hRule="exact"/>
        </w:trPr>
        <w:tc>
          <w:tcPr>
            <w:tcW w:w="3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6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80</w:t>
            </w:r>
          </w:p>
        </w:tc>
      </w:tr>
      <w:tr>
        <w:trPr>
          <w:trHeight w:val="345" w:hRule="exact"/>
        </w:trPr>
        <w:tc>
          <w:tcPr>
            <w:tcW w:w="3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6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100</w:t>
            </w:r>
          </w:p>
        </w:tc>
      </w:tr>
      <w:tr>
        <w:trPr>
          <w:trHeight w:val="360" w:hRule="exact"/>
        </w:trPr>
        <w:tc>
          <w:tcPr>
            <w:tcW w:w="3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601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13"/>
        <w:rPr>
          <w:rFonts w:ascii="宋体" w:hAnsi="宋体" w:cs="宋体" w:eastAsia="宋体" w:hint="default"/>
          <w:sz w:val="14"/>
          <w:szCs w:val="14"/>
        </w:rPr>
      </w:pPr>
    </w:p>
    <w:p>
      <w:pPr>
        <w:pStyle w:val="BodyText"/>
        <w:spacing w:line="240" w:lineRule="auto" w:before="44"/>
        <w:ind w:left="561" w:right="0"/>
        <w:jc w:val="left"/>
      </w:pPr>
      <w:r>
        <w:rPr/>
        <w:t>②应收出口退税款</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left="561" w:right="0"/>
        <w:jc w:val="left"/>
      </w:pPr>
      <w:r>
        <w:rPr/>
        <w:t>应收出口退税款不计算预期信用损失。</w:t>
      </w:r>
    </w:p>
    <w:p>
      <w:pPr>
        <w:pStyle w:val="BodyText"/>
        <w:spacing w:line="321" w:lineRule="auto" w:before="79"/>
        <w:ind w:left="561" w:right="6909"/>
        <w:jc w:val="left"/>
      </w:pPr>
      <w:r>
        <w:rPr/>
        <w:t>③应收集团内公司款项 应收集团内公司款项不计算预期信用损失。</w:t>
      </w:r>
    </w:p>
    <w:p>
      <w:pPr>
        <w:pStyle w:val="BodyText"/>
        <w:spacing w:line="321" w:lineRule="auto" w:before="3"/>
        <w:ind w:left="561" w:right="6729"/>
        <w:jc w:val="left"/>
      </w:pPr>
      <w:r>
        <w:rPr/>
        <w:t>④应收保证金、押金 应收各类保证金、押金不计算预期信用损失。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5"/>
        <w:spacing w:line="240" w:lineRule="auto"/>
        <w:ind w:right="0"/>
        <w:jc w:val="left"/>
        <w:rPr>
          <w:b w:val="0"/>
          <w:bCs w:val="0"/>
        </w:rPr>
      </w:pPr>
      <w:bookmarkStart w:name="15、存货" w:id="187"/>
      <w:bookmarkEnd w:id="187"/>
      <w:r>
        <w:rPr>
          <w:b w:val="0"/>
          <w:bCs w:val="0"/>
        </w:rPr>
      </w:r>
      <w:r>
        <w:rPr>
          <w:rFonts w:ascii="Times New Roman" w:hAnsi="Times New Roman" w:cs="Times New Roman" w:eastAsia="Times New Roman" w:hint="default"/>
          <w:spacing w:val="5"/>
        </w:rPr>
        <w:t>15</w:t>
      </w:r>
      <w:r>
        <w:rPr>
          <w:spacing w:val="5"/>
        </w:rPr>
        <w:t>、存货</w:t>
      </w:r>
      <w:r>
        <w:rPr>
          <w:b w:val="0"/>
          <w:bCs w:val="0"/>
          <w:spacing w:val="5"/>
        </w:rPr>
      </w:r>
    </w:p>
    <w:p>
      <w:pPr>
        <w:spacing w:line="240" w:lineRule="auto" w:before="9"/>
        <w:rPr>
          <w:rFonts w:ascii="宋体" w:hAnsi="宋体" w:cs="宋体" w:eastAsia="宋体" w:hint="default"/>
          <w:b/>
          <w:bCs/>
          <w:sz w:val="26"/>
          <w:szCs w:val="26"/>
        </w:rPr>
      </w:pPr>
    </w:p>
    <w:p>
      <w:pPr>
        <w:pStyle w:val="Heading6"/>
        <w:spacing w:line="240" w:lineRule="auto"/>
        <w:ind w:left="501" w:right="0"/>
        <w:jc w:val="left"/>
        <w:rPr>
          <w:b w:val="0"/>
          <w:bCs w:val="0"/>
        </w:rPr>
      </w:pPr>
      <w:r>
        <w:rPr>
          <w:rFonts w:ascii="宋体" w:hAnsi="宋体" w:cs="宋体" w:eastAsia="宋体" w:hint="default"/>
        </w:rPr>
        <w:t>1</w:t>
      </w:r>
      <w:r>
        <w:rPr/>
        <w:t>、存货的分类</w:t>
      </w:r>
      <w:r>
        <w:rPr>
          <w:b w:val="0"/>
          <w:bCs w:val="0"/>
        </w:rPr>
      </w:r>
    </w:p>
    <w:p>
      <w:pPr>
        <w:pStyle w:val="BodyText"/>
        <w:spacing w:line="321" w:lineRule="auto" w:before="64"/>
        <w:ind w:left="501" w:right="1149" w:firstLine="420"/>
        <w:jc w:val="left"/>
        <w:rPr>
          <w:rFonts w:ascii="宋体" w:hAnsi="宋体" w:cs="宋体" w:eastAsia="宋体" w:hint="default"/>
        </w:rPr>
      </w:pPr>
      <w:r>
        <w:rPr/>
        <w:t>存货是指本公司在日常活动中持有以备出售的产成品或商品、处在生产过程中的在产品、在生产过程或提供劳务 过程中耗用的材料和物料等。主要包括原材料、周转材料、库存商品、在产品、发出商品、委托加工物资等。 </w:t>
      </w:r>
      <w:r>
        <w:rPr>
          <w:rFonts w:ascii="宋体" w:hAnsi="宋体" w:cs="宋体" w:eastAsia="宋体" w:hint="default"/>
          <w:b/>
          <w:bCs/>
        </w:rPr>
        <w:t>2</w:t>
      </w:r>
      <w:r>
        <w:rPr>
          <w:rFonts w:ascii="宋体" w:hAnsi="宋体" w:cs="宋体" w:eastAsia="宋体" w:hint="default"/>
          <w:b/>
          <w:bCs/>
        </w:rPr>
        <w:t>、存货的计价方法</w:t>
      </w:r>
      <w:r>
        <w:rPr>
          <w:rFonts w:ascii="宋体" w:hAnsi="宋体" w:cs="宋体" w:eastAsia="宋体" w:hint="default"/>
        </w:rPr>
      </w:r>
    </w:p>
    <w:p>
      <w:pPr>
        <w:pStyle w:val="BodyText"/>
        <w:spacing w:line="321" w:lineRule="auto" w:before="19"/>
        <w:ind w:left="501" w:right="1149" w:firstLine="420"/>
        <w:jc w:val="left"/>
      </w:pPr>
      <w:r>
        <w:rPr/>
        <w:t>存货在取得时，按成本进行初始计量，包括采购成本、加工成本和其他成本。存货发出时按月末一次加权平均法 计价。</w:t>
      </w:r>
    </w:p>
    <w:p>
      <w:pPr>
        <w:spacing w:line="321" w:lineRule="auto" w:before="3"/>
        <w:ind w:left="922" w:right="1148" w:hanging="421"/>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、存货可变现净值的确定依据及存货跌价准备的计提方法</w:t>
      </w:r>
      <w:r>
        <w:rPr>
          <w:rFonts w:ascii="宋体" w:hAnsi="宋体" w:cs="宋体" w:eastAsia="宋体" w:hint="default"/>
          <w:b/>
          <w:bCs/>
          <w:w w:val="99"/>
          <w:sz w:val="18"/>
          <w:szCs w:val="18"/>
        </w:rPr>
        <w:t> </w:t>
      </w:r>
      <w:r>
        <w:rPr>
          <w:rFonts w:ascii="宋体" w:hAnsi="宋体" w:cs="宋体" w:eastAsia="宋体" w:hint="default"/>
          <w:sz w:val="18"/>
          <w:szCs w:val="18"/>
        </w:rPr>
        <w:t>期末对存货进行全面清查后，按存货的成本与可变现净值孰低提取或调整存货跌价准备。产成品、库存商品和用</w:t>
      </w:r>
    </w:p>
    <w:p>
      <w:pPr>
        <w:pStyle w:val="BodyText"/>
        <w:spacing w:line="316" w:lineRule="auto" w:before="18"/>
        <w:ind w:left="501" w:right="1105"/>
        <w:jc w:val="both"/>
      </w:pPr>
      <w:r>
        <w:rPr>
          <w:spacing w:val="-2"/>
        </w:rPr>
        <w:t>于出售的材料等直接用于出售的商品存货，在正常生产经营过程中，以该存货的估计售价减去估计的销售费用和相关税</w:t>
      </w:r>
      <w:r>
        <w:rPr>
          <w:spacing w:val="-76"/>
        </w:rPr>
        <w:t> </w:t>
      </w:r>
      <w:r>
        <w:rPr>
          <w:spacing w:val="-76"/>
        </w:rPr>
      </w:r>
      <w:r>
        <w:rPr>
          <w:spacing w:val="-2"/>
        </w:rPr>
        <w:t>费后的金额，确定其可变现净值；需要经过加工的材料存货，在正常生产经营过程中，以所生产的产成品的估计售价减</w:t>
      </w:r>
      <w:r>
        <w:rPr>
          <w:spacing w:val="-46"/>
        </w:rPr>
        <w:t> </w:t>
      </w:r>
      <w:r>
        <w:rPr>
          <w:spacing w:val="-46"/>
        </w:rPr>
      </w:r>
      <w:r>
        <w:rPr>
          <w:spacing w:val="-2"/>
        </w:rPr>
        <w:t>去至完工时估计将要发生的成本、估计的销售费用和相关税费后的金额，确定其可变现净值；为执行销售合同或者劳务</w:t>
      </w:r>
      <w:r>
        <w:rPr>
          <w:spacing w:val="-71"/>
        </w:rPr>
        <w:t> </w:t>
      </w:r>
      <w:r>
        <w:rPr>
          <w:spacing w:val="-71"/>
        </w:rPr>
      </w:r>
      <w:r>
        <w:rPr>
          <w:spacing w:val="-2"/>
        </w:rPr>
        <w:t>合同而持有的存货，其可变现净值以合同价格为基础计算，若持有存货的数量多于销售合同订购数量的，超出部分的存</w:t>
      </w:r>
      <w:r>
        <w:rPr>
          <w:spacing w:val="-79"/>
        </w:rPr>
        <w:t> </w:t>
      </w:r>
      <w:r>
        <w:rPr>
          <w:spacing w:val="-79"/>
        </w:rPr>
      </w:r>
      <w:r>
        <w:rPr/>
        <w:t>货的可变现净值以一般销售价格为基础计算。</w:t>
      </w:r>
    </w:p>
    <w:p>
      <w:pPr>
        <w:pStyle w:val="BodyText"/>
        <w:spacing w:line="321" w:lineRule="auto" w:before="22"/>
        <w:ind w:left="501" w:right="1019" w:firstLine="420"/>
        <w:jc w:val="left"/>
      </w:pPr>
      <w:r>
        <w:rPr>
          <w:spacing w:val="-1"/>
        </w:rPr>
        <w:t>期末按照单个存货项目计提存货跌价准备；但对于数量繁多、单价较低的存货，按照存货类别计提存货跌价准备；</w:t>
      </w:r>
      <w:r>
        <w:rPr/>
        <w:t> </w:t>
      </w:r>
      <w:r>
        <w:rPr>
          <w:spacing w:val="-2"/>
        </w:rPr>
        <w:t>与在同一地区生产和销售的产品系列相关、具有相同或类似最终用途或目的，且难以与其他项目分开计量的存货，则合</w:t>
      </w:r>
      <w:r>
        <w:rPr>
          <w:spacing w:val="-79"/>
        </w:rPr>
        <w:t> </w:t>
      </w:r>
      <w:r>
        <w:rPr>
          <w:spacing w:val="-79"/>
        </w:rPr>
      </w:r>
      <w:r>
        <w:rPr/>
        <w:t>并计提存货跌价准备。</w:t>
      </w:r>
    </w:p>
    <w:p>
      <w:pPr>
        <w:pStyle w:val="BodyText"/>
        <w:spacing w:line="321" w:lineRule="auto" w:before="3"/>
        <w:ind w:left="501" w:right="1149" w:firstLine="420"/>
        <w:jc w:val="left"/>
      </w:pPr>
      <w:r>
        <w:rPr/>
        <w:t>以前减记存货价值的影响因素已经消失的，减记的金额予以恢复，并在原已计提的存货跌价准备金额内转回，转 回的金额计入当期损益。</w:t>
      </w:r>
    </w:p>
    <w:p>
      <w:pPr>
        <w:spacing w:line="321" w:lineRule="auto" w:before="19"/>
        <w:ind w:left="501" w:right="7587"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采用永续盘存制。 </w:t>
      </w:r>
      <w:r>
        <w:rPr>
          <w:rFonts w:ascii="宋体" w:hAnsi="宋体" w:cs="宋体" w:eastAsia="宋体"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sz w:val="18"/>
          <w:szCs w:val="18"/>
        </w:rPr>
      </w:r>
    </w:p>
    <w:p>
      <w:pPr>
        <w:pStyle w:val="BodyText"/>
        <w:spacing w:line="240" w:lineRule="auto" w:before="3"/>
        <w:ind w:left="561" w:right="0"/>
        <w:jc w:val="left"/>
      </w:pPr>
      <w:r>
        <w:rPr/>
        <w:t>低值易耗品、包装物和周转材料采用五五摊销法。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Heading5"/>
        <w:spacing w:line="240" w:lineRule="auto"/>
        <w:ind w:right="0"/>
        <w:jc w:val="left"/>
        <w:rPr>
          <w:b w:val="0"/>
          <w:bCs w:val="0"/>
        </w:rPr>
      </w:pPr>
      <w:bookmarkStart w:name="16、合同资产" w:id="188"/>
      <w:bookmarkEnd w:id="188"/>
      <w:r>
        <w:rPr>
          <w:b w:val="0"/>
          <w:bCs w:val="0"/>
        </w:rPr>
      </w:r>
      <w:r>
        <w:rPr>
          <w:rFonts w:ascii="Times New Roman" w:hAnsi="Times New Roman" w:cs="Times New Roman" w:eastAsia="Times New Roman" w:hint="default"/>
          <w:spacing w:val="3"/>
        </w:rPr>
        <w:t>16</w:t>
      </w:r>
      <w:r>
        <w:rPr>
          <w:spacing w:val="3"/>
        </w:rPr>
        <w:t>、合同资产</w:t>
      </w:r>
      <w:r>
        <w:rPr>
          <w:b w:val="0"/>
          <w:bCs w:val="0"/>
          <w:spacing w:val="3"/>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17、合同成本" w:id="189"/>
      <w:bookmarkEnd w:id="189"/>
      <w:r>
        <w:rPr>
          <w:b w:val="0"/>
          <w:bCs w:val="0"/>
        </w:rPr>
      </w:r>
      <w:r>
        <w:rPr>
          <w:rFonts w:ascii="Times New Roman" w:hAnsi="Times New Roman" w:cs="Times New Roman" w:eastAsia="Times New Roman" w:hint="default"/>
          <w:spacing w:val="3"/>
        </w:rPr>
        <w:t>17</w:t>
      </w:r>
      <w:r>
        <w:rPr>
          <w:spacing w:val="3"/>
        </w:rPr>
        <w:t>、合同成本</w:t>
      </w:r>
      <w:r>
        <w:rPr>
          <w:b w:val="0"/>
          <w:bCs w:val="0"/>
          <w:spacing w:val="3"/>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3"/>
        <w:ind w:right="0"/>
        <w:jc w:val="left"/>
        <w:rPr>
          <w:b w:val="0"/>
          <w:bCs w:val="0"/>
        </w:rPr>
      </w:pPr>
      <w:bookmarkStart w:name="18、持有待售资产" w:id="190"/>
      <w:bookmarkEnd w:id="190"/>
      <w:r>
        <w:rPr>
          <w:b w:val="0"/>
          <w:bCs w:val="0"/>
        </w:rPr>
      </w:r>
      <w:r>
        <w:rPr>
          <w:rFonts w:ascii="Times New Roman" w:hAnsi="Times New Roman" w:cs="Times New Roman" w:eastAsia="Times New Roman" w:hint="default"/>
          <w:spacing w:val="4"/>
        </w:rPr>
        <w:t>18</w:t>
      </w:r>
      <w:r>
        <w:rPr>
          <w:spacing w:val="4"/>
        </w:rPr>
        <w:t>、持有待售资产</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19、债权投资" w:id="191"/>
      <w:bookmarkEnd w:id="191"/>
      <w:r>
        <w:rPr>
          <w:b w:val="0"/>
          <w:bCs w:val="0"/>
        </w:rPr>
      </w:r>
      <w:r>
        <w:rPr>
          <w:rFonts w:ascii="Times New Roman" w:hAnsi="Times New Roman" w:cs="Times New Roman" w:eastAsia="Times New Roman" w:hint="default"/>
          <w:spacing w:val="3"/>
        </w:rPr>
        <w:t>19</w:t>
      </w:r>
      <w:r>
        <w:rPr>
          <w:spacing w:val="3"/>
        </w:rPr>
        <w:t>、债权投资</w:t>
      </w:r>
      <w:r>
        <w:rPr>
          <w:b w:val="0"/>
          <w:bCs w:val="0"/>
          <w:spacing w:val="3"/>
        </w:rPr>
      </w:r>
    </w:p>
    <w:p>
      <w:pPr>
        <w:spacing w:line="240" w:lineRule="auto" w:before="9"/>
        <w:rPr>
          <w:rFonts w:ascii="宋体" w:hAnsi="宋体" w:cs="宋体" w:eastAsia="宋体" w:hint="default"/>
          <w:b/>
          <w:bCs/>
          <w:sz w:val="26"/>
          <w:szCs w:val="26"/>
        </w:rPr>
      </w:pPr>
    </w:p>
    <w:p>
      <w:pPr>
        <w:pStyle w:val="BodyText"/>
        <w:spacing w:line="336" w:lineRule="auto"/>
        <w:ind w:right="1149" w:firstLine="420"/>
        <w:jc w:val="left"/>
      </w:pPr>
      <w:r>
        <w:rPr/>
        <w:t>债权投资主要核算以摊余成本计量的债券投资等。本公司依据其信用风险自初始确认后是否已经显著增加，采用相当 于未来</w:t>
      </w:r>
      <w:r>
        <w:rPr>
          <w:rFonts w:ascii="Times New Roman" w:hAnsi="Times New Roman" w:cs="Times New Roman" w:eastAsia="Times New Roman" w:hint="default"/>
        </w:rPr>
        <w:t>12</w:t>
      </w:r>
      <w:r>
        <w:rPr/>
        <w:t>个月内、或整个存续期的预期信用损失的金额计量减值损失。</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20、其他债权投资" w:id="192"/>
      <w:bookmarkEnd w:id="192"/>
      <w:r>
        <w:rPr>
          <w:b w:val="0"/>
          <w:bCs w:val="0"/>
        </w:rPr>
      </w:r>
      <w:r>
        <w:rPr>
          <w:rFonts w:ascii="Times New Roman" w:hAnsi="Times New Roman" w:cs="Times New Roman" w:eastAsia="Times New Roman" w:hint="default"/>
          <w:spacing w:val="4"/>
        </w:rPr>
        <w:t>20</w:t>
      </w:r>
      <w:r>
        <w:rPr>
          <w:spacing w:val="4"/>
        </w:rPr>
        <w:t>、其他债权投资</w:t>
      </w:r>
      <w:r>
        <w:rPr>
          <w:b w:val="0"/>
          <w:bCs w:val="0"/>
          <w:spacing w:val="4"/>
        </w:rPr>
      </w:r>
    </w:p>
    <w:p>
      <w:pPr>
        <w:spacing w:line="240" w:lineRule="auto" w:before="9"/>
        <w:rPr>
          <w:rFonts w:ascii="宋体" w:hAnsi="宋体" w:cs="宋体" w:eastAsia="宋体" w:hint="default"/>
          <w:b/>
          <w:bCs/>
          <w:sz w:val="26"/>
          <w:szCs w:val="26"/>
        </w:rPr>
      </w:pPr>
    </w:p>
    <w:p>
      <w:pPr>
        <w:pStyle w:val="BodyText"/>
        <w:spacing w:line="336" w:lineRule="auto"/>
        <w:ind w:right="1149" w:firstLine="420"/>
        <w:jc w:val="left"/>
      </w:pPr>
      <w:r>
        <w:rPr/>
        <w:t>其他债权投资主要核算以公允价值计量且其变动计入其他综合收益的债券投资等。本公司依据其信用风险自初始确认 后是否已经显著增加，采用相当于未来</w:t>
      </w:r>
      <w:r>
        <w:rPr>
          <w:rFonts w:ascii="Times New Roman" w:hAnsi="Times New Roman" w:cs="Times New Roman" w:eastAsia="Times New Roman" w:hint="default"/>
        </w:rPr>
        <w:t>12</w:t>
      </w:r>
      <w:r>
        <w:rPr/>
        <w:t>个月内、或整个存续期的预期信用损失的金额计量减值损失。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bookmarkStart w:name="21、长期应收款" w:id="193"/>
      <w:bookmarkEnd w:id="193"/>
      <w:r>
        <w:rPr>
          <w:b w:val="0"/>
          <w:bCs w:val="0"/>
        </w:rPr>
      </w:r>
      <w:r>
        <w:rPr>
          <w:rFonts w:ascii="Times New Roman" w:hAnsi="Times New Roman" w:cs="Times New Roman" w:eastAsia="Times New Roman" w:hint="default"/>
          <w:spacing w:val="5"/>
        </w:rPr>
        <w:t>21</w:t>
      </w:r>
      <w:r>
        <w:rPr>
          <w:spacing w:val="5"/>
        </w:rPr>
        <w:t>、长期应收款</w:t>
      </w:r>
      <w:r>
        <w:rPr>
          <w:b w:val="0"/>
          <w:bCs w:val="0"/>
          <w:spacing w:val="5"/>
        </w:rPr>
      </w:r>
    </w:p>
    <w:p>
      <w:pPr>
        <w:spacing w:line="240" w:lineRule="auto" w:before="10"/>
        <w:rPr>
          <w:rFonts w:ascii="宋体" w:hAnsi="宋体" w:cs="宋体" w:eastAsia="宋体" w:hint="default"/>
          <w:b/>
          <w:bCs/>
          <w:sz w:val="26"/>
          <w:szCs w:val="26"/>
        </w:rPr>
      </w:pPr>
    </w:p>
    <w:p>
      <w:pPr>
        <w:pStyle w:val="BodyText"/>
        <w:spacing w:line="288" w:lineRule="auto"/>
        <w:ind w:right="1149" w:firstLine="420"/>
        <w:jc w:val="left"/>
      </w:pPr>
      <w:r>
        <w:rPr/>
        <w:t>本公司依据其信用风险自初始确认后是否已经显著增加，采用相当于未来</w:t>
      </w:r>
      <w:r>
        <w:rPr>
          <w:rFonts w:ascii="Times New Roman" w:hAnsi="Times New Roman" w:cs="Times New Roman" w:eastAsia="Times New Roman" w:hint="default"/>
        </w:rPr>
        <w:t>12</w:t>
      </w:r>
      <w:r>
        <w:rPr/>
        <w:t>个月内、或整个存续期的预期信用损失的 金额计量长期应收款减值损失。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Heading5"/>
        <w:spacing w:line="240" w:lineRule="auto"/>
        <w:ind w:right="0"/>
        <w:jc w:val="left"/>
        <w:rPr>
          <w:b w:val="0"/>
          <w:bCs w:val="0"/>
        </w:rPr>
      </w:pPr>
      <w:bookmarkStart w:name="22、长期股权投资" w:id="194"/>
      <w:bookmarkEnd w:id="194"/>
      <w:r>
        <w:rPr>
          <w:b w:val="0"/>
          <w:bCs w:val="0"/>
        </w:rPr>
      </w:r>
      <w:r>
        <w:rPr>
          <w:rFonts w:ascii="Times New Roman" w:hAnsi="Times New Roman" w:cs="Times New Roman" w:eastAsia="Times New Roman" w:hint="default"/>
          <w:spacing w:val="4"/>
        </w:rPr>
        <w:t>22</w:t>
      </w:r>
      <w:r>
        <w:rPr>
          <w:spacing w:val="4"/>
        </w:rPr>
        <w:t>、长期股权投资</w:t>
      </w:r>
      <w:r>
        <w:rPr>
          <w:b w:val="0"/>
          <w:bCs w:val="0"/>
          <w:spacing w:val="4"/>
        </w:rPr>
      </w:r>
    </w:p>
    <w:p>
      <w:pPr>
        <w:spacing w:line="240" w:lineRule="auto" w:before="11"/>
        <w:rPr>
          <w:rFonts w:ascii="宋体" w:hAnsi="宋体" w:cs="宋体" w:eastAsia="宋体" w:hint="default"/>
          <w:b/>
          <w:bCs/>
          <w:sz w:val="27"/>
          <w:szCs w:val="27"/>
        </w:rPr>
      </w:pPr>
    </w:p>
    <w:p>
      <w:pPr>
        <w:pStyle w:val="Heading6"/>
        <w:spacing w:line="240" w:lineRule="auto"/>
        <w:ind w:right="0"/>
        <w:jc w:val="left"/>
        <w:rPr>
          <w:b w:val="0"/>
          <w:bCs w:val="0"/>
        </w:rPr>
      </w:pPr>
      <w:r>
        <w:rPr>
          <w:rFonts w:ascii="Times New Roman" w:hAnsi="Times New Roman" w:cs="Times New Roman" w:eastAsia="Times New Roman" w:hint="default"/>
        </w:rPr>
        <w:t>1.</w:t>
      </w:r>
      <w:r>
        <w:rPr/>
        <w:t>初始投资成本的确定</w:t>
      </w:r>
      <w:r>
        <w:rPr>
          <w:b w:val="0"/>
          <w:bCs w:val="0"/>
        </w:rPr>
      </w:r>
    </w:p>
    <w:p>
      <w:pPr>
        <w:pStyle w:val="BodyText"/>
        <w:spacing w:line="290" w:lineRule="auto" w:before="66"/>
        <w:ind w:right="1122" w:firstLine="420"/>
        <w:jc w:val="left"/>
      </w:pPr>
      <w:r>
        <w:rPr>
          <w:spacing w:val="-1"/>
        </w:rPr>
        <w:t>（</w:t>
      </w:r>
      <w:r>
        <w:rPr>
          <w:rFonts w:ascii="Times New Roman" w:hAnsi="Times New Roman" w:cs="Times New Roman" w:eastAsia="Times New Roman" w:hint="default"/>
          <w:spacing w:val="-1"/>
        </w:rPr>
        <w:t>1</w:t>
      </w:r>
      <w:r>
        <w:rPr>
          <w:spacing w:val="-1"/>
        </w:rPr>
        <w:t>）企业合并形成的长期股权投资，具体会计政策详见</w:t>
      </w:r>
      <w:r>
        <w:rPr>
          <w:rFonts w:ascii="Times New Roman" w:hAnsi="Times New Roman" w:cs="Times New Roman" w:eastAsia="Times New Roman" w:hint="default"/>
          <w:spacing w:val="-1"/>
        </w:rPr>
        <w:t>“</w:t>
      </w:r>
      <w:r>
        <w:rPr>
          <w:spacing w:val="-1"/>
        </w:rPr>
        <w:t>第十二节、五、</w:t>
      </w:r>
      <w:r>
        <w:rPr>
          <w:rFonts w:ascii="Times New Roman" w:hAnsi="Times New Roman" w:cs="Times New Roman" w:eastAsia="Times New Roman" w:hint="default"/>
          <w:spacing w:val="-1"/>
        </w:rPr>
        <w:t>5</w:t>
      </w:r>
      <w:r>
        <w:rPr>
          <w:spacing w:val="-1"/>
        </w:rPr>
        <w:t>、同一控制下和非同一控制下企业合并的会</w:t>
      </w:r>
      <w:r>
        <w:rPr/>
        <w:t> 计处理方法</w:t>
      </w:r>
      <w:r>
        <w:rPr>
          <w:rFonts w:ascii="Times New Roman" w:hAnsi="Times New Roman" w:cs="Times New Roman" w:eastAsia="Times New Roman" w:hint="default"/>
        </w:rPr>
        <w:t>”</w:t>
      </w:r>
      <w:r>
        <w:rPr/>
        <w:t>。</w:t>
      </w:r>
    </w:p>
    <w:p>
      <w:pPr>
        <w:pStyle w:val="BodyText"/>
        <w:spacing w:line="290" w:lineRule="auto" w:before="24"/>
        <w:ind w:left="561" w:right="1149"/>
        <w:jc w:val="left"/>
      </w:pPr>
      <w:r>
        <w:rPr/>
        <w:t>（</w:t>
      </w:r>
      <w:r>
        <w:rPr>
          <w:rFonts w:ascii="Times New Roman" w:hAnsi="Times New Roman" w:cs="Times New Roman" w:eastAsia="Times New Roman" w:hint="default"/>
        </w:rPr>
        <w:t>2</w:t>
      </w:r>
      <w:r>
        <w:rPr/>
        <w:t>）其他方式取得的长期股权投资 以支付现金方式取得的长期股权投资，按照实际支付的购买价款作为初始投资成本。初始投资成本包括与取得长期股</w:t>
      </w:r>
    </w:p>
    <w:p>
      <w:pPr>
        <w:pStyle w:val="BodyText"/>
        <w:spacing w:line="321" w:lineRule="auto" w:before="42"/>
        <w:ind w:left="561" w:right="1149" w:hanging="421"/>
        <w:jc w:val="left"/>
      </w:pPr>
      <w:r>
        <w:rPr/>
        <w:t>权投资直接相关的费用、税金及其他必要支出。 以发行权益性证券取得的长期股权投资，按照发行权益性证券的公允价值作为初始投资成本；发行或取得自身权益工</w:t>
      </w:r>
    </w:p>
    <w:p>
      <w:pPr>
        <w:pStyle w:val="BodyText"/>
        <w:spacing w:line="321" w:lineRule="auto" w:before="4"/>
        <w:ind w:left="561" w:right="1149" w:hanging="421"/>
        <w:jc w:val="left"/>
      </w:pPr>
      <w:r>
        <w:rPr/>
        <w:t>具时发生的交易费用，可直接归属于权益性交易的从权益中扣减。 在非货币性资产交换具备商业实质和换入资产或换出资产的公允价值能够可靠计量的前提下，非货币性资产交换换入</w:t>
      </w:r>
    </w:p>
    <w:p>
      <w:pPr>
        <w:pStyle w:val="BodyText"/>
        <w:spacing w:line="321" w:lineRule="auto" w:before="18"/>
        <w:ind w:right="0"/>
        <w:jc w:val="left"/>
      </w:pPr>
      <w:r>
        <w:rPr>
          <w:spacing w:val="-2"/>
        </w:rPr>
        <w:t>的长期股权投资以换出资产的公允价值为基础确定其初始投资成本，除非有确凿证据表明换入资产的公允价值更加可靠；不</w:t>
      </w:r>
      <w:r>
        <w:rPr>
          <w:spacing w:val="-72"/>
        </w:rPr>
        <w:t> </w:t>
      </w:r>
      <w:r>
        <w:rPr>
          <w:spacing w:val="-72"/>
        </w:rPr>
      </w:r>
      <w:r>
        <w:rPr/>
        <w:t>满足上述前提的非货币性资产交换，以换出资产的账面价值和应支付的相关税费作为换入长期股权投资的初始投资成本。</w:t>
      </w:r>
    </w:p>
    <w:p>
      <w:pPr>
        <w:pStyle w:val="BodyText"/>
        <w:spacing w:line="240" w:lineRule="auto" w:before="19"/>
        <w:ind w:left="561" w:right="0"/>
        <w:jc w:val="left"/>
      </w:pPr>
      <w:r>
        <w:rPr/>
        <w:t>通过债务重组取得的长期股权投资，其初始投资成本按照公允价值为基础确定。</w:t>
      </w:r>
    </w:p>
    <w:p>
      <w:pPr>
        <w:pStyle w:val="Heading6"/>
        <w:spacing w:line="240" w:lineRule="auto" w:before="79"/>
        <w:ind w:right="0"/>
        <w:jc w:val="left"/>
        <w:rPr>
          <w:b w:val="0"/>
          <w:bCs w:val="0"/>
        </w:rPr>
      </w:pPr>
      <w:r>
        <w:rPr>
          <w:rFonts w:ascii="Times New Roman" w:hAnsi="Times New Roman" w:cs="Times New Roman" w:eastAsia="Times New Roman" w:hint="default"/>
        </w:rPr>
        <w:t>2.</w:t>
      </w:r>
      <w:r>
        <w:rPr/>
        <w:t>后续计量及损益确认</w:t>
      </w:r>
      <w:r>
        <w:rPr>
          <w:b w:val="0"/>
          <w:bCs w:val="0"/>
        </w:rPr>
      </w:r>
    </w:p>
    <w:p>
      <w:pPr>
        <w:pStyle w:val="BodyText"/>
        <w:spacing w:line="288" w:lineRule="auto" w:before="66"/>
        <w:ind w:left="561" w:right="1149"/>
        <w:jc w:val="left"/>
      </w:pPr>
      <w:r>
        <w:rPr/>
        <w:t>（</w:t>
      </w:r>
      <w:r>
        <w:rPr>
          <w:rFonts w:ascii="Times New Roman" w:hAnsi="Times New Roman" w:cs="Times New Roman" w:eastAsia="Times New Roman" w:hint="default"/>
        </w:rPr>
        <w:t>1</w:t>
      </w:r>
      <w:r>
        <w:rPr/>
        <w:t>）成本法 本公司能够对被投资单位实施控制的长期股权投资采用成本法核算，并按照初始投资成本计价，追加或收回投资调整</w:t>
      </w:r>
    </w:p>
    <w:p>
      <w:pPr>
        <w:pStyle w:val="BodyText"/>
        <w:spacing w:line="321" w:lineRule="auto" w:before="44"/>
        <w:ind w:left="561" w:right="1149" w:hanging="421"/>
        <w:jc w:val="left"/>
      </w:pPr>
      <w:r>
        <w:rPr/>
        <w:t>长期股权投资的成本。 除取得投资时实际支付的价款或对价中包含的已宣告但尚未发放的现金股利或利润外，本公司按照享有被投资单位宣</w:t>
      </w:r>
    </w:p>
    <w:p>
      <w:pPr>
        <w:pStyle w:val="BodyText"/>
        <w:spacing w:line="240" w:lineRule="auto" w:before="3"/>
        <w:ind w:right="0"/>
        <w:jc w:val="left"/>
      </w:pPr>
      <w:r>
        <w:rPr/>
        <w:t>告分派的现金股利或利润确认为当期投资收益。</w:t>
      </w:r>
    </w:p>
    <w:p>
      <w:pPr>
        <w:pStyle w:val="BodyText"/>
        <w:spacing w:line="288" w:lineRule="auto" w:before="95"/>
        <w:ind w:left="561" w:right="1149"/>
        <w:jc w:val="left"/>
      </w:pPr>
      <w:r>
        <w:rPr/>
        <w:t>（</w:t>
      </w:r>
      <w:r>
        <w:rPr>
          <w:rFonts w:ascii="Times New Roman" w:hAnsi="Times New Roman" w:cs="Times New Roman" w:eastAsia="Times New Roman" w:hint="default"/>
        </w:rPr>
        <w:t>2</w:t>
      </w:r>
      <w:r>
        <w:rPr/>
        <w:t>）权益法 本公司对联营企业和合营企业的长期股权投资采用权益法核算；对于其中一部分通过风险投资机构、共同基金、信托</w:t>
      </w:r>
    </w:p>
    <w:p>
      <w:pPr>
        <w:pStyle w:val="BodyText"/>
        <w:spacing w:line="321" w:lineRule="auto" w:before="44"/>
        <w:ind w:left="561" w:right="1149" w:hanging="421"/>
        <w:jc w:val="left"/>
      </w:pPr>
      <w:r>
        <w:rPr/>
        <w:t>公司或包括投连险基金在内的类似主体间接持有的联营企业的权益性投资，采用公允价值计量且其变动计入损益。 长期股权投资的初始投资成本大于投资时应享有被投资单位可辨认净资产公允价值份额的差额，不调整长期股权投资</w:t>
      </w:r>
    </w:p>
    <w:p>
      <w:pPr>
        <w:pStyle w:val="BodyText"/>
        <w:spacing w:line="321" w:lineRule="auto" w:before="3"/>
        <w:ind w:left="561" w:right="1149" w:hanging="421"/>
        <w:jc w:val="left"/>
      </w:pPr>
      <w:r>
        <w:rPr/>
        <w:t>的初始投资成本；初始投资成本小于投资时应享有被投资单位可辨认净资产公允价值份额的差额，计入当期损益。 本公司取得长期股权投资后，按照应享有或应分担的被投资单位实现的净损益和其他综合收益的份额，分别确认投资</w:t>
      </w:r>
    </w:p>
    <w:p>
      <w:pPr>
        <w:pStyle w:val="BodyText"/>
        <w:spacing w:line="240" w:lineRule="auto" w:before="18"/>
        <w:ind w:right="0"/>
        <w:jc w:val="left"/>
      </w:pPr>
      <w:r>
        <w:rPr/>
        <w:t>收益和其他综合收益</w:t>
      </w:r>
      <w:r>
        <w:rPr>
          <w:spacing w:val="-90"/>
        </w:rPr>
        <w:t>，</w:t>
      </w:r>
      <w:r>
        <w:rPr/>
        <w:t>同时调整长期股权投资的账面价值</w:t>
      </w:r>
      <w:r>
        <w:rPr>
          <w:spacing w:val="-90"/>
        </w:rPr>
        <w:t>；</w:t>
      </w:r>
      <w:r>
        <w:rPr/>
        <w:t>并按照被投资单位宣告分</w:t>
      </w:r>
      <w:r>
        <w:rPr>
          <w:spacing w:val="8"/>
        </w:rPr>
        <w:t>派</w:t>
      </w:r>
      <w:r>
        <w:rPr/>
        <w:t>的利润或现金股利计算应享有的部分，</w:t>
      </w:r>
    </w:p>
    <w:p>
      <w:pPr>
        <w:spacing w:after="0" w:line="240" w:lineRule="auto"/>
        <w:jc w:val="left"/>
        <w:sectPr>
          <w:footerReference w:type="default" r:id="rId24"/>
          <w:pgSz w:w="11910" w:h="16850"/>
          <w:pgMar w:footer="981" w:header="731" w:top="1040" w:bottom="1180" w:left="1000" w:right="0"/>
          <w:pgNumType w:start="138"/>
        </w:sectPr>
      </w:pPr>
    </w:p>
    <w:p>
      <w:pPr>
        <w:spacing w:line="240" w:lineRule="auto" w:before="1"/>
        <w:rPr>
          <w:rFonts w:ascii="宋体" w:hAnsi="宋体" w:cs="宋体" w:eastAsia="宋体" w:hint="default"/>
          <w:sz w:val="26"/>
          <w:szCs w:val="26"/>
        </w:rPr>
      </w:pPr>
    </w:p>
    <w:p>
      <w:pPr>
        <w:pStyle w:val="BodyText"/>
        <w:spacing w:line="321" w:lineRule="auto" w:before="44"/>
        <w:ind w:right="0"/>
        <w:jc w:val="left"/>
      </w:pPr>
      <w:r>
        <w:rPr>
          <w:spacing w:val="-2"/>
        </w:rPr>
        <w:t>相应减少长期股权投资的账面价值；对于被投资单位除净损益、其他综合收益和利润分配以外所有者权益的其他变动，调整</w:t>
      </w:r>
      <w:r>
        <w:rPr>
          <w:spacing w:val="-75"/>
        </w:rPr>
        <w:t> </w:t>
      </w:r>
      <w:r>
        <w:rPr>
          <w:spacing w:val="-75"/>
        </w:rPr>
      </w:r>
      <w:r>
        <w:rPr/>
        <w:t>长期股权投资的账面价值并计入所有者权益。</w:t>
      </w:r>
    </w:p>
    <w:p>
      <w:pPr>
        <w:pStyle w:val="BodyText"/>
        <w:spacing w:line="314" w:lineRule="auto" w:before="18"/>
        <w:ind w:right="1136" w:firstLine="420"/>
        <w:jc w:val="both"/>
      </w:pPr>
      <w:r>
        <w:rPr/>
        <w:t>本公司在确认应享有被投资单位净损益的份额时，以取得投资时被投资单位各项可辨认资产等的公允价值为基础，对 </w:t>
      </w:r>
      <w:r>
        <w:rPr>
          <w:spacing w:val="-2"/>
        </w:rPr>
        <w:t>被投资单位的净利润进行调整后确认。本公司与联营企业、合营企业之间发生的未实现内部交易损益按照应享有的比例计算</w:t>
      </w:r>
      <w:r>
        <w:rPr>
          <w:spacing w:val="-72"/>
        </w:rPr>
        <w:t> </w:t>
      </w:r>
      <w:r>
        <w:rPr>
          <w:spacing w:val="-72"/>
        </w:rPr>
      </w:r>
      <w:r>
        <w:rPr/>
        <w:t>归属于本公司的部分予以抵销，在此基础上确认投资损益。</w:t>
      </w:r>
    </w:p>
    <w:p>
      <w:pPr>
        <w:pStyle w:val="BodyText"/>
        <w:spacing w:line="316" w:lineRule="auto" w:before="24"/>
        <w:ind w:right="0" w:firstLine="420"/>
        <w:jc w:val="left"/>
      </w:pPr>
      <w:r>
        <w:rPr/>
        <w:t>本公司确认应分担被投资单位发生的亏损时，按照以下顺序进行处理：首先，冲减长期股权投资的账面价值。其次，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 </w:t>
      </w:r>
      <w:r>
        <w:rPr>
          <w:spacing w:val="-2"/>
        </w:rPr>
        <w:t>失，冲减长期应收项目等的账面价值。最后，经过上述处理，按照投资合同或协议约定企业仍承担额外义务的，按预计承担</w:t>
      </w:r>
      <w:r>
        <w:rPr>
          <w:spacing w:val="-57"/>
        </w:rPr>
        <w:t> </w:t>
      </w:r>
      <w:r>
        <w:rPr>
          <w:spacing w:val="-57"/>
        </w:rPr>
      </w:r>
      <w:r>
        <w:rPr/>
        <w:t>的义务确认预计负债，计入当期投资损失。</w:t>
      </w:r>
    </w:p>
    <w:p>
      <w:pPr>
        <w:pStyle w:val="BodyText"/>
        <w:spacing w:line="328" w:lineRule="auto" w:before="22"/>
        <w:ind w:right="1149" w:firstLine="420"/>
        <w:jc w:val="left"/>
        <w:rPr>
          <w:rFonts w:ascii="宋体" w:hAnsi="宋体" w:cs="宋体" w:eastAsia="宋体" w:hint="default"/>
        </w:rPr>
      </w:pPr>
      <w:r>
        <w:rPr/>
        <w:t>被投资单位以后期间实现盈利的，公司在扣除未确认的亏损分担额后，按与上述相反的顺序处理，减记已确认预计负 债的账面余额、恢复其他实质上构成对被投资单位净投资的长期权益及长期股权投资的账面价值后，恢复确认投资收益。 </w:t>
      </w:r>
      <w:r>
        <w:rPr>
          <w:rFonts w:ascii="Times New Roman" w:hAnsi="Times New Roman" w:cs="Times New Roman" w:eastAsia="Times New Roman" w:hint="default"/>
          <w:b/>
          <w:bCs/>
        </w:rPr>
        <w:t>3.</w:t>
      </w:r>
      <w:r>
        <w:rPr>
          <w:rFonts w:ascii="宋体" w:hAnsi="宋体" w:cs="宋体" w:eastAsia="宋体" w:hint="default"/>
          <w:b/>
          <w:bCs/>
        </w:rPr>
        <w:t>长期股权投资核算方法的转换</w:t>
      </w:r>
      <w:r>
        <w:rPr>
          <w:rFonts w:ascii="宋体" w:hAnsi="宋体" w:cs="宋体" w:eastAsia="宋体" w:hint="default"/>
        </w:rPr>
      </w:r>
    </w:p>
    <w:p>
      <w:pPr>
        <w:pStyle w:val="BodyText"/>
        <w:spacing w:line="213" w:lineRule="exact"/>
        <w:ind w:right="0"/>
        <w:jc w:val="left"/>
      </w:pPr>
      <w:r>
        <w:rPr>
          <w:rFonts w:ascii="宋体" w:hAnsi="宋体" w:cs="宋体" w:eastAsia="宋体" w:hint="default"/>
        </w:rPr>
        <w:t>1.  </w:t>
      </w:r>
      <w:r>
        <w:rPr/>
        <w:t>公允价值计量转权益法核算</w:t>
      </w:r>
    </w:p>
    <w:p>
      <w:pPr>
        <w:pStyle w:val="BodyText"/>
        <w:spacing w:line="321" w:lineRule="auto" w:before="64"/>
        <w:ind w:left="501" w:right="1136" w:firstLine="420"/>
        <w:jc w:val="both"/>
      </w:pPr>
      <w:r>
        <w:rPr/>
        <w:t>本公司原持有的对被投资单位不具有控制、共同控制或重大影响的按金融工具确认和计量准则进行会计处理的权 </w:t>
      </w:r>
      <w:r>
        <w:rPr>
          <w:spacing w:val="-2"/>
        </w:rPr>
        <w:t>益性投资，因追加投资等原因能够对被投资单位施加重大影响或实施共同控制但不构成控制的，按照《企业会计准则第</w:t>
      </w:r>
    </w:p>
    <w:p>
      <w:pPr>
        <w:pStyle w:val="BodyText"/>
        <w:spacing w:line="290" w:lineRule="auto" w:before="33"/>
        <w:ind w:left="501" w:right="1136"/>
        <w:jc w:val="both"/>
      </w:pP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金融工具确认和计量》确定的原持有的股权投资的公允价值加上新增投资成本之和，作为改按权益法核算的初</w:t>
      </w:r>
      <w:r>
        <w:rPr>
          <w:spacing w:val="-74"/>
        </w:rPr>
        <w:t> </w:t>
      </w:r>
      <w:r>
        <w:rPr>
          <w:spacing w:val="-74"/>
        </w:rPr>
      </w:r>
      <w:r>
        <w:rPr/>
        <w:t>始投资成本。</w:t>
      </w:r>
    </w:p>
    <w:p>
      <w:pPr>
        <w:pStyle w:val="BodyText"/>
        <w:spacing w:line="307" w:lineRule="auto" w:before="41"/>
        <w:ind w:left="501" w:right="1165" w:firstLine="420"/>
        <w:jc w:val="both"/>
      </w:pPr>
      <w:r>
        <w:rPr/>
        <w:t>原持有的股权投资分类为可供出售金融资产的，其公允价值与账面价值之间的差额，以及原计入其他综合收益的 累计公允价值变动转入改按权益法核算的当期损益。</w:t>
      </w:r>
    </w:p>
    <w:p>
      <w:pPr>
        <w:pStyle w:val="BodyText"/>
        <w:spacing w:line="321" w:lineRule="auto" w:before="29"/>
        <w:ind w:left="501" w:right="1165" w:firstLine="420"/>
        <w:jc w:val="both"/>
      </w:pPr>
      <w:r>
        <w:rPr/>
        <w:t>按权益法核算的初始投资成本小于按照追加投资后全新的持股比例计算确定的应享有被投资单位在追加投资日可 辨认净资产公允价值份额之间的差额，调整长期股权投资的账面价值，并计入当期营业外收入。</w:t>
      </w:r>
    </w:p>
    <w:p>
      <w:pPr>
        <w:pStyle w:val="BodyText"/>
        <w:spacing w:line="321" w:lineRule="auto" w:before="18"/>
        <w:ind w:left="922" w:right="1148" w:hanging="781"/>
        <w:jc w:val="left"/>
      </w:pPr>
      <w:r>
        <w:rPr>
          <w:rFonts w:ascii="宋体" w:hAnsi="宋体" w:cs="宋体" w:eastAsia="宋体" w:hint="default"/>
        </w:rPr>
        <w:t>2. </w:t>
      </w:r>
      <w:r>
        <w:rPr/>
        <w:t>公允价值计量或权益法核算转成本法核算 本公司原持有的对被投资单位不具有控制、共同控制或重大影响的按金融工具确认和计量准则进行会计处理的权</w:t>
      </w:r>
    </w:p>
    <w:p>
      <w:pPr>
        <w:pStyle w:val="BodyText"/>
        <w:spacing w:line="321" w:lineRule="auto" w:before="4"/>
        <w:ind w:left="501" w:right="1128"/>
        <w:jc w:val="both"/>
      </w:pPr>
      <w:r>
        <w:rPr>
          <w:spacing w:val="-2"/>
        </w:rPr>
        <w:t>益性投资，或原持有对联营企业、合营企业的长期股权投资，因追加投资等原因能够对非同一控制下的被投资单位实施</w:t>
      </w:r>
      <w:r>
        <w:rPr>
          <w:spacing w:val="-79"/>
        </w:rPr>
        <w:t> </w:t>
      </w:r>
      <w:r>
        <w:rPr>
          <w:spacing w:val="-79"/>
        </w:rPr>
      </w:r>
      <w:r>
        <w:rPr>
          <w:spacing w:val="-2"/>
        </w:rPr>
        <w:t>控制的，在编制个别财务报表时，按照原持有的股权投资账面价值加上新增投资成本之和，作为改按成本法核算的初始</w:t>
      </w:r>
      <w:r>
        <w:rPr>
          <w:spacing w:val="-70"/>
        </w:rPr>
        <w:t> </w:t>
      </w:r>
      <w:r>
        <w:rPr>
          <w:spacing w:val="-70"/>
        </w:rPr>
      </w:r>
      <w:r>
        <w:rPr/>
        <w:t>投资成本。</w:t>
      </w:r>
    </w:p>
    <w:p>
      <w:pPr>
        <w:pStyle w:val="BodyText"/>
        <w:spacing w:line="321" w:lineRule="auto" w:before="18"/>
        <w:ind w:left="501" w:right="1165" w:firstLine="420"/>
        <w:jc w:val="both"/>
      </w:pPr>
      <w:r>
        <w:rPr/>
        <w:t>购买日之前持有的股权投资因采用权益法核算而确认的其他综合收益，在处置该项投资时采用与被投资单位直接 处置相关资产或负债相同的基础进行会计处理。</w:t>
      </w:r>
    </w:p>
    <w:p>
      <w:pPr>
        <w:pStyle w:val="BodyText"/>
        <w:spacing w:line="290" w:lineRule="auto" w:before="18"/>
        <w:ind w:left="501" w:right="1159" w:firstLine="420"/>
        <w:jc w:val="both"/>
      </w:pPr>
      <w:r>
        <w:rPr/>
        <w:t>购买日之前持有的股权投资按照《企业会计准则第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金融工具确认和计量》的有关规定进行会计处理的， 原计入其他综合收益的累计公允价值变动在改按成本法核算时转入当期损益。</w:t>
      </w:r>
    </w:p>
    <w:p>
      <w:pPr>
        <w:pStyle w:val="BodyText"/>
        <w:spacing w:line="240" w:lineRule="auto" w:before="41"/>
        <w:ind w:right="0"/>
        <w:jc w:val="left"/>
      </w:pPr>
      <w:r>
        <w:rPr>
          <w:rFonts w:ascii="宋体" w:hAnsi="宋体" w:cs="宋体" w:eastAsia="宋体" w:hint="default"/>
        </w:rPr>
        <w:t>3.  </w:t>
      </w:r>
      <w:r>
        <w:rPr/>
        <w:t>权益法核算转公允价值计量</w:t>
      </w:r>
    </w:p>
    <w:p>
      <w:pPr>
        <w:pStyle w:val="BodyText"/>
        <w:spacing w:line="240" w:lineRule="auto" w:before="80"/>
        <w:ind w:left="922" w:right="0"/>
        <w:jc w:val="left"/>
      </w:pPr>
      <w:r>
        <w:rPr/>
        <w:t>本公司因处置部分股权投资等原因丧失了对被投资单位的共同控制或重大影响的，处置后的剩余股权改按《企业</w:t>
      </w:r>
    </w:p>
    <w:p>
      <w:pPr>
        <w:pStyle w:val="BodyText"/>
        <w:spacing w:line="273" w:lineRule="auto" w:before="95"/>
        <w:ind w:left="501" w:right="1131"/>
        <w:jc w:val="both"/>
      </w:pPr>
      <w:r>
        <w:rPr>
          <w:spacing w:val="-2"/>
        </w:rPr>
        <w:t>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w:t>
      </w:r>
      <w:r>
        <w:rPr>
          <w:spacing w:val="-71"/>
        </w:rPr>
        <w:t> </w:t>
      </w:r>
      <w:r>
        <w:rPr>
          <w:spacing w:val="-71"/>
        </w:rPr>
      </w:r>
      <w:r>
        <w:rPr/>
        <w:t>计入当期损益。</w:t>
      </w:r>
    </w:p>
    <w:p>
      <w:pPr>
        <w:pStyle w:val="BodyText"/>
        <w:spacing w:line="321" w:lineRule="auto" w:before="54"/>
        <w:ind w:left="501" w:right="1165" w:firstLine="420"/>
        <w:jc w:val="both"/>
      </w:pPr>
      <w:r>
        <w:rPr/>
        <w:t>原股权投资因采用权益法核算而确认的其他综合收益，在终止采用权益法核算时采用与被投资单位直接处置相关 资产或负债相同的基础进行会计处理。</w:t>
      </w:r>
    </w:p>
    <w:p>
      <w:pPr>
        <w:pStyle w:val="BodyText"/>
        <w:spacing w:line="240" w:lineRule="auto" w:before="19"/>
        <w:ind w:right="0"/>
        <w:jc w:val="left"/>
      </w:pPr>
      <w:r>
        <w:rPr>
          <w:rFonts w:ascii="宋体" w:hAnsi="宋体" w:cs="宋体" w:eastAsia="宋体" w:hint="default"/>
        </w:rPr>
        <w:t>4.  </w:t>
      </w:r>
      <w:r>
        <w:rPr/>
        <w:t>成本法转权益法</w:t>
      </w:r>
    </w:p>
    <w:p>
      <w:pPr>
        <w:pStyle w:val="BodyText"/>
        <w:spacing w:line="314" w:lineRule="auto" w:before="79"/>
        <w:ind w:left="501" w:right="1137" w:firstLine="420"/>
        <w:jc w:val="both"/>
      </w:pPr>
      <w:r>
        <w:rPr/>
        <w:t>本公司因处置部分权益性投资等原因丧失了对被投资单位的控制的，在编制个别财务报表时，处置后的剩余股权 </w:t>
      </w:r>
      <w:r>
        <w:rPr>
          <w:spacing w:val="-2"/>
        </w:rPr>
        <w:t>能够对被投资单位实施共同控制或施加重大影响的，改按权益法核算，并对该剩余股权视同自取得时即采用权益法核算</w:t>
      </w:r>
      <w:r>
        <w:rPr>
          <w:spacing w:val="-76"/>
        </w:rPr>
        <w:t> </w:t>
      </w:r>
      <w:r>
        <w:rPr>
          <w:spacing w:val="-76"/>
        </w:rPr>
      </w:r>
      <w:r>
        <w:rPr/>
        <w:t>进行调整。</w:t>
      </w:r>
    </w:p>
    <w:p>
      <w:pPr>
        <w:pStyle w:val="BodyText"/>
        <w:spacing w:line="321" w:lineRule="auto" w:before="24"/>
        <w:ind w:left="561" w:right="1149" w:hanging="421"/>
        <w:jc w:val="left"/>
      </w:pPr>
      <w:r>
        <w:rPr>
          <w:rFonts w:ascii="宋体" w:hAnsi="宋体" w:cs="宋体" w:eastAsia="宋体" w:hint="default"/>
        </w:rPr>
        <w:t>5. </w:t>
      </w:r>
      <w:r>
        <w:rPr/>
        <w:t>成本法转公允价值计量 本公司因处置部分权益性投资等原因丧失了对被投资单位的控制的，在编制个别财务报表时，处置后的剩余股权不能</w:t>
      </w:r>
    </w:p>
    <w:p>
      <w:pPr>
        <w:pStyle w:val="BodyText"/>
        <w:spacing w:line="276" w:lineRule="auto" w:before="33"/>
        <w:ind w:right="0"/>
        <w:jc w:val="left"/>
      </w:pPr>
      <w:r>
        <w:rPr>
          <w:spacing w:val="-2"/>
        </w:rPr>
        <w:t>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w:t>
      </w:r>
      <w:r>
        <w:rPr>
          <w:spacing w:val="-66"/>
        </w:rPr>
        <w:t> </w:t>
      </w:r>
      <w:r>
        <w:rPr>
          <w:spacing w:val="-66"/>
        </w:rPr>
      </w:r>
      <w:r>
        <w:rPr/>
        <w:t>处理，其在丧失控制之日的公允价值与账面价值间的差额计入当期损益。</w:t>
      </w:r>
    </w:p>
    <w:p>
      <w:pPr>
        <w:spacing w:after="0" w:line="276"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88" w:lineRule="auto" w:before="44"/>
        <w:ind w:left="561" w:right="1149" w:hanging="421"/>
        <w:jc w:val="left"/>
      </w:pPr>
      <w:r>
        <w:rPr>
          <w:rFonts w:ascii="Times New Roman" w:hAnsi="Times New Roman" w:cs="Times New Roman" w:eastAsia="Times New Roman" w:hint="default"/>
          <w:b/>
          <w:bCs/>
        </w:rPr>
        <w:t>4.</w:t>
      </w:r>
      <w:r>
        <w:rPr>
          <w:rFonts w:ascii="宋体" w:hAnsi="宋体" w:cs="宋体" w:eastAsia="宋体" w:hint="default"/>
          <w:b/>
          <w:bCs/>
        </w:rPr>
        <w:t>长期股权投资的处置</w:t>
      </w:r>
      <w:r>
        <w:rPr>
          <w:rFonts w:ascii="宋体" w:hAnsi="宋体" w:cs="宋体" w:eastAsia="宋体" w:hint="default"/>
          <w:b/>
          <w:bCs/>
          <w:w w:val="99"/>
        </w:rPr>
        <w:t> </w:t>
      </w:r>
      <w:r>
        <w:rPr/>
        <w:t>处置长期股权投资，其账面价值与实际取得价款之间的差额，应当计入当期损益。采用权益法核算的长期股权投资，</w:t>
      </w:r>
    </w:p>
    <w:p>
      <w:pPr>
        <w:pStyle w:val="BodyText"/>
        <w:spacing w:line="307" w:lineRule="auto" w:before="44"/>
        <w:ind w:right="1118"/>
        <w:jc w:val="left"/>
      </w:pPr>
      <w:r>
        <w:rPr>
          <w:spacing w:val="-2"/>
        </w:rPr>
        <w:t>在处置该项投资时，采用与被投资单位直接处置相关资产或负债相同的基础，按相应比例对原计入其他综合收益的部分进行</w:t>
      </w:r>
      <w:r>
        <w:rPr>
          <w:spacing w:val="-72"/>
        </w:rPr>
        <w:t> </w:t>
      </w:r>
      <w:r>
        <w:rPr>
          <w:spacing w:val="-72"/>
        </w:rPr>
      </w:r>
      <w:r>
        <w:rPr/>
        <w:t>会计处理。</w:t>
      </w:r>
    </w:p>
    <w:p>
      <w:pPr>
        <w:pStyle w:val="BodyText"/>
        <w:spacing w:line="321" w:lineRule="auto" w:before="29"/>
        <w:ind w:right="1163" w:firstLine="420"/>
        <w:jc w:val="both"/>
      </w:pPr>
      <w:r>
        <w:rPr/>
        <w:t>处置对子公司股权投资的各项交易的条款、条件以及经济影响符合以下一种或多种情况，将多次交易事项作为一揽子 交易进行会计处理：</w:t>
      </w:r>
    </w:p>
    <w:p>
      <w:pPr>
        <w:pStyle w:val="BodyText"/>
        <w:spacing w:line="240" w:lineRule="auto" w:before="18"/>
        <w:ind w:left="621" w:right="0"/>
        <w:jc w:val="left"/>
      </w:pPr>
      <w:r>
        <w:rPr>
          <w:rFonts w:ascii="宋体" w:hAnsi="宋体" w:cs="宋体" w:eastAsia="宋体" w:hint="default"/>
        </w:rPr>
        <w:t>1.  </w:t>
      </w:r>
      <w:r>
        <w:rPr/>
        <w:t>这些交易是同时或者在考虑了彼此影响的情况下订立的；</w:t>
      </w:r>
    </w:p>
    <w:p>
      <w:pPr>
        <w:pStyle w:val="BodyText"/>
        <w:spacing w:line="240" w:lineRule="auto" w:before="80"/>
        <w:ind w:left="621" w:right="0"/>
        <w:jc w:val="left"/>
      </w:pPr>
      <w:r>
        <w:rPr>
          <w:rFonts w:ascii="宋体" w:hAnsi="宋体" w:cs="宋体" w:eastAsia="宋体" w:hint="default"/>
        </w:rPr>
        <w:t>2.  </w:t>
      </w:r>
      <w:r>
        <w:rPr/>
        <w:t>这些交易整体才能达成一项完整的商业结果；</w:t>
      </w:r>
    </w:p>
    <w:p>
      <w:pPr>
        <w:pStyle w:val="BodyText"/>
        <w:spacing w:line="240" w:lineRule="auto" w:before="64"/>
        <w:ind w:left="621" w:right="0"/>
        <w:jc w:val="left"/>
      </w:pPr>
      <w:r>
        <w:rPr>
          <w:rFonts w:ascii="宋体" w:hAnsi="宋体" w:cs="宋体" w:eastAsia="宋体" w:hint="default"/>
        </w:rPr>
        <w:t>3.  </w:t>
      </w:r>
      <w:r>
        <w:rPr/>
        <w:t>一项交易的发生取决于其他至少一项交易的发生；</w:t>
      </w:r>
    </w:p>
    <w:p>
      <w:pPr>
        <w:pStyle w:val="BodyText"/>
        <w:spacing w:line="321" w:lineRule="auto" w:before="80"/>
        <w:ind w:left="561" w:right="1149" w:firstLine="60"/>
        <w:jc w:val="left"/>
      </w:pPr>
      <w:r>
        <w:rPr>
          <w:rFonts w:ascii="宋体" w:hAnsi="宋体" w:cs="宋体" w:eastAsia="宋体" w:hint="default"/>
        </w:rPr>
        <w:t>4. </w:t>
      </w:r>
      <w:r>
        <w:rPr/>
        <w:t>一项交易单独看是不经济的，但是和其他交易一并考虑时是经济的。 因处置部分股权投资或其他原因丧失了对原有子公司控制权的，不属于一揽子交易的，区分个别财务报表和合并财务</w:t>
      </w:r>
    </w:p>
    <w:p>
      <w:pPr>
        <w:pStyle w:val="BodyText"/>
        <w:spacing w:line="240" w:lineRule="auto" w:before="18"/>
        <w:ind w:right="0"/>
        <w:jc w:val="left"/>
      </w:pPr>
      <w:r>
        <w:rPr/>
        <w:t>报表进行相关会计处理：</w:t>
      </w:r>
    </w:p>
    <w:p>
      <w:pPr>
        <w:pStyle w:val="BodyText"/>
        <w:spacing w:line="273" w:lineRule="auto" w:before="95"/>
        <w:ind w:right="1126" w:firstLine="420"/>
        <w:jc w:val="both"/>
      </w:pPr>
      <w:r>
        <w:rPr>
          <w:spacing w:val="-1"/>
        </w:rPr>
        <w:t>（</w:t>
      </w:r>
      <w:r>
        <w:rPr>
          <w:rFonts w:ascii="Times New Roman" w:hAnsi="Times New Roman" w:cs="Times New Roman" w:eastAsia="Times New Roman" w:hint="default"/>
          <w:spacing w:val="-1"/>
        </w:rPr>
        <w:t>1</w:t>
      </w:r>
      <w:r>
        <w:rPr>
          <w:spacing w:val="-1"/>
        </w:rPr>
        <w:t>）在个别财务报表中，对于处置的股权，其账面价值与实际取得价款之间的差额计入当期损益。处置后的剩余股权</w:t>
      </w:r>
      <w:r>
        <w:rPr/>
        <w:t> </w:t>
      </w:r>
      <w:r>
        <w:rPr>
          <w:spacing w:val="-2"/>
        </w:rPr>
        <w:t>能够对被投资单位实施共同控制或施加重大影响的，改按权益法核算，并对该剩余股权视同自取得时即采用权益法核算进行</w:t>
      </w:r>
    </w:p>
    <w:p>
      <w:pPr>
        <w:pStyle w:val="BodyText"/>
        <w:spacing w:line="288" w:lineRule="auto" w:before="70"/>
        <w:ind w:right="0"/>
        <w:jc w:val="left"/>
      </w:pPr>
      <w:r>
        <w:rPr>
          <w:spacing w:val="-2"/>
        </w:rPr>
        <w:t>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w:t>
      </w:r>
      <w:r>
        <w:rPr>
          <w:spacing w:val="-64"/>
        </w:rPr>
        <w:t> </w:t>
      </w:r>
      <w:r>
        <w:rPr/>
        <w:t>和计量》的有关规定进行会计处理，其在丧失控制之日的公允价值与账面价值间的差额计入当期损益。</w:t>
      </w:r>
    </w:p>
    <w:p>
      <w:pPr>
        <w:pStyle w:val="BodyText"/>
        <w:spacing w:line="312" w:lineRule="auto" w:before="59"/>
        <w:ind w:right="1106" w:firstLine="420"/>
        <w:jc w:val="both"/>
      </w:pPr>
      <w:r>
        <w:rPr>
          <w:spacing w:val="-1"/>
        </w:rPr>
        <w:t>（</w:t>
      </w:r>
      <w:r>
        <w:rPr>
          <w:rFonts w:ascii="Times New Roman" w:hAnsi="Times New Roman" w:cs="Times New Roman" w:eastAsia="Times New Roman" w:hint="default"/>
          <w:spacing w:val="-1"/>
        </w:rPr>
        <w:t>2</w:t>
      </w:r>
      <w:r>
        <w:rPr>
          <w:spacing w:val="-1"/>
        </w:rPr>
        <w:t>）在合并财务报表中，对于在丧失对子公司控制权以前的各项交易，处置价款与处置长期股权投资相应对享有子公</w:t>
      </w:r>
      <w:r>
        <w:rPr/>
        <w:t> </w:t>
      </w:r>
      <w:r>
        <w:rPr>
          <w:spacing w:val="-2"/>
        </w:rPr>
        <w:t>司自购买日或合并日开始持续计算的净资产份额之间的差额，调整资本公积（股本溢价），资本公积不足冲减的，调整留存</w:t>
      </w:r>
      <w:r>
        <w:rPr>
          <w:spacing w:val="-48"/>
        </w:rPr>
        <w:t> </w:t>
      </w:r>
      <w:r>
        <w:rPr>
          <w:spacing w:val="-48"/>
        </w:rPr>
      </w:r>
      <w:r>
        <w:rPr>
          <w:spacing w:val="-2"/>
        </w:rPr>
        <w:t>收益；在丧失对子公司控制权时，对于剩余股权，按照其在丧失控制权日的公允价值进行重新计量。处置股权取得的对价与</w:t>
      </w:r>
      <w:r>
        <w:rPr>
          <w:spacing w:val="-42"/>
        </w:rPr>
        <w:t> </w:t>
      </w:r>
      <w:r>
        <w:rPr>
          <w:spacing w:val="-42"/>
        </w:rPr>
      </w:r>
      <w:r>
        <w:rPr>
          <w:spacing w:val="-2"/>
        </w:rPr>
        <w:t>剩余股权公允价值之和，减去按原持股比例计算应享有原有子公司自购买日开始持续计算的净资产的份额之间的差额，计入</w:t>
      </w:r>
      <w:r>
        <w:rPr>
          <w:spacing w:val="-72"/>
        </w:rPr>
        <w:t> </w:t>
      </w:r>
      <w:r>
        <w:rPr>
          <w:spacing w:val="-72"/>
        </w:rPr>
      </w:r>
      <w:r>
        <w:rPr>
          <w:spacing w:val="-2"/>
        </w:rPr>
        <w:t>丧失控制权当期的投资收益，同时冲减商誉。与原有子公司股权投资相关的其他综合收益等，在丧失控制权时转为当期投资</w:t>
      </w:r>
      <w:r>
        <w:rPr>
          <w:spacing w:val="-75"/>
        </w:rPr>
        <w:t> </w:t>
      </w:r>
      <w:r>
        <w:rPr>
          <w:spacing w:val="-75"/>
        </w:rPr>
      </w:r>
      <w:r>
        <w:rPr/>
        <w:t>收益。</w:t>
      </w:r>
    </w:p>
    <w:p>
      <w:pPr>
        <w:pStyle w:val="BodyText"/>
        <w:spacing w:line="307" w:lineRule="auto" w:before="26"/>
        <w:ind w:right="1167" w:firstLine="420"/>
        <w:jc w:val="both"/>
      </w:pPr>
      <w:r>
        <w:rPr/>
        <w:t>处置对子公司股权投资直至丧失控制权的各项交易属于一揽子交易的，将各项交易作为一项处置子公司股权投资并丧 失控制权的交易进行会计处理，区分个别财务报表和合并财务报表进行相关会计处理：</w:t>
      </w:r>
    </w:p>
    <w:p>
      <w:pPr>
        <w:pStyle w:val="BodyText"/>
        <w:spacing w:line="290" w:lineRule="auto" w:before="44"/>
        <w:ind w:right="1075" w:firstLine="42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290" w:lineRule="auto" w:before="56"/>
        <w:ind w:right="1120" w:firstLine="420"/>
        <w:jc w:val="both"/>
      </w:pPr>
      <w:r>
        <w:rPr>
          <w:spacing w:val="-1"/>
        </w:rPr>
        <w:t>（</w:t>
      </w:r>
      <w:r>
        <w:rPr>
          <w:rFonts w:ascii="Times New Roman" w:hAnsi="Times New Roman" w:cs="Times New Roman" w:eastAsia="Times New Roman" w:hint="default"/>
          <w:spacing w:val="-1"/>
        </w:rPr>
        <w:t>2</w:t>
      </w:r>
      <w:r>
        <w:rPr>
          <w:spacing w:val="-1"/>
        </w:rPr>
        <w:t>）在合并财务报表中，在丧失控制权之前每一次处置价款与处置投资对应的享有该子公司净资产份额的差额，确认</w:t>
      </w:r>
      <w:r>
        <w:rPr/>
        <w:t> 为其他综合收益，在丧失控制权时一并转入丧失控制权当期的损益。</w:t>
      </w:r>
    </w:p>
    <w:p>
      <w:pPr>
        <w:spacing w:line="290" w:lineRule="auto" w:before="41"/>
        <w:ind w:left="561" w:right="1149" w:hanging="42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共同控制、重大影响的判断标准</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z w:val="18"/>
          <w:szCs w:val="18"/>
        </w:rPr>
        <w:t>如果本公司按照相关约定与其他参与方集体控制某项安排，并且对该安排回报具有重大影响的活动决策，需要经过分</w:t>
      </w:r>
    </w:p>
    <w:p>
      <w:pPr>
        <w:pStyle w:val="BodyText"/>
        <w:spacing w:line="321" w:lineRule="auto" w:before="41"/>
        <w:ind w:left="561" w:right="1149" w:hanging="421"/>
        <w:jc w:val="left"/>
      </w:pPr>
      <w:r>
        <w:rPr/>
        <w:t>享控制权的参与方一致同意时才存在，则视为本公司与其他参与方共同控制某项安排，该安排即属于合营安排。 合营安排通过单独主体达成的，根据相关约定判断本公司对该单独主体的净资产享有权利时，将该单独主体作为合营</w:t>
      </w:r>
    </w:p>
    <w:p>
      <w:pPr>
        <w:pStyle w:val="BodyText"/>
        <w:spacing w:line="314" w:lineRule="auto" w:before="19"/>
        <w:ind w:right="0"/>
        <w:jc w:val="left"/>
      </w:pPr>
      <w:r>
        <w:rPr>
          <w:spacing w:val="-2"/>
        </w:rPr>
        <w:t>企业，采用权益法核算。若根据相关约定判断本公司并非对该单独主体的净资产享有权利时，该单独主体作为共同经营，本</w:t>
      </w:r>
      <w:r>
        <w:rPr>
          <w:spacing w:val="-42"/>
        </w:rPr>
        <w:t> </w:t>
      </w:r>
      <w:r>
        <w:rPr>
          <w:spacing w:val="-42"/>
        </w:rPr>
      </w:r>
      <w:r>
        <w:rPr/>
        <w:t>公司确认与共同经营利益份额相关的项目，并按照相关企业会计准则的规定进行会计处理。 </w:t>
      </w:r>
      <w:r>
        <w:rPr>
          <w:spacing w:val="-2"/>
        </w:rPr>
        <w:t>重大影响，是指投资方对被投资单位的财务和经营政策有参与决策的权力，但并不能够控制或者与其他方一起共同控制这些</w:t>
      </w:r>
      <w:r>
        <w:rPr>
          <w:spacing w:val="-72"/>
        </w:rPr>
        <w:t> </w:t>
      </w:r>
      <w:r>
        <w:rPr>
          <w:spacing w:val="-72"/>
        </w:rPr>
      </w:r>
      <w:r>
        <w:rPr/>
        <w:t>政策的制定。本公司通过以下一种或多种情形，并综合考虑所有事实和情况后，判断对被投资单位具有重大影响。（</w:t>
      </w:r>
      <w:r>
        <w:rPr>
          <w:rFonts w:ascii="Times New Roman" w:hAnsi="Times New Roman" w:cs="Times New Roman" w:eastAsia="Times New Roman" w:hint="default"/>
        </w:rPr>
        <w:t>1</w:t>
      </w:r>
      <w:r>
        <w:rPr/>
        <w:t>）在</w:t>
      </w:r>
      <w:r>
        <w:rPr>
          <w:spacing w:val="-80"/>
        </w:rPr>
        <w:t> </w:t>
      </w:r>
      <w:r>
        <w:rPr>
          <w:spacing w:val="-2"/>
        </w:rPr>
        <w:t>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）与被投资单位之间</w:t>
      </w:r>
      <w:r>
        <w:rPr>
          <w:spacing w:val="-62"/>
        </w:rPr>
        <w:t> </w:t>
      </w:r>
      <w:r>
        <w:rPr>
          <w:spacing w:val="-62"/>
        </w:rPr>
      </w:r>
      <w:r>
        <w:rPr/>
        <w:t>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22"/>
        <w:ind w:right="0"/>
        <w:jc w:val="left"/>
        <w:rPr>
          <w:b w:val="0"/>
          <w:bCs w:val="0"/>
        </w:rPr>
      </w:pPr>
      <w:bookmarkStart w:name="23、投资性房地产" w:id="195"/>
      <w:bookmarkEnd w:id="195"/>
      <w:r>
        <w:rPr>
          <w:b w:val="0"/>
          <w:bCs w:val="0"/>
        </w:rPr>
      </w:r>
      <w:r>
        <w:rPr>
          <w:rFonts w:ascii="Times New Roman" w:hAnsi="Times New Roman" w:cs="Times New Roman" w:eastAsia="Times New Roman" w:hint="default"/>
          <w:spacing w:val="4"/>
        </w:rPr>
        <w:t>23</w:t>
      </w:r>
      <w:r>
        <w:rPr>
          <w:spacing w:val="4"/>
        </w:rPr>
        <w:t>、投资性房地产</w:t>
      </w:r>
      <w:r>
        <w:rPr>
          <w:b w:val="0"/>
          <w:bCs w:val="0"/>
          <w:spacing w:val="4"/>
        </w:rPr>
      </w:r>
    </w:p>
    <w:p>
      <w:pPr>
        <w:spacing w:line="240" w:lineRule="auto" w:before="9"/>
        <w:rPr>
          <w:rFonts w:ascii="宋体" w:hAnsi="宋体" w:cs="宋体" w:eastAsia="宋体" w:hint="default"/>
          <w:b/>
          <w:bCs/>
          <w:sz w:val="26"/>
          <w:szCs w:val="26"/>
        </w:rPr>
      </w:pPr>
    </w:p>
    <w:p>
      <w:pPr>
        <w:pStyle w:val="BodyText"/>
        <w:spacing w:line="367" w:lineRule="auto"/>
        <w:ind w:right="8949"/>
        <w:jc w:val="left"/>
      </w:pPr>
      <w:r>
        <w:rPr/>
        <w:t>投资性房地产计量模式 成本法计量</w:t>
      </w:r>
    </w:p>
    <w:p>
      <w:pPr>
        <w:spacing w:after="0" w:line="367"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折旧或摊销方法</w:t>
      </w:r>
    </w:p>
    <w:p>
      <w:pPr>
        <w:pStyle w:val="BodyText"/>
        <w:spacing w:line="304" w:lineRule="auto" w:before="125"/>
        <w:ind w:left="561" w:right="1149" w:hanging="421"/>
        <w:jc w:val="left"/>
      </w:pPr>
      <w:r>
        <w:rPr>
          <w:rFonts w:ascii="Times New Roman" w:hAnsi="Times New Roman" w:cs="Times New Roman" w:eastAsia="Times New Roman" w:hint="default"/>
          <w:b/>
          <w:bCs/>
        </w:rPr>
        <w:t>1.</w:t>
      </w:r>
      <w:r>
        <w:rPr>
          <w:rFonts w:ascii="宋体" w:hAnsi="宋体" w:cs="宋体" w:eastAsia="宋体" w:hint="default"/>
          <w:b/>
          <w:bCs/>
        </w:rPr>
        <w:t>投资性房地产的初始计量</w:t>
      </w:r>
      <w:r>
        <w:rPr>
          <w:rFonts w:ascii="宋体" w:hAnsi="宋体" w:cs="宋体" w:eastAsia="宋体" w:hint="default"/>
          <w:b/>
          <w:bCs/>
          <w:spacing w:val="-85"/>
        </w:rPr>
        <w:t> </w:t>
      </w:r>
      <w:r>
        <w:rPr>
          <w:rFonts w:ascii="宋体" w:hAnsi="宋体" w:cs="宋体" w:eastAsia="宋体" w:hint="default"/>
          <w:b/>
          <w:bCs/>
          <w:spacing w:val="-85"/>
        </w:rPr>
      </w:r>
      <w:r>
        <w:rPr/>
        <w:t>本公司投资性房地产包括已出租的土地使用权、持有并准备增值后转让的土地使用权和已出租的建筑物。 本公司的投资性房地产按其成本进行初始计量，外购投资性房地产的成本包括购买价款、相关税费和可直接归属于该</w:t>
      </w:r>
    </w:p>
    <w:p>
      <w:pPr>
        <w:pStyle w:val="BodyText"/>
        <w:spacing w:line="240" w:lineRule="auto" w:before="31"/>
        <w:ind w:right="0"/>
        <w:jc w:val="left"/>
      </w:pPr>
      <w:r>
        <w:rPr/>
        <w:t>资产的其他支出；自行建造投资性房地产的成本，由建造该项资产达到预定可使用状态前所发生的必要支出构成。</w:t>
      </w:r>
    </w:p>
    <w:p>
      <w:pPr>
        <w:spacing w:line="391" w:lineRule="auto" w:before="95"/>
        <w:ind w:left="561" w:right="1149" w:hanging="42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投资性房地产的后续计量</w:t>
      </w:r>
      <w:r>
        <w:rPr>
          <w:rFonts w:ascii="宋体" w:hAnsi="宋体" w:cs="宋体" w:eastAsia="宋体" w:hint="default"/>
          <w:b/>
          <w:bCs/>
          <w:spacing w:val="-85"/>
          <w:sz w:val="18"/>
          <w:szCs w:val="18"/>
        </w:rPr>
        <w:t> </w:t>
      </w:r>
      <w:r>
        <w:rPr>
          <w:rFonts w:ascii="宋体" w:hAnsi="宋体" w:cs="宋体" w:eastAsia="宋体" w:hint="default"/>
          <w:b/>
          <w:bCs/>
          <w:spacing w:val="-85"/>
          <w:sz w:val="18"/>
          <w:szCs w:val="18"/>
        </w:rPr>
      </w:r>
      <w:r>
        <w:rPr>
          <w:rFonts w:ascii="宋体" w:hAnsi="宋体" w:cs="宋体" w:eastAsia="宋体" w:hint="default"/>
          <w:sz w:val="18"/>
          <w:szCs w:val="18"/>
        </w:rPr>
        <w:t>本公司采用成本模式对投资性房地产进行后续计量，并按照与房屋建筑物或土地使用权一致的政策进行折旧或摊销。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5"/>
        <w:spacing w:line="240" w:lineRule="auto"/>
        <w:ind w:right="0"/>
        <w:jc w:val="left"/>
        <w:rPr>
          <w:b w:val="0"/>
          <w:bCs w:val="0"/>
        </w:rPr>
      </w:pPr>
      <w:bookmarkStart w:name="24、固定资产" w:id="196"/>
      <w:bookmarkEnd w:id="196"/>
      <w:r>
        <w:rPr>
          <w:b w:val="0"/>
          <w:bCs w:val="0"/>
        </w:rPr>
      </w:r>
      <w:r>
        <w:rPr>
          <w:rFonts w:ascii="Times New Roman" w:hAnsi="Times New Roman" w:cs="Times New Roman" w:eastAsia="Times New Roman" w:hint="default"/>
          <w:spacing w:val="3"/>
        </w:rPr>
        <w:t>24</w:t>
      </w:r>
      <w:r>
        <w:rPr>
          <w:spacing w:val="3"/>
        </w:rPr>
        <w:t>、固定资产</w:t>
      </w:r>
      <w:r>
        <w:rPr>
          <w:b w:val="0"/>
          <w:bCs w:val="0"/>
          <w:spacing w:val="3"/>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确认条件" w:id="197"/>
      <w:bookmarkEnd w:id="197"/>
      <w:r>
        <w:rPr>
          <w:b w:val="0"/>
          <w:bCs w:val="0"/>
        </w:rPr>
      </w:r>
      <w:r>
        <w:rPr>
          <w:spacing w:val="5"/>
        </w:rPr>
        <w:t>（</w:t>
      </w:r>
      <w:r>
        <w:rPr>
          <w:rFonts w:ascii="Times New Roman" w:hAnsi="Times New Roman" w:cs="Times New Roman" w:eastAsia="Times New Roman" w:hint="default"/>
          <w:spacing w:val="5"/>
        </w:rPr>
        <w:t>1</w:t>
      </w:r>
      <w:r>
        <w:rPr>
          <w:spacing w:val="5"/>
        </w:rPr>
        <w:t>）确认条件</w:t>
      </w:r>
      <w:r>
        <w:rPr>
          <w:b w:val="0"/>
          <w:bCs w:val="0"/>
          <w:spacing w:val="5"/>
        </w:rPr>
      </w:r>
    </w:p>
    <w:p>
      <w:pPr>
        <w:spacing w:line="240" w:lineRule="auto" w:before="9"/>
        <w:rPr>
          <w:rFonts w:ascii="宋体" w:hAnsi="宋体" w:cs="宋体" w:eastAsia="宋体" w:hint="default"/>
          <w:b/>
          <w:bCs/>
          <w:sz w:val="26"/>
          <w:szCs w:val="26"/>
        </w:rPr>
      </w:pPr>
    </w:p>
    <w:p>
      <w:pPr>
        <w:pStyle w:val="BodyText"/>
        <w:spacing w:line="336" w:lineRule="auto"/>
        <w:ind w:right="1029"/>
        <w:jc w:val="left"/>
      </w:pPr>
      <w:r>
        <w:rPr>
          <w:spacing w:val="-2"/>
        </w:rPr>
        <w:t>固定资产指为生产商品、提供劳务、出租或经营管理而持有，并且使用寿命超过一个会计年度的有形资产。固定资产在同时</w:t>
      </w:r>
      <w:r>
        <w:rPr>
          <w:spacing w:val="-42"/>
        </w:rPr>
        <w:t> </w:t>
      </w:r>
      <w:r>
        <w:rPr>
          <w:spacing w:val="-42"/>
        </w:rPr>
      </w:r>
      <w:r>
        <w:rPr/>
        <w:t>满足下列条件时予以确认：（</w:t>
      </w:r>
      <w:r>
        <w:rPr>
          <w:rFonts w:ascii="Times New Roman" w:hAnsi="Times New Roman" w:cs="Times New Roman" w:eastAsia="Times New Roman" w:hint="default"/>
        </w:rPr>
        <w:t>1</w:t>
      </w:r>
      <w:r>
        <w:rPr/>
        <w:t>）与该固定资产有关的经济利益很可能流入企业；（</w:t>
      </w:r>
      <w:r>
        <w:rPr>
          <w:rFonts w:ascii="Times New Roman" w:hAnsi="Times New Roman" w:cs="Times New Roman" w:eastAsia="Times New Roman" w:hint="default"/>
        </w:rPr>
        <w:t>2</w:t>
      </w:r>
      <w:r>
        <w:rPr/>
        <w:t>）该固定资产的成本能够可靠地计量。</w:t>
      </w:r>
    </w:p>
    <w:p>
      <w:pPr>
        <w:spacing w:line="240" w:lineRule="auto" w:before="0"/>
        <w:rPr>
          <w:rFonts w:ascii="宋体" w:hAnsi="宋体" w:cs="宋体" w:eastAsia="宋体" w:hint="default"/>
          <w:sz w:val="21"/>
          <w:szCs w:val="21"/>
        </w:rPr>
      </w:pPr>
    </w:p>
    <w:p>
      <w:pPr>
        <w:pStyle w:val="Heading5"/>
        <w:spacing w:line="240" w:lineRule="auto"/>
        <w:ind w:right="0"/>
        <w:jc w:val="left"/>
        <w:rPr>
          <w:b w:val="0"/>
          <w:bCs w:val="0"/>
        </w:rPr>
      </w:pPr>
      <w:bookmarkStart w:name="（2）折旧方法" w:id="198"/>
      <w:bookmarkEnd w:id="198"/>
      <w:r>
        <w:rPr>
          <w:b w:val="0"/>
          <w:bCs w:val="0"/>
        </w:rPr>
      </w:r>
      <w:r>
        <w:rPr>
          <w:spacing w:val="5"/>
        </w:rPr>
        <w:t>（</w:t>
      </w:r>
      <w:r>
        <w:rPr>
          <w:rFonts w:ascii="Times New Roman" w:hAnsi="Times New Roman" w:cs="Times New Roman" w:eastAsia="Times New Roman" w:hint="default"/>
          <w:spacing w:val="5"/>
        </w:rPr>
        <w:t>2</w:t>
      </w:r>
      <w:r>
        <w:rPr>
          <w:spacing w:val="5"/>
        </w:rPr>
        <w:t>）折旧方法</w:t>
      </w:r>
      <w:r>
        <w:rPr>
          <w:b w:val="0"/>
          <w:bCs w:val="0"/>
          <w:spacing w:val="5"/>
        </w:rPr>
      </w:r>
    </w:p>
    <w:p>
      <w:pPr>
        <w:spacing w:line="240" w:lineRule="auto" w:before="7"/>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3.17%</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9.5%</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19.00%</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11.88%</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19.00%</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235" w:lineRule="exact"/>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2"/>
        <w:ind w:right="0"/>
        <w:jc w:val="left"/>
        <w:rPr>
          <w:b w:val="0"/>
          <w:bCs w:val="0"/>
        </w:rPr>
      </w:pPr>
      <w:bookmarkStart w:name="（3）融资租入固定资产的认定依据、计价和折旧方法" w:id="199"/>
      <w:bookmarkEnd w:id="199"/>
      <w:r>
        <w:rPr>
          <w:b w:val="0"/>
          <w:bCs w:val="0"/>
        </w:rPr>
      </w:r>
      <w:r>
        <w:rPr>
          <w:spacing w:val="5"/>
        </w:rPr>
        <w:t>（</w:t>
      </w:r>
      <w:r>
        <w:rPr>
          <w:rFonts w:ascii="Times New Roman" w:hAnsi="Times New Roman" w:cs="Times New Roman" w:eastAsia="Times New Roman" w:hint="default"/>
          <w:spacing w:val="5"/>
        </w:rPr>
        <w:t>3</w:t>
      </w:r>
      <w:r>
        <w:rPr>
          <w:spacing w:val="5"/>
        </w:rPr>
        <w:t>）融资租入固定资产的认定依据、计价和折旧方法</w:t>
      </w:r>
      <w:r>
        <w:rPr>
          <w:b w:val="0"/>
          <w:bCs w:val="0"/>
          <w:spacing w:val="5"/>
        </w:rPr>
      </w:r>
    </w:p>
    <w:p>
      <w:pPr>
        <w:spacing w:line="240" w:lineRule="auto" w:before="11"/>
        <w:rPr>
          <w:rFonts w:ascii="宋体" w:hAnsi="宋体" w:cs="宋体" w:eastAsia="宋体" w:hint="default"/>
          <w:b/>
          <w:bCs/>
          <w:sz w:val="27"/>
          <w:szCs w:val="27"/>
        </w:rPr>
      </w:pPr>
    </w:p>
    <w:p>
      <w:pPr>
        <w:pStyle w:val="BodyText"/>
        <w:spacing w:line="297" w:lineRule="auto"/>
        <w:ind w:right="1106"/>
        <w:jc w:val="both"/>
      </w:pPr>
      <w:r>
        <w:rPr/>
        <w:t>当本公司租入的固定资产符合下列一项或数项标准时，确认为融资租入固定资产：（</w:t>
      </w:r>
      <w:r>
        <w:rPr>
          <w:rFonts w:ascii="Times New Roman" w:hAnsi="Times New Roman" w:cs="Times New Roman" w:eastAsia="Times New Roman" w:hint="default"/>
        </w:rPr>
        <w:t>1</w:t>
      </w:r>
      <w:r>
        <w:rPr/>
        <w:t>）在租赁期届满时，租赁资产的所有</w:t>
      </w:r>
      <w:r>
        <w:rPr>
          <w:spacing w:val="-82"/>
        </w:rPr>
        <w:t> </w:t>
      </w:r>
      <w:r>
        <w:rPr/>
        <w:t>权转移给本公司。（</w:t>
      </w:r>
      <w:r>
        <w:rPr>
          <w:rFonts w:ascii="Times New Roman" w:hAnsi="Times New Roman" w:cs="Times New Roman" w:eastAsia="Times New Roman" w:hint="default"/>
        </w:rPr>
        <w:t>2</w:t>
      </w:r>
      <w:r>
        <w:rPr/>
        <w:t>）本公司有购买租赁资产的选择权，所订立的购买价款预计将远低于行使选择权时租赁资产的公允价 值，因而在租赁开始日就可以合理确定本公司将会行使这种选择权。（</w:t>
      </w:r>
      <w:r>
        <w:rPr>
          <w:rFonts w:ascii="Times New Roman" w:hAnsi="Times New Roman" w:cs="Times New Roman" w:eastAsia="Times New Roman" w:hint="default"/>
        </w:rPr>
        <w:t>3</w:t>
      </w:r>
      <w:r>
        <w:rPr/>
        <w:t>）即使资产的所有权不转移，但租赁期占租赁资产</w:t>
      </w:r>
      <w:r>
        <w:rPr>
          <w:spacing w:val="-84"/>
        </w:rPr>
        <w:t> </w:t>
      </w:r>
      <w:r>
        <w:rPr>
          <w:spacing w:val="-2"/>
        </w:rPr>
        <w:t>使用寿命的大部分。（</w:t>
      </w:r>
      <w:r>
        <w:rPr>
          <w:rFonts w:ascii="Times New Roman" w:hAnsi="Times New Roman" w:cs="Times New Roman" w:eastAsia="Times New Roman" w:hint="default"/>
          <w:spacing w:val="-2"/>
        </w:rPr>
        <w:t>4</w:t>
      </w:r>
      <w:r>
        <w:rPr>
          <w:spacing w:val="-2"/>
        </w:rPr>
        <w:t>）本公司在租赁开始日的最低租赁付款额现值，几乎相当于租赁开始日租赁资产公允价值。（</w:t>
      </w:r>
      <w:r>
        <w:rPr>
          <w:rFonts w:ascii="Times New Roman" w:hAnsi="Times New Roman" w:cs="Times New Roman" w:eastAsia="Times New Roman" w:hint="default"/>
          <w:spacing w:val="-2"/>
        </w:rPr>
        <w:t>5</w:t>
      </w:r>
      <w:r>
        <w:rPr>
          <w:spacing w:val="-2"/>
        </w:rPr>
        <w:t>）租</w:t>
      </w:r>
      <w:r>
        <w:rPr>
          <w:spacing w:val="-76"/>
        </w:rPr>
        <w:t> </w:t>
      </w:r>
      <w:r>
        <w:rPr>
          <w:spacing w:val="-2"/>
        </w:rPr>
        <w:t>赁资产性质特殊，如果不作较大改造，只有本公司才能使用。融资租赁租入的固定资产，按租赁开始日租赁资产公允价值与</w:t>
      </w:r>
    </w:p>
    <w:p>
      <w:pPr>
        <w:pStyle w:val="BodyText"/>
        <w:spacing w:line="316" w:lineRule="auto" w:before="36"/>
        <w:ind w:right="1029"/>
        <w:jc w:val="left"/>
      </w:pPr>
      <w:r>
        <w:rPr>
          <w:spacing w:val="-2"/>
        </w:rPr>
        <w:t>最低租赁付款额的现值两者中较低者，作为入账价值。最低租赁付款额作为长期应付款的入账价值，其差额作为未确认融资</w:t>
      </w:r>
      <w:r>
        <w:rPr>
          <w:spacing w:val="-70"/>
        </w:rPr>
        <w:t> </w:t>
      </w:r>
      <w:r>
        <w:rPr>
          <w:spacing w:val="-70"/>
        </w:rPr>
      </w:r>
      <w:r>
        <w:rPr/>
        <w:t>费用。在租赁谈判和签订租赁合同过程中发生的，可归属于租赁项目的手续费、律师费、差旅费、印花税等初始直接费用， </w:t>
      </w:r>
      <w:r>
        <w:rPr>
          <w:spacing w:val="-2"/>
        </w:rPr>
        <w:t>计入租入资产价值。未确认融资费用在租赁期内各个期间采用实际利率法进行分摊。本公司采用与自有固定资产相一致的折</w:t>
      </w:r>
      <w:r>
        <w:rPr>
          <w:spacing w:val="-72"/>
        </w:rPr>
        <w:t> </w:t>
      </w:r>
      <w:r>
        <w:rPr>
          <w:spacing w:val="-72"/>
        </w:rPr>
      </w:r>
      <w:r>
        <w:rPr/>
        <w:t>旧政策计提融资租入固定资产折旧。能够合理确定租赁期届满时取得租赁资产所有权的，在租赁资产使用寿命内计提折旧。 无法合理确定租赁期届满时能够取得租赁资产所有权的，在租赁期与租赁资产使用寿命两者中较短的期间内计提折旧。</w:t>
      </w:r>
    </w:p>
    <w:p>
      <w:pPr>
        <w:spacing w:after="0" w:line="316" w:lineRule="auto"/>
        <w:jc w:val="left"/>
        <w:sectPr>
          <w:pgSz w:w="11910" w:h="16850"/>
          <w:pgMar w:header="731" w:footer="981" w:top="1040" w:bottom="1180" w:left="1000" w:right="0"/>
        </w:sectPr>
      </w:pPr>
    </w:p>
    <w:p>
      <w:pPr>
        <w:spacing w:line="240" w:lineRule="auto" w:before="5"/>
        <w:rPr>
          <w:rFonts w:ascii="宋体" w:hAnsi="宋体" w:cs="宋体" w:eastAsia="宋体" w:hint="default"/>
          <w:sz w:val="27"/>
          <w:szCs w:val="27"/>
        </w:rPr>
      </w:pPr>
    </w:p>
    <w:p>
      <w:pPr>
        <w:pStyle w:val="Heading5"/>
        <w:spacing w:line="240" w:lineRule="auto" w:before="45"/>
        <w:ind w:right="0"/>
        <w:jc w:val="left"/>
        <w:rPr>
          <w:b w:val="0"/>
          <w:bCs w:val="0"/>
        </w:rPr>
      </w:pPr>
      <w:bookmarkStart w:name="25、在建工程" w:id="200"/>
      <w:bookmarkEnd w:id="200"/>
      <w:r>
        <w:rPr>
          <w:b w:val="0"/>
          <w:bCs w:val="0"/>
        </w:rPr>
      </w:r>
      <w:r>
        <w:rPr>
          <w:rFonts w:ascii="Times New Roman" w:hAnsi="Times New Roman" w:cs="Times New Roman" w:eastAsia="Times New Roman" w:hint="default"/>
          <w:spacing w:val="3"/>
        </w:rPr>
        <w:t>25</w:t>
      </w:r>
      <w:r>
        <w:rPr>
          <w:spacing w:val="3"/>
        </w:rPr>
        <w:t>、在建工程</w:t>
      </w:r>
      <w:r>
        <w:rPr>
          <w:b w:val="0"/>
          <w:bCs w:val="0"/>
          <w:spacing w:val="3"/>
        </w:rPr>
      </w:r>
    </w:p>
    <w:p>
      <w:pPr>
        <w:spacing w:line="240" w:lineRule="auto" w:before="9"/>
        <w:rPr>
          <w:rFonts w:ascii="宋体" w:hAnsi="宋体" w:cs="宋体" w:eastAsia="宋体" w:hint="default"/>
          <w:b/>
          <w:bCs/>
          <w:sz w:val="26"/>
          <w:szCs w:val="26"/>
        </w:rPr>
      </w:pPr>
    </w:p>
    <w:p>
      <w:pPr>
        <w:pStyle w:val="BodyText"/>
        <w:spacing w:line="290" w:lineRule="auto"/>
        <w:ind w:left="561" w:right="1021" w:hanging="421"/>
        <w:jc w:val="left"/>
      </w:pPr>
      <w:r>
        <w:rPr>
          <w:rFonts w:ascii="Times New Roman" w:hAnsi="Times New Roman" w:cs="Times New Roman" w:eastAsia="Times New Roman" w:hint="default"/>
          <w:b/>
          <w:bCs/>
        </w:rPr>
        <w:t>1.</w:t>
      </w:r>
      <w:r>
        <w:rPr>
          <w:rFonts w:ascii="宋体" w:hAnsi="宋体" w:cs="宋体" w:eastAsia="宋体" w:hint="default"/>
          <w:b/>
          <w:bCs/>
        </w:rPr>
        <w:t>在建工程初始计量</w:t>
      </w:r>
      <w:r>
        <w:rPr>
          <w:rFonts w:ascii="宋体" w:hAnsi="宋体" w:cs="宋体" w:eastAsia="宋体" w:hint="default"/>
          <w:b/>
          <w:bCs/>
          <w:w w:val="99"/>
        </w:rPr>
        <w:t> </w:t>
      </w:r>
      <w:r>
        <w:rPr>
          <w:spacing w:val="-1"/>
        </w:rPr>
        <w:t>本公司自行建造的在建工程按实际成本计价，实际成本由建造该项资产达到预定可使用状态前所发生的必要支出构成，</w:t>
      </w:r>
    </w:p>
    <w:p>
      <w:pPr>
        <w:pStyle w:val="BodyText"/>
        <w:spacing w:line="240" w:lineRule="auto" w:before="26"/>
        <w:ind w:right="0"/>
        <w:jc w:val="left"/>
      </w:pPr>
      <w:r>
        <w:rPr/>
        <w:t>包括工程用物资成本、人工成本、交纳的相关税费、应予资本化的借款费用以及应分摊的间接费用等。</w:t>
      </w:r>
    </w:p>
    <w:p>
      <w:pPr>
        <w:spacing w:line="288" w:lineRule="auto" w:before="95"/>
        <w:ind w:left="561" w:right="1149" w:hanging="42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在建工程结转为固定资产的标准和时点</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z w:val="18"/>
          <w:szCs w:val="18"/>
        </w:rPr>
        <w:t>在建工程项目按建造该项资产达到预定可使用状态前所发生的全部支出，作为固定资产的入账价值。所建造的在建工</w:t>
      </w:r>
    </w:p>
    <w:p>
      <w:pPr>
        <w:pStyle w:val="BodyText"/>
        <w:spacing w:line="314" w:lineRule="auto" w:before="44"/>
        <w:ind w:right="1100"/>
        <w:jc w:val="both"/>
      </w:pPr>
      <w:r>
        <w:rPr>
          <w:spacing w:val="-2"/>
        </w:rPr>
        <w:t>程已达到预定可使用状态，但尚未办理竣工决算的，自达到预定可使用状态之日起，根据工程预算、造价或者工程实际成本</w:t>
      </w:r>
      <w:r>
        <w:rPr>
          <w:spacing w:val="-42"/>
        </w:rPr>
        <w:t> </w:t>
      </w:r>
      <w:r>
        <w:rPr>
          <w:spacing w:val="-42"/>
        </w:rPr>
      </w:r>
      <w:r>
        <w:rPr>
          <w:spacing w:val="-1"/>
        </w:rPr>
        <w:t>等，按估计的价值转入固定资产，并按本公司固定资产折旧政策计提固定资产的折旧，待办理竣工决算后，再按实际成本调</w:t>
      </w:r>
      <w:r>
        <w:rPr/>
        <w:t> 整原来的暂估价值，但不调整原已计提的折旧额。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5"/>
        <w:spacing w:line="240" w:lineRule="auto"/>
        <w:ind w:right="0"/>
        <w:jc w:val="left"/>
        <w:rPr>
          <w:b w:val="0"/>
          <w:bCs w:val="0"/>
        </w:rPr>
      </w:pPr>
      <w:bookmarkStart w:name="26、借款费用" w:id="201"/>
      <w:bookmarkEnd w:id="201"/>
      <w:r>
        <w:rPr>
          <w:b w:val="0"/>
          <w:bCs w:val="0"/>
        </w:rPr>
      </w:r>
      <w:r>
        <w:rPr>
          <w:rFonts w:ascii="Times New Roman" w:hAnsi="Times New Roman" w:cs="Times New Roman" w:eastAsia="Times New Roman" w:hint="default"/>
          <w:spacing w:val="3"/>
        </w:rPr>
        <w:t>26</w:t>
      </w:r>
      <w:r>
        <w:rPr>
          <w:spacing w:val="3"/>
        </w:rPr>
        <w:t>、借款费用</w:t>
      </w:r>
      <w:r>
        <w:rPr>
          <w:b w:val="0"/>
          <w:bCs w:val="0"/>
          <w:spacing w:val="3"/>
        </w:rPr>
      </w:r>
    </w:p>
    <w:p>
      <w:pPr>
        <w:spacing w:line="240" w:lineRule="auto" w:before="12"/>
        <w:rPr>
          <w:rFonts w:ascii="宋体" w:hAnsi="宋体" w:cs="宋体" w:eastAsia="宋体" w:hint="default"/>
          <w:b/>
          <w:bCs/>
          <w:sz w:val="27"/>
          <w:szCs w:val="27"/>
        </w:rPr>
      </w:pPr>
    </w:p>
    <w:p>
      <w:pPr>
        <w:spacing w:line="288" w:lineRule="auto" w:before="0"/>
        <w:ind w:left="561" w:right="1149" w:hanging="42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借款费用资本化的确认原则</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z w:val="18"/>
          <w:szCs w:val="18"/>
        </w:rPr>
        <w:t>公司发生的借款费用，可直接归属于符合资本化条件的资产的购建或者生产的，在符合资本化条件的情况下开始资本</w:t>
      </w:r>
    </w:p>
    <w:p>
      <w:pPr>
        <w:pStyle w:val="BodyText"/>
        <w:spacing w:line="304" w:lineRule="auto" w:before="44"/>
        <w:ind w:left="561" w:right="1149" w:hanging="421"/>
        <w:jc w:val="left"/>
      </w:pPr>
      <w:r>
        <w:rPr/>
        <w:t>化，计入相关资产成本；其他借款费用，在发生时根据其发生额确认为费用，计入当期损益。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21" w:lineRule="auto" w:before="31"/>
        <w:ind w:left="561" w:right="6909" w:hanging="421"/>
        <w:jc w:val="left"/>
      </w:pPr>
      <w:r>
        <w:rPr/>
        <w:t>产、投资性房地产和存货等资产。 借款费用同时满足下列条件时开始资本化：</w:t>
      </w:r>
    </w:p>
    <w:p>
      <w:pPr>
        <w:pStyle w:val="BodyText"/>
        <w:spacing w:line="288" w:lineRule="auto" w:before="33"/>
        <w:ind w:right="1111" w:firstLine="420"/>
        <w:jc w:val="left"/>
      </w:pPr>
      <w:r>
        <w:rPr>
          <w:spacing w:val="-1"/>
        </w:rPr>
        <w:t>（</w:t>
      </w:r>
      <w:r>
        <w:rPr>
          <w:rFonts w:ascii="Times New Roman" w:hAnsi="Times New Roman" w:cs="Times New Roman" w:eastAsia="Times New Roman" w:hint="default"/>
          <w:spacing w:val="-1"/>
        </w:rPr>
        <w:t>1</w:t>
      </w:r>
      <w:r>
        <w:rPr>
          <w:spacing w:val="-1"/>
        </w:rPr>
        <w:t>）资产支出已经发生，资产支出包括为购建或者生产符合资本化条件的资产而以支付现金、转移非现金资产或者承</w:t>
      </w:r>
      <w:r>
        <w:rPr/>
        <w:t> 担带息债务形式发生的支出；</w:t>
      </w:r>
    </w:p>
    <w:p>
      <w:pPr>
        <w:pStyle w:val="BodyText"/>
        <w:spacing w:line="240" w:lineRule="auto" w:before="44"/>
        <w:ind w:left="561"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66"/>
        <w:ind w:left="561"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09" w:lineRule="auto" w:before="66"/>
        <w:ind w:left="561" w:right="1149" w:hanging="421"/>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w:t>
      </w:r>
    </w:p>
    <w:p>
      <w:pPr>
        <w:pStyle w:val="BodyText"/>
        <w:spacing w:line="240" w:lineRule="auto" w:before="27"/>
        <w:ind w:right="0"/>
        <w:jc w:val="left"/>
      </w:pPr>
      <w:r>
        <w:rPr/>
        <w:t>借款费用资本化。</w:t>
      </w:r>
    </w:p>
    <w:p>
      <w:pPr>
        <w:pStyle w:val="Heading6"/>
        <w:spacing w:line="240" w:lineRule="auto" w:before="94"/>
        <w:ind w:right="0"/>
        <w:jc w:val="left"/>
        <w:rPr>
          <w:b w:val="0"/>
          <w:bCs w:val="0"/>
        </w:rPr>
      </w:pPr>
      <w:r>
        <w:rPr>
          <w:rFonts w:ascii="Times New Roman" w:hAnsi="Times New Roman" w:cs="Times New Roman" w:eastAsia="Times New Roman" w:hint="default"/>
        </w:rPr>
        <w:t>3.</w:t>
      </w:r>
      <w:r>
        <w:rPr/>
        <w:t>暂停资本化期间</w:t>
      </w:r>
      <w:r>
        <w:rPr>
          <w:b w:val="0"/>
          <w:bCs w:val="0"/>
        </w:rPr>
      </w:r>
    </w:p>
    <w:p>
      <w:pPr>
        <w:pStyle w:val="BodyText"/>
        <w:spacing w:line="297" w:lineRule="auto" w:before="66"/>
        <w:ind w:right="0" w:firstLine="420"/>
        <w:jc w:val="left"/>
      </w:pPr>
      <w:r>
        <w:rPr>
          <w:spacing w:val="-3"/>
        </w:rPr>
        <w:t>符合资本化条件的资产在购建或生产过程中发生的非正常中断、且中断时间连续超过</w:t>
      </w:r>
      <w:r>
        <w:rPr>
          <w:rFonts w:ascii="Times New Roman" w:hAnsi="Times New Roman" w:cs="Times New Roman" w:eastAsia="Times New Roman" w:hint="default"/>
          <w:spacing w:val="-3"/>
        </w:rPr>
        <w:t>3</w:t>
      </w:r>
      <w:r>
        <w:rPr>
          <w:spacing w:val="-3"/>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58"/>
        </w:rPr>
        <w:t> </w:t>
      </w:r>
      <w:r>
        <w:rPr>
          <w:spacing w:val="-58"/>
        </w:rPr>
      </w:r>
      <w:r>
        <w:rPr/>
        <w:t>化。在中断期间发生的借款费用确认为当期损益，直至资产的购建或者生产活动重新开始后借款费用继续资本化。</w:t>
      </w:r>
    </w:p>
    <w:p>
      <w:pPr>
        <w:spacing w:line="288" w:lineRule="auto" w:before="51"/>
        <w:ind w:left="561" w:right="1149" w:hanging="42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借款费用资本化金额的计算方法</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z w:val="18"/>
          <w:szCs w:val="18"/>
        </w:rPr>
        <w:t>专门借款的利息费用（扣除尚未动用的借款资金存入银行取得的利息收入或者进行暂时性投资取得的投资收益）及其</w:t>
      </w:r>
    </w:p>
    <w:p>
      <w:pPr>
        <w:pStyle w:val="BodyText"/>
        <w:spacing w:line="304" w:lineRule="auto" w:before="44"/>
        <w:ind w:left="561" w:right="1149" w:hanging="421"/>
        <w:jc w:val="left"/>
      </w:pPr>
      <w:r>
        <w:rPr/>
        <w:t>辅助费用在所购建或者生产的符合资本化条件的资产达到预定可使用或者可销售状态前，予以资本化。 根据累计资产支出超过专门借款部分的资产支出按月加权平均数乘以所占用一般借款的资本化率，计算确定一般借款</w:t>
      </w:r>
    </w:p>
    <w:p>
      <w:pPr>
        <w:pStyle w:val="BodyText"/>
        <w:spacing w:line="321" w:lineRule="auto" w:before="31"/>
        <w:ind w:left="561" w:right="1509" w:hanging="421"/>
        <w:jc w:val="left"/>
      </w:pPr>
      <w:r>
        <w:rPr/>
        <w:t>应予资本化的利息金额。资本化率根据一般借款加权平均利率计算确定。 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5"/>
        <w:spacing w:line="240" w:lineRule="auto"/>
        <w:ind w:right="0"/>
        <w:jc w:val="left"/>
        <w:rPr>
          <w:b w:val="0"/>
          <w:bCs w:val="0"/>
        </w:rPr>
      </w:pPr>
      <w:bookmarkStart w:name="27、生物资产" w:id="202"/>
      <w:bookmarkEnd w:id="202"/>
      <w:r>
        <w:rPr>
          <w:b w:val="0"/>
          <w:bCs w:val="0"/>
        </w:rPr>
      </w:r>
      <w:r>
        <w:rPr>
          <w:rFonts w:ascii="Times New Roman" w:hAnsi="Times New Roman" w:cs="Times New Roman" w:eastAsia="Times New Roman" w:hint="default"/>
          <w:spacing w:val="3"/>
        </w:rPr>
        <w:t>27</w:t>
      </w:r>
      <w:r>
        <w:rPr>
          <w:spacing w:val="3"/>
        </w:rPr>
        <w:t>、生物资产</w:t>
      </w:r>
      <w:r>
        <w:rPr>
          <w:b w:val="0"/>
          <w:bCs w:val="0"/>
          <w:spacing w:val="3"/>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无</w:t>
      </w:r>
    </w:p>
    <w:p>
      <w:pPr>
        <w:spacing w:after="0" w:line="240" w:lineRule="auto"/>
        <w:jc w:val="left"/>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28、油气资产" w:id="203"/>
      <w:bookmarkEnd w:id="203"/>
      <w:r>
        <w:rPr>
          <w:b w:val="0"/>
          <w:bCs w:val="0"/>
        </w:rPr>
      </w:r>
      <w:r>
        <w:rPr>
          <w:rFonts w:ascii="Times New Roman" w:hAnsi="Times New Roman" w:cs="Times New Roman" w:eastAsia="Times New Roman" w:hint="default"/>
          <w:spacing w:val="3"/>
        </w:rPr>
        <w:t>28</w:t>
      </w:r>
      <w:r>
        <w:rPr>
          <w:spacing w:val="3"/>
        </w:rPr>
        <w:t>、油气资产</w:t>
      </w:r>
      <w:r>
        <w:rPr>
          <w:b w:val="0"/>
          <w:bCs w:val="0"/>
          <w:spacing w:val="3"/>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29、使用权资产" w:id="204"/>
      <w:bookmarkEnd w:id="204"/>
      <w:r>
        <w:rPr>
          <w:b w:val="0"/>
          <w:bCs w:val="0"/>
        </w:rPr>
      </w:r>
      <w:r>
        <w:rPr>
          <w:rFonts w:ascii="Times New Roman" w:hAnsi="Times New Roman" w:cs="Times New Roman" w:eastAsia="Times New Roman" w:hint="default"/>
          <w:spacing w:val="5"/>
        </w:rPr>
        <w:t>29</w:t>
      </w:r>
      <w:r>
        <w:rPr>
          <w:spacing w:val="5"/>
        </w:rPr>
        <w:t>、使用权资产</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2"/>
        <w:ind w:right="0"/>
        <w:jc w:val="left"/>
        <w:rPr>
          <w:b w:val="0"/>
          <w:bCs w:val="0"/>
        </w:rPr>
      </w:pPr>
      <w:bookmarkStart w:name="30、无形资产" w:id="205"/>
      <w:bookmarkEnd w:id="205"/>
      <w:r>
        <w:rPr>
          <w:b w:val="0"/>
          <w:bCs w:val="0"/>
        </w:rPr>
      </w:r>
      <w:r>
        <w:rPr>
          <w:rFonts w:ascii="Times New Roman" w:hAnsi="Times New Roman" w:cs="Times New Roman" w:eastAsia="Times New Roman" w:hint="default"/>
          <w:spacing w:val="3"/>
        </w:rPr>
        <w:t>30</w:t>
      </w:r>
      <w:r>
        <w:rPr>
          <w:spacing w:val="3"/>
        </w:rPr>
        <w:t>、无形资产</w:t>
      </w:r>
      <w:r>
        <w:rPr>
          <w:b w:val="0"/>
          <w:bCs w:val="0"/>
          <w:spacing w:val="3"/>
        </w:rPr>
      </w:r>
    </w:p>
    <w:p>
      <w:pPr>
        <w:spacing w:line="580" w:lineRule="atLeast" w:before="33"/>
        <w:ind w:left="561" w:right="1149" w:hanging="421"/>
        <w:jc w:val="left"/>
        <w:rPr>
          <w:rFonts w:ascii="宋体" w:hAnsi="宋体" w:cs="宋体" w:eastAsia="宋体" w:hint="default"/>
          <w:sz w:val="18"/>
          <w:szCs w:val="18"/>
        </w:rPr>
      </w:pPr>
      <w:bookmarkStart w:name="（1）计价方法、使用寿命、减值测试" w:id="206"/>
      <w:bookmarkEnd w:id="206"/>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）计价方法、使用寿命、减值测试</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sz w:val="18"/>
          <w:szCs w:val="18"/>
        </w:rPr>
        <w:t>无形资产是指本公司拥有或者控制的没有实物形态的可辨认非货币性资产，包括土地使用权、生产经营用软件及商标</w:t>
      </w:r>
    </w:p>
    <w:p>
      <w:pPr>
        <w:pStyle w:val="BodyText"/>
        <w:spacing w:line="240" w:lineRule="auto" w:before="80"/>
        <w:ind w:right="0"/>
        <w:jc w:val="left"/>
      </w:pPr>
      <w:r>
        <w:rPr/>
        <w:t>权等。</w:t>
      </w:r>
    </w:p>
    <w:p>
      <w:pPr>
        <w:pStyle w:val="Heading6"/>
        <w:spacing w:line="240" w:lineRule="auto" w:before="79"/>
        <w:ind w:right="0"/>
        <w:jc w:val="left"/>
        <w:rPr>
          <w:b w:val="0"/>
          <w:bCs w:val="0"/>
        </w:rPr>
      </w:pPr>
      <w:r>
        <w:rPr>
          <w:rFonts w:ascii="宋体" w:hAnsi="宋体" w:cs="宋体" w:eastAsia="宋体" w:hint="default"/>
        </w:rPr>
        <w:t>1.</w:t>
      </w:r>
      <w:r>
        <w:rPr>
          <w:rFonts w:ascii="宋体" w:hAnsi="宋体" w:cs="宋体" w:eastAsia="宋体" w:hint="default"/>
          <w:spacing w:val="81"/>
        </w:rPr>
        <w:t> </w:t>
      </w:r>
      <w:r>
        <w:rPr/>
        <w:t>无形资产的初始计量</w:t>
      </w:r>
      <w:r>
        <w:rPr>
          <w:b w:val="0"/>
          <w:bCs w:val="0"/>
        </w:rPr>
      </w:r>
    </w:p>
    <w:p>
      <w:pPr>
        <w:pStyle w:val="BodyText"/>
        <w:spacing w:line="307" w:lineRule="auto" w:before="80"/>
        <w:ind w:left="501" w:right="1047" w:firstLine="420"/>
        <w:jc w:val="both"/>
      </w:pPr>
      <w:r>
        <w:rPr/>
        <w:t>外购无形资产的成本，包括购买价款、相关税费以及直接归属于使该项资产达到预定用途所发生的其他支出。购 </w:t>
      </w:r>
      <w:r>
        <w:rPr>
          <w:spacing w:val="-4"/>
        </w:rPr>
        <w:t>买无形资产的价款超过正常信用条件延期支付，实质上具有融资性质的，无形资产的成本以购买价款的现值为基础确定。</w:t>
      </w:r>
    </w:p>
    <w:p>
      <w:pPr>
        <w:pStyle w:val="BodyText"/>
        <w:spacing w:line="321" w:lineRule="auto" w:before="29"/>
        <w:ind w:left="501" w:right="1156" w:firstLine="420"/>
        <w:jc w:val="both"/>
      </w:pPr>
      <w:r>
        <w:rPr/>
        <w:t>债务重组取得债务人用以抵债的无形资产，以该无形资产的公允价值为基础确定其入账价值，并将重组债务的账 面价值与该用以抵债的无形资产公允价值之间的差额，计入当期损益。</w:t>
      </w:r>
    </w:p>
    <w:p>
      <w:pPr>
        <w:pStyle w:val="BodyText"/>
        <w:spacing w:line="314" w:lineRule="auto" w:before="18"/>
        <w:ind w:left="501" w:right="1047" w:firstLine="420"/>
        <w:jc w:val="both"/>
      </w:pPr>
      <w:r>
        <w:rPr/>
        <w:t>在非货币性资产交换具备商业实质且换入资产或换出资产的公允价值能够可靠计量的前提下，非货币性资产交换 </w:t>
      </w:r>
      <w:r>
        <w:rPr>
          <w:spacing w:val="-2"/>
        </w:rPr>
        <w:t>换入的无形资产以换出资产的公允价值为基础确定其入账价值，除非有确凿证据表明换入资产的公允价值更加可靠；不</w:t>
      </w:r>
      <w:r>
        <w:rPr>
          <w:spacing w:val="-76"/>
        </w:rPr>
        <w:t> </w:t>
      </w:r>
      <w:r>
        <w:rPr>
          <w:spacing w:val="-76"/>
        </w:rPr>
      </w:r>
      <w:r>
        <w:rPr>
          <w:spacing w:val="-4"/>
        </w:rPr>
        <w:t>满足上述前提的非货币性资产交换，以换出资产的账面价值和应支付的相关税费作为换入无形资产的成本，不确认损益。</w:t>
      </w:r>
    </w:p>
    <w:p>
      <w:pPr>
        <w:pStyle w:val="BodyText"/>
        <w:spacing w:line="321" w:lineRule="auto" w:before="24"/>
        <w:ind w:left="501" w:right="1165" w:firstLine="420"/>
        <w:jc w:val="both"/>
      </w:pPr>
      <w:r>
        <w:rPr/>
        <w:t>以同一控制下的企业吸收合并方式取得的无形资产按被合并方的账面价值确定其入账价值；以非同一控制下的企 业吸收合并方式取得的无形资产按公允价值确定其入账价值。</w:t>
      </w:r>
    </w:p>
    <w:p>
      <w:pPr>
        <w:pStyle w:val="BodyText"/>
        <w:spacing w:line="314" w:lineRule="auto" w:before="19"/>
        <w:ind w:left="501" w:right="1121" w:firstLine="420"/>
        <w:jc w:val="both"/>
      </w:pPr>
      <w:r>
        <w:rPr/>
        <w:t>内部自行开发的无形资产，其成本包括：开发该无形资产时耗用的材料、劳务成本、注册费、在开发过程中使用 </w:t>
      </w:r>
      <w:r>
        <w:rPr>
          <w:spacing w:val="-2"/>
        </w:rPr>
        <w:t>的其他专利权和特许权的摊销以及满足资本化条件的利息费用，以及为使该无形资产达到预定用途前所发生的其他直接</w:t>
      </w:r>
      <w:r>
        <w:rPr>
          <w:spacing w:val="-62"/>
        </w:rPr>
        <w:t> </w:t>
      </w:r>
      <w:r>
        <w:rPr>
          <w:spacing w:val="-62"/>
        </w:rPr>
      </w:r>
      <w:r>
        <w:rPr/>
        <w:t>费用。</w:t>
      </w:r>
    </w:p>
    <w:p>
      <w:pPr>
        <w:spacing w:line="321" w:lineRule="auto" w:before="24"/>
        <w:ind w:left="561" w:right="2409" w:hanging="42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9"/>
          <w:sz w:val="18"/>
          <w:szCs w:val="18"/>
        </w:rPr>
        <w:t> </w:t>
      </w:r>
      <w:r>
        <w:rPr>
          <w:rFonts w:ascii="宋体" w:hAnsi="宋体" w:cs="宋体" w:eastAsia="宋体" w:hint="default"/>
          <w:b/>
          <w:bCs/>
          <w:sz w:val="18"/>
          <w:szCs w:val="18"/>
        </w:rPr>
        <w:t>无形资产的后续计量</w:t>
      </w:r>
      <w:r>
        <w:rPr>
          <w:rFonts w:ascii="宋体" w:hAnsi="宋体" w:cs="宋体" w:eastAsia="宋体" w:hint="default"/>
          <w:b/>
          <w:bCs/>
          <w:w w:val="99"/>
          <w:sz w:val="18"/>
          <w:szCs w:val="18"/>
        </w:rPr>
        <w:t> </w:t>
      </w:r>
      <w:r>
        <w:rPr>
          <w:rFonts w:ascii="宋体" w:hAnsi="宋体" w:cs="宋体" w:eastAsia="宋体" w:hint="default"/>
          <w:sz w:val="18"/>
          <w:szCs w:val="18"/>
        </w:rPr>
        <w:t>本公司在取得无形资产时分析判断其使用寿命，划分为使用寿命有限和使用寿命不确定的无形资产。</w:t>
      </w:r>
    </w:p>
    <w:p>
      <w:pPr>
        <w:pStyle w:val="BodyText"/>
        <w:spacing w:line="288" w:lineRule="auto" w:before="33"/>
        <w:ind w:left="561" w:right="1149" w:hanging="421"/>
        <w:jc w:val="left"/>
      </w:pPr>
      <w:r>
        <w:rPr/>
        <w:t>（</w:t>
      </w:r>
      <w:r>
        <w:rPr>
          <w:rFonts w:ascii="Times New Roman" w:hAnsi="Times New Roman" w:cs="Times New Roman" w:eastAsia="Times New Roman" w:hint="default"/>
        </w:rPr>
        <w:t>1</w:t>
      </w:r>
      <w:r>
        <w:rPr/>
        <w:t>）使用寿命有限的无形资产 对于使用寿命有限的无形资产，在为企业带来经济利益的期限内按直线法摊销。使用寿命有限的无形资产预计寿命及</w:t>
      </w:r>
    </w:p>
    <w:p>
      <w:pPr>
        <w:pStyle w:val="BodyText"/>
        <w:spacing w:line="240" w:lineRule="auto" w:before="29"/>
        <w:ind w:right="0"/>
        <w:jc w:val="left"/>
      </w:pPr>
      <w:r>
        <w:rPr/>
        <w:t>依据如下：</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2809"/>
        <w:gridCol w:w="1878"/>
        <w:gridCol w:w="3739"/>
      </w:tblGrid>
      <w:tr>
        <w:trPr>
          <w:trHeight w:val="346"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9"/>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7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5"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7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相关法律规定使用年限</w:t>
            </w:r>
          </w:p>
        </w:tc>
      </w:tr>
      <w:tr>
        <w:trPr>
          <w:trHeight w:val="345"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生产经营用软件</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30"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37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10"/>
        <w:rPr>
          <w:rFonts w:ascii="宋体" w:hAnsi="宋体" w:cs="宋体" w:eastAsia="宋体" w:hint="default"/>
          <w:sz w:val="5"/>
          <w:szCs w:val="5"/>
        </w:rPr>
      </w:pPr>
    </w:p>
    <w:p>
      <w:pPr>
        <w:pStyle w:val="BodyText"/>
        <w:spacing w:line="321" w:lineRule="auto" w:before="44"/>
        <w:ind w:left="561" w:right="1021"/>
        <w:jc w:val="left"/>
      </w:pPr>
      <w:r>
        <w:rPr>
          <w:spacing w:val="-1"/>
        </w:rPr>
        <w:t>每期末，对使用寿命有限的无形资产的使用寿命及摊销方法进行复核，如与原先估计数存在差异的，进行相应的调整。</w:t>
      </w:r>
      <w:r>
        <w:rPr>
          <w:spacing w:val="-83"/>
        </w:rPr>
        <w:t> </w:t>
      </w:r>
      <w:r>
        <w:rPr>
          <w:spacing w:val="-83"/>
        </w:rPr>
      </w:r>
      <w:r>
        <w:rPr/>
        <w:t>经复核，本期期末无形资产的使用寿命及摊销方法与以前估计未有不同。</w:t>
      </w:r>
    </w:p>
    <w:p>
      <w:pPr>
        <w:pStyle w:val="BodyText"/>
        <w:spacing w:line="297" w:lineRule="auto" w:before="33"/>
        <w:ind w:left="561" w:right="3849" w:hanging="421"/>
        <w:jc w:val="left"/>
      </w:pPr>
      <w:r>
        <w:rPr/>
        <w:t>（</w:t>
      </w:r>
      <w:r>
        <w:rPr>
          <w:rFonts w:ascii="Times New Roman" w:hAnsi="Times New Roman" w:cs="Times New Roman" w:eastAsia="Times New Roman" w:hint="default"/>
        </w:rPr>
        <w:t>2</w:t>
      </w:r>
      <w:r>
        <w:rPr/>
        <w:t>）使用寿命不确定的无形资产 无法预见无形资产为企业带来经济利益期限的，视为使用寿命不确定的无形资产。 经复核，本公司无使用寿命不确定的无形资产。</w:t>
      </w:r>
    </w:p>
    <w:p>
      <w:pPr>
        <w:spacing w:after="0" w:line="297"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Heading6"/>
        <w:spacing w:line="240" w:lineRule="auto" w:before="44"/>
        <w:ind w:right="0"/>
        <w:jc w:val="left"/>
        <w:rPr>
          <w:b w:val="0"/>
          <w:bCs w:val="0"/>
        </w:rPr>
      </w:pPr>
      <w:bookmarkStart w:name="（2）内部研究开发支出会计政策" w:id="207"/>
      <w:bookmarkEnd w:id="20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1"/>
        <w:rPr>
          <w:rFonts w:ascii="宋体" w:hAnsi="宋体" w:cs="宋体" w:eastAsia="宋体" w:hint="default"/>
          <w:b/>
          <w:bCs/>
          <w:sz w:val="26"/>
          <w:szCs w:val="26"/>
        </w:rPr>
      </w:pPr>
    </w:p>
    <w:p>
      <w:pPr>
        <w:spacing w:line="314" w:lineRule="auto" w:before="0"/>
        <w:ind w:left="922" w:right="1148" w:hanging="78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9"/>
          <w:sz w:val="18"/>
          <w:szCs w:val="18"/>
        </w:rPr>
        <w:t> </w:t>
      </w:r>
      <w:r>
        <w:rPr>
          <w:rFonts w:ascii="宋体" w:hAnsi="宋体" w:cs="宋体" w:eastAsia="宋体" w:hint="default"/>
          <w:b/>
          <w:bCs/>
          <w:sz w:val="18"/>
          <w:szCs w:val="18"/>
        </w:rPr>
        <w:t>划分公司内部研究开发项目的研究阶段和开发阶段具体标准</w:t>
      </w:r>
      <w:r>
        <w:rPr>
          <w:rFonts w:ascii="宋体" w:hAnsi="宋体" w:cs="宋体" w:eastAsia="宋体" w:hint="default"/>
          <w:b/>
          <w:bCs/>
          <w:w w:val="99"/>
          <w:sz w:val="18"/>
          <w:szCs w:val="18"/>
        </w:rPr>
        <w:t> </w:t>
      </w:r>
      <w:r>
        <w:rPr>
          <w:rFonts w:ascii="宋体" w:hAnsi="宋体" w:cs="宋体" w:eastAsia="宋体" w:hint="default"/>
          <w:sz w:val="18"/>
          <w:szCs w:val="18"/>
        </w:rPr>
        <w:t>研究阶段：为获取并理解新的科学或技术知识等而进行的独创性的有计划调查、研究活动的阶段。 开发阶段：在进行商业性生产或使用前，将研究成果或其他知识应用于某项计划或设计，以生产出新的或具有实</w:t>
      </w:r>
    </w:p>
    <w:p>
      <w:pPr>
        <w:pStyle w:val="BodyText"/>
        <w:spacing w:line="321" w:lineRule="auto" w:before="24"/>
        <w:ind w:left="922" w:right="5108" w:hanging="421"/>
        <w:jc w:val="left"/>
      </w:pPr>
      <w:r>
        <w:rPr/>
        <w:t>质性改进的材料、装置、产品等活动的阶段。 内部研究开发项目研究阶段的支出，在发生时计入当期损益。</w:t>
      </w:r>
    </w:p>
    <w:p>
      <w:pPr>
        <w:spacing w:line="321" w:lineRule="auto" w:before="18"/>
        <w:ind w:left="561" w:right="4389" w:hanging="42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9"/>
          <w:sz w:val="18"/>
          <w:szCs w:val="18"/>
        </w:rPr>
        <w:t> </w:t>
      </w:r>
      <w:r>
        <w:rPr>
          <w:rFonts w:ascii="宋体" w:hAnsi="宋体" w:cs="宋体" w:eastAsia="宋体" w:hint="default"/>
          <w:b/>
          <w:bCs/>
          <w:sz w:val="18"/>
          <w:szCs w:val="18"/>
        </w:rPr>
        <w:t>开发阶段支出符合资本化的具体标准</w:t>
      </w:r>
      <w:r>
        <w:rPr>
          <w:rFonts w:ascii="宋体" w:hAnsi="宋体" w:cs="宋体" w:eastAsia="宋体" w:hint="default"/>
          <w:b/>
          <w:bCs/>
          <w:w w:val="99"/>
          <w:sz w:val="18"/>
          <w:szCs w:val="18"/>
        </w:rPr>
        <w:t> </w:t>
      </w:r>
      <w:r>
        <w:rPr>
          <w:rFonts w:ascii="宋体" w:hAnsi="宋体" w:cs="宋体" w:eastAsia="宋体" w:hint="default"/>
          <w:sz w:val="18"/>
          <w:szCs w:val="18"/>
        </w:rPr>
        <w:t>内部研究开发项目开发阶段的支出，同时满足下列条件时确认为无形资产：</w:t>
      </w:r>
    </w:p>
    <w:p>
      <w:pPr>
        <w:pStyle w:val="BodyText"/>
        <w:spacing w:line="240" w:lineRule="auto" w:before="19"/>
        <w:ind w:left="561"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6"/>
        <w:ind w:left="561"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88" w:lineRule="auto" w:before="66"/>
        <w:ind w:right="1111" w:firstLine="420"/>
        <w:jc w:val="left"/>
      </w:pPr>
      <w:r>
        <w:rPr>
          <w:spacing w:val="-1"/>
        </w:rPr>
        <w:t>（</w:t>
      </w:r>
      <w:r>
        <w:rPr>
          <w:rFonts w:ascii="Times New Roman" w:hAnsi="Times New Roman" w:cs="Times New Roman" w:eastAsia="Times New Roman" w:hint="default"/>
          <w:spacing w:val="-1"/>
        </w:rPr>
        <w:t>3</w:t>
      </w:r>
      <w:r>
        <w:rPr>
          <w:spacing w:val="-1"/>
        </w:rPr>
        <w:t>）无形资产产生经济利益的方式，包括能够证明运用该无形资产生产的产品存在市场或无形资产自身存在市场，无</w:t>
      </w:r>
      <w:r>
        <w:rPr/>
        <w:t> 形资产将在内部使用的，能够证明其有用性；</w:t>
      </w:r>
    </w:p>
    <w:p>
      <w:pPr>
        <w:pStyle w:val="BodyText"/>
        <w:spacing w:line="240" w:lineRule="auto" w:before="59"/>
        <w:ind w:left="561"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288" w:lineRule="auto" w:before="51"/>
        <w:ind w:left="561" w:right="1149"/>
        <w:jc w:val="left"/>
      </w:pPr>
      <w:r>
        <w:rPr/>
        <w:t>（</w:t>
      </w:r>
      <w:r>
        <w:rPr>
          <w:rFonts w:ascii="Times New Roman" w:hAnsi="Times New Roman" w:cs="Times New Roman" w:eastAsia="Times New Roman" w:hint="default"/>
        </w:rPr>
        <w:t>5</w:t>
      </w:r>
      <w:r>
        <w:rPr/>
        <w:t>）归属于该无形资产开发阶段的支出能够可靠地计量。 不满足上述条件的开发阶段的支出，于发生时计入当期损益。以前期间已计入损益的开发支出不在以后期间重新确认</w:t>
      </w:r>
    </w:p>
    <w:p>
      <w:pPr>
        <w:pStyle w:val="BodyText"/>
        <w:spacing w:line="240" w:lineRule="auto" w:before="44"/>
        <w:ind w:right="0"/>
        <w:jc w:val="left"/>
      </w:pPr>
      <w:r>
        <w:rPr/>
        <w:t>为资产。已资本化的开发阶段的支出在资产负债表上列示为开发支出，自该项目达到预定用途之日起转为无形资产。</w:t>
      </w:r>
    </w:p>
    <w:p>
      <w:pPr>
        <w:spacing w:line="240" w:lineRule="auto" w:before="0"/>
        <w:rPr>
          <w:rFonts w:ascii="宋体" w:hAnsi="宋体" w:cs="宋体" w:eastAsia="宋体" w:hint="default"/>
          <w:sz w:val="18"/>
          <w:szCs w:val="18"/>
        </w:rPr>
      </w:pPr>
    </w:p>
    <w:p>
      <w:pPr>
        <w:pStyle w:val="BodyText"/>
        <w:spacing w:line="580" w:lineRule="atLeast" w:before="143"/>
        <w:ind w:left="561" w:right="1149" w:hanging="421"/>
        <w:jc w:val="left"/>
      </w:pPr>
      <w:bookmarkStart w:name="31、长期资产减值" w:id="208"/>
      <w:bookmarkEnd w:id="208"/>
      <w:r>
        <w:rPr/>
      </w:r>
      <w:r>
        <w:rPr>
          <w:rFonts w:ascii="Times New Roman" w:hAnsi="Times New Roman" w:cs="Times New Roman" w:eastAsia="Times New Roman" w:hint="default"/>
          <w:b/>
          <w:bCs/>
        </w:rPr>
        <w:t>31</w:t>
      </w:r>
      <w:r>
        <w:rPr>
          <w:rFonts w:ascii="宋体" w:hAnsi="宋体" w:cs="宋体" w:eastAsia="宋体" w:hint="default"/>
          <w:b/>
          <w:bCs/>
        </w:rPr>
        <w:t>、长期资产减值</w:t>
      </w:r>
      <w:r>
        <w:rPr>
          <w:rFonts w:ascii="宋体" w:hAnsi="宋体" w:cs="宋体" w:eastAsia="宋体" w:hint="default"/>
          <w:b/>
          <w:bCs/>
          <w:w w:val="99"/>
        </w:rPr>
        <w:t> </w:t>
      </w:r>
      <w:r>
        <w:rPr/>
        <w:t>本公司在资产负债表日判断长期资产是否存在可能发生减值的迹象。如果长期资产存在减值迹象的，以单项资产为基</w:t>
      </w:r>
    </w:p>
    <w:p>
      <w:pPr>
        <w:pStyle w:val="BodyText"/>
        <w:spacing w:line="321" w:lineRule="auto" w:before="65"/>
        <w:ind w:left="561" w:right="1032" w:hanging="421"/>
        <w:jc w:val="both"/>
      </w:pPr>
      <w:r>
        <w:rPr/>
        <w:t>础估计其可收回金额；难以对单项资产的可收回金额进行估计的，以该资产所属的资产组为基础确定资产组的可收回金额。 </w:t>
      </w:r>
      <w:r>
        <w:rPr>
          <w:spacing w:val="-1"/>
        </w:rPr>
        <w:t>资产可收回金额的估计，根据其公允价值减去处置费用后的净额与资产预计未来现金流量的现值两者之间较高者确定。</w:t>
      </w:r>
      <w:r>
        <w:rPr/>
        <w:t> 可收回金额的计量结果表明，长期资产的可收回金额低于其账面价值的，将长期资产的账面价值减记至可收回金额，</w:t>
      </w:r>
    </w:p>
    <w:p>
      <w:pPr>
        <w:pStyle w:val="BodyText"/>
        <w:spacing w:line="321" w:lineRule="auto" w:before="18"/>
        <w:ind w:right="1083"/>
        <w:jc w:val="left"/>
      </w:pPr>
      <w:r>
        <w:rPr>
          <w:spacing w:val="-1"/>
        </w:rPr>
        <w:t>减记的金额确认为资产减值损失，计入当期损益，同时计提相应的资产减值准备。资产减值损失一经确认，在以后会计期间</w:t>
      </w:r>
      <w:r>
        <w:rPr/>
        <w:t> 不得转回。</w:t>
      </w:r>
    </w:p>
    <w:p>
      <w:pPr>
        <w:pStyle w:val="BodyText"/>
        <w:spacing w:line="321" w:lineRule="auto" w:before="4"/>
        <w:ind w:right="1149" w:firstLine="420"/>
        <w:jc w:val="left"/>
      </w:pPr>
      <w:r>
        <w:rPr/>
        <w:t>资产减值损失确认后，减值资产的折旧或者摊销费用在未来期间作相应调整，以使该资产在剩余使用寿命内，系统地 分摊调整后的资产账面价值（扣除预计净残值）。</w:t>
      </w:r>
    </w:p>
    <w:p>
      <w:pPr>
        <w:pStyle w:val="BodyText"/>
        <w:spacing w:line="321" w:lineRule="auto" w:before="18"/>
        <w:ind w:left="561" w:right="1149"/>
        <w:jc w:val="left"/>
      </w:pPr>
      <w:r>
        <w:rPr/>
        <w:t>因企业合并所形成的商誉和使用寿命不确定的无形资产，无论是否存在减值迹象，每年都进行减值测试。 在对商誉进行减值测试时，将商誉的账面价值分摊至预期从企业合并的协同效应中受益的资产组或资产组组合。在对</w:t>
      </w:r>
    </w:p>
    <w:p>
      <w:pPr>
        <w:pStyle w:val="BodyText"/>
        <w:spacing w:line="316" w:lineRule="auto" w:before="19"/>
        <w:ind w:right="1104"/>
        <w:jc w:val="both"/>
      </w:pPr>
      <w:r>
        <w:rPr>
          <w:spacing w:val="-2"/>
        </w:rPr>
        <w:t>包含商誉的相关资产组或者资产组组合进行减值测试时，如与商誉相关的资产组或者资产组组合存在减值迹象的，先对不包</w:t>
      </w:r>
      <w:r>
        <w:rPr>
          <w:spacing w:val="-72"/>
        </w:rPr>
        <w:t> </w:t>
      </w:r>
      <w:r>
        <w:rPr>
          <w:spacing w:val="-72"/>
        </w:rPr>
      </w:r>
      <w:r>
        <w:rPr>
          <w:spacing w:val="-2"/>
        </w:rPr>
        <w:t>含商誉的资产组或者资产组组合进行减值测试，计算可收回金额，并与相关账面价值相比较，确认相应的减值损失。再对包</w:t>
      </w:r>
      <w:r>
        <w:rPr>
          <w:spacing w:val="-40"/>
        </w:rPr>
        <w:t> </w:t>
      </w:r>
      <w:r>
        <w:rPr>
          <w:spacing w:val="-40"/>
        </w:rPr>
      </w:r>
      <w:r>
        <w:rPr>
          <w:spacing w:val="-2"/>
        </w:rPr>
        <w:t>含商誉的资产组或者资产组组合进行减值测试，比较这些相关资产组或者资产组组合的账面价值（包括所分摊的商誉的账面</w:t>
      </w:r>
      <w:r>
        <w:rPr>
          <w:spacing w:val="-72"/>
        </w:rPr>
        <w:t> </w:t>
      </w:r>
      <w:r>
        <w:rPr>
          <w:spacing w:val="-72"/>
        </w:rPr>
      </w:r>
      <w:r>
        <w:rPr/>
        <w:t>价值部分）与其可收回金额，如相关资产组或者资产组组合的可收回金额低于其账面价值的，确认商誉的减值损失。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5"/>
        <w:spacing w:line="240" w:lineRule="auto"/>
        <w:ind w:right="0"/>
        <w:jc w:val="left"/>
        <w:rPr>
          <w:b w:val="0"/>
          <w:bCs w:val="0"/>
        </w:rPr>
      </w:pPr>
      <w:bookmarkStart w:name="32、长期待摊费用" w:id="209"/>
      <w:bookmarkEnd w:id="209"/>
      <w:r>
        <w:rPr>
          <w:b w:val="0"/>
          <w:bCs w:val="0"/>
        </w:rPr>
      </w:r>
      <w:r>
        <w:rPr>
          <w:rFonts w:ascii="Times New Roman" w:hAnsi="Times New Roman" w:cs="Times New Roman" w:eastAsia="Times New Roman" w:hint="default"/>
          <w:spacing w:val="4"/>
        </w:rPr>
        <w:t>32</w:t>
      </w:r>
      <w:r>
        <w:rPr>
          <w:spacing w:val="4"/>
        </w:rPr>
        <w:t>、长期待摊费用</w:t>
      </w:r>
      <w:r>
        <w:rPr>
          <w:b w:val="0"/>
          <w:bCs w:val="0"/>
          <w:spacing w:val="4"/>
        </w:rPr>
      </w:r>
    </w:p>
    <w:p>
      <w:pPr>
        <w:spacing w:line="240" w:lineRule="auto" w:before="9"/>
        <w:rPr>
          <w:rFonts w:ascii="宋体" w:hAnsi="宋体" w:cs="宋体" w:eastAsia="宋体" w:hint="default"/>
          <w:b/>
          <w:bCs/>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1.</w:t>
      </w:r>
      <w:r>
        <w:rPr/>
        <w:t>摊销方法</w:t>
      </w:r>
      <w:r>
        <w:rPr>
          <w:b w:val="0"/>
          <w:bCs w:val="0"/>
        </w:rPr>
      </w:r>
    </w:p>
    <w:p>
      <w:pPr>
        <w:pStyle w:val="BodyText"/>
        <w:spacing w:line="288" w:lineRule="auto" w:before="66"/>
        <w:ind w:right="0" w:firstLine="420"/>
        <w:jc w:val="left"/>
      </w:pPr>
      <w:r>
        <w:rPr>
          <w:spacing w:val="-2"/>
        </w:rPr>
        <w:t>长期待摊费用，是指本公司已经发生但应由本期和以后各期负担的分摊期限在</w:t>
      </w:r>
      <w:r>
        <w:rPr>
          <w:rFonts w:ascii="Times New Roman" w:hAnsi="Times New Roman" w:cs="Times New Roman" w:eastAsia="Times New Roman" w:hint="default"/>
          <w:spacing w:val="-2"/>
        </w:rPr>
        <w:t>1</w:t>
      </w:r>
      <w:r>
        <w:rPr>
          <w:spacing w:val="-2"/>
        </w:rPr>
        <w:t>年以上的各项费用。长期待摊费用在受</w:t>
      </w:r>
      <w:r>
        <w:rPr/>
        <w:t> 益期内按直线法分期摊销。</w:t>
      </w:r>
    </w:p>
    <w:p>
      <w:pPr>
        <w:pStyle w:val="Heading3"/>
        <w:spacing w:line="240" w:lineRule="auto" w:before="39"/>
        <w:ind w:right="0"/>
        <w:jc w:val="left"/>
        <w:rPr>
          <w:b w:val="0"/>
          <w:bCs w:val="0"/>
        </w:rPr>
      </w:pPr>
      <w:r>
        <w:rPr>
          <w:rFonts w:ascii="Times New Roman" w:hAnsi="Times New Roman" w:cs="Times New Roman" w:eastAsia="Times New Roman" w:hint="default"/>
        </w:rPr>
        <w:t>2.</w:t>
      </w:r>
      <w:r>
        <w:rPr/>
        <w:t>摊销年限</w:t>
      </w:r>
      <w:r>
        <w:rPr>
          <w:b w:val="0"/>
          <w:bCs w:val="0"/>
        </w:rPr>
      </w:r>
    </w:p>
    <w:p>
      <w:pPr>
        <w:spacing w:line="240" w:lineRule="auto" w:before="3"/>
        <w:rPr>
          <w:rFonts w:ascii="宋体" w:hAnsi="宋体" w:cs="宋体" w:eastAsia="宋体" w:hint="default"/>
          <w:b/>
          <w:bCs/>
          <w:sz w:val="2"/>
          <w:szCs w:val="2"/>
        </w:rPr>
      </w:pPr>
    </w:p>
    <w:tbl>
      <w:tblPr>
        <w:tblW w:w="0" w:type="auto"/>
        <w:jc w:val="left"/>
        <w:tblInd w:w="126" w:type="dxa"/>
        <w:tblLayout w:type="fixed"/>
        <w:tblCellMar>
          <w:top w:w="0" w:type="dxa"/>
          <w:left w:w="0" w:type="dxa"/>
          <w:bottom w:w="0" w:type="dxa"/>
          <w:right w:w="0" w:type="dxa"/>
        </w:tblCellMar>
        <w:tblLook w:val="01E0"/>
      </w:tblPr>
      <w:tblGrid>
        <w:gridCol w:w="2839"/>
        <w:gridCol w:w="2854"/>
        <w:gridCol w:w="2853"/>
      </w:tblGrid>
      <w:tr>
        <w:trPr>
          <w:trHeight w:val="330"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center"/>
              <w:rPr>
                <w:rFonts w:ascii="宋体" w:hAnsi="宋体" w:cs="宋体" w:eastAsia="宋体" w:hint="default"/>
                <w:sz w:val="18"/>
                <w:szCs w:val="18"/>
              </w:rPr>
            </w:pPr>
            <w:r>
              <w:rPr>
                <w:rFonts w:ascii="宋体" w:hAnsi="宋体" w:cs="宋体" w:eastAsia="宋体" w:hint="default"/>
                <w:sz w:val="18"/>
                <w:szCs w:val="18"/>
              </w:rPr>
              <w:t>摊销年限</w:t>
            </w:r>
          </w:p>
        </w:tc>
        <w:tc>
          <w:tcPr>
            <w:tcW w:w="28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35" w:lineRule="exact"/>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2839"/>
        <w:gridCol w:w="2854"/>
        <w:gridCol w:w="2853"/>
      </w:tblGrid>
      <w:tr>
        <w:trPr>
          <w:trHeight w:val="34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租入固定资产改良</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用电增容费</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30"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生产用模具</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28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34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生产用工、夹具</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pStyle w:val="Heading5"/>
        <w:spacing w:line="240" w:lineRule="auto" w:before="45"/>
        <w:ind w:right="0"/>
        <w:jc w:val="left"/>
        <w:rPr>
          <w:b w:val="0"/>
          <w:bCs w:val="0"/>
        </w:rPr>
      </w:pPr>
      <w:bookmarkStart w:name="33、合同负债" w:id="210"/>
      <w:bookmarkEnd w:id="210"/>
      <w:r>
        <w:rPr>
          <w:b w:val="0"/>
          <w:bCs w:val="0"/>
        </w:rPr>
      </w:r>
      <w:r>
        <w:rPr>
          <w:rFonts w:ascii="Times New Roman" w:hAnsi="Times New Roman" w:cs="Times New Roman" w:eastAsia="Times New Roman" w:hint="default"/>
          <w:spacing w:val="3"/>
        </w:rPr>
        <w:t>33</w:t>
      </w:r>
      <w:r>
        <w:rPr>
          <w:spacing w:val="3"/>
        </w:rPr>
        <w:t>、合同负债</w:t>
      </w:r>
      <w:r>
        <w:rPr>
          <w:b w:val="0"/>
          <w:bCs w:val="0"/>
          <w:spacing w:val="3"/>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2"/>
        <w:ind w:right="0"/>
        <w:jc w:val="left"/>
        <w:rPr>
          <w:b w:val="0"/>
          <w:bCs w:val="0"/>
        </w:rPr>
      </w:pPr>
      <w:bookmarkStart w:name="34、职工薪酬" w:id="211"/>
      <w:bookmarkEnd w:id="211"/>
      <w:r>
        <w:rPr>
          <w:b w:val="0"/>
          <w:bCs w:val="0"/>
        </w:rPr>
      </w:r>
      <w:r>
        <w:rPr>
          <w:rFonts w:ascii="Times New Roman" w:hAnsi="Times New Roman" w:cs="Times New Roman" w:eastAsia="Times New Roman" w:hint="default"/>
          <w:spacing w:val="3"/>
        </w:rPr>
        <w:t>34</w:t>
      </w:r>
      <w:r>
        <w:rPr>
          <w:spacing w:val="3"/>
        </w:rPr>
        <w:t>、职工薪酬</w:t>
      </w:r>
      <w:r>
        <w:rPr>
          <w:b w:val="0"/>
          <w:bCs w:val="0"/>
          <w:spacing w:val="3"/>
        </w:rPr>
      </w:r>
    </w:p>
    <w:p>
      <w:pPr>
        <w:spacing w:line="580" w:lineRule="atLeast" w:before="33"/>
        <w:ind w:left="561" w:right="1149" w:hanging="421"/>
        <w:jc w:val="left"/>
        <w:rPr>
          <w:rFonts w:ascii="宋体" w:hAnsi="宋体" w:cs="宋体" w:eastAsia="宋体" w:hint="default"/>
          <w:sz w:val="18"/>
          <w:szCs w:val="18"/>
        </w:rPr>
      </w:pPr>
      <w:bookmarkStart w:name="（1）短期薪酬的会计处理方法" w:id="212"/>
      <w:bookmarkEnd w:id="212"/>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）短期薪酬的会计处理方法</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z w:val="18"/>
          <w:szCs w:val="18"/>
        </w:rPr>
        <w:t>短期薪酬是指本公司在职工提供相关服务的年度报告期间结束后十二个月内需要全部予以支付的职工薪酬，离职后福</w:t>
      </w:r>
    </w:p>
    <w:p>
      <w:pPr>
        <w:pStyle w:val="BodyText"/>
        <w:spacing w:line="321" w:lineRule="auto" w:before="79"/>
        <w:ind w:right="0"/>
        <w:jc w:val="left"/>
      </w:pPr>
      <w:r>
        <w:rPr>
          <w:spacing w:val="-2"/>
        </w:rPr>
        <w:t>利和辞退福利除外。本公司在职工提供服务的会计期间，将应付的短期薪酬确认为负债，并根据职工提供服务的受益对象计</w:t>
      </w:r>
      <w:r>
        <w:rPr>
          <w:spacing w:val="-75"/>
        </w:rPr>
        <w:t> </w:t>
      </w:r>
      <w:r>
        <w:rPr>
          <w:spacing w:val="-75"/>
        </w:rPr>
      </w:r>
      <w:r>
        <w:rPr/>
        <w:t>入相关资产成本和费用。</w:t>
      </w:r>
    </w:p>
    <w:p>
      <w:pPr>
        <w:spacing w:line="570" w:lineRule="atLeast" w:before="13"/>
        <w:ind w:left="561" w:right="1021" w:hanging="421"/>
        <w:jc w:val="left"/>
        <w:rPr>
          <w:rFonts w:ascii="宋体" w:hAnsi="宋体" w:cs="宋体" w:eastAsia="宋体" w:hint="default"/>
          <w:sz w:val="18"/>
          <w:szCs w:val="18"/>
        </w:rPr>
      </w:pPr>
      <w:bookmarkStart w:name="（2）离职后福利的会计处理方法" w:id="213"/>
      <w:bookmarkEnd w:id="213"/>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）离职后福利的会计处理方法</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1"/>
          <w:sz w:val="18"/>
          <w:szCs w:val="18"/>
        </w:rPr>
        <w:t>离职后福利是指本公司为获得职工提供的服务而在职工退休或与企业解除劳动关系后，提供的各种形式的报酬和福利，</w:t>
      </w:r>
    </w:p>
    <w:p>
      <w:pPr>
        <w:pStyle w:val="BodyText"/>
        <w:spacing w:line="321" w:lineRule="auto" w:before="80"/>
        <w:ind w:left="561" w:right="5289" w:hanging="421"/>
        <w:jc w:val="left"/>
      </w:pPr>
      <w:r>
        <w:rPr/>
        <w:t>短期薪酬和辞退福利除外。 本公司的离职后福利计划分类为设定提存计划和设定受益计划。</w:t>
      </w:r>
    </w:p>
    <w:p>
      <w:pPr>
        <w:pStyle w:val="BodyText"/>
        <w:spacing w:line="314" w:lineRule="auto" w:before="19"/>
        <w:ind w:right="1149" w:firstLine="420"/>
        <w:jc w:val="left"/>
      </w:pPr>
      <w:r>
        <w:rPr/>
        <w:t>离职后福利设定提存计划主要为参加由各地劳动及社会保障机构组织实施的社会基本养老保险、失业保险等；在职工 为本公司提供服务的会计期间，将根据设定提存计划计算的应缴存金额确认为负债，并计入当期损益或相关资产成本。 本公司按照国家规定的标准定期缴付上述款项后，不再有其他的支付义务。</w:t>
      </w:r>
    </w:p>
    <w:p>
      <w:pPr>
        <w:spacing w:line="580" w:lineRule="atLeast" w:before="8"/>
        <w:ind w:left="561" w:right="1149" w:hanging="421"/>
        <w:jc w:val="left"/>
        <w:rPr>
          <w:rFonts w:ascii="宋体" w:hAnsi="宋体" w:cs="宋体" w:eastAsia="宋体" w:hint="default"/>
          <w:sz w:val="18"/>
          <w:szCs w:val="18"/>
        </w:rPr>
      </w:pPr>
      <w:bookmarkStart w:name="（3）辞退福利的会计处理方法" w:id="214"/>
      <w:bookmarkEnd w:id="214"/>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）辞退福利的会计处理方法</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z w:val="18"/>
          <w:szCs w:val="18"/>
        </w:rPr>
        <w:t>辞退福利是指本公司在职工劳动合同到期之前解除与职工的劳动关系，或者为鼓励职工自愿接受裁减而给予职工的补</w:t>
      </w:r>
    </w:p>
    <w:p>
      <w:pPr>
        <w:pStyle w:val="BodyText"/>
        <w:spacing w:line="321" w:lineRule="auto" w:before="79"/>
        <w:ind w:right="0"/>
        <w:jc w:val="left"/>
      </w:pPr>
      <w:r>
        <w:rPr>
          <w:spacing w:val="-2"/>
        </w:rPr>
        <w:t>偿，在本公司不能单方面撤回解除劳动关系计划或裁减建议时和确认与涉及支付辞退福利的重组相关的成本费用时两者孰早</w:t>
      </w:r>
      <w:r>
        <w:rPr>
          <w:spacing w:val="-58"/>
        </w:rPr>
        <w:t> </w:t>
      </w:r>
      <w:r>
        <w:rPr>
          <w:spacing w:val="-58"/>
        </w:rPr>
      </w:r>
      <w:r>
        <w:rPr/>
        <w:t>日，确认因解除与职工的劳动关系给予补偿而产生的负债，同时计入当期损益。</w:t>
      </w:r>
    </w:p>
    <w:p>
      <w:pPr>
        <w:spacing w:line="240" w:lineRule="auto" w:before="5"/>
        <w:rPr>
          <w:rFonts w:ascii="宋体" w:hAnsi="宋体" w:cs="宋体" w:eastAsia="宋体" w:hint="default"/>
          <w:sz w:val="24"/>
          <w:szCs w:val="24"/>
        </w:rPr>
      </w:pPr>
    </w:p>
    <w:p>
      <w:pPr>
        <w:pStyle w:val="Heading6"/>
        <w:spacing w:line="240" w:lineRule="auto"/>
        <w:ind w:right="0"/>
        <w:jc w:val="left"/>
        <w:rPr>
          <w:b w:val="0"/>
          <w:bCs w:val="0"/>
        </w:rPr>
      </w:pPr>
      <w:bookmarkStart w:name="（4）其他长期职工福利的会计处理方法" w:id="215"/>
      <w:bookmarkEnd w:id="21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21" w:lineRule="auto"/>
        <w:ind w:left="561" w:right="1149"/>
        <w:jc w:val="left"/>
      </w:pPr>
      <w:r>
        <w:rPr/>
        <w:t>其他长期职工福利是指除短期薪酬、离职后福利、辞退福利之外的其他所有职工福利。 对符合设定提存计划条件的其他长期职工福利，在职工为本公司提供服务的会计期间，将应缴存金额确认为负债，并</w:t>
      </w:r>
    </w:p>
    <w:p>
      <w:pPr>
        <w:pStyle w:val="BodyText"/>
        <w:spacing w:line="321" w:lineRule="auto" w:before="18"/>
        <w:ind w:right="0"/>
        <w:jc w:val="left"/>
      </w:pPr>
      <w:r>
        <w:rPr>
          <w:spacing w:val="-2"/>
        </w:rPr>
        <w:t>计入当期损益或相关资产成本；除上述情形外的其他长期职工福利，在资产负债表日使用预期累计福利单位法进行精算，将</w:t>
      </w:r>
      <w:r>
        <w:rPr>
          <w:spacing w:val="-68"/>
        </w:rPr>
        <w:t> </w:t>
      </w:r>
      <w:r>
        <w:rPr>
          <w:spacing w:val="-68"/>
        </w:rPr>
      </w:r>
      <w:r>
        <w:rPr/>
        <w:t>设定受益计划产生的福利义务归属于职工提供服务的期间，并计入当期损益或相关资产成本。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51"/>
        <w:ind w:right="0"/>
        <w:jc w:val="left"/>
        <w:rPr>
          <w:b w:val="0"/>
          <w:bCs w:val="0"/>
        </w:rPr>
      </w:pPr>
      <w:bookmarkStart w:name="35、租赁负债" w:id="216"/>
      <w:bookmarkEnd w:id="216"/>
      <w:r>
        <w:rPr>
          <w:b w:val="0"/>
          <w:bCs w:val="0"/>
        </w:rPr>
      </w:r>
      <w:r>
        <w:rPr>
          <w:rFonts w:ascii="Times New Roman" w:hAnsi="Times New Roman" w:cs="Times New Roman" w:eastAsia="Times New Roman" w:hint="default"/>
          <w:spacing w:val="3"/>
        </w:rPr>
        <w:t>35</w:t>
      </w:r>
      <w:r>
        <w:rPr>
          <w:spacing w:val="3"/>
        </w:rPr>
        <w:t>、租赁负债</w:t>
      </w:r>
      <w:r>
        <w:rPr>
          <w:b w:val="0"/>
          <w:bCs w:val="0"/>
          <w:spacing w:val="3"/>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36、预计负债" w:id="217"/>
      <w:bookmarkEnd w:id="217"/>
      <w:r>
        <w:rPr>
          <w:b w:val="0"/>
          <w:bCs w:val="0"/>
        </w:rPr>
      </w:r>
      <w:r>
        <w:rPr>
          <w:rFonts w:ascii="Times New Roman" w:hAnsi="Times New Roman" w:cs="Times New Roman" w:eastAsia="Times New Roman" w:hint="default"/>
          <w:spacing w:val="3"/>
        </w:rPr>
        <w:t>36</w:t>
      </w:r>
      <w:r>
        <w:rPr>
          <w:spacing w:val="3"/>
        </w:rPr>
        <w:t>、预计负债</w:t>
      </w:r>
      <w:r>
        <w:rPr>
          <w:b w:val="0"/>
          <w:bCs w:val="0"/>
          <w:spacing w:val="3"/>
        </w:rPr>
      </w:r>
    </w:p>
    <w:p>
      <w:pPr>
        <w:spacing w:line="240" w:lineRule="auto" w:before="11"/>
        <w:rPr>
          <w:rFonts w:ascii="宋体" w:hAnsi="宋体" w:cs="宋体" w:eastAsia="宋体" w:hint="default"/>
          <w:b/>
          <w:bCs/>
          <w:sz w:val="27"/>
          <w:szCs w:val="27"/>
        </w:rPr>
      </w:pPr>
    </w:p>
    <w:p>
      <w:pPr>
        <w:pStyle w:val="BodyText"/>
        <w:spacing w:line="309" w:lineRule="auto"/>
        <w:ind w:left="561" w:right="4749" w:hanging="421"/>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w w:val="99"/>
        </w:rPr>
        <w:t> </w:t>
      </w:r>
      <w:r>
        <w:rPr/>
        <w:t>与或有事项相关的义务同时满足下列条件时，本公司确认为预计负债： 该义务是本公司承担的现时义务； 履行该义务很可能导致经济利益流出本公司； 该义务的金额能够可靠地计量。</w:t>
      </w:r>
    </w:p>
    <w:p>
      <w:pPr>
        <w:spacing w:line="288" w:lineRule="auto" w:before="42"/>
        <w:ind w:left="561" w:right="4209" w:hanging="42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预计负债的计量方法</w:t>
      </w:r>
      <w:r>
        <w:rPr>
          <w:rFonts w:ascii="宋体" w:hAnsi="宋体" w:cs="宋体" w:eastAsia="宋体" w:hint="default"/>
          <w:b/>
          <w:bCs/>
          <w:w w:val="99"/>
          <w:sz w:val="18"/>
          <w:szCs w:val="18"/>
        </w:rPr>
        <w:t> </w:t>
      </w:r>
      <w:r>
        <w:rPr>
          <w:rFonts w:ascii="宋体" w:hAnsi="宋体" w:cs="宋体" w:eastAsia="宋体" w:hint="default"/>
          <w:sz w:val="18"/>
          <w:szCs w:val="18"/>
        </w:rPr>
        <w:t>本公司预计负债按履行相关现时义务所需的支出的最佳估计数进行初始计量。</w:t>
      </w:r>
    </w:p>
    <w:p>
      <w:pPr>
        <w:pStyle w:val="BodyText"/>
        <w:spacing w:line="321" w:lineRule="auto" w:before="29"/>
        <w:ind w:right="1149" w:firstLine="420"/>
        <w:jc w:val="left"/>
      </w:pPr>
      <w:r>
        <w:rPr/>
        <w:t>本公司在确定最佳估计数时，综合考虑与或有事项有关的风险、不确定性和货币时间价值等因素。对于货币时间价值 影响重大的，通过对相关未来现金流出进行折现后确定最佳估计数。</w:t>
      </w:r>
    </w:p>
    <w:p>
      <w:pPr>
        <w:pStyle w:val="BodyText"/>
        <w:spacing w:line="321" w:lineRule="auto" w:before="18"/>
        <w:ind w:left="561" w:right="1149"/>
        <w:jc w:val="left"/>
      </w:pPr>
      <w:r>
        <w:rPr/>
        <w:t>最佳估计数分别以下情况处理： 所需支出存在一个连续范围（或区间），且该范围内各种结果发生的可能性相同的，则最佳估计数按照该范围的中间</w:t>
      </w:r>
    </w:p>
    <w:p>
      <w:pPr>
        <w:pStyle w:val="BodyText"/>
        <w:spacing w:line="307" w:lineRule="auto" w:before="19"/>
        <w:ind w:left="561" w:right="1149" w:hanging="421"/>
        <w:jc w:val="left"/>
      </w:pPr>
      <w:r>
        <w:rPr/>
        <w:t>值即上下限金额的平均数确定。 所需支出不存在一个连续范围（或区间），或虽然存在一个连续范围但该范围内各种结果发生的可能性不相同的，如</w:t>
      </w:r>
    </w:p>
    <w:p>
      <w:pPr>
        <w:pStyle w:val="BodyText"/>
        <w:spacing w:line="321" w:lineRule="auto" w:before="29"/>
        <w:ind w:right="0"/>
        <w:jc w:val="left"/>
      </w:pPr>
      <w:r>
        <w:rPr>
          <w:spacing w:val="-2"/>
        </w:rPr>
        <w:t>或有事项涉及单个项目的，则最佳估计数按照最可能发生金额确定；如或有事项涉及多个项目的，则最佳估计数按各种可能</w:t>
      </w:r>
      <w:r>
        <w:rPr>
          <w:spacing w:val="-75"/>
        </w:rPr>
        <w:t> </w:t>
      </w:r>
      <w:r>
        <w:rPr>
          <w:spacing w:val="-75"/>
        </w:rPr>
      </w:r>
      <w:r>
        <w:rPr/>
        <w:t>结果及相关概率计算确定。</w:t>
      </w:r>
    </w:p>
    <w:p>
      <w:pPr>
        <w:pStyle w:val="BodyText"/>
        <w:spacing w:line="321" w:lineRule="auto" w:before="18"/>
        <w:ind w:right="1044" w:firstLine="420"/>
        <w:jc w:val="both"/>
      </w:pPr>
      <w:r>
        <w:rPr>
          <w:spacing w:val="-2"/>
        </w:rPr>
        <w:t>本公司清偿预计负债所需支出全部或部分预期由第三方补偿的，补偿金额在基本确定能够收到时，作为资产单独确认，</w:t>
      </w:r>
      <w:r>
        <w:rPr/>
        <w:t> 确认的补偿金额不超过预计负债的账面价值。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51"/>
        <w:ind w:right="0"/>
        <w:jc w:val="left"/>
        <w:rPr>
          <w:b w:val="0"/>
          <w:bCs w:val="0"/>
        </w:rPr>
      </w:pPr>
      <w:bookmarkStart w:name="37、股份支付" w:id="218"/>
      <w:bookmarkEnd w:id="218"/>
      <w:r>
        <w:rPr>
          <w:b w:val="0"/>
          <w:bCs w:val="0"/>
        </w:rPr>
      </w:r>
      <w:r>
        <w:rPr>
          <w:rFonts w:ascii="Times New Roman" w:hAnsi="Times New Roman" w:cs="Times New Roman" w:eastAsia="Times New Roman" w:hint="default"/>
          <w:spacing w:val="3"/>
        </w:rPr>
        <w:t>37</w:t>
      </w:r>
      <w:r>
        <w:rPr>
          <w:spacing w:val="3"/>
        </w:rPr>
        <w:t>、股份支付</w:t>
      </w:r>
      <w:r>
        <w:rPr>
          <w:b w:val="0"/>
          <w:bCs w:val="0"/>
          <w:spacing w:val="3"/>
        </w:rPr>
      </w:r>
    </w:p>
    <w:p>
      <w:pPr>
        <w:spacing w:line="240" w:lineRule="auto" w:before="9"/>
        <w:rPr>
          <w:rFonts w:ascii="宋体" w:hAnsi="宋体" w:cs="宋体" w:eastAsia="宋体" w:hint="default"/>
          <w:b/>
          <w:bCs/>
          <w:sz w:val="26"/>
          <w:szCs w:val="26"/>
        </w:rPr>
      </w:pPr>
    </w:p>
    <w:p>
      <w:pPr>
        <w:pStyle w:val="Heading6"/>
        <w:spacing w:line="240" w:lineRule="auto"/>
        <w:ind w:right="0"/>
        <w:jc w:val="left"/>
        <w:rPr>
          <w:b w:val="0"/>
          <w:bCs w:val="0"/>
        </w:rPr>
      </w:pPr>
      <w:r>
        <w:rPr>
          <w:rFonts w:ascii="宋体" w:hAnsi="宋体" w:cs="宋体" w:eastAsia="宋体" w:hint="default"/>
        </w:rPr>
        <w:t>1.</w:t>
      </w:r>
      <w:r>
        <w:rPr>
          <w:rFonts w:ascii="宋体" w:hAnsi="宋体" w:cs="宋体" w:eastAsia="宋体" w:hint="default"/>
          <w:spacing w:val="83"/>
        </w:rPr>
        <w:t> </w:t>
      </w:r>
      <w:r>
        <w:rPr/>
        <w:t>股份支付的种类</w:t>
      </w:r>
      <w:r>
        <w:rPr>
          <w:b w:val="0"/>
          <w:bCs w:val="0"/>
        </w:rPr>
      </w:r>
    </w:p>
    <w:p>
      <w:pPr>
        <w:spacing w:line="321" w:lineRule="auto" w:before="80"/>
        <w:ind w:left="141" w:right="4208" w:firstLine="781"/>
        <w:jc w:val="left"/>
        <w:rPr>
          <w:rFonts w:ascii="宋体" w:hAnsi="宋体" w:cs="宋体" w:eastAsia="宋体" w:hint="default"/>
          <w:sz w:val="18"/>
          <w:szCs w:val="18"/>
        </w:rPr>
      </w:pPr>
      <w:r>
        <w:rPr>
          <w:rFonts w:ascii="宋体" w:hAnsi="宋体" w:cs="宋体" w:eastAsia="宋体" w:hint="default"/>
          <w:sz w:val="18"/>
          <w:szCs w:val="18"/>
        </w:rPr>
        <w:t>本公司的股份支付分为以权益结算的股份支付和以现金结算的股份支付。 </w:t>
      </w:r>
      <w:r>
        <w:rPr>
          <w:rFonts w:ascii="宋体" w:hAnsi="宋体" w:cs="宋体" w:eastAsia="宋体" w:hint="default"/>
          <w:b/>
          <w:bCs/>
          <w:sz w:val="18"/>
          <w:szCs w:val="18"/>
        </w:rPr>
        <w:t>1. </w:t>
      </w:r>
      <w:r>
        <w:rPr>
          <w:rFonts w:ascii="宋体" w:hAnsi="宋体" w:cs="宋体" w:eastAsia="宋体" w:hint="default"/>
          <w:b/>
          <w:bCs/>
          <w:spacing w:val="2"/>
          <w:sz w:val="18"/>
          <w:szCs w:val="18"/>
        </w:rPr>
        <w:t> </w:t>
      </w:r>
      <w:r>
        <w:rPr>
          <w:rFonts w:ascii="宋体" w:hAnsi="宋体" w:cs="宋体" w:eastAsia="宋体" w:hint="default"/>
          <w:b/>
          <w:bCs/>
          <w:sz w:val="18"/>
          <w:szCs w:val="18"/>
        </w:rPr>
        <w:t>权益工具公允价值的确定方法</w:t>
      </w:r>
      <w:r>
        <w:rPr>
          <w:rFonts w:ascii="宋体" w:hAnsi="宋体" w:cs="宋体" w:eastAsia="宋体" w:hint="default"/>
          <w:sz w:val="18"/>
          <w:szCs w:val="18"/>
        </w:rPr>
      </w:r>
    </w:p>
    <w:p>
      <w:pPr>
        <w:pStyle w:val="BodyText"/>
        <w:spacing w:line="304" w:lineRule="auto" w:before="18"/>
        <w:ind w:left="501" w:right="1125" w:firstLine="420"/>
        <w:jc w:val="both"/>
      </w:pPr>
      <w:r>
        <w:rPr/>
        <w:t>对于授予的存在活跃市场的期权等权益工具，按照活跃市场中的报价确定其公允价值。对于授予的不存在活跃市 场的期权等权益工具，采用期权定价模型等确定其公允价值，选用的期权定价模型考虑以下因素：（</w:t>
      </w:r>
      <w:r>
        <w:rPr>
          <w:rFonts w:ascii="Times New Roman" w:hAnsi="Times New Roman" w:cs="Times New Roman" w:eastAsia="Times New Roman" w:hint="default"/>
        </w:rPr>
        <w:t>1</w:t>
      </w:r>
      <w:r>
        <w:rPr/>
        <w:t>）期权的行权价</w:t>
      </w:r>
      <w:r>
        <w:rPr>
          <w:spacing w:val="-80"/>
        </w:rPr>
        <w:t> </w:t>
      </w:r>
      <w:r>
        <w:rPr/>
        <w:t>格；（</w:t>
      </w:r>
      <w:r>
        <w:rPr>
          <w:rFonts w:ascii="Times New Roman" w:hAnsi="Times New Roman" w:cs="Times New Roman" w:eastAsia="Times New Roman" w:hint="default"/>
        </w:rPr>
        <w:t>2</w:t>
      </w:r>
      <w:r>
        <w:rPr/>
        <w:t>）期权的有效期；（</w:t>
      </w:r>
      <w:r>
        <w:rPr>
          <w:rFonts w:ascii="Times New Roman" w:hAnsi="Times New Roman" w:cs="Times New Roman" w:eastAsia="Times New Roman" w:hint="default"/>
        </w:rPr>
        <w:t>3</w:t>
      </w:r>
      <w:r>
        <w:rPr/>
        <w:t>）标的股份的现行价格；（</w:t>
      </w:r>
      <w:r>
        <w:rPr>
          <w:rFonts w:ascii="Times New Roman" w:hAnsi="Times New Roman" w:cs="Times New Roman" w:eastAsia="Times New Roman" w:hint="default"/>
        </w:rPr>
        <w:t>4</w:t>
      </w:r>
      <w:r>
        <w:rPr/>
        <w:t>）股价预计波动率；（</w:t>
      </w:r>
      <w:r>
        <w:rPr>
          <w:rFonts w:ascii="Times New Roman" w:hAnsi="Times New Roman" w:cs="Times New Roman" w:eastAsia="Times New Roman" w:hint="default"/>
        </w:rPr>
        <w:t>5</w:t>
      </w:r>
      <w:r>
        <w:rPr/>
        <w:t>）股份的预计股利；（</w:t>
      </w:r>
      <w:r>
        <w:rPr>
          <w:rFonts w:ascii="Times New Roman" w:hAnsi="Times New Roman" w:cs="Times New Roman" w:eastAsia="Times New Roman" w:hint="default"/>
        </w:rPr>
        <w:t>6</w:t>
      </w:r>
      <w:r>
        <w:rPr/>
        <w:t>）期权有效</w:t>
      </w:r>
      <w:r>
        <w:rPr>
          <w:spacing w:val="-83"/>
        </w:rPr>
        <w:t> </w:t>
      </w:r>
      <w:r>
        <w:rPr/>
        <w:t>期内的无风险利率。</w:t>
      </w:r>
    </w:p>
    <w:p>
      <w:pPr>
        <w:pStyle w:val="BodyText"/>
        <w:spacing w:line="314" w:lineRule="auto" w:before="31"/>
        <w:ind w:left="501" w:right="1019" w:firstLine="420"/>
        <w:jc w:val="left"/>
      </w:pPr>
      <w:r>
        <w:rPr>
          <w:spacing w:val="-1"/>
        </w:rPr>
        <w:t>在确定权益工具授予日的公允价值时，考虑股份支付协议规定的可行权条件中的市场条件和非可行权条件的影响。</w:t>
      </w:r>
      <w:r>
        <w:rPr/>
        <w:t> </w:t>
      </w:r>
      <w:r>
        <w:rPr>
          <w:spacing w:val="-2"/>
        </w:rPr>
        <w:t>股份支付存在非可行权条件的，只要职工或其他方满足了所有可行权条件中的非市场条件（如服务期限等），即确认已</w:t>
      </w:r>
      <w:r>
        <w:rPr>
          <w:spacing w:val="-46"/>
        </w:rPr>
        <w:t> </w:t>
      </w:r>
      <w:r>
        <w:rPr>
          <w:spacing w:val="-46"/>
        </w:rPr>
      </w:r>
      <w:r>
        <w:rPr/>
        <w:t>得到服务相对应的成本费用。</w:t>
      </w:r>
    </w:p>
    <w:p>
      <w:pPr>
        <w:spacing w:line="321" w:lineRule="auto" w:before="24"/>
        <w:ind w:left="922" w:right="1148" w:hanging="78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9"/>
          <w:sz w:val="18"/>
          <w:szCs w:val="18"/>
        </w:rPr>
        <w:t> </w:t>
      </w:r>
      <w:r>
        <w:rPr>
          <w:rFonts w:ascii="宋体" w:hAnsi="宋体" w:cs="宋体" w:eastAsia="宋体" w:hint="default"/>
          <w:b/>
          <w:bCs/>
          <w:sz w:val="18"/>
          <w:szCs w:val="18"/>
        </w:rPr>
        <w:t>确定可行权权益工具最佳估计的依据</w:t>
      </w:r>
      <w:r>
        <w:rPr>
          <w:rFonts w:ascii="宋体" w:hAnsi="宋体" w:cs="宋体" w:eastAsia="宋体" w:hint="default"/>
          <w:b/>
          <w:bCs/>
          <w:w w:val="99"/>
          <w:sz w:val="18"/>
          <w:szCs w:val="18"/>
        </w:rPr>
        <w:t> </w:t>
      </w:r>
      <w:r>
        <w:rPr>
          <w:rFonts w:ascii="宋体" w:hAnsi="宋体" w:cs="宋体" w:eastAsia="宋体" w:hint="default"/>
          <w:sz w:val="18"/>
          <w:szCs w:val="18"/>
        </w:rPr>
        <w:t>等待期内每个资产负债表日，根据最新取得的可行权职工人数变动等后续信息作出最佳估计，修正预计可行权的</w:t>
      </w:r>
    </w:p>
    <w:p>
      <w:pPr>
        <w:pStyle w:val="BodyText"/>
        <w:spacing w:line="321" w:lineRule="auto" w:before="18"/>
        <w:ind w:right="3549" w:firstLine="360"/>
        <w:jc w:val="left"/>
        <w:rPr>
          <w:rFonts w:ascii="宋体" w:hAnsi="宋体" w:cs="宋体" w:eastAsia="宋体" w:hint="default"/>
        </w:rPr>
      </w:pPr>
      <w:r>
        <w:rPr/>
        <w:t>权益工具数量。在可行权日，最终预计可行权权益工具的数量与实际可行权数量一致。 </w:t>
      </w:r>
      <w:r>
        <w:rPr>
          <w:rFonts w:ascii="宋体" w:hAnsi="宋体" w:cs="宋体" w:eastAsia="宋体" w:hint="default"/>
          <w:b/>
          <w:bCs/>
        </w:rPr>
        <w:t>1.</w:t>
      </w:r>
      <w:r>
        <w:rPr>
          <w:rFonts w:ascii="宋体" w:hAnsi="宋体" w:cs="宋体" w:eastAsia="宋体" w:hint="default"/>
          <w:b/>
          <w:bCs/>
          <w:spacing w:val="84"/>
        </w:rPr>
        <w:t> </w:t>
      </w:r>
      <w:r>
        <w:rPr>
          <w:rFonts w:ascii="宋体" w:hAnsi="宋体" w:cs="宋体" w:eastAsia="宋体" w:hint="default"/>
          <w:b/>
          <w:bCs/>
        </w:rPr>
        <w:t>会计处理方法</w:t>
      </w:r>
      <w:r>
        <w:rPr>
          <w:rFonts w:ascii="宋体" w:hAnsi="宋体" w:cs="宋体" w:eastAsia="宋体" w:hint="default"/>
        </w:rPr>
      </w:r>
    </w:p>
    <w:p>
      <w:pPr>
        <w:pStyle w:val="BodyText"/>
        <w:spacing w:line="321" w:lineRule="auto" w:before="3"/>
        <w:ind w:right="1136" w:firstLine="420"/>
        <w:jc w:val="both"/>
      </w:pPr>
      <w:r>
        <w:rPr/>
        <w:t>以权益结算的股份支付，按授予职工权益工具的公允价值计量。授予后立即可行权的，在授予日按照权益工具的公允 </w:t>
      </w:r>
      <w:r>
        <w:rPr>
          <w:spacing w:val="-2"/>
        </w:rPr>
        <w:t>价值计入相关成本或费用，相应增加资本公积。在完成等待期内的服务或达到规定业绩条件才可行权的，在等待期内的每个</w:t>
      </w:r>
      <w:r>
        <w:rPr>
          <w:spacing w:val="-75"/>
        </w:rPr>
        <w:t> </w:t>
      </w:r>
      <w:r>
        <w:rPr>
          <w:spacing w:val="-75"/>
        </w:rPr>
      </w:r>
      <w:r>
        <w:rPr>
          <w:spacing w:val="-2"/>
        </w:rPr>
        <w:t>资产负债表日，以对可行权权益工具数量的最佳估计为基础，按照权益工具授予日的公允价值，将当期取得的服务计入相关</w:t>
      </w:r>
      <w:r>
        <w:rPr>
          <w:spacing w:val="-75"/>
        </w:rPr>
        <w:t> </w:t>
      </w:r>
      <w:r>
        <w:rPr>
          <w:spacing w:val="-75"/>
        </w:rPr>
      </w:r>
      <w:r>
        <w:rPr/>
        <w:t>成本或费用和资本公积。在可行权日之后不再对已确认的相关成本或费用和所有者权益总额进行调整。</w:t>
      </w:r>
    </w:p>
    <w:p>
      <w:pPr>
        <w:pStyle w:val="BodyText"/>
        <w:spacing w:line="314" w:lineRule="auto" w:before="18"/>
        <w:ind w:right="1046" w:firstLine="420"/>
        <w:jc w:val="both"/>
      </w:pPr>
      <w:r>
        <w:rPr/>
        <w:t>以现金结算的股份支付，按照本公司承担的以股份或其他权益工具为基础计算确定的负债的公允价值计量。授予后立 </w:t>
      </w:r>
      <w:r>
        <w:rPr>
          <w:spacing w:val="-2"/>
        </w:rPr>
        <w:t>即可行权的，在授予日以本公司承担负债的公允价值计入相关成本或费用，相应增加负债。在完成等待期内的服务或达到规</w:t>
      </w:r>
      <w:r>
        <w:rPr>
          <w:spacing w:val="-75"/>
        </w:rPr>
        <w:t> </w:t>
      </w:r>
      <w:r>
        <w:rPr>
          <w:spacing w:val="-75"/>
        </w:rPr>
      </w:r>
      <w:r>
        <w:rPr/>
        <w:t>定业绩条件以后才可行权的以现金结算的股份支付，在等待期内的每个资产负债表日，以对可行权情况的最佳估计为基础，</w:t>
      </w:r>
    </w:p>
    <w:p>
      <w:pPr>
        <w:spacing w:after="0" w:line="314"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0"/>
        <w:jc w:val="left"/>
      </w:pPr>
      <w:r>
        <w:rPr>
          <w:spacing w:val="-2"/>
        </w:rPr>
        <w:t>按照本公司承担负债的公允价值金额，将当期取得的服务计入成本或费用和相应的负债。在相关负债结算前的每个资产负债</w:t>
      </w:r>
      <w:r>
        <w:rPr>
          <w:spacing w:val="-72"/>
        </w:rPr>
        <w:t> </w:t>
      </w:r>
      <w:r>
        <w:rPr>
          <w:spacing w:val="-72"/>
        </w:rPr>
      </w:r>
      <w:r>
        <w:rPr/>
        <w:t>表日以及结算日，对负债的公允价值重新计量，其变动计入当期损益。</w:t>
      </w:r>
    </w:p>
    <w:p>
      <w:pPr>
        <w:pStyle w:val="BodyText"/>
        <w:spacing w:line="314" w:lineRule="auto" w:before="18"/>
        <w:ind w:right="1136" w:firstLine="420"/>
        <w:jc w:val="both"/>
      </w:pPr>
      <w:r>
        <w:rPr/>
        <w:t>若在等待期内取消了授予的权益工具，本公司对取消所授予的权益性工具作为加速行权处理，将剩余等待期内应确认 </w:t>
      </w:r>
      <w:r>
        <w:rPr>
          <w:spacing w:val="-2"/>
        </w:rPr>
        <w:t>的金额立即计入当期损益，同时确认资本公积。职工或其他方能够选择满足非可行权条件但在等待期内未满足的，本公司将</w:t>
      </w:r>
      <w:r>
        <w:rPr>
          <w:spacing w:val="-75"/>
        </w:rPr>
        <w:t> </w:t>
      </w:r>
      <w:r>
        <w:rPr>
          <w:spacing w:val="-75"/>
        </w:rPr>
      </w:r>
      <w:r>
        <w:rPr/>
        <w:t>其作为授予权益工具的取消处理。</w:t>
      </w:r>
    </w:p>
    <w:p>
      <w:pPr>
        <w:spacing w:line="240" w:lineRule="auto" w:before="0"/>
        <w:rPr>
          <w:rFonts w:ascii="宋体" w:hAnsi="宋体" w:cs="宋体" w:eastAsia="宋体" w:hint="default"/>
          <w:sz w:val="25"/>
          <w:szCs w:val="25"/>
        </w:rPr>
      </w:pPr>
    </w:p>
    <w:p>
      <w:pPr>
        <w:pStyle w:val="Heading5"/>
        <w:spacing w:line="240" w:lineRule="auto"/>
        <w:ind w:right="0"/>
        <w:jc w:val="left"/>
        <w:rPr>
          <w:b w:val="0"/>
          <w:bCs w:val="0"/>
        </w:rPr>
      </w:pPr>
      <w:bookmarkStart w:name="38、优先股、永续债等其他金融工具" w:id="219"/>
      <w:bookmarkEnd w:id="219"/>
      <w:r>
        <w:rPr>
          <w:b w:val="0"/>
          <w:bCs w:val="0"/>
        </w:rPr>
      </w:r>
      <w:r>
        <w:rPr>
          <w:rFonts w:ascii="Times New Roman" w:hAnsi="Times New Roman" w:cs="Times New Roman" w:eastAsia="Times New Roman" w:hint="default"/>
          <w:spacing w:val="4"/>
        </w:rPr>
        <w:t>38</w:t>
      </w:r>
      <w:r>
        <w:rPr>
          <w:spacing w:val="4"/>
        </w:rPr>
        <w:t>、优先股、永续债等其他金融工具</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39、收入" w:id="220"/>
      <w:bookmarkEnd w:id="220"/>
      <w:r>
        <w:rPr>
          <w:b w:val="0"/>
          <w:bCs w:val="0"/>
        </w:rPr>
      </w:r>
      <w:r>
        <w:rPr>
          <w:rFonts w:ascii="Times New Roman" w:hAnsi="Times New Roman" w:cs="Times New Roman" w:eastAsia="Times New Roman" w:hint="default"/>
          <w:spacing w:val="5"/>
        </w:rPr>
        <w:t>39</w:t>
      </w:r>
      <w:r>
        <w:rPr>
          <w:spacing w:val="5"/>
        </w:rPr>
        <w:t>、收入</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73" w:lineRule="auto" w:before="111"/>
        <w:ind w:left="561" w:right="1149" w:hanging="42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销售商品收入确认时间的具体判断标准</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sz w:val="18"/>
          <w:szCs w:val="18"/>
        </w:rPr>
        <w:t>公司已将商品所有权上的主要风险和报酬转移给购买方；公司既没有保留与所有权相联系的继续管理权，也没有对已</w:t>
      </w:r>
    </w:p>
    <w:p>
      <w:pPr>
        <w:pStyle w:val="BodyText"/>
        <w:spacing w:line="321" w:lineRule="auto" w:before="54"/>
        <w:ind w:right="0"/>
        <w:jc w:val="left"/>
      </w:pPr>
      <w:r>
        <w:rPr>
          <w:spacing w:val="-2"/>
        </w:rPr>
        <w:t>售出的商品实施有效控制；收入的金额能够可靠地计量；相关的经济利益很可能流入企业；相关的已发生或将发生的成本能</w:t>
      </w:r>
      <w:r>
        <w:rPr>
          <w:spacing w:val="-75"/>
        </w:rPr>
        <w:t> </w:t>
      </w:r>
      <w:r>
        <w:rPr>
          <w:spacing w:val="-75"/>
        </w:rPr>
      </w:r>
      <w:r>
        <w:rPr/>
        <w:t>够可靠地计量时，确认商品销售收入实现。</w:t>
      </w:r>
    </w:p>
    <w:p>
      <w:pPr>
        <w:pStyle w:val="BodyText"/>
        <w:spacing w:line="321" w:lineRule="auto" w:before="19"/>
        <w:ind w:right="1149" w:firstLine="420"/>
        <w:jc w:val="left"/>
      </w:pPr>
      <w:r>
        <w:rPr/>
        <w:t>本公司确认商品销售收入的具体方式：本公司国内销售业务以商品发出，客户验收合格时作为收入确认时点；国外销 售业务以商品发出，完成报关时作为收入确认时点。</w:t>
      </w:r>
    </w:p>
    <w:p>
      <w:pPr>
        <w:spacing w:line="290" w:lineRule="auto" w:before="18"/>
        <w:ind w:left="561" w:right="0" w:hanging="42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确认让渡资产使用权收入的依据</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pacing w:val="-2"/>
          <w:sz w:val="18"/>
          <w:szCs w:val="18"/>
        </w:rPr>
        <w:t>与交易相关的经济利益很可能流入企业，收入的金额能够可靠地计量时，分别下列情况确定让渡资产使用权收入金额：</w:t>
      </w:r>
    </w:p>
    <w:p>
      <w:pPr>
        <w:pStyle w:val="BodyText"/>
        <w:spacing w:line="240" w:lineRule="auto" w:before="56"/>
        <w:ind w:left="561"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66"/>
        <w:ind w:left="561"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76" w:lineRule="auto" w:before="66"/>
        <w:ind w:left="561" w:right="1149" w:hanging="42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提供劳务收入的确认依据和方法</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sz w:val="18"/>
          <w:szCs w:val="18"/>
        </w:rPr>
        <w:t>在资产负债表日提供劳务交易的结果能够可靠估计的，采用完工百分比法确认提供劳务收入。提供劳务交易的完工进</w:t>
      </w:r>
    </w:p>
    <w:p>
      <w:pPr>
        <w:pStyle w:val="BodyText"/>
        <w:spacing w:line="321" w:lineRule="auto" w:before="52"/>
        <w:ind w:left="561" w:right="5469" w:hanging="421"/>
        <w:jc w:val="left"/>
      </w:pPr>
      <w:r>
        <w:rPr/>
        <w:t>度，依据已完工作的测量确定。 提供劳务交易的结果能够可靠估计，是指同时满足下列条件：</w:t>
      </w:r>
    </w:p>
    <w:p>
      <w:pPr>
        <w:pStyle w:val="BodyText"/>
        <w:spacing w:line="240" w:lineRule="auto" w:before="33"/>
        <w:ind w:left="561" w:right="0"/>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66"/>
        <w:ind w:left="561" w:right="0"/>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51"/>
        <w:ind w:left="561" w:right="0"/>
        <w:jc w:val="left"/>
      </w:pPr>
      <w:r>
        <w:rPr/>
        <w:t>（</w:t>
      </w:r>
      <w:r>
        <w:rPr>
          <w:rFonts w:ascii="Times New Roman" w:hAnsi="Times New Roman" w:cs="Times New Roman" w:eastAsia="Times New Roman" w:hint="default"/>
        </w:rPr>
        <w:t>3</w:t>
      </w:r>
      <w:r>
        <w:rPr/>
        <w:t>）交易的完工进度能够可靠地确定；</w:t>
      </w:r>
    </w:p>
    <w:p>
      <w:pPr>
        <w:pStyle w:val="BodyText"/>
        <w:spacing w:line="290" w:lineRule="auto" w:before="66"/>
        <w:ind w:left="561" w:right="1149"/>
        <w:jc w:val="left"/>
      </w:pPr>
      <w:r>
        <w:rPr/>
        <w:t>（</w:t>
      </w:r>
      <w:r>
        <w:rPr>
          <w:rFonts w:ascii="Times New Roman" w:hAnsi="Times New Roman" w:cs="Times New Roman" w:eastAsia="Times New Roman" w:hint="default"/>
        </w:rPr>
        <w:t>4</w:t>
      </w:r>
      <w:r>
        <w:rPr/>
        <w:t>）交易中已发生和将发生的成本能够可靠地计量。 按照已收或应收的合同或协议价款确定提供劳务收入总额，但已收或应收的合同或协议价款不公允的除外。资产负债</w:t>
      </w:r>
    </w:p>
    <w:p>
      <w:pPr>
        <w:pStyle w:val="BodyText"/>
        <w:spacing w:line="321" w:lineRule="auto" w:before="41"/>
        <w:ind w:right="0"/>
        <w:jc w:val="left"/>
      </w:pPr>
      <w:r>
        <w:rPr>
          <w:spacing w:val="-2"/>
        </w:rPr>
        <w:t>表日按照提供劳务收入总额乘以完工进度扣除以前会计期间累计已确认提供劳务收入后的金额，确认当期提供劳务收入；同</w:t>
      </w:r>
      <w:r>
        <w:rPr>
          <w:spacing w:val="-62"/>
        </w:rPr>
        <w:t> </w:t>
      </w:r>
      <w:r>
        <w:rPr>
          <w:spacing w:val="-62"/>
        </w:rPr>
      </w:r>
      <w:r>
        <w:rPr/>
        <w:t>时，按照提供劳务估计总成本乘以完工进度扣除以前会计期间累计已确认劳务成本后的金额，结转当期劳务成本。</w:t>
      </w:r>
    </w:p>
    <w:p>
      <w:pPr>
        <w:pStyle w:val="BodyText"/>
        <w:spacing w:line="240" w:lineRule="auto" w:before="3"/>
        <w:ind w:left="561" w:right="0"/>
        <w:jc w:val="left"/>
      </w:pPr>
      <w:r>
        <w:rPr/>
        <w:t>在资产负债表日提供劳务交易结果不能够可靠估计的，分别下列情况处理：</w:t>
      </w:r>
    </w:p>
    <w:p>
      <w:pPr>
        <w:pStyle w:val="BodyText"/>
        <w:spacing w:line="288" w:lineRule="auto" w:before="95"/>
        <w:ind w:right="1111" w:firstLine="420"/>
        <w:jc w:val="left"/>
      </w:pPr>
      <w:r>
        <w:rPr>
          <w:spacing w:val="-1"/>
        </w:rPr>
        <w:t>（</w:t>
      </w:r>
      <w:r>
        <w:rPr>
          <w:rFonts w:ascii="Times New Roman" w:hAnsi="Times New Roman" w:cs="Times New Roman" w:eastAsia="Times New Roman" w:hint="default"/>
          <w:spacing w:val="-1"/>
        </w:rPr>
        <w:t>1</w:t>
      </w:r>
      <w:r>
        <w:rPr>
          <w:spacing w:val="-1"/>
        </w:rPr>
        <w:t>）已经发生的劳务成本预计能够得到补偿的，按照已经发生的劳务成本金额确认提供劳务收入，并按相同金额结转</w:t>
      </w:r>
      <w:r>
        <w:rPr/>
        <w:t> 劳务成本。</w:t>
      </w:r>
    </w:p>
    <w:p>
      <w:pPr>
        <w:pStyle w:val="BodyText"/>
        <w:spacing w:line="297" w:lineRule="auto" w:before="59"/>
        <w:ind w:right="0" w:firstLine="42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 本公司与其他企业签订的合同或协议包括销售商品和提供劳务时，销售商品部分和提供劳务部分能够区分且能够单独计量 </w:t>
      </w:r>
      <w:r>
        <w:rPr>
          <w:spacing w:val="-4"/>
        </w:rPr>
        <w:t>的，将销售商品的部分作为销售商品处理，将提供劳务的部分作为提供劳务处理。销售商品部分和提供劳务部分不能够区分，</w:t>
      </w:r>
    </w:p>
    <w:p>
      <w:pPr>
        <w:pStyle w:val="BodyText"/>
        <w:spacing w:line="240" w:lineRule="auto" w:before="36"/>
        <w:ind w:right="0"/>
        <w:jc w:val="left"/>
      </w:pPr>
      <w:r>
        <w:rPr/>
        <w:t>或虽能区分但不能够单独计量的，将销售商品部分和提供劳务部分全部作为销售商品处理。</w:t>
      </w:r>
    </w:p>
    <w:p>
      <w:pPr>
        <w:spacing w:after="0" w:line="240" w:lineRule="auto"/>
        <w:jc w:val="left"/>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40、政府补助" w:id="221"/>
      <w:bookmarkEnd w:id="221"/>
      <w:r>
        <w:rPr>
          <w:b w:val="0"/>
          <w:bCs w:val="0"/>
        </w:rPr>
      </w:r>
      <w:r>
        <w:rPr>
          <w:rFonts w:ascii="Times New Roman" w:hAnsi="Times New Roman" w:cs="Times New Roman" w:eastAsia="Times New Roman" w:hint="default"/>
          <w:spacing w:val="3"/>
        </w:rPr>
        <w:t>40</w:t>
      </w:r>
      <w:r>
        <w:rPr>
          <w:spacing w:val="3"/>
        </w:rPr>
        <w:t>、政府补助</w:t>
      </w:r>
      <w:r>
        <w:rPr>
          <w:b w:val="0"/>
          <w:bCs w:val="0"/>
          <w:spacing w:val="3"/>
        </w:rPr>
      </w:r>
    </w:p>
    <w:p>
      <w:pPr>
        <w:spacing w:line="240" w:lineRule="auto" w:before="11"/>
        <w:rPr>
          <w:rFonts w:ascii="宋体" w:hAnsi="宋体" w:cs="宋体" w:eastAsia="宋体" w:hint="default"/>
          <w:b/>
          <w:bCs/>
          <w:sz w:val="27"/>
          <w:szCs w:val="27"/>
        </w:rPr>
      </w:pPr>
    </w:p>
    <w:p>
      <w:pPr>
        <w:pStyle w:val="Heading6"/>
        <w:spacing w:line="240" w:lineRule="auto"/>
        <w:ind w:right="0"/>
        <w:jc w:val="left"/>
        <w:rPr>
          <w:b w:val="0"/>
          <w:bCs w:val="0"/>
        </w:rPr>
      </w:pPr>
      <w:r>
        <w:rPr>
          <w:rFonts w:ascii="Times New Roman" w:hAnsi="Times New Roman" w:cs="Times New Roman" w:eastAsia="Times New Roman" w:hint="default"/>
        </w:rPr>
        <w:t>1.</w:t>
      </w:r>
      <w:r>
        <w:rPr/>
        <w:t>类型</w:t>
      </w:r>
      <w:r>
        <w:rPr>
          <w:b w:val="0"/>
          <w:bCs w:val="0"/>
        </w:rPr>
      </w:r>
    </w:p>
    <w:p>
      <w:pPr>
        <w:pStyle w:val="BodyText"/>
        <w:spacing w:line="321" w:lineRule="auto" w:before="51"/>
        <w:ind w:right="0" w:firstLine="420"/>
        <w:jc w:val="left"/>
        <w:rPr>
          <w:rFonts w:ascii="宋体" w:hAnsi="宋体" w:cs="宋体" w:eastAsia="宋体" w:hint="default"/>
        </w:rPr>
      </w:pPr>
      <w:r>
        <w:rPr/>
        <w:t>政府补助，是本公司从政府无偿取得的货币性资产与非货币性资产，但不包括政府作为企业所有者投入的资本。根据 相关政府文件规定的补助对象，将政府补助划分为与资产相关的政府补助和与收益相关的政府补助。 </w:t>
      </w:r>
      <w:r>
        <w:rPr>
          <w:rFonts w:ascii="Times New Roman" w:hAnsi="Times New Roman" w:cs="Times New Roman" w:eastAsia="Times New Roman" w:hint="default"/>
          <w:b/>
          <w:bCs/>
        </w:rPr>
        <w:t>2.</w:t>
      </w:r>
      <w:r>
        <w:rPr>
          <w:rFonts w:ascii="宋体" w:hAnsi="宋体" w:cs="宋体" w:eastAsia="宋体" w:hint="default"/>
          <w:b/>
          <w:bCs/>
        </w:rPr>
        <w:t>与资产相关的政府补助判断依据及会计处理方法</w:t>
      </w:r>
      <w:r>
        <w:rPr>
          <w:rFonts w:ascii="宋体" w:hAnsi="宋体" w:cs="宋体" w:eastAsia="宋体" w:hint="default"/>
        </w:rPr>
      </w:r>
    </w:p>
    <w:p>
      <w:pPr>
        <w:pStyle w:val="BodyText"/>
        <w:spacing w:line="219" w:lineRule="exact"/>
        <w:ind w:left="561" w:right="0"/>
        <w:jc w:val="left"/>
      </w:pPr>
      <w:r>
        <w:rPr/>
        <w:t>公司取得的、用于购建或以其他方式形成长期资产的政府补助划分为与资产相关的政府补助。与资产相关的政府补助，</w:t>
      </w:r>
    </w:p>
    <w:p>
      <w:pPr>
        <w:pStyle w:val="BodyText"/>
        <w:spacing w:line="321" w:lineRule="auto" w:before="80"/>
        <w:ind w:right="1118"/>
        <w:jc w:val="left"/>
        <w:rPr>
          <w:rFonts w:ascii="宋体" w:hAnsi="宋体" w:cs="宋体" w:eastAsia="宋体" w:hint="default"/>
        </w:rPr>
      </w:pPr>
      <w:r>
        <w:rPr>
          <w:spacing w:val="-2"/>
        </w:rPr>
        <w:t>冲减相关资产的账面价值或确认为递延收益。与资产相关补助确认为递延收益的，在相关资产使用寿命内按照合理、系统的</w:t>
      </w:r>
      <w:r>
        <w:rPr>
          <w:spacing w:val="-75"/>
        </w:rPr>
        <w:t> </w:t>
      </w:r>
      <w:r>
        <w:rPr>
          <w:spacing w:val="-75"/>
        </w:rPr>
      </w:r>
      <w:r>
        <w:rPr>
          <w:spacing w:val="-2"/>
        </w:rPr>
        <w:t>方法分期计入损益。按照名义金额计量的政府补助，直接计入当期损益。相关资产在使用寿命结束前被出售、转让、报废或</w:t>
      </w:r>
      <w:r>
        <w:rPr>
          <w:spacing w:val="-57"/>
        </w:rPr>
        <w:t> </w:t>
      </w:r>
      <w:r>
        <w:rPr>
          <w:spacing w:val="-57"/>
        </w:rPr>
      </w:r>
      <w:r>
        <w:rPr/>
        <w:t>发生毁损的，将尚未分配的相关递延收益余额转入资产处置当期的损益。 </w:t>
      </w:r>
      <w:r>
        <w:rPr>
          <w:rFonts w:ascii="Times New Roman" w:hAnsi="Times New Roman" w:cs="Times New Roman" w:eastAsia="Times New Roman" w:hint="default"/>
          <w:b/>
          <w:bCs/>
        </w:rPr>
        <w:t>3.</w:t>
      </w:r>
      <w:r>
        <w:rPr>
          <w:rFonts w:ascii="宋体" w:hAnsi="宋体" w:cs="宋体" w:eastAsia="宋体" w:hint="default"/>
          <w:b/>
          <w:bCs/>
        </w:rPr>
        <w:t>与收益相关的政府补助判断依据及会计处理方法：</w:t>
      </w:r>
      <w:r>
        <w:rPr>
          <w:rFonts w:ascii="宋体" w:hAnsi="宋体" w:cs="宋体" w:eastAsia="宋体" w:hint="default"/>
        </w:rPr>
      </w:r>
    </w:p>
    <w:p>
      <w:pPr>
        <w:pStyle w:val="BodyText"/>
        <w:spacing w:line="219" w:lineRule="exact"/>
        <w:ind w:left="561" w:right="0"/>
        <w:jc w:val="left"/>
      </w:pPr>
      <w:r>
        <w:rPr/>
        <w:t>除与资产相关的政府补助之外的政府补助划分为与收益相关的政府补助。对于同时包含与资产相关部分和与收益相关</w:t>
      </w:r>
    </w:p>
    <w:p>
      <w:pPr>
        <w:pStyle w:val="BodyText"/>
        <w:spacing w:line="314" w:lineRule="auto" w:before="79"/>
        <w:ind w:right="1103"/>
        <w:jc w:val="both"/>
      </w:pPr>
      <w:r>
        <w:rPr>
          <w:spacing w:val="-2"/>
        </w:rPr>
        <w:t>部分的政府补助，难以区分与资产相关或与收益相关的，整体归类为与收益相关的政府补助。与收益相关的政府补助，用于</w:t>
      </w:r>
      <w:r>
        <w:rPr>
          <w:spacing w:val="-39"/>
        </w:rPr>
        <w:t> </w:t>
      </w:r>
      <w:r>
        <w:rPr>
          <w:spacing w:val="-39"/>
        </w:rPr>
      </w:r>
      <w:r>
        <w:rPr>
          <w:spacing w:val="-2"/>
        </w:rPr>
        <w:t>补偿以后期间的相关成本费用或损失的，确认为递延收益，在确认相关成本费用或损失的期间，计入当期损益或冲减相关成</w:t>
      </w:r>
      <w:r>
        <w:rPr>
          <w:spacing w:val="-75"/>
        </w:rPr>
        <w:t> </w:t>
      </w:r>
      <w:r>
        <w:rPr>
          <w:spacing w:val="-75"/>
        </w:rPr>
      </w:r>
      <w:r>
        <w:rPr/>
        <w:t>本；用于补偿已发生的相关成本费用或损失的，直接计入当期损益或冲减相关成本。</w:t>
      </w:r>
    </w:p>
    <w:p>
      <w:pPr>
        <w:pStyle w:val="BodyText"/>
        <w:spacing w:line="321" w:lineRule="auto" w:before="23"/>
        <w:ind w:right="1149" w:firstLine="420"/>
        <w:jc w:val="left"/>
      </w:pPr>
      <w:r>
        <w:rPr/>
        <w:t>与公司日常经营活动相关的政府补助，按照经济业务实质，计入其他收益或冲减相关成本费用。与公司日常活动无关 的政府补助，计入营业外收支。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5"/>
        <w:spacing w:line="240" w:lineRule="auto"/>
        <w:ind w:right="0"/>
        <w:jc w:val="left"/>
        <w:rPr>
          <w:b w:val="0"/>
          <w:bCs w:val="0"/>
        </w:rPr>
      </w:pPr>
      <w:bookmarkStart w:name="41、递延所得税资产/递延所得税负债" w:id="222"/>
      <w:bookmarkEnd w:id="222"/>
      <w:r>
        <w:rPr>
          <w:b w:val="0"/>
          <w:bCs w:val="0"/>
        </w:rPr>
      </w:r>
      <w:r>
        <w:rPr>
          <w:rFonts w:ascii="Times New Roman" w:hAnsi="Times New Roman" w:cs="Times New Roman" w:eastAsia="Times New Roman" w:hint="default"/>
          <w:spacing w:val="4"/>
        </w:rPr>
        <w:t>41</w:t>
      </w:r>
      <w:r>
        <w:rPr>
          <w:spacing w:val="4"/>
        </w:rPr>
        <w:t>、递延所得税资产</w:t>
      </w:r>
      <w:r>
        <w:rPr>
          <w:rFonts w:ascii="Times New Roman" w:hAnsi="Times New Roman" w:cs="Times New Roman" w:eastAsia="Times New Roman" w:hint="default"/>
          <w:spacing w:val="4"/>
        </w:rPr>
        <w:t>/</w:t>
      </w:r>
      <w:r>
        <w:rPr>
          <w:spacing w:val="4"/>
        </w:rPr>
        <w:t>递延所得税负债</w:t>
      </w:r>
      <w:r>
        <w:rPr>
          <w:b w:val="0"/>
          <w:bCs w:val="0"/>
          <w:spacing w:val="4"/>
        </w:rPr>
      </w:r>
    </w:p>
    <w:p>
      <w:pPr>
        <w:spacing w:line="240" w:lineRule="auto" w:before="11"/>
        <w:rPr>
          <w:rFonts w:ascii="宋体" w:hAnsi="宋体" w:cs="宋体" w:eastAsia="宋体" w:hint="default"/>
          <w:b/>
          <w:bCs/>
          <w:sz w:val="27"/>
          <w:szCs w:val="27"/>
        </w:rPr>
      </w:pPr>
    </w:p>
    <w:p>
      <w:pPr>
        <w:pStyle w:val="BodyText"/>
        <w:spacing w:line="276" w:lineRule="auto"/>
        <w:ind w:right="0" w:firstLine="420"/>
        <w:jc w:val="left"/>
      </w:pPr>
      <w:r>
        <w:rPr>
          <w:spacing w:val="-2"/>
        </w:rPr>
        <w:t>递延所得税资产和递延所得税负债根据资产和负债的计税基础与其账面价值的差额</w:t>
      </w:r>
      <w:r>
        <w:rPr>
          <w:rFonts w:ascii="Times New Roman" w:hAnsi="Times New Roman" w:cs="Times New Roman" w:eastAsia="Times New Roman" w:hint="default"/>
          <w:spacing w:val="-2"/>
        </w:rPr>
        <w:t>(</w:t>
      </w:r>
      <w:r>
        <w:rPr>
          <w:spacing w:val="-2"/>
        </w:rPr>
        <w:t>暂时性差异</w:t>
      </w:r>
      <w:r>
        <w:rPr>
          <w:rFonts w:ascii="Times New Roman" w:hAnsi="Times New Roman" w:cs="Times New Roman" w:eastAsia="Times New Roman" w:hint="default"/>
          <w:spacing w:val="-2"/>
        </w:rPr>
        <w:t>)</w:t>
      </w:r>
      <w:r>
        <w:rPr>
          <w:spacing w:val="-2"/>
        </w:rPr>
        <w:t>计算确认。于资产负债</w:t>
      </w:r>
      <w:r>
        <w:rPr/>
        <w:t> 表日，递延所得税资产和递延所得税负债，按照预期收回该资产或清偿该负债期间的适用税率计量。</w:t>
      </w:r>
    </w:p>
    <w:p>
      <w:pPr>
        <w:pStyle w:val="Heading6"/>
        <w:spacing w:line="240" w:lineRule="auto" w:before="52"/>
        <w:ind w:right="0"/>
        <w:jc w:val="left"/>
        <w:rPr>
          <w:b w:val="0"/>
          <w:bCs w:val="0"/>
        </w:rPr>
      </w:pPr>
      <w:r>
        <w:rPr>
          <w:rFonts w:ascii="宋体" w:hAnsi="宋体" w:cs="宋体" w:eastAsia="宋体" w:hint="default"/>
        </w:rPr>
        <w:t>1. </w:t>
      </w:r>
      <w:r>
        <w:rPr>
          <w:rFonts w:ascii="宋体" w:hAnsi="宋体" w:cs="宋体" w:eastAsia="宋体" w:hint="default"/>
          <w:spacing w:val="3"/>
        </w:rPr>
        <w:t> </w:t>
      </w:r>
      <w:r>
        <w:rPr/>
        <w:t>确认递延所得税资产的依据</w:t>
      </w:r>
      <w:r>
        <w:rPr>
          <w:b w:val="0"/>
          <w:bCs w:val="0"/>
        </w:rPr>
      </w:r>
    </w:p>
    <w:p>
      <w:pPr>
        <w:pStyle w:val="BodyText"/>
        <w:spacing w:line="321" w:lineRule="auto" w:before="80"/>
        <w:ind w:left="501" w:right="0" w:firstLine="420"/>
        <w:jc w:val="left"/>
      </w:pPr>
      <w:r>
        <w:rPr/>
        <w:t>本公司以很可能取得用来抵扣可抵扣暂时性差异、能够结转以后年度的可抵扣亏损和税款抵减的应纳税所得额为 </w:t>
      </w:r>
      <w:r>
        <w:rPr>
          <w:spacing w:val="-2"/>
        </w:rPr>
        <w:t>限，确认由可抵扣暂时性差异产生的递延所得税资产。但是，同时具有下列特征的交易中因资产或负债的初始确认所产</w:t>
      </w:r>
    </w:p>
    <w:p>
      <w:pPr>
        <w:pStyle w:val="BodyText"/>
        <w:spacing w:line="276" w:lineRule="auto" w:before="33"/>
        <w:ind w:left="501" w:right="0"/>
        <w:jc w:val="left"/>
      </w:pPr>
      <w:r>
        <w:rPr>
          <w:spacing w:val="-2"/>
        </w:rPr>
        <w:t>生的递延所得税资产不予确认：（</w:t>
      </w:r>
      <w:r>
        <w:rPr>
          <w:rFonts w:ascii="Times New Roman" w:hAnsi="Times New Roman" w:cs="Times New Roman" w:eastAsia="Times New Roman" w:hint="default"/>
          <w:spacing w:val="-2"/>
        </w:rPr>
        <w:t>1</w:t>
      </w:r>
      <w:r>
        <w:rPr>
          <w:spacing w:val="-2"/>
        </w:rPr>
        <w:t>）该交易不是企业合并；（</w:t>
      </w:r>
      <w:r>
        <w:rPr>
          <w:rFonts w:ascii="Times New Roman" w:hAnsi="Times New Roman" w:cs="Times New Roman" w:eastAsia="Times New Roman" w:hint="default"/>
          <w:spacing w:val="-2"/>
        </w:rPr>
        <w:t>2</w:t>
      </w:r>
      <w:r>
        <w:rPr>
          <w:spacing w:val="-2"/>
        </w:rPr>
        <w:t>）交易发生时既不影响会计利润也不影响应纳税所得额</w:t>
      </w:r>
      <w:r>
        <w:rPr>
          <w:spacing w:val="-71"/>
        </w:rPr>
        <w:t> </w:t>
      </w:r>
      <w:r>
        <w:rPr>
          <w:spacing w:val="-71"/>
        </w:rPr>
      </w:r>
      <w:r>
        <w:rPr/>
        <w:t>或可抵扣亏损。</w:t>
      </w:r>
    </w:p>
    <w:p>
      <w:pPr>
        <w:pStyle w:val="BodyText"/>
        <w:spacing w:line="321" w:lineRule="auto" w:before="52"/>
        <w:ind w:left="501" w:right="1149" w:firstLine="420"/>
        <w:jc w:val="left"/>
      </w:pPr>
      <w:r>
        <w:rPr/>
        <w:t>对于与联营企业投资相关的可抵扣暂时性差异，同时满足下列条件的，确认相应的递延所得税资产：暂时性差异 在可预见的未来很可能转回，且未来很可能获得用来抵扣可抵扣暂时性差异的应纳税所得额。</w:t>
      </w:r>
    </w:p>
    <w:p>
      <w:pPr>
        <w:pStyle w:val="Heading6"/>
        <w:spacing w:line="240" w:lineRule="auto" w:before="18"/>
        <w:ind w:right="0"/>
        <w:jc w:val="left"/>
        <w:rPr>
          <w:b w:val="0"/>
          <w:bCs w:val="0"/>
        </w:rPr>
      </w:pPr>
      <w:r>
        <w:rPr>
          <w:rFonts w:ascii="宋体" w:hAnsi="宋体" w:cs="宋体" w:eastAsia="宋体" w:hint="default"/>
        </w:rPr>
        <w:t>1. </w:t>
      </w:r>
      <w:r>
        <w:rPr>
          <w:rFonts w:ascii="宋体" w:hAnsi="宋体" w:cs="宋体" w:eastAsia="宋体" w:hint="default"/>
          <w:spacing w:val="3"/>
        </w:rPr>
        <w:t> </w:t>
      </w:r>
      <w:r>
        <w:rPr/>
        <w:t>确认递延所得税负债的依据</w:t>
      </w:r>
      <w:r>
        <w:rPr>
          <w:b w:val="0"/>
          <w:bCs w:val="0"/>
        </w:rPr>
      </w:r>
    </w:p>
    <w:p>
      <w:pPr>
        <w:pStyle w:val="BodyText"/>
        <w:spacing w:line="240" w:lineRule="auto" w:before="80"/>
        <w:ind w:left="922" w:right="0"/>
        <w:jc w:val="left"/>
      </w:pPr>
      <w:r>
        <w:rPr/>
        <w:t>公司将当期与以前期间应交未交的应纳税暂时性差异确认为递延所得税负债。但不包括：</w:t>
      </w:r>
    </w:p>
    <w:p>
      <w:pPr>
        <w:pStyle w:val="BodyText"/>
        <w:spacing w:line="240" w:lineRule="auto" w:before="79"/>
        <w:ind w:left="922" w:right="0"/>
        <w:jc w:val="left"/>
      </w:pPr>
      <w:r>
        <w:rPr/>
        <w:t>（</w:t>
      </w:r>
      <w:r>
        <w:rPr>
          <w:rFonts w:ascii="Times New Roman" w:hAnsi="Times New Roman" w:cs="Times New Roman" w:eastAsia="Times New Roman" w:hint="default"/>
        </w:rPr>
        <w:t>1</w:t>
      </w:r>
      <w:r>
        <w:rPr/>
        <w:t>）商誉的初始确认所形成的暂时性差异；</w:t>
      </w:r>
    </w:p>
    <w:p>
      <w:pPr>
        <w:pStyle w:val="BodyText"/>
        <w:spacing w:line="290" w:lineRule="auto" w:before="66"/>
        <w:ind w:left="501" w:right="0" w:firstLine="420"/>
        <w:jc w:val="left"/>
      </w:pPr>
      <w:r>
        <w:rPr>
          <w:spacing w:val="-2"/>
        </w:rPr>
        <w:t>（</w:t>
      </w:r>
      <w:r>
        <w:rPr>
          <w:rFonts w:ascii="Times New Roman" w:hAnsi="Times New Roman" w:cs="Times New Roman" w:eastAsia="Times New Roman" w:hint="default"/>
          <w:spacing w:val="-2"/>
        </w:rPr>
        <w:t>2</w:t>
      </w:r>
      <w:r>
        <w:rPr>
          <w:spacing w:val="-2"/>
        </w:rPr>
        <w:t>）非企业合并形成的交易或事项，且该交易或事项发生时既不影响会计利润，也不影响应纳税所得额（或可抵</w:t>
      </w:r>
      <w:r>
        <w:rPr/>
        <w:t> 扣亏损）所形成的暂时性差异；</w:t>
      </w:r>
    </w:p>
    <w:p>
      <w:pPr>
        <w:pStyle w:val="BodyText"/>
        <w:spacing w:line="290" w:lineRule="auto" w:before="56"/>
        <w:ind w:left="501" w:right="1109" w:firstLine="420"/>
        <w:jc w:val="left"/>
      </w:pPr>
      <w:r>
        <w:rPr>
          <w:spacing w:val="-1"/>
        </w:rPr>
        <w:t>（</w:t>
      </w:r>
      <w:r>
        <w:rPr>
          <w:rFonts w:ascii="Times New Roman" w:hAnsi="Times New Roman" w:cs="Times New Roman" w:eastAsia="Times New Roman" w:hint="default"/>
          <w:spacing w:val="-1"/>
        </w:rPr>
        <w:t>3</w:t>
      </w:r>
      <w:r>
        <w:rPr>
          <w:spacing w:val="-1"/>
        </w:rPr>
        <w:t>）对于与子公司、联营企业投资相关的应纳税暂时性差异，该暂时性差异转回的时间能够控制并且该暂时性差</w:t>
      </w:r>
      <w:r>
        <w:rPr/>
        <w:t> 异在可预见的未来很可能不会转回。</w:t>
      </w:r>
    </w:p>
    <w:p>
      <w:pPr>
        <w:pStyle w:val="Heading6"/>
        <w:spacing w:line="240" w:lineRule="auto" w:before="26"/>
        <w:ind w:right="0"/>
        <w:jc w:val="left"/>
        <w:rPr>
          <w:b w:val="0"/>
          <w:bCs w:val="0"/>
        </w:rPr>
      </w:pPr>
      <w:r>
        <w:rPr>
          <w:rFonts w:ascii="宋体" w:hAnsi="宋体" w:cs="宋体" w:eastAsia="宋体" w:hint="default"/>
        </w:rPr>
        <w:t>1.  </w:t>
      </w:r>
      <w:r>
        <w:rPr/>
        <w:t>同时满足下列条件时，将递延所得税资产及递延所得税负债以抵销后的净额列示</w:t>
      </w:r>
      <w:r>
        <w:rPr>
          <w:b w:val="0"/>
          <w:bCs w:val="0"/>
        </w:rPr>
      </w:r>
    </w:p>
    <w:p>
      <w:pPr>
        <w:pStyle w:val="BodyText"/>
        <w:spacing w:line="240" w:lineRule="auto" w:before="95"/>
        <w:ind w:left="561" w:right="0"/>
        <w:jc w:val="left"/>
      </w:pPr>
      <w:r>
        <w:rPr/>
        <w:t>（</w:t>
      </w:r>
      <w:r>
        <w:rPr>
          <w:rFonts w:ascii="Times New Roman" w:hAnsi="Times New Roman" w:cs="Times New Roman" w:eastAsia="Times New Roman" w:hint="default"/>
        </w:rPr>
        <w:t>1</w:t>
      </w:r>
      <w:r>
        <w:rPr/>
        <w:t>）企业拥有以净额结算当期所得税资产及当期所得税负债的法定权利；</w:t>
      </w:r>
    </w:p>
    <w:p>
      <w:pPr>
        <w:pStyle w:val="BodyText"/>
        <w:spacing w:line="304" w:lineRule="auto" w:before="66"/>
        <w:ind w:right="1135" w:firstLine="420"/>
        <w:jc w:val="both"/>
      </w:pPr>
      <w:r>
        <w:rPr>
          <w:spacing w:val="-2"/>
        </w:rPr>
        <w:t>（</w:t>
      </w:r>
      <w:r>
        <w:rPr>
          <w:rFonts w:ascii="Times New Roman" w:hAnsi="Times New Roman" w:cs="Times New Roman" w:eastAsia="Times New Roman" w:hint="default"/>
          <w:spacing w:val="-2"/>
        </w:rPr>
        <w:t>2</w:t>
      </w:r>
      <w:r>
        <w:rPr>
          <w:spacing w:val="-2"/>
        </w:rPr>
        <w:t>）递延所得税资产和递延所得税负债是与同一税收征管部门对同一纳税主体征收的所得税相关或者对不同的纳税主</w:t>
      </w:r>
      <w:r>
        <w:rPr/>
        <w:t> </w:t>
      </w:r>
      <w:r>
        <w:rPr>
          <w:spacing w:val="-2"/>
        </w:rPr>
        <w:t>体相关，但在未来每一具有重要性的递延所得税资产和递延所得税负债转回的期间内，涉及的纳税主体体意图以净额结算当</w:t>
      </w:r>
      <w:r>
        <w:rPr>
          <w:spacing w:val="-72"/>
        </w:rPr>
        <w:t> </w:t>
      </w:r>
      <w:r>
        <w:rPr>
          <w:spacing w:val="-72"/>
        </w:rPr>
      </w:r>
      <w:r>
        <w:rPr/>
        <w:t>期所得税资产及当期所得税负债或是同时取得资产、清偿债务。</w:t>
      </w:r>
    </w:p>
    <w:p>
      <w:pPr>
        <w:spacing w:after="0" w:line="304" w:lineRule="auto"/>
        <w:jc w:val="both"/>
        <w:sectPr>
          <w:pgSz w:w="11910" w:h="16850"/>
          <w:pgMar w:header="731" w:footer="981" w:top="1040" w:bottom="1180" w:left="1000" w:right="0"/>
        </w:sectPr>
      </w:pPr>
    </w:p>
    <w:p>
      <w:pPr>
        <w:spacing w:line="240" w:lineRule="auto" w:before="3"/>
        <w:rPr>
          <w:rFonts w:ascii="宋体" w:hAnsi="宋体" w:cs="宋体" w:eastAsia="宋体" w:hint="default"/>
          <w:sz w:val="26"/>
          <w:szCs w:val="26"/>
        </w:rPr>
      </w:pPr>
      <w:r>
        <w:rPr/>
        <w:pict>
          <v:group style="position:absolute;margin-left:217.029999pt;margin-top:740.900024pt;width:159.2pt;height:22.55pt;mso-position-horizontal-relative:page;mso-position-vertical-relative:page;z-index:-1268824" coordorigin="4341,14818" coordsize="3184,451">
            <v:shape style="position:absolute;left:4341;top:14818;width:3184;height:451" coordorigin="4341,14818" coordsize="3184,451" path="m4341,15269l7525,15269,7525,14818,4341,14818,4341,15269xe" filled="true" fillcolor="#ffffff" stroked="false">
              <v:path arrowok="t"/>
              <v:fill type="solid"/>
            </v:shape>
            <w10:wrap type="none"/>
          </v:group>
        </w:pict>
      </w:r>
    </w:p>
    <w:p>
      <w:pPr>
        <w:pStyle w:val="Heading5"/>
        <w:spacing w:line="240" w:lineRule="auto" w:before="45"/>
        <w:ind w:right="0"/>
        <w:jc w:val="left"/>
        <w:rPr>
          <w:b w:val="0"/>
          <w:bCs w:val="0"/>
        </w:rPr>
      </w:pPr>
      <w:bookmarkStart w:name="42、租赁" w:id="223"/>
      <w:bookmarkEnd w:id="223"/>
      <w:r>
        <w:rPr>
          <w:b w:val="0"/>
          <w:bCs w:val="0"/>
        </w:rPr>
      </w:r>
      <w:r>
        <w:rPr>
          <w:rFonts w:ascii="Times New Roman" w:hAnsi="Times New Roman" w:cs="Times New Roman" w:eastAsia="Times New Roman" w:hint="default"/>
          <w:spacing w:val="5"/>
        </w:rPr>
        <w:t>42</w:t>
      </w:r>
      <w:r>
        <w:rPr>
          <w:spacing w:val="5"/>
        </w:rPr>
        <w:t>、租赁</w:t>
      </w:r>
      <w:r>
        <w:rPr>
          <w:b w:val="0"/>
          <w:bCs w:val="0"/>
          <w:spacing w:val="5"/>
        </w:rPr>
      </w:r>
    </w:p>
    <w:p>
      <w:pPr>
        <w:spacing w:line="240" w:lineRule="auto" w:before="11"/>
        <w:rPr>
          <w:rFonts w:ascii="宋体" w:hAnsi="宋体" w:cs="宋体" w:eastAsia="宋体" w:hint="default"/>
          <w:b/>
          <w:bCs/>
          <w:sz w:val="27"/>
          <w:szCs w:val="27"/>
        </w:rPr>
      </w:pPr>
    </w:p>
    <w:p>
      <w:pPr>
        <w:pStyle w:val="Heading6"/>
        <w:spacing w:line="240" w:lineRule="auto"/>
        <w:ind w:right="0"/>
        <w:jc w:val="left"/>
        <w:rPr>
          <w:b w:val="0"/>
          <w:bCs w:val="0"/>
        </w:rPr>
      </w:pPr>
      <w:bookmarkStart w:name="（1）经营租赁的会计处理方法" w:id="224"/>
      <w:bookmarkEnd w:id="22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0"/>
        <w:rPr>
          <w:rFonts w:ascii="宋体" w:hAnsi="宋体" w:cs="宋体" w:eastAsia="宋体" w:hint="default"/>
          <w:b/>
          <w:bCs/>
          <w:sz w:val="18"/>
          <w:szCs w:val="18"/>
        </w:rPr>
      </w:pPr>
    </w:p>
    <w:p>
      <w:pPr>
        <w:pStyle w:val="BodyText"/>
        <w:spacing w:line="290" w:lineRule="auto" w:before="130"/>
        <w:ind w:right="1135" w:firstLine="420"/>
        <w:jc w:val="both"/>
      </w:pPr>
      <w:r>
        <w:rPr>
          <w:spacing w:val="-2"/>
        </w:rPr>
        <w:t>（</w:t>
      </w:r>
      <w:r>
        <w:rPr>
          <w:rFonts w:ascii="Times New Roman" w:hAnsi="Times New Roman" w:cs="Times New Roman" w:eastAsia="Times New Roman" w:hint="default"/>
          <w:spacing w:val="-2"/>
        </w:rPr>
        <w:t>1</w:t>
      </w:r>
      <w:r>
        <w:rPr>
          <w:spacing w:val="-2"/>
        </w:rPr>
        <w:t>）公司租入资产所支付的租赁费，在不扣除免租期的整个租赁期内，按直线法进行分摊，计入当期费用。公司支付</w:t>
      </w:r>
      <w:r>
        <w:rPr/>
        <w:t> 的与租赁交易相关的初始直接费用，计入当期费用。</w:t>
      </w:r>
    </w:p>
    <w:p>
      <w:pPr>
        <w:pStyle w:val="BodyText"/>
        <w:spacing w:line="321" w:lineRule="auto" w:before="26"/>
        <w:ind w:right="1167" w:firstLine="420"/>
        <w:jc w:val="both"/>
      </w:pPr>
      <w:r>
        <w:rPr/>
        <w:t>资产出租方承担了应由公司承担的与租赁相关的费用时，公司将该部分费用从租金总额中扣除，按扣除后的租金费用 在租赁期内分摊，计入当期费用。</w:t>
      </w:r>
    </w:p>
    <w:p>
      <w:pPr>
        <w:pStyle w:val="BodyText"/>
        <w:spacing w:line="304" w:lineRule="auto" w:before="33"/>
        <w:ind w:right="1106" w:firstLine="420"/>
        <w:jc w:val="both"/>
      </w:pPr>
      <w:r>
        <w:rPr>
          <w:spacing w:val="-2"/>
        </w:rPr>
        <w:t>（</w:t>
      </w:r>
      <w:r>
        <w:rPr>
          <w:rFonts w:ascii="Times New Roman" w:hAnsi="Times New Roman" w:cs="Times New Roman" w:eastAsia="Times New Roman" w:hint="default"/>
          <w:spacing w:val="-2"/>
        </w:rPr>
        <w:t>2</w:t>
      </w:r>
      <w:r>
        <w:rPr>
          <w:spacing w:val="-2"/>
        </w:rPr>
        <w:t>）公司出租资产所收取的租赁费，在不扣除免租期的整个租赁期内，按直线法进行分摊，确认为租赁收入。公司支</w:t>
      </w:r>
      <w:r>
        <w:rPr/>
        <w:t> </w:t>
      </w:r>
      <w:r>
        <w:rPr>
          <w:spacing w:val="-2"/>
        </w:rPr>
        <w:t>付的与租赁交易相关的初始直接费用，计入当期费用；如金额较大的，则予以资本化，在整个租赁期间内按照与租赁收入确</w:t>
      </w:r>
      <w:r>
        <w:rPr>
          <w:spacing w:val="-42"/>
        </w:rPr>
        <w:t> </w:t>
      </w:r>
      <w:r>
        <w:rPr>
          <w:spacing w:val="-42"/>
        </w:rPr>
      </w:r>
      <w:r>
        <w:rPr/>
        <w:t>认相同的基础分期计入当期收益。</w:t>
      </w:r>
    </w:p>
    <w:p>
      <w:pPr>
        <w:pStyle w:val="BodyText"/>
        <w:spacing w:line="321" w:lineRule="auto" w:before="16"/>
        <w:ind w:right="1167" w:firstLine="420"/>
        <w:jc w:val="both"/>
      </w:pPr>
      <w:r>
        <w:rPr/>
        <w:t>公司承担了应由承租方承担的与租赁相关的费用时，公司将该部分费用从租金收入总额中扣除，按扣除后的租金费用 在租赁期内分配。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9"/>
          <w:szCs w:val="19"/>
        </w:rPr>
      </w:pPr>
    </w:p>
    <w:p>
      <w:pPr>
        <w:pStyle w:val="Heading6"/>
        <w:spacing w:line="240" w:lineRule="auto"/>
        <w:ind w:right="0"/>
        <w:jc w:val="left"/>
        <w:rPr>
          <w:b w:val="0"/>
          <w:bCs w:val="0"/>
        </w:rPr>
      </w:pPr>
      <w:bookmarkStart w:name="（2）融资租赁的会计处理方法" w:id="225"/>
      <w:bookmarkEnd w:id="22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1"/>
        <w:rPr>
          <w:rFonts w:ascii="宋体" w:hAnsi="宋体" w:cs="宋体" w:eastAsia="宋体" w:hint="default"/>
          <w:b/>
          <w:bCs/>
          <w:sz w:val="26"/>
          <w:szCs w:val="26"/>
        </w:rPr>
      </w:pPr>
    </w:p>
    <w:p>
      <w:pPr>
        <w:pStyle w:val="BodyText"/>
        <w:spacing w:line="312" w:lineRule="auto"/>
        <w:ind w:right="1106" w:firstLine="420"/>
        <w:jc w:val="both"/>
      </w:pPr>
      <w:r>
        <w:rPr>
          <w:spacing w:val="-1"/>
        </w:rPr>
        <w:t>（</w:t>
      </w:r>
      <w:r>
        <w:rPr>
          <w:rFonts w:ascii="Times New Roman" w:hAnsi="Times New Roman" w:cs="Times New Roman" w:eastAsia="Times New Roman" w:hint="default"/>
          <w:spacing w:val="-1"/>
        </w:rPr>
        <w:t>1</w:t>
      </w:r>
      <w:r>
        <w:rPr>
          <w:spacing w:val="-1"/>
        </w:rPr>
        <w:t>）融资租入资产：公司在承租开始日，将租赁资产公允价值与最低租赁付款额现值两者中较低者作为租入资产的入</w:t>
      </w:r>
      <w:r>
        <w:rPr/>
        <w:t> </w:t>
      </w:r>
      <w:r>
        <w:rPr>
          <w:spacing w:val="-2"/>
        </w:rPr>
        <w:t>账价值，将最低租赁付款额作为长期应付款的入账价值，其差额作为未确认的融资费用。融资租入资产的认定依据、计价和</w:t>
      </w:r>
      <w:r>
        <w:rPr>
          <w:spacing w:val="-42"/>
        </w:rPr>
        <w:t> </w:t>
      </w:r>
      <w:r>
        <w:rPr>
          <w:spacing w:val="-42"/>
        </w:rPr>
      </w:r>
      <w:r>
        <w:rPr/>
        <w:t>折旧方法详见</w:t>
      </w:r>
      <w:r>
        <w:rPr>
          <w:rFonts w:ascii="Times New Roman" w:hAnsi="Times New Roman" w:cs="Times New Roman" w:eastAsia="Times New Roman" w:hint="default"/>
        </w:rPr>
        <w:t>“</w:t>
      </w:r>
      <w:r>
        <w:rPr/>
        <w:t>第十二节、五、</w:t>
      </w:r>
      <w:r>
        <w:rPr>
          <w:rFonts w:ascii="Times New Roman" w:hAnsi="Times New Roman" w:cs="Times New Roman" w:eastAsia="Times New Roman" w:hint="default"/>
        </w:rPr>
        <w:t>24</w:t>
      </w:r>
      <w:r>
        <w:rPr/>
        <w:t>、固定资产</w:t>
      </w:r>
      <w:r>
        <w:rPr>
          <w:rFonts w:ascii="Times New Roman" w:hAnsi="Times New Roman" w:cs="Times New Roman" w:eastAsia="Times New Roman" w:hint="default"/>
        </w:rPr>
        <w:t>”</w:t>
      </w:r>
      <w:r>
        <w:rPr/>
        <w:t>。</w:t>
      </w:r>
    </w:p>
    <w:p>
      <w:pPr>
        <w:pStyle w:val="BodyText"/>
        <w:spacing w:line="227" w:lineRule="exact"/>
        <w:ind w:left="561" w:right="0"/>
        <w:jc w:val="left"/>
      </w:pPr>
      <w:r>
        <w:rPr/>
        <w:t>公司采用实际利率法对未确认的融资费用，在资产租赁期间内摊销，计入财务费用。</w:t>
      </w:r>
    </w:p>
    <w:p>
      <w:pPr>
        <w:pStyle w:val="BodyText"/>
        <w:spacing w:line="297" w:lineRule="auto" w:before="95"/>
        <w:ind w:right="0" w:firstLine="420"/>
        <w:jc w:val="left"/>
      </w:pPr>
      <w:r>
        <w:rPr>
          <w:spacing w:val="-3"/>
        </w:rPr>
        <w:t>（</w:t>
      </w:r>
      <w:r>
        <w:rPr>
          <w:rFonts w:ascii="Times New Roman" w:hAnsi="Times New Roman" w:cs="Times New Roman" w:eastAsia="Times New Roman" w:hint="default"/>
          <w:spacing w:val="-3"/>
        </w:rPr>
        <w:t>2</w:t>
      </w:r>
      <w:r>
        <w:rPr>
          <w:spacing w:val="-3"/>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72"/>
        </w:rPr>
        <w:t> </w:t>
      </w:r>
      <w:r>
        <w:rPr>
          <w:spacing w:val="-72"/>
        </w:rPr>
      </w:r>
      <w:r>
        <w:rPr/>
        <w:t>中，并减少租赁期内确认的收益金额。</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43、其他重要的会计政策和会计估计" w:id="226"/>
      <w:bookmarkEnd w:id="226"/>
      <w:r>
        <w:rPr>
          <w:b w:val="0"/>
          <w:bCs w:val="0"/>
        </w:rPr>
      </w:r>
      <w:r>
        <w:rPr>
          <w:rFonts w:ascii="Times New Roman" w:hAnsi="Times New Roman" w:cs="Times New Roman" w:eastAsia="Times New Roman" w:hint="default"/>
          <w:spacing w:val="4"/>
        </w:rPr>
        <w:t>43</w:t>
      </w:r>
      <w:r>
        <w:rPr>
          <w:spacing w:val="4"/>
        </w:rPr>
        <w:t>、其他重要的会计政策和会计估计</w:t>
      </w:r>
      <w:r>
        <w:rPr>
          <w:b w:val="0"/>
          <w:bCs w:val="0"/>
          <w:spacing w:val="4"/>
        </w:rPr>
      </w:r>
    </w:p>
    <w:p>
      <w:pPr>
        <w:spacing w:line="240" w:lineRule="auto" w:before="2"/>
        <w:rPr>
          <w:rFonts w:ascii="宋体" w:hAnsi="宋体" w:cs="宋体" w:eastAsia="宋体" w:hint="default"/>
          <w:b/>
          <w:bCs/>
          <w:sz w:val="25"/>
          <w:szCs w:val="25"/>
        </w:rPr>
      </w:pPr>
    </w:p>
    <w:p>
      <w:pPr>
        <w:pStyle w:val="Heading4"/>
        <w:spacing w:line="240" w:lineRule="auto"/>
        <w:ind w:right="0"/>
        <w:jc w:val="left"/>
      </w:pP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6"/>
        <w:ind w:right="0"/>
        <w:jc w:val="left"/>
        <w:rPr>
          <w:b w:val="0"/>
          <w:bCs w:val="0"/>
        </w:rPr>
      </w:pPr>
      <w:bookmarkStart w:name="44、重要会计政策和会计估计变更" w:id="227"/>
      <w:bookmarkEnd w:id="227"/>
      <w:r>
        <w:rPr>
          <w:b w:val="0"/>
          <w:bCs w:val="0"/>
        </w:rPr>
      </w:r>
      <w:r>
        <w:rPr>
          <w:rFonts w:ascii="Times New Roman" w:hAnsi="Times New Roman" w:cs="Times New Roman" w:eastAsia="Times New Roman" w:hint="default"/>
          <w:spacing w:val="5"/>
        </w:rPr>
        <w:t>44</w:t>
      </w:r>
      <w:r>
        <w:rPr>
          <w:spacing w:val="5"/>
        </w:rPr>
        <w:t>、重要会计政策和会计估计变更</w:t>
      </w:r>
      <w:r>
        <w:rPr>
          <w:b w:val="0"/>
          <w:bCs w:val="0"/>
          <w:spacing w:val="5"/>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重要会计政策变更" w:id="228"/>
      <w:bookmarkEnd w:id="228"/>
      <w:r>
        <w:rPr>
          <w:b w:val="0"/>
          <w:bCs w:val="0"/>
        </w:rPr>
      </w:r>
      <w:r>
        <w:rPr>
          <w:spacing w:val="5"/>
        </w:rPr>
        <w:t>（</w:t>
      </w:r>
      <w:r>
        <w:rPr>
          <w:rFonts w:ascii="Times New Roman" w:hAnsi="Times New Roman" w:cs="Times New Roman" w:eastAsia="Times New Roman" w:hint="default"/>
          <w:spacing w:val="5"/>
        </w:rPr>
        <w:t>1</w:t>
      </w:r>
      <w:r>
        <w:rPr>
          <w:spacing w:val="5"/>
        </w:rPr>
        <w:t>）重要会计政策变更</w:t>
      </w:r>
      <w:r>
        <w:rPr>
          <w:b w:val="0"/>
          <w:bCs w:val="0"/>
          <w:spacing w:val="5"/>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pict>
          <v:group style="position:absolute;margin-left:217.779999pt;margin-top:60.061714pt;width:156.950pt;height:33.050pt;mso-position-horizontal-relative:page;mso-position-vertical-relative:paragraph;z-index:-1268800" coordorigin="4356,1201" coordsize="3139,661">
            <v:group style="position:absolute;left:4356;top:1201;width:3139;height:360" coordorigin="4356,1201" coordsize="3139,360">
              <v:shape style="position:absolute;left:4356;top:1201;width:3139;height:360" coordorigin="4356,1201" coordsize="3139,360" path="m4356,1561l7495,1561,7495,1201,4356,1201,4356,1561xe" filled="true" fillcolor="#ffffff" stroked="false">
                <v:path arrowok="t"/>
                <v:fill type="solid"/>
              </v:shape>
            </v:group>
            <v:group style="position:absolute;left:4356;top:1561;width:3139;height:301" coordorigin="4356,1561" coordsize="3139,301">
              <v:shape style="position:absolute;left:4356;top:1561;width:3139;height:301" coordorigin="4356,1561" coordsize="3139,301" path="m4356,1862l7495,1862,7495,1561,4356,1561,4356,1862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9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22" w:hRule="exact"/>
        </w:trPr>
        <w:tc>
          <w:tcPr>
            <w:tcW w:w="3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日分别发布了</w:t>
            </w:r>
          </w:p>
          <w:p>
            <w:pPr>
              <w:pStyle w:val="TableParagraph"/>
              <w:spacing w:line="295" w:lineRule="auto" w:before="66"/>
              <w:ind w:left="15" w:right="6"/>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 </w:t>
            </w:r>
            <w:r>
              <w:rPr>
                <w:rFonts w:ascii="宋体" w:hAnsi="宋体" w:cs="宋体" w:eastAsia="宋体" w:hint="default"/>
                <w:spacing w:val="-5"/>
                <w:sz w:val="18"/>
                <w:szCs w:val="18"/>
              </w:rPr>
              <w:t>认和计量（</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30"/>
                <w:sz w:val="18"/>
                <w:szCs w:val="18"/>
              </w:rPr>
              <w:t> </w:t>
            </w:r>
            <w:r>
              <w:rPr>
                <w:rFonts w:ascii="宋体" w:hAnsi="宋体" w:cs="宋体" w:eastAsia="宋体" w:hint="default"/>
                <w:spacing w:val="-14"/>
                <w:sz w:val="18"/>
                <w:szCs w:val="18"/>
              </w:rPr>
              <w:t>年修订）》（财会〔</w:t>
            </w:r>
            <w:r>
              <w:rPr>
                <w:rFonts w:ascii="Times New Roman" w:hAnsi="Times New Roman" w:cs="Times New Roman" w:eastAsia="Times New Roman" w:hint="default"/>
                <w:spacing w:val="-14"/>
                <w:sz w:val="18"/>
                <w:szCs w:val="18"/>
              </w:rPr>
              <w:t>2017</w:t>
            </w:r>
            <w:r>
              <w:rPr>
                <w:rFonts w:ascii="Times New Roman" w:hAnsi="Times New Roman" w:cs="Times New Roman" w:eastAsia="Times New Roman" w:hint="default"/>
                <w:sz w:val="18"/>
                <w:szCs w:val="18"/>
              </w:rPr>
              <w:t> 7 </w:t>
            </w:r>
            <w:r>
              <w:rPr>
                <w:rFonts w:ascii="宋体" w:hAnsi="宋体" w:cs="宋体" w:eastAsia="宋体" w:hint="default"/>
                <w:sz w:val="18"/>
                <w:szCs w:val="18"/>
              </w:rPr>
              <w:t>号）、《企业会计准则第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w:t>
            </w:r>
          </w:p>
          <w:p>
            <w:pPr>
              <w:pStyle w:val="TableParagraph"/>
              <w:spacing w:line="304" w:lineRule="auto" w:before="20"/>
              <w:ind w:left="15" w:right="-52"/>
              <w:jc w:val="left"/>
              <w:rPr>
                <w:rFonts w:ascii="宋体" w:hAnsi="宋体" w:cs="宋体" w:eastAsia="宋体" w:hint="default"/>
                <w:sz w:val="18"/>
                <w:szCs w:val="18"/>
              </w:rPr>
            </w:pPr>
            <w:r>
              <w:rPr>
                <w:rFonts w:ascii="宋体" w:hAnsi="宋体" w:cs="宋体" w:eastAsia="宋体" w:hint="default"/>
                <w:spacing w:val="-9"/>
                <w:sz w:val="18"/>
                <w:szCs w:val="18"/>
              </w:rPr>
              <w:t>融资产转移（</w:t>
            </w:r>
            <w:r>
              <w:rPr>
                <w:rFonts w:ascii="Times New Roman" w:hAnsi="Times New Roman" w:cs="Times New Roman" w:eastAsia="Times New Roman" w:hint="default"/>
                <w:spacing w:val="-9"/>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pacing w:val="-25"/>
                <w:sz w:val="18"/>
                <w:szCs w:val="18"/>
              </w:rPr>
              <w:t>年修订）》（财会〔</w:t>
            </w:r>
            <w:r>
              <w:rPr>
                <w:rFonts w:ascii="Times New Roman" w:hAnsi="Times New Roman" w:cs="Times New Roman" w:eastAsia="Times New Roman" w:hint="default"/>
                <w:spacing w:val="-25"/>
                <w:sz w:val="18"/>
                <w:szCs w:val="18"/>
              </w:rPr>
              <w:t>2017</w:t>
            </w:r>
            <w:r>
              <w:rPr>
                <w:rFonts w:ascii="宋体" w:hAnsi="宋体" w:cs="宋体" w:eastAsia="宋体" w:hint="default"/>
                <w:spacing w:val="-25"/>
                <w:sz w:val="18"/>
                <w:szCs w:val="18"/>
              </w:rPr>
              <w:t>〕</w:t>
            </w:r>
            <w:r>
              <w:rPr>
                <w:rFonts w:ascii="宋体" w:hAnsi="宋体" w:cs="宋体" w:eastAsia="宋体" w:hint="default"/>
                <w:spacing w:val="-84"/>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 期会计（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年修订）》（财会〔</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p>
        </w:tc>
        <w:tc>
          <w:tcPr>
            <w:tcW w:w="318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15" w:lineRule="exact"/>
              <w:ind w:left="7" w:right="0"/>
              <w:jc w:val="left"/>
              <w:rPr>
                <w:rFonts w:ascii="宋体" w:hAnsi="宋体" w:cs="宋体" w:eastAsia="宋体" w:hint="default"/>
                <w:sz w:val="18"/>
                <w:szCs w:val="18"/>
              </w:rPr>
            </w:pPr>
            <w:r>
              <w:rPr>
                <w:rFonts w:ascii="宋体" w:hAnsi="宋体" w:cs="宋体" w:eastAsia="宋体" w:hint="default"/>
                <w:sz w:val="18"/>
                <w:szCs w:val="18"/>
              </w:rPr>
              <w:t>经本公司第四届董事会第三十七次会议</w:t>
            </w:r>
          </w:p>
          <w:p>
            <w:pPr>
              <w:pStyle w:val="TableParagraph"/>
              <w:spacing w:line="158"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8" w:lineRule="exact"/>
              <w:ind w:left="7" w:right="0"/>
              <w:jc w:val="left"/>
              <w:rPr>
                <w:rFonts w:ascii="宋体" w:hAnsi="宋体" w:cs="宋体" w:eastAsia="宋体" w:hint="default"/>
                <w:sz w:val="18"/>
                <w:szCs w:val="18"/>
              </w:rPr>
            </w:pPr>
            <w:r>
              <w:rPr>
                <w:rFonts w:ascii="宋体" w:hAnsi="宋体" w:cs="宋体" w:eastAsia="宋体" w:hint="default"/>
                <w:sz w:val="18"/>
                <w:szCs w:val="18"/>
              </w:rPr>
              <w:t>和第四届监事会第二十七次会议审议通</w:t>
            </w:r>
          </w:p>
          <w:p>
            <w:pPr>
              <w:pStyle w:val="TableParagraph"/>
              <w:spacing w:line="290" w:lineRule="auto" w:before="79"/>
              <w:ind w:left="7" w:right="14"/>
              <w:jc w:val="left"/>
              <w:rPr>
                <w:rFonts w:ascii="宋体" w:hAnsi="宋体" w:cs="宋体" w:eastAsia="宋体" w:hint="default"/>
                <w:sz w:val="18"/>
                <w:szCs w:val="18"/>
              </w:rPr>
            </w:pPr>
            <w:r>
              <w:rPr>
                <w:rFonts w:ascii="宋体" w:hAnsi="宋体" w:cs="宋体" w:eastAsia="宋体" w:hint="default"/>
                <w:spacing w:val="-3"/>
                <w:sz w:val="18"/>
                <w:szCs w:val="18"/>
              </w:rPr>
              <w:t>过，本公司于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日起开始执 行前述新金融工具准则。</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97" w:lineRule="auto"/>
              <w:ind w:left="30" w:right="88"/>
              <w:jc w:val="both"/>
              <w:rPr>
                <w:rFonts w:ascii="宋体" w:hAnsi="宋体" w:cs="宋体" w:eastAsia="宋体" w:hint="default"/>
                <w:sz w:val="18"/>
                <w:szCs w:val="18"/>
              </w:rPr>
            </w:pPr>
            <w:r>
              <w:rPr>
                <w:rFonts w:ascii="宋体" w:hAnsi="宋体" w:cs="宋体" w:eastAsia="宋体" w:hint="default"/>
                <w:sz w:val="18"/>
                <w:szCs w:val="18"/>
              </w:rPr>
              <w:t>具体变更详见公司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日于 巨潮资讯网刊登的《关于会计政策变更 的公告》</w:t>
            </w:r>
          </w:p>
        </w:tc>
      </w:tr>
    </w:tbl>
    <w:p>
      <w:pPr>
        <w:spacing w:after="0" w:line="297" w:lineRule="auto"/>
        <w:jc w:val="both"/>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shape style="position:absolute;margin-left:202pt;margin-top:72.824997pt;width:174.25pt;height:95.35pt;mso-position-horizontal-relative:page;mso-position-vertical-relative:page;z-index:-1268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8"/>
                      <w:szCs w:val="18"/>
                    </w:rPr>
                  </w:pPr>
                </w:p>
                <w:p>
                  <w:pPr>
                    <w:pStyle w:val="BodyText"/>
                    <w:spacing w:line="240" w:lineRule="auto"/>
                    <w:ind w:left="0" w:right="0"/>
                    <w:jc w:val="left"/>
                  </w:pPr>
                  <w:r>
                    <w:rPr/>
                    <w:t>号）</w:t>
                  </w:r>
                </w:p>
              </w:txbxContent>
            </v:textbox>
            <w10:wrap type="none"/>
          </v:shape>
        </w:pict>
      </w:r>
      <w:r>
        <w:rPr/>
        <w:pict>
          <v:group style="position:absolute;margin-left:217.029999pt;margin-top:72.824997pt;width:159.2pt;height:95.35pt;mso-position-horizontal-relative:page;mso-position-vertical-relative:page;z-index:-1268752" coordorigin="4341,1456" coordsize="3184,1907">
            <v:shape style="position:absolute;left:4341;top:1456;width:3184;height:1907" coordorigin="4341,1456" coordsize="3184,1907" path="m4341,3363l7525,3363,7525,1456,4341,1456,4341,3363xe" filled="true" fillcolor="#ffffff" stroked="false">
              <v:path arrowok="t"/>
              <v:fill type="solid"/>
            </v:shape>
            <w10:wrap type="none"/>
          </v:group>
        </w:pict>
      </w:r>
      <w:r>
        <w:rPr/>
        <w:pict>
          <v:group style="position:absolute;margin-left:217.029999pt;margin-top:298pt;width:159.2pt;height:31.55pt;mso-position-horizontal-relative:page;mso-position-vertical-relative:page;z-index:-1268728" coordorigin="4341,5960" coordsize="3184,631">
            <v:shape style="position:absolute;left:4341;top:5960;width:3184;height:631" coordorigin="4341,5960" coordsize="3184,631" path="m4341,6591l7525,6591,7525,5960,4341,5960,4341,6591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23" w:hRule="exact"/>
        </w:trPr>
        <w:tc>
          <w:tcPr>
            <w:tcW w:w="319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号），于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日发布了《企</w:t>
            </w:r>
          </w:p>
        </w:tc>
        <w:tc>
          <w:tcPr>
            <w:tcW w:w="318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5"/>
                <w:szCs w:val="25"/>
              </w:rPr>
            </w:pPr>
          </w:p>
        </w:tc>
        <w:tc>
          <w:tcPr>
            <w:tcW w:w="3199" w:type="dxa"/>
            <w:vMerge w:val="restart"/>
            <w:tcBorders>
              <w:top w:val="single" w:sz="6" w:space="0" w:color="000000"/>
              <w:left w:val="single" w:sz="6" w:space="0" w:color="000000"/>
              <w:right w:val="single" w:sz="6" w:space="0" w:color="000000"/>
            </w:tcBorders>
          </w:tcPr>
          <w:p>
            <w:pPr/>
          </w:p>
        </w:tc>
      </w:tr>
      <w:tr>
        <w:trPr>
          <w:trHeight w:val="308" w:hRule="exact"/>
        </w:trPr>
        <w:tc>
          <w:tcPr>
            <w:tcW w:w="3199" w:type="dxa"/>
            <w:tcBorders>
              <w:top w:val="nil" w:sz="6" w:space="0" w:color="auto"/>
              <w:left w:val="single" w:sz="6" w:space="0" w:color="000000"/>
              <w:bottom w:val="nil" w:sz="6" w:space="0" w:color="auto"/>
              <w:right w:val="single" w:sz="6" w:space="0" w:color="000000"/>
            </w:tcBorders>
          </w:tcPr>
          <w:p>
            <w:pPr>
              <w:pStyle w:val="TableParagraph"/>
              <w:spacing w:line="249" w:lineRule="exact"/>
              <w:ind w:left="15" w:right="0"/>
              <w:jc w:val="left"/>
              <w:rPr>
                <w:rFonts w:ascii="宋体" w:hAnsi="宋体" w:cs="宋体" w:eastAsia="宋体" w:hint="default"/>
                <w:sz w:val="18"/>
                <w:szCs w:val="18"/>
              </w:rPr>
            </w:pPr>
            <w:r>
              <w:rPr>
                <w:rFonts w:ascii="宋体" w:hAnsi="宋体" w:cs="宋体" w:eastAsia="宋体" w:hint="default"/>
                <w:sz w:val="18"/>
                <w:szCs w:val="18"/>
              </w:rPr>
              <w:t>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p>
        </w:tc>
        <w:tc>
          <w:tcPr>
            <w:tcW w:w="3184" w:type="dxa"/>
            <w:vMerge/>
            <w:tcBorders>
              <w:left w:val="single" w:sz="6" w:space="0" w:color="000000"/>
              <w:right w:val="single" w:sz="6" w:space="0" w:color="000000"/>
            </w:tcBorders>
          </w:tcPr>
          <w:p>
            <w:pPr/>
          </w:p>
        </w:tc>
        <w:tc>
          <w:tcPr>
            <w:tcW w:w="3199" w:type="dxa"/>
            <w:vMerge/>
            <w:tcBorders>
              <w:left w:val="single" w:sz="6" w:space="0" w:color="000000"/>
              <w:right w:val="single" w:sz="6" w:space="0" w:color="000000"/>
            </w:tcBorders>
          </w:tcPr>
          <w:p>
            <w:pPr/>
          </w:p>
        </w:tc>
      </w:tr>
      <w:tr>
        <w:trPr>
          <w:trHeight w:val="315" w:hRule="exact"/>
        </w:trPr>
        <w:tc>
          <w:tcPr>
            <w:tcW w:w="319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年修订）》（财会〔</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14</w:t>
            </w:r>
          </w:p>
        </w:tc>
        <w:tc>
          <w:tcPr>
            <w:tcW w:w="3184" w:type="dxa"/>
            <w:vMerge/>
            <w:tcBorders>
              <w:left w:val="single" w:sz="6" w:space="0" w:color="000000"/>
              <w:right w:val="single" w:sz="6" w:space="0" w:color="000000"/>
            </w:tcBorders>
          </w:tcPr>
          <w:p>
            <w:pPr/>
          </w:p>
        </w:tc>
        <w:tc>
          <w:tcPr>
            <w:tcW w:w="3199" w:type="dxa"/>
            <w:vMerge/>
            <w:tcBorders>
              <w:left w:val="single" w:sz="6" w:space="0" w:color="000000"/>
              <w:right w:val="single" w:sz="6" w:space="0" w:color="000000"/>
            </w:tcBorders>
          </w:tcPr>
          <w:p>
            <w:pPr/>
          </w:p>
        </w:tc>
      </w:tr>
      <w:tr>
        <w:trPr>
          <w:trHeight w:val="315" w:hRule="exact"/>
        </w:trPr>
        <w:tc>
          <w:tcPr>
            <w:tcW w:w="319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5" w:right="0"/>
              <w:jc w:val="left"/>
              <w:rPr>
                <w:rFonts w:ascii="宋体" w:hAnsi="宋体" w:cs="宋体" w:eastAsia="宋体" w:hint="default"/>
                <w:sz w:val="18"/>
                <w:szCs w:val="18"/>
              </w:rPr>
            </w:pPr>
            <w:r>
              <w:rPr>
                <w:rFonts w:ascii="宋体" w:hAnsi="宋体" w:cs="宋体" w:eastAsia="宋体" w:hint="default"/>
                <w:spacing w:val="-7"/>
                <w:sz w:val="18"/>
                <w:szCs w:val="18"/>
              </w:rPr>
              <w:t>（上述准则统称</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新金融工具准则</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），要</w:t>
            </w:r>
            <w:r>
              <w:rPr>
                <w:rFonts w:ascii="宋体" w:hAnsi="宋体" w:cs="宋体" w:eastAsia="宋体" w:hint="default"/>
                <w:sz w:val="18"/>
                <w:szCs w:val="18"/>
              </w:rPr>
            </w:r>
          </w:p>
        </w:tc>
        <w:tc>
          <w:tcPr>
            <w:tcW w:w="3184" w:type="dxa"/>
            <w:vMerge/>
            <w:tcBorders>
              <w:left w:val="single" w:sz="6" w:space="0" w:color="000000"/>
              <w:right w:val="single" w:sz="6" w:space="0" w:color="000000"/>
            </w:tcBorders>
          </w:tcPr>
          <w:p>
            <w:pPr/>
          </w:p>
        </w:tc>
        <w:tc>
          <w:tcPr>
            <w:tcW w:w="3199" w:type="dxa"/>
            <w:vMerge/>
            <w:tcBorders>
              <w:left w:val="single" w:sz="6" w:space="0" w:color="000000"/>
              <w:right w:val="single" w:sz="6" w:space="0" w:color="000000"/>
            </w:tcBorders>
          </w:tcPr>
          <w:p>
            <w:pPr/>
          </w:p>
        </w:tc>
      </w:tr>
      <w:tr>
        <w:trPr>
          <w:trHeight w:val="308" w:hRule="exact"/>
        </w:trPr>
        <w:tc>
          <w:tcPr>
            <w:tcW w:w="319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5" w:right="0"/>
              <w:jc w:val="left"/>
              <w:rPr>
                <w:rFonts w:ascii="宋体" w:hAnsi="宋体" w:cs="宋体" w:eastAsia="宋体" w:hint="default"/>
                <w:sz w:val="18"/>
                <w:szCs w:val="18"/>
              </w:rPr>
            </w:pPr>
            <w:r>
              <w:rPr>
                <w:rFonts w:ascii="宋体" w:hAnsi="宋体" w:cs="宋体" w:eastAsia="宋体" w:hint="default"/>
                <w:sz w:val="18"/>
                <w:szCs w:val="18"/>
              </w:rPr>
              <w:t>求境内上市企业自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日起执</w:t>
            </w:r>
          </w:p>
        </w:tc>
        <w:tc>
          <w:tcPr>
            <w:tcW w:w="3184" w:type="dxa"/>
            <w:vMerge/>
            <w:tcBorders>
              <w:left w:val="single" w:sz="6" w:space="0" w:color="000000"/>
              <w:right w:val="single" w:sz="6" w:space="0" w:color="000000"/>
            </w:tcBorders>
          </w:tcPr>
          <w:p>
            <w:pPr/>
          </w:p>
        </w:tc>
        <w:tc>
          <w:tcPr>
            <w:tcW w:w="3199" w:type="dxa"/>
            <w:vMerge/>
            <w:tcBorders>
              <w:left w:val="single" w:sz="6" w:space="0" w:color="000000"/>
              <w:right w:val="single" w:sz="6" w:space="0" w:color="000000"/>
            </w:tcBorders>
          </w:tcPr>
          <w:p>
            <w:pPr/>
          </w:p>
        </w:tc>
      </w:tr>
      <w:tr>
        <w:trPr>
          <w:trHeight w:val="353" w:hRule="exact"/>
        </w:trPr>
        <w:tc>
          <w:tcPr>
            <w:tcW w:w="3199" w:type="dxa"/>
            <w:tcBorders>
              <w:top w:val="nil" w:sz="6" w:space="0" w:color="auto"/>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行新金融工具准则。</w:t>
            </w:r>
          </w:p>
        </w:tc>
        <w:tc>
          <w:tcPr>
            <w:tcW w:w="3184" w:type="dxa"/>
            <w:vMerge/>
            <w:tcBorders>
              <w:left w:val="single" w:sz="6" w:space="0" w:color="000000"/>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360" w:hRule="exact"/>
        </w:trPr>
        <w:tc>
          <w:tcPr>
            <w:tcW w:w="3199" w:type="dxa"/>
            <w:tcBorders>
              <w:top w:val="single" w:sz="6" w:space="0" w:color="000000"/>
              <w:left w:val="single" w:sz="6" w:space="0" w:color="000000"/>
              <w:bottom w:val="nil" w:sz="6" w:space="0" w:color="auto"/>
              <w:right w:val="single" w:sz="6" w:space="0" w:color="000000"/>
            </w:tcBorders>
          </w:tcPr>
          <w:p>
            <w:pPr/>
          </w:p>
        </w:tc>
        <w:tc>
          <w:tcPr>
            <w:tcW w:w="31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right="91"/>
              <w:jc w:val="righ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入召开了第四届</w:t>
            </w:r>
          </w:p>
        </w:tc>
        <w:tc>
          <w:tcPr>
            <w:tcW w:w="3199" w:type="dxa"/>
            <w:tcBorders>
              <w:top w:val="single" w:sz="6" w:space="0" w:color="000000"/>
              <w:left w:val="single" w:sz="6" w:space="0" w:color="000000"/>
              <w:bottom w:val="nil" w:sz="6" w:space="0" w:color="auto"/>
              <w:right w:val="single" w:sz="6" w:space="0" w:color="000000"/>
            </w:tcBorders>
          </w:tcPr>
          <w:p>
            <w:pPr/>
          </w:p>
        </w:tc>
      </w:tr>
      <w:tr>
        <w:trPr>
          <w:trHeight w:val="315" w:hRule="exact"/>
        </w:trPr>
        <w:tc>
          <w:tcPr>
            <w:tcW w:w="3199"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15"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日发布了《关</w:t>
            </w:r>
          </w:p>
        </w:tc>
        <w:tc>
          <w:tcPr>
            <w:tcW w:w="3184" w:type="dxa"/>
            <w:tcBorders>
              <w:top w:val="nil" w:sz="6" w:space="0" w:color="auto"/>
              <w:left w:val="single" w:sz="6" w:space="0" w:color="000000"/>
              <w:bottom w:val="nil" w:sz="6" w:space="0" w:color="auto"/>
              <w:right w:val="single" w:sz="6" w:space="0" w:color="000000"/>
            </w:tcBorders>
          </w:tcPr>
          <w:p>
            <w:pPr>
              <w:pStyle w:val="TableParagraph"/>
              <w:spacing w:line="228" w:lineRule="exact"/>
              <w:ind w:right="92"/>
              <w:jc w:val="right"/>
              <w:rPr>
                <w:rFonts w:ascii="宋体" w:hAnsi="宋体" w:cs="宋体" w:eastAsia="宋体" w:hint="default"/>
                <w:sz w:val="18"/>
                <w:szCs w:val="18"/>
              </w:rPr>
            </w:pPr>
            <w:r>
              <w:rPr>
                <w:rFonts w:ascii="宋体" w:hAnsi="宋体" w:cs="宋体" w:eastAsia="宋体" w:hint="default"/>
                <w:sz w:val="18"/>
                <w:szCs w:val="18"/>
              </w:rPr>
              <w:t>董事会第四十一次会议和第四届监事会</w:t>
            </w:r>
          </w:p>
        </w:tc>
        <w:tc>
          <w:tcPr>
            <w:tcW w:w="3199" w:type="dxa"/>
            <w:tcBorders>
              <w:top w:val="nil" w:sz="6" w:space="0" w:color="auto"/>
              <w:left w:val="single" w:sz="6" w:space="0" w:color="000000"/>
              <w:bottom w:val="nil" w:sz="6" w:space="0" w:color="auto"/>
              <w:right w:val="single" w:sz="6" w:space="0" w:color="000000"/>
            </w:tcBorders>
          </w:tcPr>
          <w:p>
            <w:pPr/>
          </w:p>
        </w:tc>
      </w:tr>
      <w:tr>
        <w:trPr>
          <w:trHeight w:val="1226" w:hRule="exact"/>
        </w:trPr>
        <w:tc>
          <w:tcPr>
            <w:tcW w:w="3199" w:type="dxa"/>
            <w:tcBorders>
              <w:top w:val="nil" w:sz="6" w:space="0" w:color="auto"/>
              <w:left w:val="single" w:sz="6" w:space="0" w:color="000000"/>
              <w:bottom w:val="nil" w:sz="6" w:space="0" w:color="auto"/>
              <w:right w:val="single" w:sz="6" w:space="0" w:color="000000"/>
            </w:tcBorders>
          </w:tcPr>
          <w:p>
            <w:pPr>
              <w:pStyle w:val="TableParagraph"/>
              <w:spacing w:line="292" w:lineRule="auto" w:before="7"/>
              <w:ind w:left="15" w:right="15"/>
              <w:jc w:val="both"/>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年度一般企业财务报表 格式的通知》（财会</w:t>
            </w:r>
            <w:r>
              <w:rPr>
                <w:rFonts w:ascii="Times New Roman" w:hAnsi="Times New Roman" w:cs="Times New Roman" w:eastAsia="Times New Roman" w:hint="default"/>
                <w:sz w:val="18"/>
                <w:szCs w:val="18"/>
              </w:rPr>
              <w:t>[2019]6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号），和企 业会计准则的要求编制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月财 务报表，结合此项目会计政策变更及企</w:t>
            </w:r>
          </w:p>
        </w:tc>
        <w:tc>
          <w:tcPr>
            <w:tcW w:w="3184" w:type="dxa"/>
            <w:tcBorders>
              <w:top w:val="nil" w:sz="6" w:space="0" w:color="auto"/>
              <w:left w:val="single" w:sz="6" w:space="0" w:color="000000"/>
              <w:bottom w:val="nil" w:sz="6" w:space="0" w:color="auto"/>
              <w:right w:val="single" w:sz="6" w:space="0" w:color="000000"/>
            </w:tcBorders>
          </w:tcPr>
          <w:p>
            <w:pPr>
              <w:pStyle w:val="TableParagraph"/>
              <w:spacing w:line="316" w:lineRule="auto"/>
              <w:ind w:left="14" w:right="88"/>
              <w:jc w:val="both"/>
              <w:rPr>
                <w:rFonts w:ascii="宋体" w:hAnsi="宋体" w:cs="宋体" w:eastAsia="宋体" w:hint="default"/>
                <w:sz w:val="18"/>
                <w:szCs w:val="18"/>
              </w:rPr>
            </w:pPr>
            <w:r>
              <w:rPr>
                <w:rFonts w:ascii="宋体" w:hAnsi="宋体" w:cs="宋体" w:eastAsia="宋体" w:hint="default"/>
                <w:sz w:val="18"/>
                <w:szCs w:val="18"/>
              </w:rPr>
              <w:t>第三十一次会议，会议审议通过了《关 于会计政策变更的议案》，根据《深圳 证券交易所上市公司规范运作指引》等 有关规定，公司本次会计政策变更事项</w:t>
            </w:r>
          </w:p>
        </w:tc>
        <w:tc>
          <w:tcPr>
            <w:tcW w:w="319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15"/>
                <w:szCs w:val="15"/>
              </w:rPr>
            </w:pPr>
          </w:p>
          <w:p>
            <w:pPr>
              <w:pStyle w:val="TableParagraph"/>
              <w:spacing w:line="297" w:lineRule="auto"/>
              <w:ind w:left="30" w:right="88"/>
              <w:jc w:val="both"/>
              <w:rPr>
                <w:rFonts w:ascii="宋体" w:hAnsi="宋体" w:cs="宋体" w:eastAsia="宋体" w:hint="default"/>
                <w:sz w:val="18"/>
                <w:szCs w:val="18"/>
              </w:rPr>
            </w:pPr>
            <w:r>
              <w:rPr>
                <w:rFonts w:ascii="宋体" w:hAnsi="宋体" w:cs="宋体" w:eastAsia="宋体" w:hint="default"/>
                <w:sz w:val="18"/>
                <w:szCs w:val="18"/>
              </w:rPr>
              <w:t>具体变更详见公司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日于 巨潮资讯网刊登的《关于会计政策变更 的公告》</w:t>
            </w:r>
          </w:p>
        </w:tc>
      </w:tr>
      <w:tr>
        <w:trPr>
          <w:trHeight w:val="315" w:hRule="exact"/>
        </w:trPr>
        <w:tc>
          <w:tcPr>
            <w:tcW w:w="3199"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业实际情况，变更财务报表格式。</w:t>
            </w:r>
          </w:p>
        </w:tc>
        <w:tc>
          <w:tcPr>
            <w:tcW w:w="3184"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92"/>
              <w:jc w:val="right"/>
              <w:rPr>
                <w:rFonts w:ascii="宋体" w:hAnsi="宋体" w:cs="宋体" w:eastAsia="宋体" w:hint="default"/>
                <w:sz w:val="18"/>
                <w:szCs w:val="18"/>
              </w:rPr>
            </w:pPr>
            <w:r>
              <w:rPr>
                <w:rFonts w:ascii="宋体" w:hAnsi="宋体" w:cs="宋体" w:eastAsia="宋体" w:hint="default"/>
                <w:sz w:val="18"/>
                <w:szCs w:val="18"/>
              </w:rPr>
              <w:t>在董事会审议权限内，无需提交股东大</w:t>
            </w:r>
          </w:p>
        </w:tc>
        <w:tc>
          <w:tcPr>
            <w:tcW w:w="3199" w:type="dxa"/>
            <w:tcBorders>
              <w:top w:val="nil" w:sz="6" w:space="0" w:color="auto"/>
              <w:left w:val="single" w:sz="6" w:space="0" w:color="000000"/>
              <w:bottom w:val="nil" w:sz="6" w:space="0" w:color="auto"/>
              <w:right w:val="single" w:sz="6" w:space="0" w:color="000000"/>
            </w:tcBorders>
          </w:tcPr>
          <w:p>
            <w:pPr/>
          </w:p>
        </w:tc>
      </w:tr>
      <w:tr>
        <w:trPr>
          <w:trHeight w:val="380" w:hRule="exact"/>
        </w:trPr>
        <w:tc>
          <w:tcPr>
            <w:tcW w:w="3199" w:type="dxa"/>
            <w:tcBorders>
              <w:top w:val="nil" w:sz="6" w:space="0" w:color="auto"/>
              <w:left w:val="single" w:sz="6" w:space="0" w:color="000000"/>
              <w:bottom w:val="single" w:sz="6" w:space="0" w:color="000000"/>
              <w:right w:val="single" w:sz="6" w:space="0" w:color="000000"/>
            </w:tcBorders>
          </w:tcPr>
          <w:p>
            <w:pPr/>
          </w:p>
        </w:tc>
        <w:tc>
          <w:tcPr>
            <w:tcW w:w="31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14" w:right="0"/>
              <w:jc w:val="left"/>
              <w:rPr>
                <w:rFonts w:ascii="宋体" w:hAnsi="宋体" w:cs="宋体" w:eastAsia="宋体" w:hint="default"/>
                <w:sz w:val="18"/>
                <w:szCs w:val="18"/>
              </w:rPr>
            </w:pPr>
            <w:r>
              <w:rPr>
                <w:rFonts w:ascii="宋体" w:hAnsi="宋体" w:cs="宋体" w:eastAsia="宋体" w:hint="default"/>
                <w:sz w:val="18"/>
                <w:szCs w:val="18"/>
              </w:rPr>
              <w:t>会审议。</w:t>
            </w:r>
          </w:p>
        </w:tc>
        <w:tc>
          <w:tcPr>
            <w:tcW w:w="3199" w:type="dxa"/>
            <w:tcBorders>
              <w:top w:val="nil" w:sz="6" w:space="0" w:color="auto"/>
              <w:left w:val="single" w:sz="6" w:space="0" w:color="000000"/>
              <w:bottom w:val="single" w:sz="6" w:space="0" w:color="000000"/>
              <w:right w:val="single" w:sz="6" w:space="0" w:color="000000"/>
            </w:tcBorders>
          </w:tcPr>
          <w:p>
            <w:pPr/>
          </w:p>
        </w:tc>
      </w:tr>
      <w:tr>
        <w:trPr>
          <w:trHeight w:val="361" w:hRule="exact"/>
        </w:trPr>
        <w:tc>
          <w:tcPr>
            <w:tcW w:w="319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日颁布了《关</w:t>
            </w:r>
          </w:p>
        </w:tc>
        <w:tc>
          <w:tcPr>
            <w:tcW w:w="3184" w:type="dxa"/>
            <w:tcBorders>
              <w:top w:val="single" w:sz="6" w:space="0" w:color="000000"/>
              <w:left w:val="single" w:sz="6" w:space="0" w:color="000000"/>
              <w:bottom w:val="nil" w:sz="6" w:space="0" w:color="auto"/>
              <w:right w:val="single" w:sz="6" w:space="0" w:color="000000"/>
            </w:tcBorders>
          </w:tcPr>
          <w:p>
            <w:pPr/>
          </w:p>
        </w:tc>
        <w:tc>
          <w:tcPr>
            <w:tcW w:w="3199" w:type="dxa"/>
            <w:tcBorders>
              <w:top w:val="single" w:sz="6" w:space="0" w:color="000000"/>
              <w:left w:val="single" w:sz="6" w:space="0" w:color="000000"/>
              <w:bottom w:val="nil" w:sz="6" w:space="0" w:color="auto"/>
              <w:right w:val="single" w:sz="6" w:space="0" w:color="000000"/>
            </w:tcBorders>
          </w:tcPr>
          <w:p>
            <w:pPr/>
          </w:p>
        </w:tc>
      </w:tr>
      <w:tr>
        <w:trPr>
          <w:trHeight w:val="308" w:hRule="exact"/>
        </w:trPr>
        <w:tc>
          <w:tcPr>
            <w:tcW w:w="319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5" w:right="0"/>
              <w:jc w:val="left"/>
              <w:rPr>
                <w:rFonts w:ascii="宋体" w:hAnsi="宋体" w:cs="宋体" w:eastAsia="宋体" w:hint="default"/>
                <w:sz w:val="18"/>
                <w:szCs w:val="18"/>
              </w:rPr>
            </w:pPr>
            <w:r>
              <w:rPr>
                <w:rFonts w:ascii="宋体" w:hAnsi="宋体" w:cs="宋体" w:eastAsia="宋体" w:hint="default"/>
                <w:spacing w:val="-4"/>
                <w:sz w:val="18"/>
                <w:szCs w:val="18"/>
              </w:rPr>
              <w:t>于修订印发合并财务报表格式（</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版</w:t>
            </w:r>
          </w:p>
        </w:tc>
        <w:tc>
          <w:tcPr>
            <w:tcW w:w="318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3199"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3199" w:type="dxa"/>
            <w:tcBorders>
              <w:top w:val="nil" w:sz="6" w:space="0" w:color="auto"/>
              <w:left w:val="single" w:sz="6" w:space="0" w:color="000000"/>
              <w:bottom w:val="nil" w:sz="6" w:space="0" w:color="auto"/>
              <w:right w:val="single" w:sz="12" w:space="0" w:color="000000"/>
            </w:tcBorders>
          </w:tcPr>
          <w:p>
            <w:pPr>
              <w:pStyle w:val="TableParagraph"/>
              <w:spacing w:line="249" w:lineRule="exact"/>
              <w:ind w:left="15" w:right="0"/>
              <w:jc w:val="left"/>
              <w:rPr>
                <w:rFonts w:ascii="宋体" w:hAnsi="宋体" w:cs="宋体" w:eastAsia="宋体" w:hint="default"/>
                <w:sz w:val="18"/>
                <w:szCs w:val="18"/>
              </w:rPr>
            </w:pPr>
            <w:r>
              <w:rPr>
                <w:rFonts w:ascii="宋体" w:hAnsi="宋体" w:cs="宋体" w:eastAsia="宋体" w:hint="default"/>
                <w:sz w:val="18"/>
                <w:szCs w:val="18"/>
              </w:rPr>
              <w:t>的通知》（财会【</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号，以下简</w:t>
            </w:r>
          </w:p>
        </w:tc>
        <w:tc>
          <w:tcPr>
            <w:tcW w:w="3184" w:type="dxa"/>
            <w:tcBorders>
              <w:top w:val="nil" w:sz="6" w:space="0" w:color="auto"/>
              <w:left w:val="single" w:sz="12" w:space="0" w:color="000000"/>
              <w:bottom w:val="nil" w:sz="6" w:space="0" w:color="auto"/>
              <w:right w:val="single" w:sz="6" w:space="0" w:color="000000"/>
            </w:tcBorders>
          </w:tcPr>
          <w:p>
            <w:pPr>
              <w:pStyle w:val="TableParagraph"/>
              <w:spacing w:line="240" w:lineRule="auto" w:before="14"/>
              <w:ind w:right="89"/>
              <w:jc w:val="righ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 第四届</w:t>
            </w:r>
          </w:p>
        </w:tc>
        <w:tc>
          <w:tcPr>
            <w:tcW w:w="3199" w:type="dxa"/>
            <w:tcBorders>
              <w:top w:val="nil" w:sz="6" w:space="0" w:color="auto"/>
              <w:left w:val="single" w:sz="6" w:space="0" w:color="000000"/>
              <w:bottom w:val="nil" w:sz="6" w:space="0" w:color="auto"/>
              <w:right w:val="single" w:sz="6" w:space="0" w:color="000000"/>
            </w:tcBorders>
          </w:tcPr>
          <w:p>
            <w:pPr/>
          </w:p>
        </w:tc>
      </w:tr>
      <w:tr>
        <w:trPr>
          <w:trHeight w:val="308" w:hRule="exact"/>
        </w:trPr>
        <w:tc>
          <w:tcPr>
            <w:tcW w:w="3199" w:type="dxa"/>
            <w:tcBorders>
              <w:top w:val="nil" w:sz="6" w:space="0" w:color="auto"/>
              <w:left w:val="single" w:sz="6" w:space="0" w:color="000000"/>
              <w:bottom w:val="nil" w:sz="6" w:space="0" w:color="auto"/>
              <w:right w:val="single" w:sz="12" w:space="0" w:color="000000"/>
            </w:tcBorders>
          </w:tcPr>
          <w:p>
            <w:pPr>
              <w:pStyle w:val="TableParagraph"/>
              <w:spacing w:line="240" w:lineRule="auto" w:before="7"/>
              <w:ind w:left="15" w:right="0"/>
              <w:jc w:val="left"/>
              <w:rPr>
                <w:rFonts w:ascii="宋体" w:hAnsi="宋体" w:cs="宋体" w:eastAsia="宋体" w:hint="default"/>
                <w:sz w:val="18"/>
                <w:szCs w:val="18"/>
              </w:rPr>
            </w:pPr>
            <w:r>
              <w:rPr>
                <w:rFonts w:ascii="宋体" w:hAnsi="宋体" w:cs="宋体" w:eastAsia="宋体" w:hint="default"/>
                <w:spacing w:val="-5"/>
                <w:sz w:val="18"/>
                <w:szCs w:val="18"/>
              </w:rPr>
              <w:t>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修订通知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），对合并财务报表格式进</w:t>
            </w:r>
          </w:p>
        </w:tc>
        <w:tc>
          <w:tcPr>
            <w:tcW w:w="3184" w:type="dxa"/>
            <w:tcBorders>
              <w:top w:val="nil" w:sz="6" w:space="0" w:color="auto"/>
              <w:left w:val="single" w:sz="12" w:space="0" w:color="000000"/>
              <w:bottom w:val="nil" w:sz="6" w:space="0" w:color="auto"/>
              <w:right w:val="single" w:sz="6" w:space="0" w:color="000000"/>
            </w:tcBorders>
          </w:tcPr>
          <w:p>
            <w:pPr>
              <w:pStyle w:val="TableParagraph"/>
              <w:spacing w:line="228" w:lineRule="exact"/>
              <w:ind w:right="32"/>
              <w:jc w:val="right"/>
              <w:rPr>
                <w:rFonts w:ascii="宋体" w:hAnsi="宋体" w:cs="宋体" w:eastAsia="宋体" w:hint="default"/>
                <w:sz w:val="18"/>
                <w:szCs w:val="18"/>
              </w:rPr>
            </w:pPr>
            <w:r>
              <w:rPr>
                <w:rFonts w:ascii="宋体" w:hAnsi="宋体" w:cs="宋体" w:eastAsia="宋体" w:hint="default"/>
                <w:spacing w:val="-7"/>
                <w:sz w:val="18"/>
                <w:szCs w:val="18"/>
              </w:rPr>
              <w:t>董事会第四十三次会议，审议通过了《关</w:t>
            </w:r>
          </w:p>
        </w:tc>
        <w:tc>
          <w:tcPr>
            <w:tcW w:w="3199"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3199" w:type="dxa"/>
            <w:tcBorders>
              <w:top w:val="nil" w:sz="6" w:space="0" w:color="auto"/>
              <w:left w:val="single" w:sz="6" w:space="0" w:color="000000"/>
              <w:bottom w:val="nil" w:sz="6" w:space="0" w:color="auto"/>
              <w:right w:val="single" w:sz="12"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行了修订，要求执行企业会计准则的企</w:t>
            </w:r>
          </w:p>
        </w:tc>
        <w:tc>
          <w:tcPr>
            <w:tcW w:w="3184" w:type="dxa"/>
            <w:tcBorders>
              <w:top w:val="nil" w:sz="6" w:space="0" w:color="auto"/>
              <w:left w:val="single" w:sz="12" w:space="0" w:color="000000"/>
              <w:bottom w:val="nil" w:sz="6" w:space="0" w:color="auto"/>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hAnsi="宋体" w:cs="宋体" w:eastAsia="宋体" w:hint="default"/>
                <w:sz w:val="18"/>
                <w:szCs w:val="18"/>
              </w:rPr>
              <w:t>于会计政策变更的议案》，根据</w:t>
            </w:r>
            <w:r>
              <w:rPr>
                <w:rFonts w:ascii="宋体" w:hAnsi="宋体" w:cs="宋体" w:eastAsia="宋体" w:hint="default"/>
                <w:spacing w:val="3"/>
                <w:sz w:val="18"/>
                <w:szCs w:val="18"/>
              </w:rPr>
              <w:t> </w:t>
            </w:r>
            <w:r>
              <w:rPr>
                <w:rFonts w:ascii="宋体" w:hAnsi="宋体" w:cs="宋体" w:eastAsia="宋体" w:hint="default"/>
                <w:sz w:val="18"/>
                <w:szCs w:val="18"/>
              </w:rPr>
              <w:t>《深圳</w:t>
            </w:r>
          </w:p>
        </w:tc>
        <w:tc>
          <w:tcPr>
            <w:tcW w:w="3199" w:type="dxa"/>
            <w:tcBorders>
              <w:top w:val="nil" w:sz="6" w:space="0" w:color="auto"/>
              <w:left w:val="single" w:sz="6" w:space="0" w:color="000000"/>
              <w:bottom w:val="nil" w:sz="6" w:space="0" w:color="auto"/>
              <w:right w:val="single" w:sz="6" w:space="0" w:color="000000"/>
            </w:tcBorders>
          </w:tcPr>
          <w:p>
            <w:pPr>
              <w:pStyle w:val="TableParagraph"/>
              <w:spacing w:line="240" w:lineRule="auto" w:before="14"/>
              <w:ind w:left="30" w:right="0"/>
              <w:jc w:val="left"/>
              <w:rPr>
                <w:rFonts w:ascii="宋体" w:hAnsi="宋体" w:cs="宋体" w:eastAsia="宋体" w:hint="default"/>
                <w:sz w:val="18"/>
                <w:szCs w:val="18"/>
              </w:rPr>
            </w:pPr>
            <w:r>
              <w:rPr>
                <w:rFonts w:ascii="宋体" w:hAnsi="宋体" w:cs="宋体" w:eastAsia="宋体" w:hint="default"/>
                <w:sz w:val="18"/>
                <w:szCs w:val="18"/>
              </w:rPr>
              <w:t>具体变更详见公司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日于</w:t>
            </w:r>
          </w:p>
        </w:tc>
      </w:tr>
      <w:tr>
        <w:trPr>
          <w:trHeight w:val="303" w:hRule="exact"/>
        </w:trPr>
        <w:tc>
          <w:tcPr>
            <w:tcW w:w="3199" w:type="dxa"/>
            <w:tcBorders>
              <w:top w:val="nil" w:sz="6" w:space="0" w:color="auto"/>
              <w:left w:val="single" w:sz="6" w:space="0" w:color="000000"/>
              <w:bottom w:val="nil" w:sz="6" w:space="0" w:color="auto"/>
              <w:right w:val="single" w:sz="12"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业按照会计准则和《修订通知》的要求</w:t>
            </w:r>
          </w:p>
        </w:tc>
        <w:tc>
          <w:tcPr>
            <w:tcW w:w="3184" w:type="dxa"/>
            <w:tcBorders>
              <w:top w:val="nil" w:sz="6" w:space="0" w:color="auto"/>
              <w:left w:val="single" w:sz="12" w:space="0" w:color="000000"/>
              <w:bottom w:val="nil" w:sz="6" w:space="0" w:color="auto"/>
              <w:right w:val="single" w:sz="6" w:space="0" w:color="000000"/>
            </w:tcBorders>
          </w:tcPr>
          <w:p>
            <w:pPr>
              <w:pStyle w:val="TableParagraph"/>
              <w:spacing w:line="235" w:lineRule="exact"/>
              <w:ind w:right="92"/>
              <w:jc w:val="right"/>
              <w:rPr>
                <w:rFonts w:ascii="宋体" w:hAnsi="宋体" w:cs="宋体" w:eastAsia="宋体" w:hint="default"/>
                <w:sz w:val="18"/>
                <w:szCs w:val="18"/>
              </w:rPr>
            </w:pPr>
            <w:r>
              <w:rPr>
                <w:rFonts w:ascii="宋体" w:hAnsi="宋体" w:cs="宋体" w:eastAsia="宋体" w:hint="default"/>
                <w:sz w:val="18"/>
                <w:szCs w:val="18"/>
              </w:rPr>
              <w:t>证券交易所中小企业板上市公司规范运</w:t>
            </w:r>
          </w:p>
        </w:tc>
        <w:tc>
          <w:tcPr>
            <w:tcW w:w="3199"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巨潮资讯网刊登的《关于会计政策变更</w:t>
            </w:r>
          </w:p>
        </w:tc>
      </w:tr>
      <w:tr>
        <w:trPr>
          <w:trHeight w:val="320" w:hRule="exact"/>
        </w:trPr>
        <w:tc>
          <w:tcPr>
            <w:tcW w:w="3199" w:type="dxa"/>
            <w:tcBorders>
              <w:top w:val="nil" w:sz="6" w:space="0" w:color="auto"/>
              <w:left w:val="single" w:sz="6" w:space="0" w:color="000000"/>
              <w:bottom w:val="nil" w:sz="6" w:space="0" w:color="auto"/>
              <w:right w:val="single" w:sz="12" w:space="0" w:color="000000"/>
            </w:tcBorders>
          </w:tcPr>
          <w:p>
            <w:pPr>
              <w:pStyle w:val="TableParagraph"/>
              <w:spacing w:line="240" w:lineRule="auto" w:before="27"/>
              <w:ind w:left="15" w:right="0"/>
              <w:jc w:val="left"/>
              <w:rPr>
                <w:rFonts w:ascii="宋体" w:hAnsi="宋体" w:cs="宋体" w:eastAsia="宋体" w:hint="default"/>
                <w:sz w:val="18"/>
                <w:szCs w:val="18"/>
              </w:rPr>
            </w:pPr>
            <w:r>
              <w:rPr>
                <w:rFonts w:ascii="宋体" w:hAnsi="宋体" w:cs="宋体" w:eastAsia="宋体" w:hint="default"/>
                <w:sz w:val="18"/>
                <w:szCs w:val="18"/>
              </w:rPr>
              <w:t>编 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年度合并财务报表及以后期</w:t>
            </w:r>
          </w:p>
        </w:tc>
        <w:tc>
          <w:tcPr>
            <w:tcW w:w="3184" w:type="dxa"/>
            <w:tcBorders>
              <w:top w:val="nil" w:sz="6" w:space="0" w:color="auto"/>
              <w:left w:val="single" w:sz="12" w:space="0" w:color="000000"/>
              <w:bottom w:val="nil" w:sz="6" w:space="0" w:color="auto"/>
              <w:right w:val="single" w:sz="6" w:space="0" w:color="000000"/>
            </w:tcBorders>
          </w:tcPr>
          <w:p>
            <w:pPr>
              <w:pStyle w:val="TableParagraph"/>
              <w:spacing w:line="240" w:lineRule="auto" w:before="12"/>
              <w:ind w:right="88"/>
              <w:jc w:val="right"/>
              <w:rPr>
                <w:rFonts w:ascii="宋体" w:hAnsi="宋体" w:cs="宋体" w:eastAsia="宋体" w:hint="default"/>
                <w:sz w:val="18"/>
                <w:szCs w:val="18"/>
              </w:rPr>
            </w:pPr>
            <w:r>
              <w:rPr>
                <w:rFonts w:ascii="宋体" w:hAnsi="宋体" w:cs="宋体" w:eastAsia="宋体" w:hint="default"/>
                <w:sz w:val="18"/>
                <w:szCs w:val="18"/>
              </w:rPr>
              <w:t>作 指引》、公司《章程》等相关法</w:t>
            </w:r>
            <w:r>
              <w:rPr>
                <w:rFonts w:ascii="宋体" w:hAnsi="宋体" w:cs="宋体" w:eastAsia="宋体" w:hint="default"/>
                <w:spacing w:val="3"/>
                <w:sz w:val="18"/>
                <w:szCs w:val="18"/>
              </w:rPr>
              <w:t> </w:t>
            </w:r>
            <w:r>
              <w:rPr>
                <w:rFonts w:ascii="宋体" w:hAnsi="宋体" w:cs="宋体" w:eastAsia="宋体" w:hint="default"/>
                <w:sz w:val="18"/>
                <w:szCs w:val="18"/>
              </w:rPr>
              <w:t>律</w:t>
            </w:r>
          </w:p>
        </w:tc>
        <w:tc>
          <w:tcPr>
            <w:tcW w:w="3199"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30" w:right="0"/>
              <w:jc w:val="left"/>
              <w:rPr>
                <w:rFonts w:ascii="宋体" w:hAnsi="宋体" w:cs="宋体" w:eastAsia="宋体" w:hint="default"/>
                <w:sz w:val="18"/>
                <w:szCs w:val="18"/>
              </w:rPr>
            </w:pPr>
            <w:r>
              <w:rPr>
                <w:rFonts w:ascii="宋体" w:hAnsi="宋体" w:cs="宋体" w:eastAsia="宋体" w:hint="default"/>
                <w:sz w:val="18"/>
                <w:szCs w:val="18"/>
              </w:rPr>
              <w:t>的公告》</w:t>
            </w:r>
          </w:p>
        </w:tc>
      </w:tr>
      <w:tr>
        <w:trPr>
          <w:trHeight w:val="295" w:hRule="exact"/>
        </w:trPr>
        <w:tc>
          <w:tcPr>
            <w:tcW w:w="3199" w:type="dxa"/>
            <w:tcBorders>
              <w:top w:val="nil" w:sz="6" w:space="0" w:color="auto"/>
              <w:left w:val="single" w:sz="6" w:space="0" w:color="000000"/>
              <w:bottom w:val="nil" w:sz="6" w:space="0" w:color="auto"/>
              <w:right w:val="single" w:sz="12" w:space="0" w:color="000000"/>
            </w:tcBorders>
          </w:tcPr>
          <w:p>
            <w:pPr>
              <w:pStyle w:val="TableParagraph"/>
              <w:spacing w:line="228" w:lineRule="exact"/>
              <w:ind w:left="15" w:right="0"/>
              <w:jc w:val="left"/>
              <w:rPr>
                <w:rFonts w:ascii="宋体" w:hAnsi="宋体" w:cs="宋体" w:eastAsia="宋体" w:hint="default"/>
                <w:sz w:val="18"/>
                <w:szCs w:val="18"/>
              </w:rPr>
            </w:pPr>
            <w:r>
              <w:rPr>
                <w:rFonts w:ascii="宋体" w:hAnsi="宋体" w:cs="宋体" w:eastAsia="宋体" w:hint="default"/>
                <w:sz w:val="18"/>
                <w:szCs w:val="18"/>
              </w:rPr>
              <w:t>间的合并财务报表。根据《修订通知》</w:t>
            </w:r>
          </w:p>
        </w:tc>
        <w:tc>
          <w:tcPr>
            <w:tcW w:w="3184" w:type="dxa"/>
            <w:tcBorders>
              <w:top w:val="nil" w:sz="6" w:space="0" w:color="auto"/>
              <w:left w:val="single" w:sz="12" w:space="0" w:color="000000"/>
              <w:bottom w:val="nil" w:sz="6" w:space="0" w:color="auto"/>
              <w:right w:val="single" w:sz="6" w:space="0" w:color="000000"/>
            </w:tcBorders>
          </w:tcPr>
          <w:p>
            <w:pPr>
              <w:pStyle w:val="TableParagraph"/>
              <w:spacing w:line="228" w:lineRule="exact"/>
              <w:ind w:right="92"/>
              <w:jc w:val="right"/>
              <w:rPr>
                <w:rFonts w:ascii="宋体" w:hAnsi="宋体" w:cs="宋体" w:eastAsia="宋体" w:hint="default"/>
                <w:sz w:val="18"/>
                <w:szCs w:val="18"/>
              </w:rPr>
            </w:pPr>
            <w:r>
              <w:rPr>
                <w:rFonts w:ascii="宋体" w:hAnsi="宋体" w:cs="宋体" w:eastAsia="宋体" w:hint="default"/>
                <w:sz w:val="18"/>
                <w:szCs w:val="18"/>
              </w:rPr>
              <w:t>法规及内部制度的规定，本次会计政策</w:t>
            </w:r>
          </w:p>
        </w:tc>
        <w:tc>
          <w:tcPr>
            <w:tcW w:w="3199"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3199" w:type="dxa"/>
            <w:tcBorders>
              <w:top w:val="nil" w:sz="6" w:space="0" w:color="auto"/>
              <w:left w:val="single" w:sz="6" w:space="0" w:color="000000"/>
              <w:bottom w:val="nil" w:sz="6" w:space="0" w:color="auto"/>
              <w:right w:val="single" w:sz="12"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的有关要求，公司应当结合《修订通知</w:t>
            </w:r>
          </w:p>
        </w:tc>
        <w:tc>
          <w:tcPr>
            <w:tcW w:w="3184" w:type="dxa"/>
            <w:tcBorders>
              <w:top w:val="nil" w:sz="6" w:space="0" w:color="auto"/>
              <w:left w:val="single" w:sz="12" w:space="0" w:color="000000"/>
              <w:bottom w:val="nil" w:sz="6" w:space="0" w:color="auto"/>
              <w:right w:val="single" w:sz="6" w:space="0" w:color="000000"/>
            </w:tcBorders>
          </w:tcPr>
          <w:p>
            <w:pPr>
              <w:pStyle w:val="TableParagraph"/>
              <w:spacing w:line="240" w:lineRule="auto" w:before="12"/>
              <w:ind w:left="-162" w:right="0"/>
              <w:jc w:val="left"/>
              <w:rPr>
                <w:rFonts w:ascii="宋体" w:hAnsi="宋体" w:cs="宋体" w:eastAsia="宋体" w:hint="default"/>
                <w:sz w:val="18"/>
                <w:szCs w:val="18"/>
              </w:rPr>
            </w:pPr>
            <w:r>
              <w:rPr>
                <w:rFonts w:ascii="宋体" w:hAnsi="宋体" w:cs="宋体" w:eastAsia="宋体" w:hint="default"/>
                <w:sz w:val="18"/>
                <w:szCs w:val="18"/>
              </w:rPr>
              <w:t>》变更无需提交公司股东大会审议。</w:t>
            </w:r>
          </w:p>
        </w:tc>
        <w:tc>
          <w:tcPr>
            <w:tcW w:w="3199"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3199" w:type="dxa"/>
            <w:tcBorders>
              <w:top w:val="nil" w:sz="6" w:space="0" w:color="auto"/>
              <w:left w:val="single" w:sz="6" w:space="0" w:color="000000"/>
              <w:bottom w:val="nil" w:sz="6" w:space="0" w:color="auto"/>
              <w:right w:val="single" w:sz="12"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的要求对合并财</w:t>
            </w:r>
            <w:r>
              <w:rPr>
                <w:rFonts w:ascii="宋体" w:hAnsi="宋体" w:cs="宋体" w:eastAsia="宋体" w:hint="default"/>
                <w:spacing w:val="1"/>
                <w:sz w:val="18"/>
                <w:szCs w:val="18"/>
              </w:rPr>
              <w:t> </w:t>
            </w:r>
            <w:r>
              <w:rPr>
                <w:rFonts w:ascii="宋体" w:hAnsi="宋体" w:cs="宋体" w:eastAsia="宋体" w:hint="default"/>
                <w:sz w:val="18"/>
                <w:szCs w:val="18"/>
              </w:rPr>
              <w:t>务报表格式进行相应</w:t>
            </w:r>
          </w:p>
        </w:tc>
        <w:tc>
          <w:tcPr>
            <w:tcW w:w="3184" w:type="dxa"/>
            <w:tcBorders>
              <w:top w:val="nil" w:sz="6" w:space="0" w:color="auto"/>
              <w:left w:val="single" w:sz="12" w:space="0" w:color="000000"/>
              <w:bottom w:val="nil" w:sz="6" w:space="0" w:color="auto"/>
              <w:right w:val="single" w:sz="6" w:space="0" w:color="000000"/>
            </w:tcBorders>
          </w:tcPr>
          <w:p>
            <w:pPr/>
          </w:p>
        </w:tc>
        <w:tc>
          <w:tcPr>
            <w:tcW w:w="3199" w:type="dxa"/>
            <w:tcBorders>
              <w:top w:val="nil" w:sz="6" w:space="0" w:color="auto"/>
              <w:left w:val="single" w:sz="6" w:space="0" w:color="000000"/>
              <w:bottom w:val="nil" w:sz="6" w:space="0" w:color="auto"/>
              <w:right w:val="single" w:sz="6" w:space="0" w:color="000000"/>
            </w:tcBorders>
          </w:tcPr>
          <w:p>
            <w:pPr/>
          </w:p>
        </w:tc>
      </w:tr>
      <w:tr>
        <w:trPr>
          <w:trHeight w:val="365" w:hRule="exact"/>
        </w:trPr>
        <w:tc>
          <w:tcPr>
            <w:tcW w:w="319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调整。</w:t>
            </w:r>
          </w:p>
        </w:tc>
        <w:tc>
          <w:tcPr>
            <w:tcW w:w="3184" w:type="dxa"/>
            <w:tcBorders>
              <w:top w:val="nil" w:sz="6" w:space="0" w:color="auto"/>
              <w:left w:val="single" w:sz="6" w:space="0" w:color="000000"/>
              <w:bottom w:val="single" w:sz="6" w:space="0" w:color="000000"/>
              <w:right w:val="single" w:sz="6" w:space="0" w:color="000000"/>
            </w:tcBorders>
          </w:tcPr>
          <w:p>
            <w:pPr/>
          </w:p>
        </w:tc>
        <w:tc>
          <w:tcPr>
            <w:tcW w:w="3199" w:type="dxa"/>
            <w:tcBorders>
              <w:top w:val="nil" w:sz="6" w:space="0" w:color="auto"/>
              <w:left w:val="single" w:sz="6" w:space="0" w:color="000000"/>
              <w:bottom w:val="single" w:sz="6" w:space="0" w:color="000000"/>
              <w:right w:val="single" w:sz="6" w:space="0" w:color="000000"/>
            </w:tcBorders>
          </w:tcPr>
          <w:p>
            <w:pPr/>
          </w:p>
        </w:tc>
      </w:tr>
      <w:tr>
        <w:trPr>
          <w:trHeight w:val="360" w:hRule="exact"/>
        </w:trPr>
        <w:tc>
          <w:tcPr>
            <w:tcW w:w="3199" w:type="dxa"/>
            <w:tcBorders>
              <w:top w:val="single" w:sz="6" w:space="0" w:color="000000"/>
              <w:left w:val="single" w:sz="6" w:space="0" w:color="000000"/>
              <w:bottom w:val="nil" w:sz="6" w:space="0" w:color="auto"/>
              <w:right w:val="single" w:sz="6" w:space="0" w:color="000000"/>
            </w:tcBorders>
          </w:tcPr>
          <w:p>
            <w:pPr/>
          </w:p>
        </w:tc>
        <w:tc>
          <w:tcPr>
            <w:tcW w:w="31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right="91"/>
              <w:jc w:val="righ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日召开第五届董</w:t>
            </w:r>
          </w:p>
        </w:tc>
        <w:tc>
          <w:tcPr>
            <w:tcW w:w="3199" w:type="dxa"/>
            <w:tcBorders>
              <w:top w:val="single" w:sz="6" w:space="0" w:color="000000"/>
              <w:left w:val="single" w:sz="6" w:space="0" w:color="000000"/>
              <w:bottom w:val="nil" w:sz="6" w:space="0" w:color="auto"/>
              <w:right w:val="single" w:sz="6" w:space="0" w:color="000000"/>
            </w:tcBorders>
          </w:tcPr>
          <w:p>
            <w:pPr/>
          </w:p>
        </w:tc>
      </w:tr>
      <w:tr>
        <w:trPr>
          <w:trHeight w:val="228" w:hRule="exact"/>
        </w:trPr>
        <w:tc>
          <w:tcPr>
            <w:tcW w:w="3199" w:type="dxa"/>
            <w:tcBorders>
              <w:top w:val="nil" w:sz="6" w:space="0" w:color="auto"/>
              <w:left w:val="single" w:sz="6" w:space="0" w:color="000000"/>
              <w:bottom w:val="nil" w:sz="6" w:space="0" w:color="auto"/>
              <w:right w:val="single" w:sz="6" w:space="0" w:color="000000"/>
            </w:tcBorders>
          </w:tcPr>
          <w:p>
            <w:pPr/>
          </w:p>
        </w:tc>
        <w:tc>
          <w:tcPr>
            <w:tcW w:w="3184" w:type="dxa"/>
            <w:tcBorders>
              <w:top w:val="nil" w:sz="6" w:space="0" w:color="auto"/>
              <w:left w:val="single" w:sz="6" w:space="0" w:color="000000"/>
              <w:bottom w:val="nil" w:sz="6" w:space="0" w:color="auto"/>
              <w:right w:val="single" w:sz="6" w:space="0" w:color="000000"/>
            </w:tcBorders>
          </w:tcPr>
          <w:p>
            <w:pPr>
              <w:pStyle w:val="TableParagraph"/>
              <w:spacing w:line="228" w:lineRule="exact"/>
              <w:ind w:right="92"/>
              <w:jc w:val="right"/>
              <w:rPr>
                <w:rFonts w:ascii="宋体" w:hAnsi="宋体" w:cs="宋体" w:eastAsia="宋体" w:hint="default"/>
                <w:sz w:val="18"/>
                <w:szCs w:val="18"/>
              </w:rPr>
            </w:pPr>
            <w:r>
              <w:rPr>
                <w:rFonts w:ascii="宋体" w:hAnsi="宋体" w:cs="宋体" w:eastAsia="宋体" w:hint="default"/>
                <w:sz w:val="18"/>
                <w:szCs w:val="18"/>
              </w:rPr>
              <w:t>事会第三次会议、第五届监事会第三次</w:t>
            </w:r>
          </w:p>
        </w:tc>
        <w:tc>
          <w:tcPr>
            <w:tcW w:w="3199" w:type="dxa"/>
            <w:tcBorders>
              <w:top w:val="nil" w:sz="6" w:space="0" w:color="auto"/>
              <w:left w:val="single" w:sz="6" w:space="0" w:color="000000"/>
              <w:bottom w:val="nil" w:sz="6" w:space="0" w:color="auto"/>
              <w:right w:val="single" w:sz="6" w:space="0" w:color="000000"/>
            </w:tcBorders>
          </w:tcPr>
          <w:p>
            <w:pPr/>
          </w:p>
        </w:tc>
      </w:tr>
      <w:tr>
        <w:trPr>
          <w:trHeight w:val="315" w:hRule="exact"/>
        </w:trPr>
        <w:tc>
          <w:tcPr>
            <w:tcW w:w="3199" w:type="dxa"/>
            <w:tcBorders>
              <w:top w:val="nil" w:sz="6" w:space="0" w:color="auto"/>
              <w:left w:val="single" w:sz="6" w:space="0" w:color="000000"/>
              <w:bottom w:val="nil" w:sz="6" w:space="0" w:color="auto"/>
              <w:right w:val="single" w:sz="6" w:space="0" w:color="000000"/>
            </w:tcBorders>
          </w:tcPr>
          <w:p>
            <w:pPr>
              <w:pStyle w:val="TableParagraph"/>
              <w:spacing w:line="194" w:lineRule="exact"/>
              <w:ind w:left="15"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日发布修订后的</w:t>
            </w:r>
          </w:p>
        </w:tc>
        <w:tc>
          <w:tcPr>
            <w:tcW w:w="3184" w:type="dxa"/>
            <w:tcBorders>
              <w:top w:val="nil" w:sz="6" w:space="0" w:color="auto"/>
              <w:left w:val="single" w:sz="6" w:space="0" w:color="000000"/>
              <w:bottom w:val="nil" w:sz="6" w:space="0" w:color="auto"/>
              <w:right w:val="single" w:sz="6" w:space="0" w:color="000000"/>
            </w:tcBorders>
          </w:tcPr>
          <w:p>
            <w:pPr>
              <w:pStyle w:val="TableParagraph"/>
              <w:spacing w:line="240" w:lineRule="auto" w:before="79"/>
              <w:ind w:right="92"/>
              <w:jc w:val="right"/>
              <w:rPr>
                <w:rFonts w:ascii="宋体" w:hAnsi="宋体" w:cs="宋体" w:eastAsia="宋体" w:hint="default"/>
                <w:sz w:val="18"/>
                <w:szCs w:val="18"/>
              </w:rPr>
            </w:pPr>
            <w:r>
              <w:rPr>
                <w:rFonts w:ascii="宋体" w:hAnsi="宋体" w:cs="宋体" w:eastAsia="宋体" w:hint="default"/>
                <w:sz w:val="18"/>
                <w:szCs w:val="18"/>
              </w:rPr>
              <w:t>会议，审议通过了《关于会计政策变更</w:t>
            </w:r>
          </w:p>
        </w:tc>
        <w:tc>
          <w:tcPr>
            <w:tcW w:w="3199" w:type="dxa"/>
            <w:tcBorders>
              <w:top w:val="nil" w:sz="6" w:space="0" w:color="auto"/>
              <w:left w:val="single" w:sz="6" w:space="0" w:color="000000"/>
              <w:bottom w:val="nil" w:sz="6" w:space="0" w:color="auto"/>
              <w:right w:val="single" w:sz="6" w:space="0" w:color="000000"/>
            </w:tcBorders>
          </w:tcPr>
          <w:p>
            <w:pPr/>
          </w:p>
        </w:tc>
      </w:tr>
      <w:tr>
        <w:trPr>
          <w:trHeight w:val="1314" w:hRule="exact"/>
        </w:trPr>
        <w:tc>
          <w:tcPr>
            <w:tcW w:w="3199" w:type="dxa"/>
            <w:tcBorders>
              <w:top w:val="nil" w:sz="6" w:space="0" w:color="auto"/>
              <w:left w:val="single" w:sz="6" w:space="0" w:color="000000"/>
              <w:bottom w:val="nil" w:sz="6" w:space="0" w:color="auto"/>
              <w:right w:val="single" w:sz="6" w:space="0" w:color="000000"/>
            </w:tcBorders>
          </w:tcPr>
          <w:p>
            <w:pPr>
              <w:pStyle w:val="TableParagraph"/>
              <w:spacing w:line="194" w:lineRule="exact"/>
              <w:ind w:left="15" w:right="0"/>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w:t>
            </w:r>
          </w:p>
          <w:p>
            <w:pPr>
              <w:pStyle w:val="TableParagraph"/>
              <w:spacing w:line="297" w:lineRule="auto" w:before="51"/>
              <w:ind w:left="15" w:right="43"/>
              <w:jc w:val="both"/>
              <w:rPr>
                <w:rFonts w:ascii="宋体" w:hAnsi="宋体" w:cs="宋体" w:eastAsia="宋体" w:hint="default"/>
                <w:sz w:val="18"/>
                <w:szCs w:val="18"/>
              </w:rPr>
            </w:pPr>
            <w:r>
              <w:rPr>
                <w:rFonts w:ascii="宋体" w:hAnsi="宋体" w:cs="宋体" w:eastAsia="宋体" w:hint="default"/>
                <w:spacing w:val="-6"/>
                <w:sz w:val="18"/>
                <w:szCs w:val="18"/>
              </w:rPr>
              <w:t>换》（财会〔</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号），要求所有执 行企业会计准则的企业自</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日起执行。</w:t>
            </w:r>
          </w:p>
        </w:tc>
        <w:tc>
          <w:tcPr>
            <w:tcW w:w="3184" w:type="dxa"/>
            <w:tcBorders>
              <w:top w:val="nil" w:sz="6" w:space="0" w:color="auto"/>
              <w:left w:val="single" w:sz="6" w:space="0" w:color="000000"/>
              <w:bottom w:val="nil" w:sz="6" w:space="0" w:color="auto"/>
              <w:right w:val="single" w:sz="6" w:space="0" w:color="000000"/>
            </w:tcBorders>
          </w:tcPr>
          <w:p>
            <w:pPr>
              <w:pStyle w:val="TableParagraph"/>
              <w:spacing w:line="316" w:lineRule="auto" w:before="79"/>
              <w:ind w:left="14" w:right="92"/>
              <w:jc w:val="both"/>
              <w:rPr>
                <w:rFonts w:ascii="宋体" w:hAnsi="宋体" w:cs="宋体" w:eastAsia="宋体" w:hint="default"/>
                <w:sz w:val="18"/>
                <w:szCs w:val="18"/>
              </w:rPr>
            </w:pPr>
            <w:r>
              <w:rPr>
                <w:rFonts w:ascii="宋体" w:hAnsi="宋体" w:cs="宋体" w:eastAsia="宋体" w:hint="default"/>
                <w:sz w:val="18"/>
                <w:szCs w:val="18"/>
              </w:rPr>
              <w:t>的议案》，根据《深圳证券交易所上市 公司规范运作指引》、公司《章程》等 相关法律法规及内部制度的规定，本次 会计政策变更无需提交公司股东大会审</w:t>
            </w:r>
          </w:p>
        </w:tc>
        <w:tc>
          <w:tcPr>
            <w:tcW w:w="3199" w:type="dxa"/>
            <w:tcBorders>
              <w:top w:val="nil" w:sz="6" w:space="0" w:color="auto"/>
              <w:left w:val="single" w:sz="6" w:space="0" w:color="000000"/>
              <w:bottom w:val="nil" w:sz="6" w:space="0" w:color="auto"/>
              <w:right w:val="single" w:sz="6" w:space="0" w:color="000000"/>
            </w:tcBorders>
          </w:tcPr>
          <w:p>
            <w:pPr>
              <w:pStyle w:val="TableParagraph"/>
              <w:spacing w:line="194" w:lineRule="exact"/>
              <w:ind w:left="30" w:right="0"/>
              <w:jc w:val="left"/>
              <w:rPr>
                <w:rFonts w:ascii="宋体" w:hAnsi="宋体" w:cs="宋体" w:eastAsia="宋体" w:hint="default"/>
                <w:sz w:val="18"/>
                <w:szCs w:val="18"/>
              </w:rPr>
            </w:pPr>
            <w:r>
              <w:rPr>
                <w:rFonts w:ascii="宋体" w:hAnsi="宋体" w:cs="宋体" w:eastAsia="宋体" w:hint="default"/>
                <w:sz w:val="18"/>
                <w:szCs w:val="18"/>
              </w:rPr>
              <w:t>具体变更详见公司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日于</w:t>
            </w:r>
          </w:p>
          <w:p>
            <w:pPr>
              <w:pStyle w:val="TableParagraph"/>
              <w:spacing w:line="321" w:lineRule="auto" w:before="36"/>
              <w:ind w:left="30" w:right="91"/>
              <w:jc w:val="left"/>
              <w:rPr>
                <w:rFonts w:ascii="宋体" w:hAnsi="宋体" w:cs="宋体" w:eastAsia="宋体" w:hint="default"/>
                <w:sz w:val="18"/>
                <w:szCs w:val="18"/>
              </w:rPr>
            </w:pPr>
            <w:r>
              <w:rPr>
                <w:rFonts w:ascii="宋体" w:hAnsi="宋体" w:cs="宋体" w:eastAsia="宋体" w:hint="default"/>
                <w:sz w:val="18"/>
                <w:szCs w:val="18"/>
              </w:rPr>
              <w:t>巨潮资讯网刊登的《关于会计政策变更 的公告》</w:t>
            </w:r>
          </w:p>
        </w:tc>
      </w:tr>
      <w:tr>
        <w:trPr>
          <w:trHeight w:val="380" w:hRule="exact"/>
        </w:trPr>
        <w:tc>
          <w:tcPr>
            <w:tcW w:w="3199" w:type="dxa"/>
            <w:tcBorders>
              <w:top w:val="nil" w:sz="6" w:space="0" w:color="auto"/>
              <w:left w:val="single" w:sz="6" w:space="0" w:color="000000"/>
              <w:bottom w:val="single" w:sz="6" w:space="0" w:color="000000"/>
              <w:right w:val="single" w:sz="6" w:space="0" w:color="000000"/>
            </w:tcBorders>
          </w:tcPr>
          <w:p>
            <w:pPr/>
          </w:p>
        </w:tc>
        <w:tc>
          <w:tcPr>
            <w:tcW w:w="31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14" w:right="0"/>
              <w:jc w:val="left"/>
              <w:rPr>
                <w:rFonts w:ascii="宋体" w:hAnsi="宋体" w:cs="宋体" w:eastAsia="宋体" w:hint="default"/>
                <w:sz w:val="18"/>
                <w:szCs w:val="18"/>
              </w:rPr>
            </w:pPr>
            <w:r>
              <w:rPr>
                <w:rFonts w:ascii="宋体" w:hAnsi="宋体" w:cs="宋体" w:eastAsia="宋体" w:hint="default"/>
                <w:sz w:val="18"/>
                <w:szCs w:val="18"/>
              </w:rPr>
              <w:t>议。</w:t>
            </w:r>
          </w:p>
        </w:tc>
        <w:tc>
          <w:tcPr>
            <w:tcW w:w="3199" w:type="dxa"/>
            <w:tcBorders>
              <w:top w:val="nil" w:sz="6" w:space="0" w:color="auto"/>
              <w:left w:val="single" w:sz="6" w:space="0" w:color="000000"/>
              <w:bottom w:val="single" w:sz="6" w:space="0" w:color="000000"/>
              <w:right w:val="single" w:sz="6" w:space="0" w:color="000000"/>
            </w:tcBorders>
          </w:tcPr>
          <w:p>
            <w:pPr/>
          </w:p>
        </w:tc>
      </w:tr>
      <w:tr>
        <w:trPr>
          <w:trHeight w:val="353" w:hRule="exact"/>
        </w:trPr>
        <w:tc>
          <w:tcPr>
            <w:tcW w:w="3199" w:type="dxa"/>
            <w:tcBorders>
              <w:top w:val="single" w:sz="6" w:space="0" w:color="000000"/>
              <w:left w:val="single" w:sz="6" w:space="0" w:color="000000"/>
              <w:bottom w:val="nil" w:sz="6" w:space="0" w:color="auto"/>
              <w:right w:val="single" w:sz="6" w:space="0" w:color="000000"/>
            </w:tcBorders>
          </w:tcPr>
          <w:p>
            <w:pPr/>
          </w:p>
        </w:tc>
        <w:tc>
          <w:tcPr>
            <w:tcW w:w="31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right="88"/>
              <w:jc w:val="righ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日召开第五届董</w:t>
            </w:r>
          </w:p>
        </w:tc>
        <w:tc>
          <w:tcPr>
            <w:tcW w:w="3199" w:type="dxa"/>
            <w:tcBorders>
              <w:top w:val="single" w:sz="6" w:space="0" w:color="000000"/>
              <w:left w:val="single" w:sz="6" w:space="0" w:color="000000"/>
              <w:bottom w:val="nil" w:sz="6" w:space="0" w:color="auto"/>
              <w:right w:val="single" w:sz="6" w:space="0" w:color="000000"/>
            </w:tcBorders>
          </w:tcPr>
          <w:p>
            <w:pPr/>
          </w:p>
        </w:tc>
      </w:tr>
      <w:tr>
        <w:trPr>
          <w:trHeight w:val="235" w:hRule="exact"/>
        </w:trPr>
        <w:tc>
          <w:tcPr>
            <w:tcW w:w="3199" w:type="dxa"/>
            <w:tcBorders>
              <w:top w:val="nil" w:sz="6" w:space="0" w:color="auto"/>
              <w:left w:val="single" w:sz="6" w:space="0" w:color="000000"/>
              <w:bottom w:val="nil" w:sz="6" w:space="0" w:color="auto"/>
              <w:right w:val="single" w:sz="6" w:space="0" w:color="000000"/>
            </w:tcBorders>
          </w:tcPr>
          <w:p>
            <w:pPr/>
          </w:p>
        </w:tc>
        <w:tc>
          <w:tcPr>
            <w:tcW w:w="3184" w:type="dxa"/>
            <w:tcBorders>
              <w:top w:val="nil" w:sz="6" w:space="0" w:color="auto"/>
              <w:left w:val="single" w:sz="6" w:space="0" w:color="000000"/>
              <w:bottom w:val="nil" w:sz="6" w:space="0" w:color="auto"/>
              <w:right w:val="single" w:sz="6" w:space="0" w:color="000000"/>
            </w:tcBorders>
          </w:tcPr>
          <w:p>
            <w:pPr>
              <w:pStyle w:val="TableParagraph"/>
              <w:spacing w:line="235" w:lineRule="exact"/>
              <w:ind w:right="92"/>
              <w:jc w:val="right"/>
              <w:rPr>
                <w:rFonts w:ascii="宋体" w:hAnsi="宋体" w:cs="宋体" w:eastAsia="宋体" w:hint="default"/>
                <w:sz w:val="18"/>
                <w:szCs w:val="18"/>
              </w:rPr>
            </w:pPr>
            <w:r>
              <w:rPr>
                <w:rFonts w:ascii="宋体" w:hAnsi="宋体" w:cs="宋体" w:eastAsia="宋体" w:hint="default"/>
                <w:sz w:val="18"/>
                <w:szCs w:val="18"/>
              </w:rPr>
              <w:t>事会第三次会议、第五届监事会第三次</w:t>
            </w:r>
          </w:p>
        </w:tc>
        <w:tc>
          <w:tcPr>
            <w:tcW w:w="3199" w:type="dxa"/>
            <w:tcBorders>
              <w:top w:val="nil" w:sz="6" w:space="0" w:color="auto"/>
              <w:left w:val="single" w:sz="6" w:space="0" w:color="000000"/>
              <w:bottom w:val="nil" w:sz="6" w:space="0" w:color="auto"/>
              <w:right w:val="single" w:sz="6" w:space="0" w:color="000000"/>
            </w:tcBorders>
          </w:tcPr>
          <w:p>
            <w:pPr/>
          </w:p>
        </w:tc>
      </w:tr>
      <w:tr>
        <w:trPr>
          <w:trHeight w:val="1629" w:hRule="exact"/>
        </w:trPr>
        <w:tc>
          <w:tcPr>
            <w:tcW w:w="3199" w:type="dxa"/>
            <w:tcBorders>
              <w:top w:val="nil" w:sz="6" w:space="0" w:color="auto"/>
              <w:left w:val="single" w:sz="6" w:space="0" w:color="000000"/>
              <w:bottom w:val="nil" w:sz="6" w:space="0" w:color="auto"/>
              <w:right w:val="single" w:sz="6" w:space="0" w:color="000000"/>
            </w:tcBorders>
          </w:tcPr>
          <w:p>
            <w:pPr>
              <w:pStyle w:val="TableParagraph"/>
              <w:spacing w:line="194" w:lineRule="exact"/>
              <w:ind w:left="15"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日发布修订后</w:t>
            </w:r>
          </w:p>
          <w:p>
            <w:pPr>
              <w:pStyle w:val="TableParagraph"/>
              <w:spacing w:line="295" w:lineRule="auto" w:before="51"/>
              <w:ind w:left="15" w:right="31"/>
              <w:jc w:val="left"/>
              <w:rPr>
                <w:rFonts w:ascii="宋体" w:hAnsi="宋体" w:cs="宋体" w:eastAsia="宋体" w:hint="default"/>
                <w:sz w:val="18"/>
                <w:szCs w:val="18"/>
              </w:rPr>
            </w:pPr>
            <w:r>
              <w:rPr>
                <w:rFonts w:ascii="宋体" w:hAnsi="宋体" w:cs="宋体" w:eastAsia="宋体" w:hint="default"/>
                <w:spacing w:val="-10"/>
                <w:sz w:val="18"/>
                <w:szCs w:val="18"/>
              </w:rPr>
              <w:t>的《企业会计准则第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20"/>
                <w:sz w:val="18"/>
                <w:szCs w:val="18"/>
              </w:rPr>
              <w:t>号</w:t>
            </w:r>
            <w:r>
              <w:rPr>
                <w:rFonts w:ascii="Times New Roman" w:hAnsi="Times New Roman" w:cs="Times New Roman" w:eastAsia="Times New Roman" w:hint="default"/>
                <w:spacing w:val="-20"/>
                <w:sz w:val="18"/>
                <w:szCs w:val="18"/>
              </w:rPr>
              <w:t>-</w:t>
            </w:r>
            <w:r>
              <w:rPr>
                <w:rFonts w:ascii="宋体" w:hAnsi="宋体" w:cs="宋体" w:eastAsia="宋体" w:hint="default"/>
                <w:spacing w:val="-20"/>
                <w:sz w:val="18"/>
                <w:szCs w:val="18"/>
              </w:rPr>
              <w:t>债务重组》（财</w:t>
            </w:r>
            <w:r>
              <w:rPr>
                <w:rFonts w:ascii="宋体" w:hAnsi="宋体" w:cs="宋体" w:eastAsia="宋体" w:hint="default"/>
                <w:sz w:val="18"/>
                <w:szCs w:val="18"/>
              </w:rPr>
              <w:t> </w:t>
            </w:r>
            <w:r>
              <w:rPr>
                <w:rFonts w:ascii="宋体" w:hAnsi="宋体" w:cs="宋体" w:eastAsia="宋体" w:hint="default"/>
                <w:spacing w:val="-4"/>
                <w:sz w:val="18"/>
                <w:szCs w:val="18"/>
              </w:rPr>
              <w:t>会〔</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号），要求所有执行企业会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计准则的企业自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日起执 行。</w:t>
            </w:r>
          </w:p>
        </w:tc>
        <w:tc>
          <w:tcPr>
            <w:tcW w:w="3184" w:type="dxa"/>
            <w:tcBorders>
              <w:top w:val="nil" w:sz="6" w:space="0" w:color="auto"/>
              <w:left w:val="single" w:sz="6" w:space="0" w:color="000000"/>
              <w:bottom w:val="nil" w:sz="6" w:space="0" w:color="auto"/>
              <w:right w:val="single" w:sz="6" w:space="0" w:color="000000"/>
            </w:tcBorders>
          </w:tcPr>
          <w:p>
            <w:pPr>
              <w:pStyle w:val="TableParagraph"/>
              <w:spacing w:line="316" w:lineRule="auto" w:before="79"/>
              <w:ind w:left="14" w:right="92"/>
              <w:jc w:val="both"/>
              <w:rPr>
                <w:rFonts w:ascii="宋体" w:hAnsi="宋体" w:cs="宋体" w:eastAsia="宋体" w:hint="default"/>
                <w:sz w:val="18"/>
                <w:szCs w:val="18"/>
              </w:rPr>
            </w:pPr>
            <w:r>
              <w:rPr>
                <w:rFonts w:ascii="宋体" w:hAnsi="宋体" w:cs="宋体" w:eastAsia="宋体" w:hint="default"/>
                <w:sz w:val="18"/>
                <w:szCs w:val="18"/>
              </w:rPr>
              <w:t>会议，审议通过了《关于会计政策变更 的议案》，根据《深圳证券交易所上市 公司规范运作指引》、公司《章程》等 相关法律法规及内部制度的规定，本次 会计政策变更无需提交公司股东大会审</w:t>
            </w:r>
          </w:p>
        </w:tc>
        <w:tc>
          <w:tcPr>
            <w:tcW w:w="3199"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04" w:lineRule="auto"/>
              <w:ind w:left="30" w:right="88"/>
              <w:jc w:val="both"/>
              <w:rPr>
                <w:rFonts w:ascii="宋体" w:hAnsi="宋体" w:cs="宋体" w:eastAsia="宋体" w:hint="default"/>
                <w:sz w:val="18"/>
                <w:szCs w:val="18"/>
              </w:rPr>
            </w:pPr>
            <w:r>
              <w:rPr>
                <w:rFonts w:ascii="宋体" w:hAnsi="宋体" w:cs="宋体" w:eastAsia="宋体" w:hint="default"/>
                <w:sz w:val="18"/>
                <w:szCs w:val="18"/>
              </w:rPr>
              <w:t>具体变更详见公司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日于 巨潮资讯网刊登的《关于会计政策变更 的公告》</w:t>
            </w:r>
          </w:p>
        </w:tc>
      </w:tr>
      <w:tr>
        <w:trPr>
          <w:trHeight w:val="365" w:hRule="exact"/>
        </w:trPr>
        <w:tc>
          <w:tcPr>
            <w:tcW w:w="3199" w:type="dxa"/>
            <w:tcBorders>
              <w:top w:val="nil" w:sz="6" w:space="0" w:color="auto"/>
              <w:left w:val="single" w:sz="6" w:space="0" w:color="000000"/>
              <w:bottom w:val="single" w:sz="6" w:space="0" w:color="000000"/>
              <w:right w:val="single" w:sz="6" w:space="0" w:color="000000"/>
            </w:tcBorders>
          </w:tcPr>
          <w:p>
            <w:pPr/>
          </w:p>
        </w:tc>
        <w:tc>
          <w:tcPr>
            <w:tcW w:w="318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left="14" w:right="0"/>
              <w:jc w:val="left"/>
              <w:rPr>
                <w:rFonts w:ascii="宋体" w:hAnsi="宋体" w:cs="宋体" w:eastAsia="宋体" w:hint="default"/>
                <w:sz w:val="18"/>
                <w:szCs w:val="18"/>
              </w:rPr>
            </w:pPr>
            <w:r>
              <w:rPr>
                <w:rFonts w:ascii="宋体" w:hAnsi="宋体" w:cs="宋体" w:eastAsia="宋体" w:hint="default"/>
                <w:sz w:val="18"/>
                <w:szCs w:val="18"/>
              </w:rPr>
              <w:t>议。</w:t>
            </w:r>
          </w:p>
        </w:tc>
        <w:tc>
          <w:tcPr>
            <w:tcW w:w="3199" w:type="dxa"/>
            <w:tcBorders>
              <w:top w:val="nil" w:sz="6" w:space="0" w:color="auto"/>
              <w:left w:val="single" w:sz="6" w:space="0" w:color="000000"/>
              <w:bottom w:val="single" w:sz="6" w:space="0" w:color="000000"/>
              <w:right w:val="single" w:sz="6" w:space="0" w:color="000000"/>
            </w:tcBorders>
          </w:tcPr>
          <w:p>
            <w:pPr/>
          </w:p>
        </w:tc>
      </w:tr>
      <w:tr>
        <w:trPr>
          <w:trHeight w:val="360" w:hRule="exact"/>
        </w:trPr>
        <w:tc>
          <w:tcPr>
            <w:tcW w:w="319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日发布修订后的</w:t>
            </w:r>
          </w:p>
        </w:tc>
        <w:tc>
          <w:tcPr>
            <w:tcW w:w="318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right="91"/>
              <w:jc w:val="righ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日召开第五届董</w:t>
            </w:r>
          </w:p>
        </w:tc>
        <w:tc>
          <w:tcPr>
            <w:tcW w:w="319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具体变更详见公司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日于</w:t>
            </w:r>
          </w:p>
        </w:tc>
      </w:tr>
      <w:tr>
        <w:trPr>
          <w:trHeight w:val="315" w:hRule="exact"/>
        </w:trPr>
        <w:tc>
          <w:tcPr>
            <w:tcW w:w="319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7"/>
              <w:ind w:left="15"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收入》（财会</w:t>
            </w:r>
          </w:p>
        </w:tc>
        <w:tc>
          <w:tcPr>
            <w:tcW w:w="3184"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right="92"/>
              <w:jc w:val="right"/>
              <w:rPr>
                <w:rFonts w:ascii="宋体" w:hAnsi="宋体" w:cs="宋体" w:eastAsia="宋体" w:hint="default"/>
                <w:sz w:val="18"/>
                <w:szCs w:val="18"/>
              </w:rPr>
            </w:pPr>
            <w:r>
              <w:rPr>
                <w:rFonts w:ascii="宋体" w:hAnsi="宋体" w:cs="宋体" w:eastAsia="宋体" w:hint="default"/>
                <w:sz w:val="18"/>
                <w:szCs w:val="18"/>
              </w:rPr>
              <w:t>事会第三次会议、第五届监事会第三次</w:t>
            </w:r>
          </w:p>
        </w:tc>
        <w:tc>
          <w:tcPr>
            <w:tcW w:w="3199" w:type="dxa"/>
            <w:tcBorders>
              <w:top w:val="nil" w:sz="6" w:space="0" w:color="auto"/>
              <w:left w:val="single" w:sz="6" w:space="0" w:color="000000"/>
              <w:bottom w:val="single" w:sz="6" w:space="0" w:color="000000"/>
              <w:right w:val="single" w:sz="6" w:space="0" w:color="000000"/>
            </w:tcBorders>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巨潮资讯网刊登的《关于会计政策变更</w:t>
            </w:r>
          </w:p>
        </w:tc>
      </w:tr>
    </w:tbl>
    <w:p>
      <w:pPr>
        <w:spacing w:after="0" w:line="228" w:lineRule="exact"/>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192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4"/>
              <w:ind w:left="15" w:right="1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号），要求在境内外同时上 市的企业以及在境外上市并采用国际财 务报告准则或企业会计准则编制财务报</w:t>
            </w:r>
          </w:p>
          <w:p>
            <w:pPr>
              <w:pStyle w:val="TableParagraph"/>
              <w:spacing w:line="240" w:lineRule="auto" w:before="51"/>
              <w:ind w:left="15" w:right="0"/>
              <w:jc w:val="both"/>
              <w:rPr>
                <w:rFonts w:ascii="宋体" w:hAnsi="宋体" w:cs="宋体" w:eastAsia="宋体" w:hint="default"/>
                <w:sz w:val="18"/>
                <w:szCs w:val="18"/>
              </w:rPr>
            </w:pPr>
            <w:r>
              <w:rPr>
                <w:rFonts w:ascii="宋体" w:hAnsi="宋体" w:cs="宋体" w:eastAsia="宋体" w:hint="default"/>
                <w:sz w:val="18"/>
                <w:szCs w:val="18"/>
              </w:rPr>
              <w:t>表的企业自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日起施行该准</w:t>
            </w:r>
          </w:p>
          <w:p>
            <w:pPr>
              <w:pStyle w:val="TableParagraph"/>
              <w:spacing w:line="240" w:lineRule="auto" w:before="66"/>
              <w:ind w:left="1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则，其他境内上市企业自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51"/>
              <w:ind w:left="15" w:right="0"/>
              <w:jc w:val="both"/>
              <w:rPr>
                <w:rFonts w:ascii="宋体" w:hAnsi="宋体" w:cs="宋体" w:eastAsia="宋体" w:hint="default"/>
                <w:sz w:val="18"/>
                <w:szCs w:val="18"/>
              </w:rPr>
            </w:pPr>
            <w:r>
              <w:rPr>
                <w:rFonts w:ascii="宋体" w:hAnsi="宋体" w:cs="宋体" w:eastAsia="宋体" w:hint="default"/>
                <w:sz w:val="18"/>
                <w:szCs w:val="18"/>
              </w:rPr>
              <w:t>日起施行该准则。</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ind w:left="14" w:right="92"/>
              <w:jc w:val="both"/>
              <w:rPr>
                <w:rFonts w:ascii="宋体" w:hAnsi="宋体" w:cs="宋体" w:eastAsia="宋体" w:hint="default"/>
                <w:sz w:val="18"/>
                <w:szCs w:val="18"/>
              </w:rPr>
            </w:pPr>
            <w:r>
              <w:rPr>
                <w:rFonts w:ascii="宋体" w:hAnsi="宋体" w:cs="宋体" w:eastAsia="宋体" w:hint="default"/>
                <w:sz w:val="18"/>
                <w:szCs w:val="18"/>
              </w:rPr>
              <w:t>会议，审议通过了《关于会计政策变更 的议案》，根据《深圳证券交易所上市 公司规范运作指引》、公司《章程》等 相关法律法规及内部制度的规定，本次 会计政策变更无需提交公司股东大会审 议。</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的公告》</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9"/>
          <w:szCs w:val="29"/>
        </w:rPr>
      </w:pPr>
    </w:p>
    <w:p>
      <w:pPr>
        <w:pStyle w:val="Heading5"/>
        <w:spacing w:line="240" w:lineRule="auto" w:before="45"/>
        <w:ind w:right="0"/>
        <w:jc w:val="left"/>
        <w:rPr>
          <w:b w:val="0"/>
          <w:bCs w:val="0"/>
        </w:rPr>
      </w:pPr>
      <w:bookmarkStart w:name="（2）重要会计估计变更" w:id="229"/>
      <w:bookmarkEnd w:id="229"/>
      <w:r>
        <w:rPr>
          <w:b w:val="0"/>
          <w:bCs w:val="0"/>
        </w:rPr>
      </w:r>
      <w:r>
        <w:rPr>
          <w:spacing w:val="5"/>
        </w:rPr>
        <w:t>（</w:t>
      </w:r>
      <w:r>
        <w:rPr>
          <w:rFonts w:ascii="Times New Roman" w:hAnsi="Times New Roman" w:cs="Times New Roman" w:eastAsia="Times New Roman" w:hint="default"/>
          <w:spacing w:val="5"/>
        </w:rPr>
        <w:t>2</w:t>
      </w:r>
      <w:r>
        <w:rPr>
          <w:spacing w:val="5"/>
        </w:rPr>
        <w:t>）重要会计估计变更</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3）2019年起执行新金融工具准则、新收入准则或新租赁准则调整执行当年年初财务" w:id="230"/>
      <w:bookmarkEnd w:id="230"/>
      <w:r>
        <w:rPr>
          <w:b w:val="0"/>
          <w:bCs w:val="0"/>
        </w:rPr>
      </w:r>
      <w:r>
        <w:rPr>
          <w:spacing w:val="3"/>
        </w:rPr>
        <w:t>（</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2019    </w:t>
      </w:r>
      <w:r>
        <w:rPr>
          <w:rFonts w:ascii="Times New Roman" w:hAnsi="Times New Roman" w:cs="Times New Roman" w:eastAsia="Times New Roman" w:hint="default"/>
          <w:spacing w:val="46"/>
        </w:rPr>
        <w:t> </w:t>
      </w:r>
      <w:r>
        <w:rPr>
          <w:spacing w:val="5"/>
        </w:rPr>
        <w:t>年起执行新金融工具准则、新收入准则或新租赁准则调整执行当年年初财务报表相关项目情况</w:t>
      </w:r>
      <w:r>
        <w:rPr>
          <w:b w:val="0"/>
          <w:bCs w:val="0"/>
          <w:spacing w:val="5"/>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50"/>
          <w:pgMar w:header="731" w:footer="981" w:top="1040" w:bottom="1180" w:left="1000" w:right="0"/>
        </w:sectPr>
      </w:pPr>
    </w:p>
    <w:p>
      <w:pPr>
        <w:pStyle w:val="BodyText"/>
        <w:spacing w:line="331"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1538" w:space="7398"/>
            <w:col w:w="197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435,537,315.04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435,537,315.04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7,045,503.53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7,045,503.53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691,991,457.68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691,991,457.68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3,540,371.56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3,540,371.56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36,364,360.85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36,364,360.85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324,236.89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324,236.89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391,109,373.54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391,109,373.54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15,671,551.19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15,671,551.19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1,581,259,933.39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1,581,259,933.39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98,344,148.68</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-98,344,148.68</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2,400,087.79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2,400,087.79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138,351,411.60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138,351,411.60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180,524,359.39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180,524,359.39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1,234,307,153.03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1,234,307,153.03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165,595,023.06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165,595,023.06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56,457,089.60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56,457,089.60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79,231,272.35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79,231,272.35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46,275,418.00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46,275,418.00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25,156,060.87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25,156,060.87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1,888,290,612.77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1,928,297,875.69</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40,007,262.92</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3,469,550,546.16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3,509,557,809.08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40,007,262.92</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264,781,903.60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264,781,903.60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186,418,052.15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186,418,052.15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731,251,307.88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731,251,307.88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20,758,008.89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20,758,008.89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87"/>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87"/>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39,410,254.80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39,410,254.80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42,573,634.10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42,573,634.10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45,368,521.24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45,368,521.24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2,868,509.53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2,868,509.53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11,000,000.00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11,000,000.00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1,341,561,682.66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1,341,561,682.66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120,000,000.00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120,000,000.00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25,992,907.90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25,992,907.90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8,464,355.60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8,464,355.60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145,992,907.90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154,457,263.50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8,464,355.60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1,487,554,590.56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1,496,018,946.16</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8,464,355.60</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579,971,704.00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579,971,704.00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1,302,061,405.04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1,302,061,405.04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13,994,925.00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13,994,925.00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-35,142.49</w:t>
            </w:r>
            <w:r>
              <w:rPr>
                <w:rFonts w:ascii="Times New Roman"/>
                <w:sz w:val="18"/>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-35,142.49</w:t>
            </w:r>
            <w:r>
              <w:rPr>
                <w:rFonts w:ascii="Times New Roman"/>
                <w:sz w:val="18"/>
              </w:rPr>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73,608,812.41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73,608,812.41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43,483,948.89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75,026,856.21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31,542,907.32</w:t>
            </w: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18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1,985,095,802.85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2,016,638,710.17</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31,542,907.32</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w w:val="95"/>
                <w:sz w:val="18"/>
              </w:rPr>
              <w:t>-3,099,847.25</w:t>
            </w:r>
            <w:r>
              <w:rPr>
                <w:rFonts w:ascii="Times New Roman"/>
                <w:sz w:val="18"/>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-3,099,847.25</w:t>
            </w:r>
            <w:r>
              <w:rPr>
                <w:rFonts w:ascii="Times New Roman"/>
                <w:sz w:val="18"/>
              </w:rPr>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1,981,995,955.60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2,013,538,862.92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31,542,907.32</w:t>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3,469,550,546.16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3,509,557,809.08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40,007,262.92</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352" w:lineRule="auto" w:before="44"/>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1582" w:space="7354"/>
            <w:col w:w="1974"/>
          </w:cols>
        </w:sectPr>
      </w:pP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1307" w:right="0"/>
              <w:jc w:val="left"/>
              <w:rPr>
                <w:rFonts w:ascii="Times New Roman" w:hAnsi="Times New Roman" w:cs="Times New Roman" w:eastAsia="Times New Roman" w:hint="default"/>
                <w:sz w:val="18"/>
                <w:szCs w:val="18"/>
              </w:rPr>
            </w:pPr>
            <w:r>
              <w:rPr>
                <w:rFonts w:ascii="Times New Roman"/>
                <w:sz w:val="18"/>
              </w:rPr>
              <w:t>219,184,561.75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91" w:right="0"/>
              <w:jc w:val="left"/>
              <w:rPr>
                <w:rFonts w:ascii="Times New Roman" w:hAnsi="Times New Roman" w:cs="Times New Roman" w:eastAsia="Times New Roman" w:hint="default"/>
                <w:sz w:val="18"/>
                <w:szCs w:val="18"/>
              </w:rPr>
            </w:pPr>
            <w:r>
              <w:rPr>
                <w:rFonts w:ascii="Times New Roman"/>
                <w:sz w:val="18"/>
              </w:rPr>
              <w:t>219,184,561.75</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528,641,149.86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528,641,149.86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363,374.80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363,374.80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935,280,870.41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935,280,870.41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324,236.89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324,236.89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76,963,250.64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76,963,250.64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3,111,822.07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3,111,822.07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1,763,545,029.53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1,763,545,029.53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28,331,648.68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-28,331,648.68</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929,904,823.29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929,904,823.29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43,706,250.00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43,706,250.00</w:t>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332,159,153.73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332,159,153.73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22,569,202.67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22,569,202.67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15,837,918.71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15,837,918.71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4,511,772.84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4,511,772.84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1,185,308.87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1,185,308.87</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1,334,499,828.79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1,349,874,430.11</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15,374,601.32</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3,098,044,858.32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3,113,419,459.64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15,374,601.32</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189,500,000.00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189,500,000.00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112,000,000.00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112,000,000.00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359,354,747.03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359,354,747.03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4,091,438.57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4,091,438.57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6,933,100.26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6,933,100.26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8,601,709.04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8,601,709.04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78,636,536.08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78,636,536.08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7"/>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2,606,829.48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2,606,829.48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66"/>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759,117,530.98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759,117,530.98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7"/>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8,631,803.04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8,631,803.04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2,306,190.20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2,306,190.20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8,631,803.04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10,937,993.24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2,306,190.20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767,749,334.02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770,055,524.22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2,306,190.20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579,971,704.00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579,971,704.00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1,297,492,952.36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1,297,492,952.36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13,994,925.00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13,994,925.00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73,608,812.41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73,608,812.41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393,216,980.53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406,285,391.65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13,068,411.12</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2,330,295,524.30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2,343,363,935.42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13,068,411.12</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3,098,044,858.32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3,113,419,459.64</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15,374,601.32</w:t>
            </w:r>
          </w:p>
        </w:tc>
      </w:tr>
    </w:tbl>
    <w:p>
      <w:pPr>
        <w:pStyle w:val="BodyText"/>
        <w:spacing w:line="240" w:lineRule="auto" w:before="45"/>
        <w:ind w:right="0"/>
        <w:jc w:val="left"/>
      </w:pPr>
      <w:r>
        <w:rPr/>
        <w:t>调整情况说明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4）2019年起执行新金融工具准则或新租赁准则追溯调整前期比较数据说明" w:id="231"/>
      <w:bookmarkEnd w:id="231"/>
      <w:r>
        <w:rPr>
          <w:b w:val="0"/>
          <w:bCs w:val="0"/>
        </w:rPr>
      </w:r>
      <w:r>
        <w:rPr>
          <w:spacing w:val="3"/>
        </w:rPr>
        <w:t>（</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2019   </w:t>
      </w:r>
      <w:r>
        <w:rPr>
          <w:rFonts w:ascii="Times New Roman" w:hAnsi="Times New Roman" w:cs="Times New Roman" w:eastAsia="Times New Roman" w:hint="default"/>
          <w:spacing w:val="25"/>
        </w:rPr>
        <w:t> </w:t>
      </w:r>
      <w:r>
        <w:rPr>
          <w:spacing w:val="5"/>
        </w:rPr>
        <w:t>年起执行新金融工具准则或新租赁准则追溯调整前期比较数据说明</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45、其他" w:id="232"/>
      <w:bookmarkEnd w:id="232"/>
      <w:r>
        <w:rPr>
          <w:b w:val="0"/>
          <w:bCs w:val="0"/>
        </w:rPr>
      </w:r>
      <w:r>
        <w:rPr>
          <w:rFonts w:ascii="Times New Roman" w:hAnsi="Times New Roman" w:cs="Times New Roman" w:eastAsia="Times New Roman" w:hint="default"/>
          <w:spacing w:val="5"/>
        </w:rPr>
        <w:t>45</w:t>
      </w:r>
      <w:r>
        <w:rPr>
          <w:spacing w:val="5"/>
        </w:rPr>
        <w:t>、其他</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六、税项" w:id="233"/>
      <w:bookmarkEnd w:id="233"/>
      <w:r>
        <w:rPr>
          <w:b w:val="0"/>
          <w:bCs w:val="0"/>
        </w:rPr>
      </w:r>
      <w:r>
        <w:rPr/>
        <w:t>六、税项</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left"/>
        <w:rPr>
          <w:b w:val="0"/>
          <w:bCs w:val="0"/>
        </w:rPr>
      </w:pPr>
      <w:bookmarkStart w:name="1、主要税种及税率" w:id="234"/>
      <w:bookmarkEnd w:id="234"/>
      <w:r>
        <w:rPr>
          <w:b w:val="0"/>
          <w:bCs w:val="0"/>
        </w:rPr>
      </w:r>
      <w:r>
        <w:rPr>
          <w:rFonts w:ascii="Times New Roman" w:hAnsi="Times New Roman" w:cs="Times New Roman" w:eastAsia="Times New Roman" w:hint="default"/>
          <w:spacing w:val="5"/>
        </w:rPr>
        <w:t>1</w:t>
      </w:r>
      <w:r>
        <w:rPr>
          <w:spacing w:val="5"/>
        </w:rPr>
        <w:t>、主要税种及税率</w:t>
      </w:r>
      <w:r>
        <w:rPr>
          <w:b w:val="0"/>
          <w:bCs w:val="0"/>
          <w:spacing w:val="5"/>
        </w:rPr>
      </w: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税种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销售货物、应税销售服务收入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pStyle w:val="BodyText"/>
        <w:spacing w:line="240" w:lineRule="auto" w:before="45"/>
        <w:ind w:right="0"/>
        <w:jc w:val="left"/>
      </w:pPr>
      <w:r>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卓翼香港</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卓大精密</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中广物联</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卓翼营销</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16.5%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中广互联</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卓翼智造</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翼飞投资</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卓博机器</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江西卓翼</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翼丰盛</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武汉卓翼</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卓华联盛</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税收优惠" w:id="235"/>
      <w:bookmarkEnd w:id="235"/>
      <w:r>
        <w:rPr>
          <w:b w:val="0"/>
          <w:bCs w:val="0"/>
        </w:rPr>
      </w:r>
      <w:r>
        <w:rPr>
          <w:rFonts w:ascii="Times New Roman" w:hAnsi="Times New Roman" w:cs="Times New Roman" w:eastAsia="Times New Roman" w:hint="default"/>
          <w:spacing w:val="5"/>
        </w:rPr>
        <w:t>2</w:t>
      </w:r>
      <w:r>
        <w:rPr>
          <w:spacing w:val="5"/>
        </w:rPr>
        <w:t>、税收优惠</w:t>
      </w:r>
      <w:r>
        <w:rPr>
          <w:b w:val="0"/>
          <w:bCs w:val="0"/>
          <w:spacing w:val="5"/>
        </w:rPr>
      </w:r>
    </w:p>
    <w:p>
      <w:pPr>
        <w:spacing w:line="240" w:lineRule="auto" w:before="11"/>
        <w:rPr>
          <w:rFonts w:ascii="宋体" w:hAnsi="宋体" w:cs="宋体" w:eastAsia="宋体" w:hint="default"/>
          <w:b/>
          <w:bCs/>
          <w:sz w:val="27"/>
          <w:szCs w:val="27"/>
        </w:rPr>
      </w:pPr>
    </w:p>
    <w:p>
      <w:pPr>
        <w:pStyle w:val="BodyText"/>
        <w:spacing w:line="297" w:lineRule="auto"/>
        <w:ind w:right="1038"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日本公司通过深圳市科技工贸和信息化委员会、深圳市财政委员会、深圳市国家税务局、深圳市地方 税务局联合的高新技术企业的复审，并取得证书编号为</w:t>
      </w:r>
      <w:r>
        <w:rPr>
          <w:rFonts w:ascii="Times New Roman" w:hAnsi="Times New Roman" w:cs="Times New Roman" w:eastAsia="Times New Roman" w:hint="default"/>
        </w:rPr>
        <w:t>GR201744203325</w:t>
      </w:r>
      <w:r>
        <w:rPr/>
        <w:t>号高新技术企业证书，有效期为三年。根据相关税</w:t>
      </w:r>
      <w:r>
        <w:rPr>
          <w:spacing w:val="-81"/>
        </w:rPr>
        <w:t> </w:t>
      </w:r>
      <w:r>
        <w:rPr>
          <w:spacing w:val="-3"/>
        </w:rPr>
        <w:t>收规定，公司将自</w:t>
      </w:r>
      <w:r>
        <w:rPr>
          <w:rFonts w:ascii="Times New Roman" w:hAnsi="Times New Roman" w:cs="Times New Roman" w:eastAsia="Times New Roman" w:hint="default"/>
          <w:spacing w:val="-3"/>
        </w:rPr>
        <w:t>2017</w:t>
      </w:r>
      <w:r>
        <w:rPr>
          <w:spacing w:val="-3"/>
        </w:rPr>
        <w:t>年起连续三年享受高新技术企业的相关税收优惠政策，</w:t>
      </w:r>
      <w:r>
        <w:rPr>
          <w:rFonts w:ascii="Times New Roman" w:hAnsi="Times New Roman" w:cs="Times New Roman" w:eastAsia="Times New Roman" w:hint="default"/>
          <w:spacing w:val="-3"/>
        </w:rPr>
        <w:t>2017</w:t>
      </w:r>
      <w:r>
        <w:rPr>
          <w:spacing w:val="-3"/>
        </w:rPr>
        <w:t>年至</w:t>
      </w:r>
      <w:r>
        <w:rPr>
          <w:rFonts w:ascii="Times New Roman" w:hAnsi="Times New Roman" w:cs="Times New Roman" w:eastAsia="Times New Roman" w:hint="default"/>
          <w:spacing w:val="-3"/>
        </w:rPr>
        <w:t>2019</w:t>
      </w:r>
      <w:r>
        <w:rPr>
          <w:spacing w:val="-3"/>
        </w:rPr>
        <w:t>年按</w:t>
      </w:r>
      <w:r>
        <w:rPr>
          <w:rFonts w:ascii="Times New Roman" w:hAnsi="Times New Roman" w:cs="Times New Roman" w:eastAsia="Times New Roman" w:hint="default"/>
          <w:spacing w:val="-3"/>
        </w:rPr>
        <w:t>15%</w:t>
      </w:r>
      <w:r>
        <w:rPr>
          <w:spacing w:val="-3"/>
        </w:rPr>
        <w:t>的税率计缴企业所得税。</w:t>
      </w:r>
    </w:p>
    <w:p>
      <w:pPr>
        <w:pStyle w:val="BodyText"/>
        <w:spacing w:line="304" w:lineRule="auto" w:before="18"/>
        <w:ind w:right="1136" w:firstLine="420"/>
        <w:jc w:val="both"/>
      </w:pPr>
      <w:r>
        <w:rPr>
          <w:rFonts w:ascii="Times New Roman" w:hAnsi="Times New Roman" w:cs="Times New Roman" w:eastAsia="Times New Roman" w:hint="default"/>
        </w:rPr>
        <w:t>2</w:t>
      </w:r>
      <w:r>
        <w:rPr/>
        <w:t>、本公司下属全资子公司卓翼香港的公司利得税税率为</w:t>
      </w:r>
      <w:r>
        <w:rPr>
          <w:rFonts w:ascii="Times New Roman" w:hAnsi="Times New Roman" w:cs="Times New Roman" w:eastAsia="Times New Roman" w:hint="default"/>
        </w:rPr>
        <w:t>16.5%</w:t>
      </w:r>
      <w:r>
        <w:rPr/>
        <w:t>，根据香港税则的规定，仅对来自香港或者在香港产生 </w:t>
      </w:r>
      <w:r>
        <w:rPr>
          <w:spacing w:val="-2"/>
        </w:rPr>
        <w:t>的利润才需要缴纳公司利得税，卓翼香港全部利润均来源于香港以外的地区，已经香港税务主管部门认定通过，卓翼香港不</w:t>
      </w:r>
      <w:r>
        <w:rPr>
          <w:spacing w:val="-75"/>
        </w:rPr>
        <w:t> </w:t>
      </w:r>
      <w:r>
        <w:rPr>
          <w:spacing w:val="-75"/>
        </w:rPr>
      </w:r>
      <w:r>
        <w:rPr/>
        <w:t>需缴纳公司利得税。</w:t>
      </w:r>
    </w:p>
    <w:p>
      <w:pPr>
        <w:pStyle w:val="BodyText"/>
        <w:spacing w:line="295" w:lineRule="auto" w:before="46"/>
        <w:ind w:right="1095" w:firstLine="420"/>
        <w:jc w:val="both"/>
      </w:pPr>
      <w:r>
        <w:rPr>
          <w:rFonts w:ascii="Times New Roman" w:hAnsi="Times New Roman" w:cs="Times New Roman" w:eastAsia="Times New Roman" w:hint="default"/>
          <w:spacing w:val="-2"/>
        </w:rPr>
        <w:t>3</w:t>
      </w:r>
      <w:r>
        <w:rPr>
          <w:spacing w:val="-2"/>
        </w:rPr>
        <w:t>、本公司下属全资子公司中广物联于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24</w:t>
      </w:r>
      <w:r>
        <w:rPr>
          <w:spacing w:val="-2"/>
        </w:rPr>
        <w:t>日取得深圳市国家税务局深国税南减免备案</w:t>
      </w:r>
      <w:r>
        <w:rPr>
          <w:rFonts w:ascii="Times New Roman" w:hAnsi="Times New Roman" w:cs="Times New Roman" w:eastAsia="Times New Roman" w:hint="default"/>
          <w:spacing w:val="-2"/>
        </w:rPr>
        <w:t>[2014]738</w:t>
      </w:r>
      <w:r>
        <w:rPr>
          <w:spacing w:val="-2"/>
        </w:rPr>
        <w:t>号通知书，可</w:t>
      </w:r>
      <w:r>
        <w:rPr/>
        <w:t> 根据《财政部国家税务总局关于进一步鼓励软件产业和集成电路产业发展企业得税政策的通知》（财税</w:t>
      </w:r>
      <w:r>
        <w:rPr>
          <w:rFonts w:ascii="Times New Roman" w:hAnsi="Times New Roman" w:cs="Times New Roman" w:eastAsia="Times New Roman" w:hint="default"/>
        </w:rPr>
        <w:t>[2012]27</w:t>
      </w:r>
      <w:r>
        <w:rPr/>
        <w:t>号）规定，</w:t>
      </w:r>
      <w:r>
        <w:rPr>
          <w:spacing w:val="-80"/>
        </w:rPr>
        <w:t> </w:t>
      </w:r>
      <w:r>
        <w:rPr/>
        <w:t>从开始获利年度起，享受两免三减半的企业所得税优惠政策，截止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日，中广物联尚未盈利。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6"/>
        <w:spacing w:line="240" w:lineRule="auto"/>
        <w:ind w:right="0"/>
        <w:jc w:val="left"/>
        <w:rPr>
          <w:b w:val="0"/>
          <w:bCs w:val="0"/>
        </w:rPr>
      </w:pPr>
      <w:bookmarkStart w:name="3、其他" w:id="236"/>
      <w:bookmarkEnd w:id="236"/>
      <w:r>
        <w:rPr>
          <w:b w:val="0"/>
          <w:bCs w:val="0"/>
        </w:rPr>
      </w:r>
      <w:r>
        <w:rPr>
          <w:rFonts w:ascii="Times New Roman" w:hAnsi="Times New Roman" w:cs="Times New Roman" w:eastAsia="Times New Roman" w:hint="default"/>
        </w:rPr>
        <w:t>3</w:t>
      </w:r>
      <w:r>
        <w:rPr/>
        <w:t>、其他</w:t>
      </w:r>
      <w:r>
        <w:rPr>
          <w:b w:val="0"/>
          <w:bCs w:val="0"/>
        </w:rPr>
      </w:r>
    </w:p>
    <w:p>
      <w:pPr>
        <w:spacing w:line="240" w:lineRule="auto" w:before="0"/>
        <w:rPr>
          <w:rFonts w:ascii="宋体" w:hAnsi="宋体" w:cs="宋体" w:eastAsia="宋体" w:hint="default"/>
          <w:b/>
          <w:bCs/>
          <w:sz w:val="18"/>
          <w:szCs w:val="18"/>
        </w:rPr>
      </w:pPr>
    </w:p>
    <w:p>
      <w:pPr>
        <w:pStyle w:val="BodyText"/>
        <w:spacing w:line="240" w:lineRule="auto" w:before="130"/>
        <w:ind w:left="441" w:right="0"/>
        <w:jc w:val="left"/>
      </w:pPr>
      <w:r>
        <w:rPr/>
        <w:t>本公司属生产型出口企业，出口销售收入按</w:t>
      </w:r>
      <w:r>
        <w:rPr>
          <w:rFonts w:ascii="Times New Roman" w:hAnsi="Times New Roman" w:cs="Times New Roman" w:eastAsia="Times New Roman" w:hint="default"/>
        </w:rPr>
        <w:t>“</w:t>
      </w:r>
      <w:r>
        <w:rPr/>
        <w:t>免、抵、退</w:t>
      </w:r>
      <w:r>
        <w:rPr>
          <w:rFonts w:ascii="Times New Roman" w:hAnsi="Times New Roman" w:cs="Times New Roman" w:eastAsia="Times New Roman" w:hint="default"/>
        </w:rPr>
        <w:t>”</w:t>
      </w:r>
      <w:r>
        <w:rPr/>
        <w:t>办法进行申报。</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七、合并财务报表项目注释" w:id="237"/>
      <w:bookmarkEnd w:id="237"/>
      <w:r>
        <w:rPr>
          <w:b w:val="0"/>
          <w:bCs w:val="0"/>
        </w:rPr>
      </w:r>
      <w:r>
        <w:rPr/>
        <w:t>七、合并财务报表项目注释</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货币资金" w:id="238"/>
      <w:bookmarkEnd w:id="238"/>
      <w:r>
        <w:rPr>
          <w:b w:val="0"/>
          <w:bCs w:val="0"/>
        </w:rPr>
      </w:r>
      <w:r>
        <w:rPr>
          <w:rFonts w:ascii="Times New Roman" w:hAnsi="Times New Roman" w:cs="Times New Roman" w:eastAsia="Times New Roman" w:hint="default"/>
          <w:spacing w:val="5"/>
        </w:rPr>
        <w:t>1</w:t>
      </w:r>
      <w:r>
        <w:rPr>
          <w:spacing w:val="5"/>
        </w:rPr>
        <w:t>、货币资金</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63,149.88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70,476.83</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495,701,487.42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362,129,615.52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45,426,925.70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73,337,222.69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541,191,563.00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435,537,315.04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69,148,926.11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10,585,070.97</w:t>
            </w:r>
          </w:p>
        </w:tc>
      </w:tr>
      <w:tr>
        <w:trPr>
          <w:trHeight w:val="7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91" w:firstLine="721"/>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52,954,679.25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80,739,335.62</w:t>
            </w:r>
          </w:p>
        </w:tc>
      </w:tr>
    </w:tbl>
    <w:p>
      <w:pPr>
        <w:pStyle w:val="BodyText"/>
        <w:spacing w:line="240" w:lineRule="auto" w:before="44"/>
        <w:ind w:right="0"/>
        <w:jc w:val="left"/>
      </w:pPr>
      <w:r>
        <w:rPr/>
        <w:t>其他说明</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821"/>
        <w:gridCol w:w="1952"/>
        <w:gridCol w:w="1938"/>
      </w:tblGrid>
      <w:tr>
        <w:trPr>
          <w:trHeight w:val="331"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其中受限制的货币资金明细如下：</w:t>
            </w:r>
          </w:p>
        </w:tc>
        <w:tc>
          <w:tcPr>
            <w:tcW w:w="1952" w:type="dxa"/>
            <w:tcBorders>
              <w:top w:val="single" w:sz="6" w:space="0" w:color="000000"/>
              <w:left w:val="single" w:sz="6" w:space="0" w:color="000000"/>
              <w:bottom w:val="single" w:sz="6" w:space="0" w:color="000000"/>
              <w:right w:val="single" w:sz="6" w:space="0" w:color="000000"/>
            </w:tcBorders>
          </w:tcPr>
          <w:p>
            <w:pPr/>
          </w:p>
        </w:tc>
        <w:tc>
          <w:tcPr>
            <w:tcW w:w="193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5"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90" w:right="0"/>
              <w:jc w:val="left"/>
              <w:rPr>
                <w:rFonts w:ascii="Times New Roman" w:hAnsi="Times New Roman" w:cs="Times New Roman" w:eastAsia="Times New Roman" w:hint="default"/>
                <w:sz w:val="18"/>
                <w:szCs w:val="18"/>
              </w:rPr>
            </w:pPr>
            <w:r>
              <w:rPr>
                <w:rFonts w:ascii="Times New Roman"/>
                <w:sz w:val="18"/>
              </w:rPr>
              <w:t>44,647,108.51</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5" w:right="0"/>
              <w:jc w:val="left"/>
              <w:rPr>
                <w:rFonts w:ascii="Times New Roman" w:hAnsi="Times New Roman" w:cs="Times New Roman" w:eastAsia="Times New Roman" w:hint="default"/>
                <w:sz w:val="18"/>
                <w:szCs w:val="18"/>
              </w:rPr>
            </w:pPr>
            <w:r>
              <w:rPr>
                <w:rFonts w:ascii="Times New Roman"/>
                <w:sz w:val="18"/>
              </w:rPr>
              <w:t>72,395,659.63</w:t>
            </w:r>
          </w:p>
        </w:tc>
      </w:tr>
      <w:tr>
        <w:trPr>
          <w:trHeight w:val="346"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借款保证金</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11"/>
              <w:jc w:val="right"/>
              <w:rPr>
                <w:rFonts w:ascii="Times New Roman" w:hAnsi="Times New Roman" w:cs="Times New Roman" w:eastAsia="Times New Roman" w:hint="default"/>
                <w:sz w:val="18"/>
                <w:szCs w:val="18"/>
              </w:rPr>
            </w:pPr>
            <w:r>
              <w:rPr>
                <w:rFonts w:ascii="Times New Roman"/>
                <w:sz w:val="18"/>
              </w:rPr>
              <w:t>325,000.00</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00" w:right="0"/>
              <w:jc w:val="left"/>
              <w:rPr>
                <w:rFonts w:ascii="Times New Roman" w:hAnsi="Times New Roman" w:cs="Times New Roman" w:eastAsia="Times New Roman" w:hint="default"/>
                <w:sz w:val="18"/>
                <w:szCs w:val="18"/>
              </w:rPr>
            </w:pPr>
            <w:r>
              <w:rPr>
                <w:rFonts w:ascii="Times New Roman"/>
                <w:sz w:val="18"/>
              </w:rPr>
              <w:t>941,563.06</w:t>
            </w:r>
          </w:p>
        </w:tc>
      </w:tr>
      <w:tr>
        <w:trPr>
          <w:trHeight w:val="345"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诉讼冻结资金</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65" w:right="0"/>
              <w:jc w:val="left"/>
              <w:rPr>
                <w:rFonts w:ascii="Times New Roman" w:hAnsi="Times New Roman" w:cs="Times New Roman" w:eastAsia="Times New Roman" w:hint="default"/>
                <w:sz w:val="18"/>
                <w:szCs w:val="18"/>
              </w:rPr>
            </w:pPr>
            <w:r>
              <w:rPr>
                <w:rFonts w:ascii="Times New Roman"/>
                <w:sz w:val="18"/>
              </w:rPr>
              <w:t>7,523,845.20</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00" w:right="0"/>
              <w:jc w:val="left"/>
              <w:rPr>
                <w:rFonts w:ascii="Times New Roman" w:hAnsi="Times New Roman" w:cs="Times New Roman" w:eastAsia="Times New Roman" w:hint="default"/>
                <w:sz w:val="18"/>
                <w:szCs w:val="18"/>
              </w:rPr>
            </w:pPr>
            <w:r>
              <w:rPr>
                <w:rFonts w:ascii="Times New Roman"/>
                <w:sz w:val="18"/>
              </w:rPr>
              <w:t>7,402,112.93</w:t>
            </w:r>
          </w:p>
        </w:tc>
      </w:tr>
      <w:tr>
        <w:trPr>
          <w:trHeight w:val="331"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811"/>
              <w:jc w:val="right"/>
              <w:rPr>
                <w:rFonts w:ascii="Times New Roman" w:hAnsi="Times New Roman" w:cs="Times New Roman" w:eastAsia="Times New Roman" w:hint="default"/>
                <w:sz w:val="18"/>
                <w:szCs w:val="18"/>
              </w:rPr>
            </w:pPr>
            <w:r>
              <w:rPr>
                <w:rFonts w:ascii="Times New Roman"/>
                <w:sz w:val="18"/>
              </w:rPr>
              <w:t>454,790.00</w:t>
            </w:r>
          </w:p>
        </w:tc>
        <w:tc>
          <w:tcPr>
            <w:tcW w:w="193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其他使用受限制的存款</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841"/>
              <w:jc w:val="right"/>
              <w:rPr>
                <w:rFonts w:ascii="Times New Roman" w:hAnsi="Times New Roman" w:cs="Times New Roman" w:eastAsia="Times New Roman" w:hint="default"/>
                <w:sz w:val="18"/>
                <w:szCs w:val="18"/>
              </w:rPr>
            </w:pPr>
            <w:r>
              <w:rPr>
                <w:rFonts w:ascii="Times New Roman"/>
                <w:sz w:val="18"/>
              </w:rPr>
              <w:t>3,935.54</w:t>
            </w:r>
          </w:p>
        </w:tc>
        <w:tc>
          <w:tcPr>
            <w:tcW w:w="193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90" w:right="0"/>
              <w:jc w:val="left"/>
              <w:rPr>
                <w:rFonts w:ascii="Times New Roman" w:hAnsi="Times New Roman" w:cs="Times New Roman" w:eastAsia="Times New Roman" w:hint="default"/>
                <w:sz w:val="18"/>
                <w:szCs w:val="18"/>
              </w:rPr>
            </w:pPr>
            <w:r>
              <w:rPr>
                <w:rFonts w:ascii="Times New Roman"/>
                <w:sz w:val="18"/>
              </w:rPr>
              <w:t>52,954,679.25</w:t>
            </w:r>
          </w:p>
        </w:tc>
        <w:tc>
          <w:tcPr>
            <w:tcW w:w="1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75" w:right="0"/>
              <w:jc w:val="left"/>
              <w:rPr>
                <w:rFonts w:ascii="Times New Roman" w:hAnsi="Times New Roman" w:cs="Times New Roman" w:eastAsia="Times New Roman" w:hint="default"/>
                <w:sz w:val="18"/>
                <w:szCs w:val="18"/>
              </w:rPr>
            </w:pPr>
            <w:r>
              <w:rPr>
                <w:rFonts w:ascii="Times New Roman"/>
                <w:sz w:val="18"/>
              </w:rPr>
              <w:t>80,739,335.62</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5"/>
        <w:spacing w:line="240" w:lineRule="auto" w:before="45"/>
        <w:ind w:right="0"/>
        <w:jc w:val="left"/>
        <w:rPr>
          <w:b w:val="0"/>
          <w:bCs w:val="0"/>
        </w:rPr>
      </w:pPr>
      <w:bookmarkStart w:name="2、交易性金融资产" w:id="239"/>
      <w:bookmarkEnd w:id="239"/>
      <w:r>
        <w:rPr>
          <w:b w:val="0"/>
          <w:bCs w:val="0"/>
        </w:rPr>
      </w:r>
      <w:r>
        <w:rPr>
          <w:rFonts w:ascii="Times New Roman" w:hAnsi="Times New Roman" w:cs="Times New Roman" w:eastAsia="Times New Roman" w:hint="default"/>
          <w:spacing w:val="5"/>
        </w:rPr>
        <w:t>2</w:t>
      </w:r>
      <w:r>
        <w:rPr>
          <w:spacing w:val="5"/>
        </w:rPr>
        <w:t>、交易性金融资产</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9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62,193,274.50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62,193,274.50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62,193,274.50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3、衍生金融资产" w:id="240"/>
      <w:bookmarkEnd w:id="240"/>
      <w:r>
        <w:rPr>
          <w:b w:val="0"/>
          <w:bCs w:val="0"/>
        </w:rPr>
      </w:r>
      <w:r>
        <w:rPr>
          <w:rFonts w:ascii="Times New Roman" w:hAnsi="Times New Roman" w:cs="Times New Roman" w:eastAsia="Times New Roman" w:hint="default"/>
          <w:spacing w:val="4"/>
        </w:rPr>
        <w:t>3</w:t>
      </w:r>
      <w:r>
        <w:rPr>
          <w:spacing w:val="4"/>
        </w:rPr>
        <w:t>、衍生金融资产</w:t>
      </w:r>
      <w:r>
        <w:rPr>
          <w:b w:val="0"/>
          <w:bCs w:val="0"/>
          <w:spacing w:val="4"/>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7"/>
          <w:szCs w:val="27"/>
        </w:rPr>
      </w:pPr>
    </w:p>
    <w:p>
      <w:pPr>
        <w:pStyle w:val="Heading5"/>
        <w:spacing w:line="240" w:lineRule="auto" w:before="45"/>
        <w:ind w:right="0"/>
        <w:jc w:val="left"/>
        <w:rPr>
          <w:b w:val="0"/>
          <w:bCs w:val="0"/>
        </w:rPr>
      </w:pPr>
      <w:bookmarkStart w:name="4、应收票据" w:id="241"/>
      <w:bookmarkEnd w:id="241"/>
      <w:r>
        <w:rPr>
          <w:b w:val="0"/>
          <w:bCs w:val="0"/>
        </w:rPr>
      </w:r>
      <w:r>
        <w:rPr>
          <w:rFonts w:ascii="Times New Roman" w:hAnsi="Times New Roman" w:cs="Times New Roman" w:eastAsia="Times New Roman" w:hint="default"/>
          <w:spacing w:val="5"/>
        </w:rPr>
        <w:t>4</w:t>
      </w:r>
      <w:r>
        <w:rPr>
          <w:spacing w:val="5"/>
        </w:rPr>
        <w:t>、应收票据</w:t>
      </w:r>
      <w:r>
        <w:rPr>
          <w:b w:val="0"/>
          <w:bCs w:val="0"/>
          <w:spacing w:val="5"/>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应收票据分类列示" w:id="242"/>
      <w:bookmarkEnd w:id="242"/>
      <w:r>
        <w:rPr>
          <w:b w:val="0"/>
          <w:bCs w:val="0"/>
        </w:rPr>
      </w:r>
      <w:r>
        <w:rPr>
          <w:spacing w:val="5"/>
        </w:rPr>
        <w:t>（</w:t>
      </w:r>
      <w:r>
        <w:rPr>
          <w:rFonts w:ascii="Times New Roman" w:hAnsi="Times New Roman" w:cs="Times New Roman" w:eastAsia="Times New Roman" w:hint="default"/>
          <w:spacing w:val="5"/>
        </w:rPr>
        <w:t>1</w:t>
      </w:r>
      <w:r>
        <w:rPr>
          <w:spacing w:val="5"/>
        </w:rPr>
        <w:t>）应收票据分类列示</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7,024,276.62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21,226.91</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7,045,503.53</w:t>
            </w:r>
          </w:p>
        </w:tc>
      </w:tr>
    </w:tbl>
    <w:p>
      <w:pPr>
        <w:pStyle w:val="BodyText"/>
        <w:spacing w:line="240" w:lineRule="auto" w:before="4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932"/>
        <w:gridCol w:w="796"/>
        <w:gridCol w:w="796"/>
      </w:tblGrid>
      <w:tr>
        <w:trPr>
          <w:trHeight w:val="406"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8"/>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2"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6"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2"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r>
      <w:tr>
        <w:trPr>
          <w:trHeight w:val="158"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932"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6" w:type="dxa"/>
            <w:tcBorders>
              <w:top w:val="single" w:sz="6" w:space="0" w:color="000000"/>
              <w:left w:val="single" w:sz="12"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7,045,503</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7,045,503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.53</w:t>
            </w: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76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7,024,276</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.62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99.70%</w:t>
            </w:r>
          </w:p>
        </w:tc>
        <w:tc>
          <w:tcPr>
            <w:tcW w:w="93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7,024,276</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.62</w:t>
            </w:r>
          </w:p>
        </w:tc>
      </w:tr>
      <w:tr>
        <w:trPr>
          <w:trHeight w:val="406"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21,226.91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0.30%</w:t>
            </w:r>
            <w:r>
              <w:rPr>
                <w:rFonts w:ascii="Times New Roman"/>
                <w:sz w:val="18"/>
              </w:rPr>
            </w:r>
          </w:p>
        </w:tc>
        <w:tc>
          <w:tcPr>
            <w:tcW w:w="93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21,226.91</w:t>
            </w: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7,045,503</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7,045,503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.53</w:t>
            </w:r>
          </w:p>
        </w:tc>
      </w:tr>
    </w:tbl>
    <w:p>
      <w:pPr>
        <w:pStyle w:val="BodyText"/>
        <w:spacing w:line="240" w:lineRule="auto" w:before="45"/>
        <w:ind w:right="0"/>
        <w:jc w:val="left"/>
      </w:pPr>
      <w:r>
        <w:rPr/>
        <w:t>按单项计提坏账准备：</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5"/>
        <w:ind w:right="0"/>
        <w:jc w:val="left"/>
      </w:pPr>
      <w:r>
        <w:rPr/>
        <w:t>按组合计提坏账准备：</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2" w:lineRule="auto" w:before="44"/>
        <w:ind w:right="1749"/>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5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2）本期计提、收回或转回的坏账准备情况" w:id="243"/>
      <w:bookmarkEnd w:id="243"/>
      <w:r>
        <w:rPr>
          <w:b w:val="0"/>
          <w:bCs w:val="0"/>
        </w:rPr>
      </w:r>
      <w:r>
        <w:rPr>
          <w:spacing w:val="5"/>
        </w:rPr>
        <w:t>（</w:t>
      </w:r>
      <w:r>
        <w:rPr>
          <w:rFonts w:ascii="Times New Roman" w:hAnsi="Times New Roman" w:cs="Times New Roman" w:eastAsia="Times New Roman" w:hint="default"/>
          <w:spacing w:val="5"/>
        </w:rPr>
        <w:t>2</w:t>
      </w:r>
      <w:r>
        <w:rPr>
          <w:spacing w:val="5"/>
        </w:rPr>
        <w:t>）本期计提、收回或转回的坏账准备情况</w:t>
      </w:r>
      <w:r>
        <w:rPr>
          <w:b w:val="0"/>
          <w:bCs w:val="0"/>
          <w:spacing w:val="5"/>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本期计提坏账准备情况：</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4"/>
        <w:ind w:right="0"/>
        <w:jc w:val="left"/>
      </w:pPr>
      <w:r>
        <w:rPr/>
        <w:t>其中本期坏账准备收回或转回金额重要的：</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3）期末公司已质押的应收票据" w:id="244"/>
      <w:bookmarkEnd w:id="244"/>
      <w:r>
        <w:rPr>
          <w:b w:val="0"/>
          <w:bCs w:val="0"/>
        </w:rPr>
      </w:r>
      <w:r>
        <w:rPr>
          <w:spacing w:val="5"/>
        </w:rPr>
        <w:t>（</w:t>
      </w:r>
      <w:r>
        <w:rPr>
          <w:rFonts w:ascii="Times New Roman" w:hAnsi="Times New Roman" w:cs="Times New Roman" w:eastAsia="Times New Roman" w:hint="default"/>
          <w:spacing w:val="5"/>
        </w:rPr>
        <w:t>3</w:t>
      </w:r>
      <w:r>
        <w:rPr>
          <w:spacing w:val="5"/>
        </w:rPr>
        <w:t>）期末公司已质押的应收票据</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4）期末公司已背书或贴现且在资产负债表日尚未到期的应收票据" w:id="245"/>
      <w:bookmarkEnd w:id="245"/>
      <w:r>
        <w:rPr>
          <w:b w:val="0"/>
          <w:bCs w:val="0"/>
        </w:rPr>
      </w:r>
      <w:r>
        <w:rPr>
          <w:spacing w:val="5"/>
        </w:rPr>
        <w:t>（</w:t>
      </w:r>
      <w:r>
        <w:rPr>
          <w:rFonts w:ascii="Times New Roman" w:hAnsi="Times New Roman" w:cs="Times New Roman" w:eastAsia="Times New Roman" w:hint="default"/>
          <w:spacing w:val="5"/>
        </w:rPr>
        <w:t>4</w:t>
      </w:r>
      <w:r>
        <w:rPr>
          <w:spacing w:val="5"/>
        </w:rPr>
        <w:t>）期末公司已背书或贴现且在资产负债表日尚未到期的应收票据</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5）期末公司因出票人未履约而将其转应收账款的票据" w:id="246"/>
      <w:bookmarkEnd w:id="246"/>
      <w:r>
        <w:rPr>
          <w:b w:val="0"/>
          <w:bCs w:val="0"/>
        </w:rPr>
      </w:r>
      <w:r>
        <w:rPr>
          <w:spacing w:val="5"/>
        </w:rPr>
        <w:t>（</w:t>
      </w:r>
      <w:r>
        <w:rPr>
          <w:rFonts w:ascii="Times New Roman" w:hAnsi="Times New Roman" w:cs="Times New Roman" w:eastAsia="Times New Roman" w:hint="default"/>
          <w:spacing w:val="5"/>
        </w:rPr>
        <w:t>5</w:t>
      </w:r>
      <w:r>
        <w:rPr>
          <w:spacing w:val="5"/>
        </w:rPr>
        <w:t>）期末公司因出票人未履约而将其转应收账款的票据</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62"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6）本期实际核销的应收票据情况" w:id="247"/>
      <w:bookmarkEnd w:id="247"/>
      <w:r>
        <w:rPr>
          <w:b w:val="0"/>
          <w:bCs w:val="0"/>
        </w:rPr>
      </w:r>
      <w:r>
        <w:rPr>
          <w:spacing w:val="5"/>
        </w:rPr>
        <w:t>（</w:t>
      </w:r>
      <w:r>
        <w:rPr>
          <w:rFonts w:ascii="Times New Roman" w:hAnsi="Times New Roman" w:cs="Times New Roman" w:eastAsia="Times New Roman" w:hint="default"/>
          <w:spacing w:val="5"/>
        </w:rPr>
        <w:t>6</w:t>
      </w:r>
      <w:r>
        <w:rPr>
          <w:spacing w:val="5"/>
        </w:rPr>
        <w:t>）本期实际核销的应收票据情况</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5"/>
        <w:ind w:right="0"/>
        <w:jc w:val="left"/>
      </w:pPr>
      <w:r>
        <w:rPr/>
        <w:t>其中重要的应收票据核销情况：</w:t>
      </w:r>
    </w:p>
    <w:p>
      <w:pPr>
        <w:pStyle w:val="BodyText"/>
        <w:spacing w:line="240" w:lineRule="auto" w:before="12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4"/>
        <w:ind w:right="0"/>
        <w:jc w:val="left"/>
      </w:pPr>
      <w:r>
        <w:rPr/>
        <w:t>应收票据核销说明：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5、应收账款" w:id="248"/>
      <w:bookmarkEnd w:id="248"/>
      <w:r>
        <w:rPr>
          <w:b w:val="0"/>
          <w:bCs w:val="0"/>
        </w:rPr>
      </w:r>
      <w:r>
        <w:rPr>
          <w:rFonts w:ascii="Times New Roman" w:hAnsi="Times New Roman" w:cs="Times New Roman" w:eastAsia="Times New Roman" w:hint="default"/>
          <w:spacing w:val="5"/>
        </w:rPr>
        <w:t>5</w:t>
      </w:r>
      <w:r>
        <w:rPr>
          <w:spacing w:val="5"/>
        </w:rPr>
        <w:t>、应收账款</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应收账款分类披露" w:id="249"/>
      <w:bookmarkEnd w:id="249"/>
      <w:r>
        <w:rPr>
          <w:b w:val="0"/>
          <w:bCs w:val="0"/>
        </w:rPr>
      </w:r>
      <w:r>
        <w:rPr>
          <w:spacing w:val="5"/>
        </w:rPr>
        <w:t>（</w:t>
      </w:r>
      <w:r>
        <w:rPr>
          <w:rFonts w:ascii="Times New Roman" w:hAnsi="Times New Roman" w:cs="Times New Roman" w:eastAsia="Times New Roman" w:hint="default"/>
          <w:spacing w:val="5"/>
        </w:rPr>
        <w:t>1</w:t>
      </w:r>
      <w:r>
        <w:rPr>
          <w:spacing w:val="5"/>
        </w:rPr>
        <w:t>）应收账款分类披露</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0"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04"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36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11,252,5</w:t>
            </w:r>
          </w:p>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40.57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1.13%</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11,252,5</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40.57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11,044,86</w:t>
            </w:r>
          </w:p>
          <w:p>
            <w:pPr>
              <w:pStyle w:val="TableParagraph"/>
              <w:spacing w:line="240" w:lineRule="auto" w:before="93"/>
              <w:ind w:left="420" w:right="0"/>
              <w:jc w:val="left"/>
              <w:rPr>
                <w:rFonts w:ascii="Times New Roman" w:hAnsi="Times New Roman" w:cs="Times New Roman" w:eastAsia="Times New Roman" w:hint="default"/>
                <w:sz w:val="18"/>
                <w:szCs w:val="18"/>
              </w:rPr>
            </w:pPr>
            <w:r>
              <w:rPr>
                <w:rFonts w:ascii="Times New Roman"/>
                <w:sz w:val="18"/>
              </w:rPr>
              <w:t>3.97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1.56%</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11,044,86</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3.97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51" w:right="0"/>
              <w:jc w:val="center"/>
              <w:rPr>
                <w:rFonts w:ascii="Times New Roman" w:hAnsi="Times New Roman" w:cs="Times New Roman" w:eastAsia="Times New Roman" w:hint="default"/>
                <w:sz w:val="18"/>
                <w:szCs w:val="18"/>
              </w:rPr>
            </w:pPr>
            <w:r>
              <w:rPr>
                <w:rFonts w:ascii="Times New Roman"/>
                <w:sz w:val="18"/>
              </w:rPr>
              <w:t>984,416,</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619.48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98.87%</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3,002,72</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8.19</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981,413,8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91.29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696,013,1</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24.90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98.44%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4,021,667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0.58%</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691,991,45</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7.68</w:t>
            </w: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984,416,</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619.48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98.87%</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3,002,72</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8.19</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981,413,8</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91.29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696,013,1</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24.90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98.44%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4,021,667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.22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0.58%</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691,991,45</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7.68</w:t>
            </w: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995,669,</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160.05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14,255,2</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68.76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1.43%</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981,413,8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91.29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707,057,9</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88.87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15,066,53</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1.19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2.13%</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691,991,45</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7.68</w:t>
            </w:r>
          </w:p>
        </w:tc>
      </w:tr>
    </w:tbl>
    <w:p>
      <w:pPr>
        <w:pStyle w:val="BodyText"/>
        <w:spacing w:line="240" w:lineRule="auto" w:before="59"/>
        <w:ind w:right="0"/>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11,252,540.57</w:t>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5,044,863.97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5,044,863.97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75"/>
              <w:jc w:val="left"/>
              <w:rPr>
                <w:rFonts w:ascii="宋体" w:hAnsi="宋体" w:cs="宋体" w:eastAsia="宋体" w:hint="default"/>
                <w:sz w:val="18"/>
                <w:szCs w:val="18"/>
              </w:rPr>
            </w:pPr>
            <w:r>
              <w:rPr>
                <w:rFonts w:ascii="宋体" w:hAnsi="宋体" w:cs="宋体" w:eastAsia="宋体" w:hint="default"/>
                <w:sz w:val="18"/>
                <w:szCs w:val="18"/>
              </w:rPr>
              <w:t>产品质量存在争议，收 回机率较低</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6,000,000.00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75"/>
              <w:jc w:val="left"/>
              <w:rPr>
                <w:rFonts w:ascii="宋体" w:hAnsi="宋体" w:cs="宋体" w:eastAsia="宋体" w:hint="default"/>
                <w:sz w:val="18"/>
                <w:szCs w:val="18"/>
              </w:rPr>
            </w:pPr>
            <w:r>
              <w:rPr>
                <w:rFonts w:ascii="宋体" w:hAnsi="宋体" w:cs="宋体" w:eastAsia="宋体" w:hint="default"/>
                <w:sz w:val="18"/>
                <w:szCs w:val="18"/>
              </w:rPr>
              <w:t>产品质量存在争议，收 回机率较低</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205,226.60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205,226.60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75"/>
              <w:jc w:val="left"/>
              <w:rPr>
                <w:rFonts w:ascii="宋体" w:hAnsi="宋体" w:cs="宋体" w:eastAsia="宋体" w:hint="default"/>
                <w:sz w:val="18"/>
                <w:szCs w:val="18"/>
              </w:rPr>
            </w:pPr>
            <w:r>
              <w:rPr>
                <w:rFonts w:ascii="宋体" w:hAnsi="宋体" w:cs="宋体" w:eastAsia="宋体" w:hint="default"/>
                <w:sz w:val="18"/>
                <w:szCs w:val="18"/>
              </w:rPr>
              <w:t>因客户资金及财务状况 危机，暂无能力支付</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2,450.00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2,450.00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73"/>
              <w:jc w:val="left"/>
              <w:rPr>
                <w:rFonts w:ascii="宋体" w:hAnsi="宋体" w:cs="宋体" w:eastAsia="宋体" w:hint="default"/>
                <w:sz w:val="18"/>
                <w:szCs w:val="18"/>
              </w:rPr>
            </w:pPr>
            <w:r>
              <w:rPr>
                <w:rFonts w:ascii="宋体" w:hAnsi="宋体" w:cs="宋体" w:eastAsia="宋体" w:hint="default"/>
                <w:sz w:val="18"/>
                <w:szCs w:val="18"/>
              </w:rPr>
              <w:t>产品质量存在争议，收 回机率较低</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11,252,540.57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11,252,540.57</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按单项计提坏账准备：</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4"/>
        <w:ind w:right="0"/>
        <w:jc w:val="left"/>
      </w:pPr>
      <w:r>
        <w:rPr/>
        <w:t>按组合计提坏账准备：</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2" w:lineRule="auto" w:before="44"/>
        <w:ind w:right="1749"/>
        <w:jc w:val="left"/>
      </w:pPr>
      <w:r>
        <w:rPr/>
        <w:t>确定该组合依据的说明： 如是按照预期信用损失一般模型计提应收账款坏账准备，请参照其他应收款的披露方式披露坏账准备的相关信息：</w:t>
      </w:r>
    </w:p>
    <w:p>
      <w:pPr>
        <w:pStyle w:val="BodyText"/>
        <w:spacing w:line="333" w:lineRule="auto" w:before="40"/>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39"/>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979,335,648.19</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977,970,257.32</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1,365,390.87</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3,136,034.47</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5,362,624.20</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7,834,853.19</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7,834,853.19</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995,669,160.05</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本期计提、收回或转回的坏账准备情况" w:id="250"/>
      <w:bookmarkEnd w:id="250"/>
      <w:r>
        <w:rPr>
          <w:b w:val="0"/>
          <w:bCs w:val="0"/>
        </w:rPr>
      </w:r>
      <w:r>
        <w:rPr>
          <w:spacing w:val="5"/>
        </w:rPr>
        <w:t>（</w:t>
      </w:r>
      <w:r>
        <w:rPr>
          <w:rFonts w:ascii="Times New Roman" w:hAnsi="Times New Roman" w:cs="Times New Roman" w:eastAsia="Times New Roman" w:hint="default"/>
          <w:spacing w:val="5"/>
        </w:rPr>
        <w:t>2</w:t>
      </w:r>
      <w:r>
        <w:rPr>
          <w:spacing w:val="5"/>
        </w:rPr>
        <w:t>）本期计提、收回或转回的坏账准备情况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0"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应收账款坏账准 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15,066,531.19</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79,206.01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732,056.42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14,255,268.76</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15,066,531.19</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79,206.01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0" w:right="0"/>
              <w:jc w:val="left"/>
              <w:rPr>
                <w:rFonts w:ascii="Times New Roman" w:hAnsi="Times New Roman" w:cs="Times New Roman" w:eastAsia="Times New Roman" w:hint="default"/>
                <w:sz w:val="18"/>
                <w:szCs w:val="18"/>
              </w:rPr>
            </w:pPr>
            <w:r>
              <w:rPr>
                <w:rFonts w:ascii="Times New Roman"/>
                <w:sz w:val="18"/>
              </w:rPr>
              <w:t>732,056.42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14,255,268.76</w:t>
            </w:r>
          </w:p>
        </w:tc>
      </w:tr>
    </w:tbl>
    <w:p>
      <w:pPr>
        <w:pStyle w:val="BodyText"/>
        <w:spacing w:line="240" w:lineRule="auto" w:before="45"/>
        <w:ind w:right="0"/>
        <w:jc w:val="left"/>
      </w:pPr>
      <w:r>
        <w:rPr/>
        <w:t>其中本期坏账准备收回或转回金额重要的：</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3）本期实际核销的应收账款情况" w:id="251"/>
      <w:bookmarkEnd w:id="251"/>
      <w:r>
        <w:rPr>
          <w:b w:val="0"/>
          <w:bCs w:val="0"/>
        </w:rPr>
      </w:r>
      <w:r>
        <w:rPr>
          <w:spacing w:val="5"/>
        </w:rPr>
        <w:t>（</w:t>
      </w:r>
      <w:r>
        <w:rPr>
          <w:rFonts w:ascii="Times New Roman" w:hAnsi="Times New Roman" w:cs="Times New Roman" w:eastAsia="Times New Roman" w:hint="default"/>
          <w:spacing w:val="5"/>
        </w:rPr>
        <w:t>3</w:t>
      </w:r>
      <w:r>
        <w:rPr>
          <w:spacing w:val="5"/>
        </w:rPr>
        <w:t>）本期实际核销的应收账款情况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732,056.42</w:t>
            </w:r>
          </w:p>
        </w:tc>
      </w:tr>
    </w:tbl>
    <w:p>
      <w:pPr>
        <w:pStyle w:val="BodyText"/>
        <w:spacing w:line="240" w:lineRule="auto" w:before="44"/>
        <w:ind w:right="0"/>
        <w:jc w:val="left"/>
      </w:pPr>
      <w:r>
        <w:rPr/>
        <w:t>其中重要的应收账款核销情况：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1"/>
              <w:jc w:val="righ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167,974.39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确认坏账</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06"/>
              <w:jc w:val="left"/>
              <w:rPr>
                <w:rFonts w:ascii="宋体" w:hAnsi="宋体" w:cs="宋体" w:eastAsia="宋体" w:hint="default"/>
                <w:sz w:val="18"/>
                <w:szCs w:val="18"/>
              </w:rPr>
            </w:pPr>
            <w:r>
              <w:rPr>
                <w:rFonts w:ascii="宋体" w:hAnsi="宋体" w:cs="宋体" w:eastAsia="宋体" w:hint="default"/>
                <w:sz w:val="18"/>
                <w:szCs w:val="18"/>
              </w:rPr>
              <w:t>应收款项坏账核销 审批流程</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227,961.34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确认坏账</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30" w:right="106"/>
              <w:jc w:val="left"/>
              <w:rPr>
                <w:rFonts w:ascii="宋体" w:hAnsi="宋体" w:cs="宋体" w:eastAsia="宋体" w:hint="default"/>
                <w:sz w:val="18"/>
                <w:szCs w:val="18"/>
              </w:rPr>
            </w:pPr>
            <w:r>
              <w:rPr>
                <w:rFonts w:ascii="宋体" w:hAnsi="宋体" w:cs="宋体" w:eastAsia="宋体" w:hint="default"/>
                <w:sz w:val="18"/>
                <w:szCs w:val="18"/>
              </w:rPr>
              <w:t>应收款项坏账核销 审批流程</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336,120.69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确认坏账</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06"/>
              <w:jc w:val="right"/>
              <w:rPr>
                <w:rFonts w:ascii="宋体" w:hAnsi="宋体" w:cs="宋体" w:eastAsia="宋体" w:hint="default"/>
                <w:sz w:val="18"/>
                <w:szCs w:val="18"/>
              </w:rPr>
            </w:pPr>
            <w:r>
              <w:rPr>
                <w:rFonts w:ascii="宋体" w:hAnsi="宋体" w:cs="宋体" w:eastAsia="宋体" w:hint="default"/>
                <w:sz w:val="18"/>
                <w:szCs w:val="18"/>
              </w:rPr>
              <w:t>应收款项坏账核销</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60"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审批流程</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1" w:right="0"/>
              <w:jc w:val="left"/>
              <w:rPr>
                <w:rFonts w:ascii="Times New Roman" w:hAnsi="Times New Roman" w:cs="Times New Roman" w:eastAsia="Times New Roman" w:hint="default"/>
                <w:sz w:val="18"/>
                <w:szCs w:val="18"/>
              </w:rPr>
            </w:pPr>
            <w:r>
              <w:rPr>
                <w:rFonts w:ascii="Times New Roman"/>
                <w:sz w:val="18"/>
              </w:rPr>
              <w:t>732,056.42</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0"/>
        <w:jc w:val="left"/>
      </w:pPr>
      <w:r>
        <w:rPr/>
        <w:t>应收账款核销说明：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4）按欠款方归集的期末余额前五名的应收账款情况" w:id="252"/>
      <w:bookmarkEnd w:id="252"/>
      <w:r>
        <w:rPr>
          <w:b w:val="0"/>
          <w:bCs w:val="0"/>
        </w:rPr>
      </w:r>
      <w:r>
        <w:rPr>
          <w:spacing w:val="5"/>
        </w:rPr>
        <w:t>（</w:t>
      </w:r>
      <w:r>
        <w:rPr>
          <w:rFonts w:ascii="Times New Roman" w:hAnsi="Times New Roman" w:cs="Times New Roman" w:eastAsia="Times New Roman" w:hint="default"/>
          <w:spacing w:val="5"/>
        </w:rPr>
        <w:t>4</w:t>
      </w:r>
      <w:r>
        <w:rPr>
          <w:spacing w:val="5"/>
        </w:rPr>
        <w:t>）按欠款方归集的期末余额前五名的应收账款情况</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82"/>
        <w:gridCol w:w="2538"/>
        <w:gridCol w:w="2523"/>
        <w:gridCol w:w="2538"/>
      </w:tblGrid>
      <w:tr>
        <w:trPr>
          <w:trHeight w:val="721"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066" w:right="92"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189,601,868.38</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19.04%</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179,995,871.67</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18.08%</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109,180,706.05</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10.96%</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98,801,056.31</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9.92%</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84,191,137.49</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8.46%</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661,770,639.90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66.46%</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5）因金融资产转移而终止确认的应收账款" w:id="253"/>
      <w:bookmarkEnd w:id="253"/>
      <w:r>
        <w:rPr>
          <w:b w:val="0"/>
          <w:bCs w:val="0"/>
        </w:rPr>
      </w:r>
      <w:r>
        <w:rPr>
          <w:spacing w:val="5"/>
        </w:rPr>
        <w:t>（</w:t>
      </w:r>
      <w:r>
        <w:rPr>
          <w:rFonts w:ascii="Times New Roman" w:hAnsi="Times New Roman" w:cs="Times New Roman" w:eastAsia="Times New Roman" w:hint="default"/>
          <w:spacing w:val="5"/>
        </w:rPr>
        <w:t>5</w:t>
      </w:r>
      <w:r>
        <w:rPr>
          <w:spacing w:val="5"/>
        </w:rPr>
        <w:t>）因金融资产转移而终止确认的应收账款</w:t>
      </w:r>
      <w:r>
        <w:rPr>
          <w:b w:val="0"/>
          <w:bCs w:val="0"/>
          <w:spacing w:val="5"/>
        </w:rPr>
      </w: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2508"/>
        <w:gridCol w:w="2913"/>
        <w:gridCol w:w="3064"/>
      </w:tblGrid>
      <w:tr>
        <w:trPr>
          <w:trHeight w:val="345"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金融资产转移方式</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50" w:right="0"/>
              <w:jc w:val="left"/>
              <w:rPr>
                <w:rFonts w:ascii="宋体" w:hAnsi="宋体" w:cs="宋体" w:eastAsia="宋体" w:hint="default"/>
                <w:sz w:val="18"/>
                <w:szCs w:val="18"/>
              </w:rPr>
            </w:pPr>
            <w:r>
              <w:rPr>
                <w:rFonts w:ascii="宋体" w:hAnsi="宋体" w:cs="宋体" w:eastAsia="宋体" w:hint="default"/>
                <w:sz w:val="18"/>
                <w:szCs w:val="18"/>
              </w:rPr>
              <w:t>终止确认的应收账款金额</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631" w:right="0"/>
              <w:jc w:val="left"/>
              <w:rPr>
                <w:rFonts w:ascii="宋体" w:hAnsi="宋体" w:cs="宋体" w:eastAsia="宋体" w:hint="default"/>
                <w:sz w:val="18"/>
                <w:szCs w:val="18"/>
              </w:rPr>
            </w:pPr>
            <w:r>
              <w:rPr>
                <w:rFonts w:ascii="宋体" w:hAnsi="宋体" w:cs="宋体" w:eastAsia="宋体" w:hint="default"/>
                <w:sz w:val="18"/>
                <w:szCs w:val="18"/>
              </w:rPr>
              <w:t>与终止确认相关的损失</w:t>
            </w:r>
          </w:p>
        </w:tc>
      </w:tr>
      <w:tr>
        <w:trPr>
          <w:trHeight w:val="345"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应收账款保理</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108,619,691.08</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1,134,069.11</w:t>
            </w:r>
          </w:p>
        </w:tc>
      </w:tr>
      <w:tr>
        <w:trPr>
          <w:trHeight w:val="331" w:hRule="exact"/>
        </w:trPr>
        <w:tc>
          <w:tcPr>
            <w:tcW w:w="25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5"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0"/>
                <w:sz w:val="18"/>
                <w:szCs w:val="18"/>
              </w:rPr>
              <w:t> </w:t>
            </w:r>
            <w:r>
              <w:rPr>
                <w:rFonts w:ascii="宋体" w:hAnsi="宋体" w:cs="宋体" w:eastAsia="宋体" w:hint="default"/>
                <w:sz w:val="18"/>
                <w:szCs w:val="18"/>
              </w:rPr>
              <w:t>计</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108,619,691.08</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1,134,069.11</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pStyle w:val="Heading5"/>
        <w:spacing w:line="240" w:lineRule="auto" w:before="45"/>
        <w:ind w:right="0"/>
        <w:jc w:val="left"/>
        <w:rPr>
          <w:b w:val="0"/>
          <w:bCs w:val="0"/>
        </w:rPr>
      </w:pPr>
      <w:bookmarkStart w:name="（6）转移应收账款且继续涉入形成的资产、负债金额" w:id="254"/>
      <w:bookmarkEnd w:id="254"/>
      <w:r>
        <w:rPr>
          <w:b w:val="0"/>
          <w:bCs w:val="0"/>
        </w:rPr>
      </w:r>
      <w:r>
        <w:rPr>
          <w:spacing w:val="5"/>
        </w:rPr>
        <w:t>（</w:t>
      </w:r>
      <w:r>
        <w:rPr>
          <w:rFonts w:ascii="Times New Roman" w:hAnsi="Times New Roman" w:cs="Times New Roman" w:eastAsia="Times New Roman" w:hint="default"/>
          <w:spacing w:val="5"/>
        </w:rPr>
        <w:t>6</w:t>
      </w:r>
      <w:r>
        <w:rPr>
          <w:spacing w:val="5"/>
        </w:rPr>
        <w:t>）转移应收账款且继续涉入形成的资产、负债金额</w:t>
      </w:r>
      <w:r>
        <w:rPr>
          <w:b w:val="0"/>
          <w:bCs w:val="0"/>
          <w:spacing w:val="5"/>
        </w:rPr>
      </w:r>
    </w:p>
    <w:p>
      <w:pPr>
        <w:spacing w:line="240" w:lineRule="auto" w:before="11"/>
        <w:rPr>
          <w:rFonts w:ascii="宋体" w:hAnsi="宋体" w:cs="宋体" w:eastAsia="宋体" w:hint="default"/>
          <w:b/>
          <w:bCs/>
          <w:sz w:val="27"/>
          <w:szCs w:val="27"/>
        </w:rPr>
      </w:pPr>
    </w:p>
    <w:p>
      <w:pPr>
        <w:pStyle w:val="BodyText"/>
        <w:spacing w:line="304" w:lineRule="auto"/>
        <w:ind w:right="0" w:firstLine="420"/>
        <w:jc w:val="left"/>
      </w:pPr>
      <w:r>
        <w:rPr>
          <w:spacing w:val="-2"/>
        </w:rPr>
        <w:t>（</w:t>
      </w:r>
      <w:r>
        <w:rPr>
          <w:rFonts w:ascii="Times New Roman" w:hAnsi="Times New Roman" w:cs="Times New Roman" w:eastAsia="Times New Roman" w:hint="default"/>
          <w:spacing w:val="-2"/>
        </w:rPr>
        <w:t>1</w:t>
      </w:r>
      <w:r>
        <w:rPr>
          <w:spacing w:val="-2"/>
        </w:rPr>
        <w:t>）本报告期末，本公司向小米商业保理（天津）有限责任公司以不附追索权的方式转让了小米通讯技术有限公司</w:t>
      </w:r>
      <w:r>
        <w:rPr/>
        <w:t> 应收账款</w:t>
      </w:r>
      <w:r>
        <w:rPr>
          <w:rFonts w:ascii="Times New Roman" w:hAnsi="Times New Roman" w:cs="Times New Roman" w:eastAsia="Times New Roman" w:hint="default"/>
        </w:rPr>
        <w:t>45,730,734.61</w:t>
      </w:r>
      <w:r>
        <w:rPr/>
        <w:t>元，相关的损失为</w:t>
      </w:r>
      <w:r>
        <w:rPr>
          <w:rFonts w:ascii="Times New Roman" w:hAnsi="Times New Roman" w:cs="Times New Roman" w:eastAsia="Times New Roman" w:hint="default"/>
        </w:rPr>
        <w:t>293,363.14</w:t>
      </w:r>
      <w:r>
        <w:rPr/>
        <w:t>元；</w:t>
      </w:r>
    </w:p>
    <w:p>
      <w:pPr>
        <w:pStyle w:val="BodyText"/>
        <w:spacing w:line="240" w:lineRule="auto" w:before="12"/>
        <w:ind w:left="561" w:right="0"/>
        <w:jc w:val="left"/>
      </w:pPr>
      <w:r>
        <w:rPr/>
        <w:t>（</w:t>
      </w:r>
      <w:r>
        <w:rPr>
          <w:rFonts w:ascii="Times New Roman" w:hAnsi="Times New Roman" w:cs="Times New Roman" w:eastAsia="Times New Roman" w:hint="default"/>
        </w:rPr>
        <w:t>2</w:t>
      </w:r>
      <w:r>
        <w:rPr/>
        <w:t>）本报告期末，本公司向中国银行股份有限公司深圳高新区支行以不附追索权的方式转让了华为终端有限公司</w:t>
      </w:r>
    </w:p>
    <w:p>
      <w:pPr>
        <w:pStyle w:val="BodyText"/>
        <w:spacing w:line="240" w:lineRule="auto" w:before="66"/>
        <w:ind w:right="0"/>
        <w:jc w:val="left"/>
      </w:pPr>
      <w:r>
        <w:rPr>
          <w:rFonts w:ascii="Times New Roman" w:hAnsi="Times New Roman" w:cs="Times New Roman" w:eastAsia="Times New Roman" w:hint="default"/>
        </w:rPr>
        <w:t>49,818,399.21</w:t>
      </w:r>
      <w:r>
        <w:rPr/>
        <w:t>元应收账款和华为技术有限公司</w:t>
      </w:r>
      <w:r>
        <w:rPr>
          <w:rFonts w:ascii="Times New Roman" w:hAnsi="Times New Roman" w:cs="Times New Roman" w:eastAsia="Times New Roman" w:hint="default"/>
        </w:rPr>
        <w:t>13,070,557.26</w:t>
      </w:r>
      <w:r>
        <w:rPr/>
        <w:t>元应收账款，相关的损失为</w:t>
      </w:r>
      <w:r>
        <w:rPr>
          <w:rFonts w:ascii="Times New Roman" w:hAnsi="Times New Roman" w:cs="Times New Roman" w:eastAsia="Times New Roman" w:hint="default"/>
        </w:rPr>
        <w:t>840,705.97</w:t>
      </w:r>
      <w:r>
        <w:rPr/>
        <w:t>元。</w:t>
      </w:r>
    </w:p>
    <w:p>
      <w:pPr>
        <w:pStyle w:val="BodyText"/>
        <w:spacing w:line="290" w:lineRule="auto" w:before="51"/>
        <w:ind w:right="1290" w:firstLine="420"/>
        <w:jc w:val="left"/>
      </w:pPr>
      <w:r>
        <w:rPr>
          <w:spacing w:val="-1"/>
        </w:rPr>
        <w:t>（</w:t>
      </w:r>
      <w:r>
        <w:rPr>
          <w:rFonts w:ascii="Times New Roman" w:hAnsi="Times New Roman" w:cs="Times New Roman" w:eastAsia="Times New Roman" w:hint="default"/>
          <w:spacing w:val="-1"/>
        </w:rPr>
        <w:t>3</w:t>
      </w:r>
      <w:r>
        <w:rPr>
          <w:spacing w:val="-1"/>
        </w:rPr>
        <w:t>）报告期内公司由于资金压力使用部份应收账款进行不附追索权的保理融资，上述保理业务具有偶发性，本公司</w:t>
      </w:r>
      <w:r>
        <w:rPr/>
        <w:t> 持有应收账款仍以收取合同现金流为目标，故未将相关应收账款分类至应收款项融资项目列报，仍以摊余成本计量。</w:t>
      </w:r>
    </w:p>
    <w:p>
      <w:pPr>
        <w:pStyle w:val="BodyText"/>
        <w:spacing w:line="240" w:lineRule="auto" w:before="87"/>
        <w:ind w:right="0"/>
        <w:jc w:val="left"/>
      </w:pPr>
      <w:r>
        <w:rPr/>
        <w:t>其他说明：</w:t>
      </w:r>
    </w:p>
    <w:p>
      <w:pPr>
        <w:pStyle w:val="BodyText"/>
        <w:spacing w:line="240" w:lineRule="auto" w:before="124"/>
        <w:ind w:left="561" w:right="0"/>
        <w:jc w:val="left"/>
      </w:pPr>
      <w:r>
        <w:rPr>
          <w:rFonts w:ascii="宋体" w:hAnsi="宋体" w:cs="宋体" w:eastAsia="宋体" w:hint="default"/>
        </w:rPr>
        <w:t>1. </w:t>
      </w:r>
      <w:r>
        <w:rPr>
          <w:rFonts w:ascii="宋体" w:hAnsi="宋体" w:cs="宋体" w:eastAsia="宋体" w:hint="default"/>
          <w:spacing w:val="4"/>
        </w:rPr>
        <w:t> </w:t>
      </w:r>
      <w:r>
        <w:rPr/>
        <w:t>应收账款期末余额较期初增加</w:t>
      </w:r>
      <w:r>
        <w:rPr>
          <w:rFonts w:ascii="Times New Roman" w:hAnsi="Times New Roman" w:cs="Times New Roman" w:eastAsia="Times New Roman" w:hint="default"/>
        </w:rPr>
        <w:t>289,422,433.61</w:t>
      </w:r>
      <w:r>
        <w:rPr/>
        <w:t>元，增长比例为</w:t>
      </w:r>
      <w:r>
        <w:rPr>
          <w:rFonts w:ascii="Times New Roman" w:hAnsi="Times New Roman" w:cs="Times New Roman" w:eastAsia="Times New Roman" w:hint="default"/>
        </w:rPr>
        <w:t>41.82%</w:t>
      </w:r>
      <w:r>
        <w:rPr/>
        <w:t>，主要系第四季度应收客户货款增长所致。</w:t>
      </w:r>
    </w:p>
    <w:p>
      <w:pPr>
        <w:pStyle w:val="BodyText"/>
        <w:spacing w:line="240" w:lineRule="auto" w:before="66"/>
        <w:ind w:left="561" w:right="0"/>
        <w:jc w:val="left"/>
      </w:pPr>
      <w:r>
        <w:rPr>
          <w:rFonts w:ascii="宋体" w:hAnsi="宋体" w:cs="宋体" w:eastAsia="宋体" w:hint="default"/>
        </w:rPr>
        <w:t>2. </w:t>
      </w:r>
      <w:r>
        <w:rPr>
          <w:rFonts w:ascii="宋体" w:hAnsi="宋体" w:cs="宋体" w:eastAsia="宋体" w:hint="default"/>
          <w:spacing w:val="2"/>
        </w:rPr>
        <w:t> </w:t>
      </w:r>
      <w:r>
        <w:rPr/>
        <w:t>期末应收账款中无应收持本公司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表决权股份的股东单位的款项。</w:t>
      </w:r>
    </w:p>
    <w:p>
      <w:pPr>
        <w:pStyle w:val="BodyText"/>
        <w:spacing w:line="240" w:lineRule="auto" w:before="66"/>
        <w:ind w:left="561" w:right="0"/>
        <w:jc w:val="left"/>
      </w:pPr>
      <w:r>
        <w:rPr>
          <w:rFonts w:ascii="宋体" w:hAnsi="宋体" w:cs="宋体" w:eastAsia="宋体" w:hint="default"/>
        </w:rPr>
        <w:t>3. </w:t>
      </w:r>
      <w:r>
        <w:rPr>
          <w:rFonts w:ascii="宋体" w:hAnsi="宋体" w:cs="宋体" w:eastAsia="宋体" w:hint="default"/>
          <w:spacing w:val="13"/>
        </w:rPr>
        <w:t> </w:t>
      </w:r>
      <w:r>
        <w:rPr/>
        <w:t>期末应收账款中应收其他关联方的款项，详见</w:t>
      </w:r>
      <w:r>
        <w:rPr>
          <w:rFonts w:ascii="Times New Roman" w:hAnsi="Times New Roman" w:cs="Times New Roman" w:eastAsia="Times New Roman" w:hint="default"/>
        </w:rPr>
        <w:t>“</w:t>
      </w:r>
      <w:r>
        <w:rPr/>
        <w:t>第十二节、十二、</w:t>
      </w:r>
      <w:r>
        <w:rPr>
          <w:rFonts w:ascii="Times New Roman" w:hAnsi="Times New Roman" w:cs="Times New Roman" w:eastAsia="Times New Roman" w:hint="default"/>
        </w:rPr>
        <w:t>6</w:t>
      </w:r>
      <w:r>
        <w:rPr/>
        <w:t>、关联方应收应付款项</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6、应收款项融资" w:id="255"/>
      <w:bookmarkEnd w:id="255"/>
      <w:r>
        <w:rPr>
          <w:b w:val="0"/>
          <w:bCs w:val="0"/>
        </w:rPr>
      </w:r>
      <w:r>
        <w:rPr>
          <w:rFonts w:ascii="Times New Roman" w:hAnsi="Times New Roman" w:cs="Times New Roman" w:eastAsia="Times New Roman" w:hint="default"/>
          <w:spacing w:val="4"/>
        </w:rPr>
        <w:t>6</w:t>
      </w:r>
      <w:r>
        <w:rPr>
          <w:spacing w:val="4"/>
        </w:rPr>
        <w:t>、应收款项融资</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20,000,000.00</w:t>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0"/>
        <w:jc w:val="left"/>
      </w:pPr>
      <w:r>
        <w:rPr/>
        <w:t>应收款项融资本期增减变动及公允价值变动情况</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553"/>
        <w:gridCol w:w="2178"/>
        <w:gridCol w:w="2177"/>
        <w:gridCol w:w="2178"/>
      </w:tblGrid>
      <w:tr>
        <w:trPr>
          <w:trHeight w:val="346" w:hRule="exact"/>
        </w:trPr>
        <w:tc>
          <w:tcPr>
            <w:tcW w:w="2553" w:type="dxa"/>
            <w:vMerge w:val="restart"/>
            <w:tcBorders>
              <w:top w:val="single" w:sz="6" w:space="0" w:color="000000"/>
              <w:left w:val="single" w:sz="6"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0"/>
                <w:sz w:val="18"/>
                <w:szCs w:val="18"/>
              </w:rPr>
              <w:t> </w:t>
            </w:r>
            <w:r>
              <w:rPr>
                <w:rFonts w:ascii="宋体" w:hAnsi="宋体" w:cs="宋体" w:eastAsia="宋体" w:hint="default"/>
                <w:sz w:val="18"/>
                <w:szCs w:val="18"/>
              </w:rPr>
              <w:t>目</w:t>
            </w:r>
          </w:p>
        </w:tc>
        <w:tc>
          <w:tcPr>
            <w:tcW w:w="653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30" w:hRule="exact"/>
        </w:trPr>
        <w:tc>
          <w:tcPr>
            <w:tcW w:w="2553" w:type="dxa"/>
            <w:vMerge/>
            <w:tcBorders>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40"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21" w:right="0"/>
              <w:jc w:val="left"/>
              <w:rPr>
                <w:rFonts w:ascii="宋体" w:hAnsi="宋体" w:cs="宋体" w:eastAsia="宋体" w:hint="default"/>
                <w:sz w:val="18"/>
                <w:szCs w:val="18"/>
              </w:rPr>
            </w:pPr>
            <w:r>
              <w:rPr>
                <w:rFonts w:ascii="宋体" w:hAnsi="宋体" w:cs="宋体" w:eastAsia="宋体" w:hint="default"/>
                <w:sz w:val="18"/>
                <w:szCs w:val="18"/>
              </w:rPr>
              <w:t>公允价值</w:t>
            </w:r>
          </w:p>
        </w:tc>
      </w:tr>
      <w:tr>
        <w:trPr>
          <w:trHeight w:val="345"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20,000,000.00</w:t>
            </w:r>
          </w:p>
        </w:tc>
        <w:tc>
          <w:tcPr>
            <w:tcW w:w="2177"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20,000,000.00</w:t>
            </w:r>
          </w:p>
        </w:tc>
      </w:tr>
      <w:tr>
        <w:trPr>
          <w:trHeight w:val="346" w:hRule="exact"/>
        </w:trPr>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0"/>
                <w:sz w:val="18"/>
                <w:szCs w:val="18"/>
              </w:rPr>
              <w:t> </w:t>
            </w:r>
            <w:r>
              <w:rPr>
                <w:rFonts w:ascii="宋体" w:hAnsi="宋体" w:cs="宋体" w:eastAsia="宋体" w:hint="default"/>
                <w:sz w:val="18"/>
                <w:szCs w:val="18"/>
              </w:rPr>
              <w:t>计</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20,000,000.00</w:t>
            </w:r>
          </w:p>
        </w:tc>
        <w:tc>
          <w:tcPr>
            <w:tcW w:w="2177"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20,000,000.00</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t>如是按照预期信用损失一般模型计提应收款项融资减值准备，请参照其他应收款的披露方式披露减值准备的相关信息：</w:t>
      </w:r>
    </w:p>
    <w:p>
      <w:pPr>
        <w:pStyle w:val="BodyText"/>
        <w:spacing w:line="319" w:lineRule="auto" w:before="124"/>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pStyle w:val="BodyText"/>
        <w:spacing w:line="292" w:lineRule="auto" w:before="80"/>
        <w:ind w:right="1110" w:firstLine="300"/>
        <w:jc w:val="both"/>
      </w:pPr>
      <w:r>
        <w:rPr>
          <w:rFonts w:ascii="Times New Roman" w:hAnsi="Times New Roman" w:cs="Times New Roman" w:eastAsia="Times New Roman" w:hint="default"/>
        </w:rPr>
        <w:t>1.</w:t>
      </w:r>
      <w:r>
        <w:rPr/>
        <w:t>报告期内本公司根据日常管理需要将银行承兑汇票进行背书，管理银行承兑汇票的业务模式既以收取合同现金流为目 </w:t>
      </w:r>
      <w:r>
        <w:rPr>
          <w:spacing w:val="-1"/>
        </w:rPr>
        <w:t>标又以出售该票据为目标，故将此部份银行承兑汇票分类为</w:t>
      </w:r>
      <w:r>
        <w:rPr>
          <w:rFonts w:ascii="Times New Roman" w:hAnsi="Times New Roman" w:cs="Times New Roman" w:eastAsia="Times New Roman" w:hint="default"/>
          <w:spacing w:val="-1"/>
        </w:rPr>
        <w:t>“</w:t>
      </w:r>
      <w:r>
        <w:rPr>
          <w:spacing w:val="-1"/>
        </w:rPr>
        <w:t>以公允价值计量且其变动计入其他综合收益的金融资产</w:t>
      </w:r>
      <w:r>
        <w:rPr>
          <w:rFonts w:ascii="Times New Roman" w:hAnsi="Times New Roman" w:cs="Times New Roman" w:eastAsia="Times New Roman" w:hint="default"/>
          <w:spacing w:val="-1"/>
        </w:rPr>
        <w:t>”</w:t>
      </w:r>
      <w:r>
        <w:rPr>
          <w:spacing w:val="-1"/>
        </w:rPr>
        <w:t>，列入</w:t>
      </w:r>
      <w:r>
        <w:rPr>
          <w:spacing w:val="-82"/>
        </w:rPr>
        <w:t> </w:t>
      </w:r>
      <w:r>
        <w:rPr>
          <w:spacing w:val="-82"/>
        </w:rPr>
      </w:r>
      <w:r>
        <w:rPr/>
        <w:t>本科目列报。（</w:t>
      </w:r>
      <w:r>
        <w:rPr>
          <w:rFonts w:ascii="Times New Roman" w:hAnsi="Times New Roman" w:cs="Times New Roman" w:eastAsia="Times New Roman" w:hint="default"/>
        </w:rPr>
        <w:t>2</w:t>
      </w:r>
      <w:r>
        <w:rPr/>
        <w:t>）本公司认为报告期内所持有的银行承兑汇票均不存在重大信用风险，不会因银行违约产生重大损失，因 此不存在需要计提信用减值损失的情况。</w:t>
      </w:r>
    </w:p>
    <w:p>
      <w:pPr>
        <w:pStyle w:val="BodyText"/>
        <w:spacing w:line="240" w:lineRule="auto" w:before="55"/>
        <w:ind w:left="561"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4"/>
        </w:rPr>
        <w:t> </w:t>
      </w:r>
      <w:r>
        <w:rPr>
          <w:rFonts w:ascii="Times New Roman" w:hAnsi="Times New Roman" w:cs="Times New Roman" w:eastAsia="Times New Roman" w:hint="default"/>
        </w:rPr>
        <w:t>.</w:t>
      </w:r>
      <w:r>
        <w:rPr/>
        <w:t>期末不存在已质押的应收款项融资</w:t>
      </w:r>
    </w:p>
    <w:p>
      <w:pPr>
        <w:pStyle w:val="BodyText"/>
        <w:spacing w:line="240" w:lineRule="auto" w:before="66"/>
        <w:ind w:left="561"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期末已背书或贴现且在资产负债表日尚未到期的应收票据</w:t>
      </w: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244"/>
        <w:gridCol w:w="3064"/>
        <w:gridCol w:w="2778"/>
      </w:tblGrid>
      <w:tr>
        <w:trPr>
          <w:trHeight w:val="345"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66"/>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0"/>
                <w:sz w:val="18"/>
                <w:szCs w:val="18"/>
              </w:rPr>
              <w:t> </w:t>
            </w:r>
            <w:r>
              <w:rPr>
                <w:rFonts w:ascii="宋体" w:hAnsi="宋体" w:cs="宋体" w:eastAsia="宋体" w:hint="default"/>
                <w:sz w:val="18"/>
                <w:szCs w:val="18"/>
              </w:rPr>
              <w:t>目</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795"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7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345"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18,000,529.09</w:t>
            </w:r>
          </w:p>
        </w:tc>
        <w:tc>
          <w:tcPr>
            <w:tcW w:w="2778"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66"/>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60"/>
                <w:sz w:val="18"/>
                <w:szCs w:val="18"/>
              </w:rPr>
              <w:t> </w:t>
            </w:r>
            <w:r>
              <w:rPr>
                <w:rFonts w:ascii="宋体" w:hAnsi="宋体" w:cs="宋体" w:eastAsia="宋体" w:hint="default"/>
                <w:sz w:val="18"/>
                <w:szCs w:val="18"/>
              </w:rPr>
              <w:t>计</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18,000,529.09</w:t>
            </w:r>
          </w:p>
        </w:tc>
        <w:tc>
          <w:tcPr>
            <w:tcW w:w="2778" w:type="dxa"/>
            <w:tcBorders>
              <w:top w:val="single" w:sz="6" w:space="0" w:color="000000"/>
              <w:left w:val="single" w:sz="6" w:space="0" w:color="000000"/>
              <w:bottom w:val="single" w:sz="6" w:space="0" w:color="000000"/>
              <w:right w:val="single" w:sz="6" w:space="0" w:color="000000"/>
            </w:tcBorders>
          </w:tcPr>
          <w:p>
            <w:pPr/>
          </w:p>
        </w:tc>
      </w:tr>
    </w:tbl>
    <w:p>
      <w:pPr>
        <w:pStyle w:val="Heading4"/>
        <w:spacing w:line="271" w:lineRule="exact"/>
        <w:ind w:left="696" w:right="0"/>
        <w:jc w:val="left"/>
      </w:pPr>
      <w:r>
        <w:rPr>
          <w:rFonts w:ascii="Times New Roman" w:hAnsi="Times New Roman" w:cs="Times New Roman" w:eastAsia="Times New Roman" w:hint="default"/>
        </w:rPr>
        <w:t>4.</w:t>
      </w:r>
      <w:r>
        <w:rPr/>
        <w:t>本公司期末不存在因出票人未履约而将其转应收账款的应收款项融资。</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8"/>
          <w:szCs w:val="28"/>
        </w:rPr>
      </w:pPr>
    </w:p>
    <w:p>
      <w:pPr>
        <w:pStyle w:val="Heading5"/>
        <w:spacing w:line="240" w:lineRule="auto"/>
        <w:ind w:right="0"/>
        <w:jc w:val="left"/>
        <w:rPr>
          <w:b w:val="0"/>
          <w:bCs w:val="0"/>
        </w:rPr>
      </w:pPr>
      <w:bookmarkStart w:name="7、预付款项" w:id="256"/>
      <w:bookmarkEnd w:id="256"/>
      <w:r>
        <w:rPr>
          <w:b w:val="0"/>
          <w:bCs w:val="0"/>
        </w:rPr>
      </w:r>
      <w:r>
        <w:rPr>
          <w:rFonts w:ascii="Times New Roman" w:hAnsi="Times New Roman" w:cs="Times New Roman" w:eastAsia="Times New Roman" w:hint="default"/>
          <w:spacing w:val="5"/>
        </w:rPr>
        <w:t>7</w:t>
      </w:r>
      <w:r>
        <w:rPr>
          <w:spacing w:val="5"/>
        </w:rPr>
        <w:t>、预付款项</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预付款项按账龄列示" w:id="257"/>
      <w:bookmarkEnd w:id="257"/>
      <w:r>
        <w:rPr>
          <w:b w:val="0"/>
          <w:bCs w:val="0"/>
        </w:rPr>
      </w:r>
      <w:r>
        <w:rPr>
          <w:spacing w:val="5"/>
        </w:rPr>
        <w:t>（</w:t>
      </w:r>
      <w:r>
        <w:rPr>
          <w:rFonts w:ascii="Times New Roman" w:hAnsi="Times New Roman" w:cs="Times New Roman" w:eastAsia="Times New Roman" w:hint="default"/>
          <w:spacing w:val="5"/>
        </w:rPr>
        <w:t>1</w:t>
      </w:r>
      <w:r>
        <w:rPr>
          <w:spacing w:val="5"/>
        </w:rPr>
        <w:t>）预付款项按账龄列示</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203" w:hRule="exact"/>
        </w:trPr>
        <w:tc>
          <w:tcPr>
            <w:tcW w:w="18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8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89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52"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892" w:type="dxa"/>
            <w:vMerge/>
            <w:tcBorders>
              <w:left w:val="single" w:sz="6" w:space="0" w:color="000000"/>
              <w:bottom w:val="nil" w:sz="6" w:space="0" w:color="auto"/>
              <w:right w:val="single" w:sz="6" w:space="0" w:color="000000"/>
            </w:tcBorders>
            <w:shd w:val="clear" w:color="auto" w:fill="D2D2D2"/>
          </w:tcPr>
          <w:p>
            <w:pPr/>
          </w:p>
        </w:tc>
        <w:tc>
          <w:tcPr>
            <w:tcW w:w="19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2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3" w:hRule="exact"/>
        </w:trPr>
        <w:tc>
          <w:tcPr>
            <w:tcW w:w="18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30"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1,330,481.82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94.99%</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2,372,693.55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67.02%</w:t>
            </w:r>
            <w:r>
              <w:rPr>
                <w:rFonts w:ascii="Times New Roman"/>
                <w:sz w:val="18"/>
              </w:rPr>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19,651.70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1.40%</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631,050.70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17.82%</w:t>
            </w:r>
            <w:r>
              <w:rPr>
                <w:rFonts w:ascii="Times New Roman"/>
                <w:sz w:val="18"/>
              </w:rPr>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5,900.00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0.42%</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356,738.19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10.08%</w:t>
            </w:r>
            <w:r>
              <w:rPr>
                <w:rFonts w:ascii="Times New Roman"/>
                <w:sz w:val="18"/>
              </w:rPr>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44,637.12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3.19%</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179,889.12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5.08%</w:t>
            </w:r>
            <w:r>
              <w:rPr>
                <w:rFonts w:ascii="Times New Roman"/>
                <w:sz w:val="18"/>
              </w:rPr>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18" w:space="0" w:color="D2D2D2"/>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1,400,670.64</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3,540,371.56</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9" w:lineRule="auto" w:before="60"/>
        <w:ind w:right="5889"/>
        <w:jc w:val="left"/>
      </w:pPr>
      <w:r>
        <w:rPr/>
        <w:t>账龄超过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after="0" w:line="319" w:lineRule="auto"/>
        <w:jc w:val="left"/>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2）按预付对象归集的期末余额前五名的预付款情况" w:id="258"/>
      <w:bookmarkEnd w:id="258"/>
      <w:r>
        <w:rPr>
          <w:b w:val="0"/>
          <w:bCs w:val="0"/>
        </w:rPr>
      </w:r>
      <w:r>
        <w:rPr>
          <w:spacing w:val="5"/>
        </w:rPr>
        <w:t>（</w:t>
      </w:r>
      <w:r>
        <w:rPr>
          <w:rFonts w:ascii="Times New Roman" w:hAnsi="Times New Roman" w:cs="Times New Roman" w:eastAsia="Times New Roman" w:hint="default"/>
          <w:spacing w:val="5"/>
        </w:rPr>
        <w:t>2</w:t>
      </w:r>
      <w:r>
        <w:rPr>
          <w:spacing w:val="5"/>
        </w:rPr>
        <w:t>）按预付对象归集的期末余额前五名的预付款情况</w:t>
      </w:r>
      <w:r>
        <w:rPr>
          <w:b w:val="0"/>
          <w:bCs w:val="0"/>
          <w:spacing w:val="5"/>
        </w:rPr>
      </w: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1082"/>
        <w:gridCol w:w="1802"/>
        <w:gridCol w:w="1697"/>
        <w:gridCol w:w="1472"/>
        <w:gridCol w:w="1998"/>
      </w:tblGrid>
      <w:tr>
        <w:trPr>
          <w:trHeight w:val="345" w:hRule="exact"/>
        </w:trPr>
        <w:tc>
          <w:tcPr>
            <w:tcW w:w="1082" w:type="dxa"/>
            <w:vMerge w:val="restart"/>
            <w:tcBorders>
              <w:top w:val="single" w:sz="6" w:space="0" w:color="000000"/>
              <w:left w:val="single" w:sz="6" w:space="0" w:color="000000"/>
              <w:right w:val="single" w:sz="6" w:space="0" w:color="000000"/>
            </w:tcBorders>
          </w:tcPr>
          <w:p>
            <w:pPr>
              <w:pStyle w:val="TableParagraph"/>
              <w:spacing w:line="235" w:lineRule="exact"/>
              <w:ind w:left="1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02" w:type="dxa"/>
            <w:vMerge w:val="restart"/>
            <w:tcBorders>
              <w:top w:val="single" w:sz="6" w:space="0" w:color="000000"/>
              <w:left w:val="single" w:sz="6" w:space="0" w:color="000000"/>
              <w:right w:val="single" w:sz="6" w:space="0" w:color="000000"/>
            </w:tcBorders>
          </w:tcPr>
          <w:p>
            <w:pPr>
              <w:pStyle w:val="TableParagraph"/>
              <w:spacing w:line="235" w:lineRule="exact"/>
              <w:ind w:left="525"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90" w:right="0"/>
              <w:jc w:val="left"/>
              <w:rPr>
                <w:rFonts w:ascii="宋体" w:hAnsi="宋体" w:cs="宋体" w:eastAsia="宋体" w:hint="default"/>
                <w:sz w:val="18"/>
                <w:szCs w:val="18"/>
              </w:rPr>
            </w:pPr>
            <w:r>
              <w:rPr>
                <w:rFonts w:ascii="宋体" w:hAnsi="宋体" w:cs="宋体" w:eastAsia="宋体" w:hint="default"/>
                <w:sz w:val="18"/>
                <w:szCs w:val="18"/>
              </w:rPr>
              <w:t>占预付款项</w:t>
            </w:r>
          </w:p>
        </w:tc>
        <w:tc>
          <w:tcPr>
            <w:tcW w:w="1472" w:type="dxa"/>
            <w:vMerge w:val="restart"/>
            <w:tcBorders>
              <w:top w:val="single" w:sz="6" w:space="0" w:color="000000"/>
              <w:left w:val="single" w:sz="6" w:space="0" w:color="000000"/>
              <w:right w:val="single" w:sz="6" w:space="0" w:color="000000"/>
            </w:tcBorders>
          </w:tcPr>
          <w:p>
            <w:pPr>
              <w:pStyle w:val="TableParagraph"/>
              <w:spacing w:line="235" w:lineRule="exact"/>
              <w:ind w:left="1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98" w:type="dxa"/>
            <w:vMerge w:val="restart"/>
            <w:tcBorders>
              <w:top w:val="single" w:sz="6" w:space="0" w:color="000000"/>
              <w:left w:val="single" w:sz="6" w:space="0" w:color="000000"/>
              <w:right w:val="single" w:sz="6" w:space="0" w:color="000000"/>
            </w:tcBorders>
          </w:tcPr>
          <w:p>
            <w:pPr>
              <w:pStyle w:val="TableParagraph"/>
              <w:spacing w:line="235" w:lineRule="exact"/>
              <w:ind w:left="540"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30" w:hRule="exact"/>
        </w:trPr>
        <w:tc>
          <w:tcPr>
            <w:tcW w:w="1082" w:type="dxa"/>
            <w:vMerge/>
            <w:tcBorders>
              <w:left w:val="single" w:sz="6" w:space="0" w:color="000000"/>
              <w:bottom w:val="single" w:sz="6" w:space="0" w:color="000000"/>
              <w:right w:val="single" w:sz="6" w:space="0" w:color="000000"/>
            </w:tcBorders>
          </w:tcPr>
          <w:p>
            <w:pPr/>
          </w:p>
        </w:tc>
        <w:tc>
          <w:tcPr>
            <w:tcW w:w="1802" w:type="dxa"/>
            <w:vMerge/>
            <w:tcBorders>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总额的比例</w:t>
            </w:r>
            <w:r>
              <w:rPr>
                <w:rFonts w:ascii="Times New Roman" w:hAnsi="Times New Roman" w:cs="Times New Roman" w:eastAsia="Times New Roman" w:hint="default"/>
                <w:sz w:val="18"/>
                <w:szCs w:val="18"/>
              </w:rPr>
              <w:t>(%)</w:t>
            </w:r>
          </w:p>
        </w:tc>
        <w:tc>
          <w:tcPr>
            <w:tcW w:w="1472" w:type="dxa"/>
            <w:vMerge/>
            <w:tcBorders>
              <w:left w:val="single" w:sz="6" w:space="0" w:color="000000"/>
              <w:bottom w:val="single" w:sz="6" w:space="0" w:color="000000"/>
              <w:right w:val="single" w:sz="6" w:space="0" w:color="000000"/>
            </w:tcBorders>
          </w:tcPr>
          <w:p>
            <w:pPr/>
          </w:p>
        </w:tc>
        <w:tc>
          <w:tcPr>
            <w:tcW w:w="1998" w:type="dxa"/>
            <w:vMerge/>
            <w:tcBorders>
              <w:left w:val="single" w:sz="6" w:space="0" w:color="000000"/>
              <w:bottom w:val="single" w:sz="6" w:space="0" w:color="000000"/>
              <w:right w:val="single" w:sz="6" w:space="0" w:color="000000"/>
            </w:tcBorders>
          </w:tcPr>
          <w:p>
            <w:pPr/>
          </w:p>
        </w:tc>
      </w:tr>
      <w:tr>
        <w:trPr>
          <w:trHeight w:val="345" w:hRule="exact"/>
        </w:trPr>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582,524.28</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41.59</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46" w:hRule="exact"/>
        </w:trPr>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424,714.90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30.32</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45" w:hRule="exact"/>
        </w:trPr>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89,991.00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6.42</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45" w:hRule="exact"/>
        </w:trPr>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55,649.15</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3.97</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31" w:hRule="exact"/>
        </w:trPr>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34,107.21</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2.44</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合同执行中</w:t>
            </w:r>
          </w:p>
        </w:tc>
      </w:tr>
      <w:tr>
        <w:trPr>
          <w:trHeight w:val="345" w:hRule="exact"/>
        </w:trPr>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1,186,986.54</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84.74</w:t>
            </w:r>
          </w:p>
        </w:tc>
        <w:tc>
          <w:tcPr>
            <w:tcW w:w="1472" w:type="dxa"/>
            <w:tcBorders>
              <w:top w:val="single" w:sz="6" w:space="0" w:color="000000"/>
              <w:left w:val="single" w:sz="6" w:space="0" w:color="000000"/>
              <w:bottom w:val="single" w:sz="6" w:space="0" w:color="000000"/>
              <w:right w:val="single" w:sz="6" w:space="0" w:color="000000"/>
            </w:tcBorders>
          </w:tcPr>
          <w:p>
            <w:pPr/>
          </w:p>
        </w:tc>
        <w:tc>
          <w:tcPr>
            <w:tcW w:w="199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pStyle w:val="BodyText"/>
        <w:spacing w:line="240" w:lineRule="auto" w:before="125"/>
        <w:ind w:left="561" w:right="0"/>
        <w:jc w:val="left"/>
      </w:pPr>
      <w:r>
        <w:rPr>
          <w:rFonts w:ascii="宋体" w:hAnsi="宋体" w:cs="宋体" w:eastAsia="宋体" w:hint="default"/>
        </w:rPr>
        <w:t>1. </w:t>
      </w:r>
      <w:r>
        <w:rPr>
          <w:rFonts w:ascii="宋体" w:hAnsi="宋体" w:cs="宋体" w:eastAsia="宋体" w:hint="default"/>
          <w:spacing w:val="2"/>
        </w:rPr>
        <w:t> </w:t>
      </w:r>
      <w:r>
        <w:rPr/>
        <w:t>期末预付款项中无预付持本公司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表决权股份的股东单位及其他关联方的款项。</w:t>
      </w:r>
    </w:p>
    <w:p>
      <w:pPr>
        <w:pStyle w:val="BodyText"/>
        <w:spacing w:line="240" w:lineRule="auto" w:before="66"/>
        <w:ind w:left="561" w:right="0"/>
        <w:jc w:val="left"/>
      </w:pPr>
      <w:r>
        <w:rPr>
          <w:rFonts w:ascii="宋体" w:hAnsi="宋体" w:cs="宋体" w:eastAsia="宋体" w:hint="default"/>
        </w:rPr>
        <w:t>2. </w:t>
      </w:r>
      <w:r>
        <w:rPr>
          <w:rFonts w:ascii="宋体" w:hAnsi="宋体" w:cs="宋体" w:eastAsia="宋体" w:hint="default"/>
          <w:spacing w:val="5"/>
        </w:rPr>
        <w:t> </w:t>
      </w:r>
      <w:r>
        <w:rPr/>
        <w:t>预付款项期末余额较期初减少</w:t>
      </w:r>
      <w:r>
        <w:rPr>
          <w:rFonts w:ascii="Times New Roman" w:hAnsi="Times New Roman" w:cs="Times New Roman" w:eastAsia="Times New Roman" w:hint="default"/>
        </w:rPr>
        <w:t>2,139,700.92</w:t>
      </w:r>
      <w:r>
        <w:rPr/>
        <w:t>元，减少比例为</w:t>
      </w:r>
      <w:r>
        <w:rPr>
          <w:rFonts w:ascii="Times New Roman" w:hAnsi="Times New Roman" w:cs="Times New Roman" w:eastAsia="Times New Roman" w:hint="default"/>
        </w:rPr>
        <w:t>60.44%</w:t>
      </w:r>
      <w:r>
        <w:rPr/>
        <w:t>，主要系预付原材料款减少所致。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5"/>
        <w:spacing w:line="240" w:lineRule="auto"/>
        <w:ind w:right="0"/>
        <w:jc w:val="left"/>
        <w:rPr>
          <w:b w:val="0"/>
          <w:bCs w:val="0"/>
        </w:rPr>
      </w:pPr>
      <w:bookmarkStart w:name="8、其他应收款" w:id="259"/>
      <w:bookmarkEnd w:id="259"/>
      <w:r>
        <w:rPr>
          <w:b w:val="0"/>
          <w:bCs w:val="0"/>
        </w:rPr>
      </w:r>
      <w:r>
        <w:rPr>
          <w:rFonts w:ascii="Times New Roman" w:hAnsi="Times New Roman" w:cs="Times New Roman" w:eastAsia="Times New Roman" w:hint="default"/>
          <w:spacing w:val="4"/>
        </w:rPr>
        <w:t>8</w:t>
      </w:r>
      <w:r>
        <w:rPr>
          <w:spacing w:val="4"/>
        </w:rPr>
        <w:t>、其他应收款</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108,017.04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324,236.89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48,273,545.88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36,040,123.96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48,381,562.92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36,364,360.85</w:t>
            </w:r>
          </w:p>
        </w:tc>
      </w:tr>
    </w:tbl>
    <w:p>
      <w:pPr>
        <w:spacing w:line="240" w:lineRule="auto" w:before="9"/>
        <w:rPr>
          <w:rFonts w:ascii="宋体" w:hAnsi="宋体" w:cs="宋体" w:eastAsia="宋体" w:hint="default"/>
          <w:sz w:val="19"/>
          <w:szCs w:val="19"/>
        </w:rPr>
      </w:pPr>
    </w:p>
    <w:p>
      <w:pPr>
        <w:pStyle w:val="Heading5"/>
        <w:spacing w:line="561" w:lineRule="auto" w:before="45"/>
        <w:ind w:right="9129"/>
        <w:jc w:val="left"/>
        <w:rPr>
          <w:b w:val="0"/>
          <w:bCs w:val="0"/>
        </w:rPr>
      </w:pPr>
      <w:bookmarkStart w:name="（1）应收利息" w:id="260"/>
      <w:bookmarkEnd w:id="260"/>
      <w:r>
        <w:rPr>
          <w:b w:val="0"/>
          <w:bCs w:val="0"/>
        </w:rPr>
      </w:r>
      <w:r>
        <w:rPr>
          <w:spacing w:val="5"/>
        </w:rPr>
        <w:t>（</w:t>
      </w:r>
      <w:r>
        <w:rPr>
          <w:rFonts w:ascii="Times New Roman" w:hAnsi="Times New Roman" w:cs="Times New Roman" w:eastAsia="Times New Roman" w:hint="default"/>
          <w:spacing w:val="5"/>
        </w:rPr>
        <w:t>1</w:t>
      </w:r>
      <w:r>
        <w:rPr>
          <w:spacing w:val="5"/>
        </w:rPr>
        <w:t>）应收利息</w:t>
      </w:r>
      <w:r>
        <w:rPr>
          <w:spacing w:val="-65"/>
        </w:rPr>
        <w:t> </w:t>
      </w:r>
      <w:r>
        <w:rPr>
          <w:spacing w:val="-65"/>
        </w:rPr>
      </w:r>
      <w:bookmarkStart w:name="1）应收利息分类" w:id="261"/>
      <w:bookmarkEnd w:id="261"/>
      <w:r>
        <w:rPr>
          <w:spacing w:val="-65"/>
        </w:rPr>
      </w:r>
      <w:r>
        <w:rPr>
          <w:rFonts w:ascii="Times New Roman" w:hAnsi="Times New Roman" w:cs="Times New Roman" w:eastAsia="Times New Roman" w:hint="default"/>
          <w:spacing w:val="4"/>
        </w:rPr>
        <w:t>1</w:t>
      </w:r>
      <w:r>
        <w:rPr>
          <w:spacing w:val="4"/>
        </w:rPr>
        <w:t>）应收利息分类</w:t>
      </w:r>
      <w:r>
        <w:rPr>
          <w:b w:val="0"/>
          <w:bCs w:val="0"/>
          <w:spacing w:val="4"/>
        </w:rPr>
      </w:r>
    </w:p>
    <w:p>
      <w:pPr>
        <w:pStyle w:val="BodyText"/>
        <w:spacing w:line="240" w:lineRule="auto" w:before="52"/>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闲置资金利息</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108,017.04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324,236.89</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108,017.04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324,236.89</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重要逾期利息" w:id="262"/>
      <w:bookmarkEnd w:id="262"/>
      <w:r>
        <w:rPr>
          <w:b w:val="0"/>
          <w:bCs w:val="0"/>
        </w:rPr>
      </w:r>
      <w:r>
        <w:rPr>
          <w:rFonts w:ascii="Times New Roman" w:hAnsi="Times New Roman" w:cs="Times New Roman" w:eastAsia="Times New Roman" w:hint="default"/>
          <w:spacing w:val="4"/>
        </w:rPr>
        <w:t>2</w:t>
      </w:r>
      <w:r>
        <w:rPr>
          <w:spacing w:val="4"/>
        </w:rPr>
        <w:t>）重要逾期利息</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2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7"/>
          <w:szCs w:val="27"/>
        </w:rPr>
      </w:pPr>
    </w:p>
    <w:p>
      <w:pPr>
        <w:pStyle w:val="Heading5"/>
        <w:spacing w:line="240" w:lineRule="auto" w:before="45"/>
        <w:ind w:right="0"/>
        <w:jc w:val="left"/>
        <w:rPr>
          <w:b w:val="0"/>
          <w:bCs w:val="0"/>
        </w:rPr>
      </w:pPr>
      <w:bookmarkStart w:name="3）坏账准备计提情况" w:id="263"/>
      <w:bookmarkEnd w:id="263"/>
      <w:r>
        <w:rPr>
          <w:b w:val="0"/>
          <w:bCs w:val="0"/>
        </w:rPr>
      </w:r>
      <w:r>
        <w:rPr>
          <w:rFonts w:ascii="Times New Roman" w:hAnsi="Times New Roman" w:cs="Times New Roman" w:eastAsia="Times New Roman" w:hint="default"/>
          <w:spacing w:val="4"/>
        </w:rPr>
        <w:t>3</w:t>
      </w:r>
      <w:r>
        <w:rPr>
          <w:spacing w:val="4"/>
        </w:rPr>
        <w:t>）坏账准备计提情况</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561" w:lineRule="auto" w:before="119"/>
        <w:ind w:right="9129"/>
        <w:jc w:val="left"/>
        <w:rPr>
          <w:b w:val="0"/>
          <w:bCs w:val="0"/>
        </w:rPr>
      </w:pPr>
      <w:bookmarkStart w:name="（2）应收股利" w:id="264"/>
      <w:bookmarkEnd w:id="264"/>
      <w:r>
        <w:rPr>
          <w:b w:val="0"/>
          <w:bCs w:val="0"/>
        </w:rPr>
      </w:r>
      <w:r>
        <w:rPr>
          <w:spacing w:val="5"/>
        </w:rPr>
        <w:t>（</w:t>
      </w:r>
      <w:r>
        <w:rPr>
          <w:rFonts w:ascii="Times New Roman" w:hAnsi="Times New Roman" w:cs="Times New Roman" w:eastAsia="Times New Roman" w:hint="default"/>
          <w:spacing w:val="5"/>
        </w:rPr>
        <w:t>2</w:t>
      </w:r>
      <w:r>
        <w:rPr>
          <w:spacing w:val="5"/>
        </w:rPr>
        <w:t>）应收股利</w:t>
      </w:r>
      <w:r>
        <w:rPr>
          <w:spacing w:val="-65"/>
        </w:rPr>
        <w:t> </w:t>
      </w:r>
      <w:r>
        <w:rPr>
          <w:spacing w:val="-65"/>
        </w:rPr>
      </w:r>
      <w:bookmarkStart w:name="1）应收股利分类" w:id="265"/>
      <w:bookmarkEnd w:id="265"/>
      <w:r>
        <w:rPr>
          <w:spacing w:val="-65"/>
        </w:rPr>
      </w:r>
      <w:r>
        <w:rPr>
          <w:rFonts w:ascii="Times New Roman" w:hAnsi="Times New Roman" w:cs="Times New Roman" w:eastAsia="Times New Roman" w:hint="default"/>
          <w:spacing w:val="4"/>
        </w:rPr>
        <w:t>1</w:t>
      </w:r>
      <w:r>
        <w:rPr>
          <w:spacing w:val="4"/>
        </w:rPr>
        <w:t>）应收股利分类</w:t>
      </w:r>
      <w:r>
        <w:rPr>
          <w:b w:val="0"/>
          <w:bCs w:val="0"/>
          <w:spacing w:val="4"/>
        </w:rPr>
      </w:r>
    </w:p>
    <w:p>
      <w:pPr>
        <w:pStyle w:val="BodyText"/>
        <w:spacing w:line="240" w:lineRule="auto" w:before="52"/>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重要的账龄超过1年的应收股利" w:id="266"/>
      <w:bookmarkEnd w:id="266"/>
      <w:r>
        <w:rPr>
          <w:b w:val="0"/>
          <w:bCs w:val="0"/>
        </w:rPr>
      </w:r>
      <w:r>
        <w:rPr>
          <w:rFonts w:ascii="Times New Roman" w:hAnsi="Times New Roman" w:cs="Times New Roman" w:eastAsia="Times New Roman" w:hint="default"/>
          <w:spacing w:val="5"/>
        </w:rPr>
        <w:t>2</w:t>
      </w:r>
      <w:r>
        <w:rPr>
          <w:spacing w:val="5"/>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spacing w:val="4"/>
        </w:rPr>
        <w:t>年的应收股利</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3）坏账准备计提情况" w:id="267"/>
      <w:bookmarkEnd w:id="267"/>
      <w:r>
        <w:rPr>
          <w:b w:val="0"/>
          <w:bCs w:val="0"/>
        </w:rPr>
      </w:r>
      <w:r>
        <w:rPr>
          <w:rFonts w:ascii="Times New Roman" w:hAnsi="Times New Roman" w:cs="Times New Roman" w:eastAsia="Times New Roman" w:hint="default"/>
          <w:spacing w:val="4"/>
        </w:rPr>
        <w:t>3</w:t>
      </w:r>
      <w:r>
        <w:rPr>
          <w:spacing w:val="4"/>
        </w:rPr>
        <w:t>）坏账准备计提情况</w:t>
      </w:r>
      <w:r>
        <w:rPr>
          <w:b w:val="0"/>
          <w:bCs w:val="0"/>
          <w:spacing w:val="4"/>
        </w:rPr>
      </w:r>
    </w:p>
    <w:p>
      <w:pPr>
        <w:spacing w:line="240" w:lineRule="auto" w:before="11"/>
        <w:rPr>
          <w:rFonts w:ascii="宋体" w:hAnsi="宋体" w:cs="宋体" w:eastAsia="宋体" w:hint="default"/>
          <w:b/>
          <w:bCs/>
          <w:sz w:val="27"/>
          <w:szCs w:val="27"/>
        </w:rPr>
      </w:pPr>
    </w:p>
    <w:p>
      <w:pPr>
        <w:pStyle w:val="BodyText"/>
        <w:spacing w:line="316"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0"/>
        <w:rPr>
          <w:rFonts w:ascii="宋体" w:hAnsi="宋体" w:cs="宋体" w:eastAsia="宋体" w:hint="default"/>
          <w:sz w:val="26"/>
          <w:szCs w:val="26"/>
        </w:rPr>
      </w:pPr>
    </w:p>
    <w:p>
      <w:pPr>
        <w:pStyle w:val="Heading5"/>
        <w:spacing w:line="547" w:lineRule="auto"/>
        <w:ind w:right="6789"/>
        <w:jc w:val="left"/>
        <w:rPr>
          <w:b w:val="0"/>
          <w:bCs w:val="0"/>
        </w:rPr>
      </w:pPr>
      <w:bookmarkStart w:name="（3）其他应收款" w:id="268"/>
      <w:bookmarkEnd w:id="268"/>
      <w:r>
        <w:rPr>
          <w:b w:val="0"/>
          <w:bCs w:val="0"/>
        </w:rPr>
      </w:r>
      <w:r>
        <w:rPr>
          <w:spacing w:val="4"/>
        </w:rPr>
        <w:t>（</w:t>
      </w:r>
      <w:r>
        <w:rPr>
          <w:rFonts w:ascii="Times New Roman" w:hAnsi="Times New Roman" w:cs="Times New Roman" w:eastAsia="Times New Roman" w:hint="default"/>
          <w:spacing w:val="4"/>
        </w:rPr>
        <w:t>3</w:t>
      </w:r>
      <w:r>
        <w:rPr>
          <w:spacing w:val="4"/>
        </w:rPr>
        <w:t>）其他应收款</w:t>
      </w:r>
      <w:r>
        <w:rPr>
          <w:spacing w:val="-58"/>
        </w:rPr>
        <w:t> </w:t>
      </w:r>
      <w:r>
        <w:rPr>
          <w:spacing w:val="-58"/>
        </w:rPr>
      </w:r>
      <w:bookmarkStart w:name="1）其他应收款按款项性质分类情况" w:id="269"/>
      <w:bookmarkEnd w:id="269"/>
      <w:r>
        <w:rPr>
          <w:spacing w:val="-58"/>
        </w:rPr>
      </w:r>
      <w:r>
        <w:rPr>
          <w:rFonts w:ascii="Times New Roman" w:hAnsi="Times New Roman" w:cs="Times New Roman" w:eastAsia="Times New Roman" w:hint="default"/>
          <w:spacing w:val="5"/>
        </w:rPr>
        <w:t>1</w:t>
      </w:r>
      <w:r>
        <w:rPr>
          <w:spacing w:val="5"/>
        </w:rPr>
        <w:t>）其他应收款按款项性质分类情况</w:t>
      </w:r>
      <w:r>
        <w:rPr>
          <w:b w:val="0"/>
          <w:bCs w:val="0"/>
          <w:spacing w:val="5"/>
        </w:rPr>
      </w:r>
    </w:p>
    <w:p>
      <w:pPr>
        <w:pStyle w:val="BodyText"/>
        <w:spacing w:line="240" w:lineRule="auto" w:before="8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38,418,163.28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25,587,902.88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4,610,146.71</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代垫代付款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3,432,865.97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3,629,369.26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474,199.85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6,276,882.56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11,311,151.80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53,212,258.37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40,558,423.94</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坏账准备计提情况" w:id="270"/>
      <w:bookmarkEnd w:id="270"/>
      <w:r>
        <w:rPr>
          <w:b w:val="0"/>
          <w:bCs w:val="0"/>
        </w:rPr>
      </w:r>
      <w:r>
        <w:rPr>
          <w:rFonts w:ascii="Times New Roman" w:hAnsi="Times New Roman" w:cs="Times New Roman" w:eastAsia="Times New Roman" w:hint="default"/>
          <w:spacing w:val="4"/>
        </w:rPr>
        <w:t>2</w:t>
      </w:r>
      <w:r>
        <w:rPr>
          <w:spacing w:val="4"/>
        </w:rPr>
        <w:t>）坏账准备计提情况</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637"/>
        <w:gridCol w:w="2118"/>
        <w:gridCol w:w="2102"/>
        <w:gridCol w:w="1802"/>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5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540" w:right="44"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4,518,299.98</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4,518,299.98</w:t>
            </w:r>
          </w:p>
        </w:tc>
      </w:tr>
      <w:tr>
        <w:trPr>
          <w:trHeight w:val="158"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45"/>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-928,299.55</w:t>
            </w:r>
            <w:r>
              <w:rPr>
                <w:rFonts w:ascii="Times New Roman"/>
                <w:sz w:val="18"/>
              </w:rPr>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928,299.55</w:t>
            </w: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2,506,606.44</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2,506,606.44</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1,157,894.38</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53,169.09</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1,211,063.47</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875,130.46</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875,130.46</w:t>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2,432,106.05</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2,506,606.44</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4,938,712.49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before="45"/>
        <w:ind w:right="-20"/>
        <w:jc w:val="left"/>
      </w:pPr>
      <w:r>
        <w:rPr/>
        <w:t>损失准备本期变动金额重大的账面余额变动情况</w:t>
      </w:r>
    </w:p>
    <w:p>
      <w:pPr>
        <w:pStyle w:val="BodyText"/>
        <w:spacing w:line="333" w:lineRule="auto" w:before="124"/>
        <w:ind w:right="1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 元</w:t>
      </w:r>
    </w:p>
    <w:p>
      <w:pPr>
        <w:spacing w:after="0" w:line="240" w:lineRule="auto"/>
        <w:jc w:val="left"/>
        <w:sectPr>
          <w:type w:val="continuous"/>
          <w:pgSz w:w="11910" w:h="16850"/>
          <w:pgMar w:top="1040" w:bottom="1180" w:left="1000" w:right="0"/>
          <w:cols w:num="2" w:equalWidth="0">
            <w:col w:w="3922" w:space="4924"/>
            <w:col w:w="2064"/>
          </w:cols>
        </w:sectPr>
      </w:pP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1"/>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23,565,326.28</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21,565,668.78</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1,999,657.50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17,073,227.82</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2,052,594.14</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10,521,110.13</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8,934,331.54</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897,048.74</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689,729.85</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53,212,258.37</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3）本期计提、收回或转回的坏账准备情况" w:id="271"/>
      <w:bookmarkEnd w:id="271"/>
      <w:r>
        <w:rPr>
          <w:b w:val="0"/>
          <w:bCs w:val="0"/>
        </w:rPr>
      </w:r>
      <w:r>
        <w:rPr>
          <w:rFonts w:ascii="Times New Roman" w:hAnsi="Times New Roman" w:cs="Times New Roman" w:eastAsia="Times New Roman" w:hint="default"/>
          <w:spacing w:val="5"/>
        </w:rPr>
        <w:t>3</w:t>
      </w:r>
      <w:r>
        <w:rPr>
          <w:spacing w:val="5"/>
        </w:rPr>
        <w:t>）本期计提、收回或转回的坏账准备情况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412"/>
        <w:gridCol w:w="1112"/>
        <w:gridCol w:w="1186"/>
        <w:gridCol w:w="1307"/>
        <w:gridCol w:w="1096"/>
        <w:gridCol w:w="1742"/>
        <w:gridCol w:w="1727"/>
      </w:tblGrid>
      <w:tr>
        <w:trPr>
          <w:trHeight w:val="405" w:hRule="exact"/>
        </w:trPr>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1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112" w:type="dxa"/>
            <w:vMerge/>
            <w:tcBorders>
              <w:left w:val="single" w:sz="6" w:space="0" w:color="000000"/>
              <w:bottom w:val="single" w:sz="6" w:space="0" w:color="000000"/>
              <w:right w:val="single" w:sz="6" w:space="0" w:color="000000"/>
            </w:tcBorders>
            <w:shd w:val="clear" w:color="auto" w:fill="D2D2D2"/>
          </w:tcPr>
          <w:p>
            <w:pP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45"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其他</w:t>
            </w:r>
          </w:p>
        </w:tc>
        <w:tc>
          <w:tcPr>
            <w:tcW w:w="1727"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19"/>
              <w:jc w:val="left"/>
              <w:rPr>
                <w:rFonts w:ascii="宋体" w:hAnsi="宋体" w:cs="宋体" w:eastAsia="宋体" w:hint="default"/>
                <w:sz w:val="18"/>
                <w:szCs w:val="18"/>
              </w:rPr>
            </w:pPr>
            <w:r>
              <w:rPr>
                <w:rFonts w:ascii="宋体" w:hAnsi="宋体" w:cs="宋体" w:eastAsia="宋体" w:hint="default"/>
                <w:sz w:val="18"/>
                <w:szCs w:val="18"/>
              </w:rPr>
              <w:t>其他应收款坏账 准备</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4,518,299.98</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1,348,712.06</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53,169.09</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875,130.46</w:t>
            </w:r>
          </w:p>
        </w:tc>
        <w:tc>
          <w:tcPr>
            <w:tcW w:w="1742"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4,938,712.49</w:t>
            </w:r>
          </w:p>
        </w:tc>
      </w:tr>
      <w:tr>
        <w:trPr>
          <w:trHeight w:val="405"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4,518,299.98</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1,348,712.06</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53,169.09</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875,130.46</w:t>
            </w:r>
          </w:p>
        </w:tc>
        <w:tc>
          <w:tcPr>
            <w:tcW w:w="1742"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4,938,712.49</w:t>
            </w:r>
          </w:p>
        </w:tc>
      </w:tr>
    </w:tbl>
    <w:p>
      <w:pPr>
        <w:pStyle w:val="BodyText"/>
        <w:spacing w:line="240" w:lineRule="auto" w:before="44"/>
        <w:ind w:right="0"/>
        <w:jc w:val="left"/>
      </w:pPr>
      <w:r>
        <w:rPr/>
        <w:t>其中本期坏账准备转回或收回金额重要的：</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深圳市轻松点科技有限公司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53,169.09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货币资金</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53,169.09</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4）本期实际核销的其他应收款情况" w:id="272"/>
      <w:bookmarkEnd w:id="272"/>
      <w:r>
        <w:rPr>
          <w:b w:val="0"/>
          <w:bCs w:val="0"/>
        </w:rPr>
      </w:r>
      <w:r>
        <w:rPr>
          <w:rFonts w:ascii="Times New Roman" w:hAnsi="Times New Roman" w:cs="Times New Roman" w:eastAsia="Times New Roman" w:hint="default"/>
          <w:spacing w:val="5"/>
        </w:rPr>
        <w:t>4</w:t>
      </w:r>
      <w:r>
        <w:rPr>
          <w:spacing w:val="5"/>
        </w:rPr>
        <w:t>）本期实际核销的其他应收款情况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875,130.46</w:t>
            </w:r>
          </w:p>
        </w:tc>
      </w:tr>
    </w:tbl>
    <w:p>
      <w:pPr>
        <w:pStyle w:val="BodyText"/>
        <w:spacing w:line="240" w:lineRule="auto" w:before="44"/>
        <w:ind w:right="0"/>
        <w:jc w:val="left"/>
      </w:pPr>
      <w:r>
        <w:rPr/>
        <w:t>其中重要的其他应收款核销情况：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20"/>
              <w:jc w:val="left"/>
              <w:rPr>
                <w:rFonts w:ascii="宋体" w:hAnsi="宋体" w:cs="宋体" w:eastAsia="宋体" w:hint="default"/>
                <w:sz w:val="18"/>
                <w:szCs w:val="18"/>
              </w:rPr>
            </w:pPr>
            <w:r>
              <w:rPr>
                <w:rFonts w:ascii="宋体" w:hAnsi="宋体" w:cs="宋体" w:eastAsia="宋体" w:hint="default"/>
                <w:sz w:val="18"/>
                <w:szCs w:val="18"/>
              </w:rPr>
              <w:t>深圳市轻松点科技 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涉讼材料款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875,130.46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确认坏账</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06"/>
              <w:jc w:val="left"/>
              <w:rPr>
                <w:rFonts w:ascii="宋体" w:hAnsi="宋体" w:cs="宋体" w:eastAsia="宋体" w:hint="default"/>
                <w:sz w:val="18"/>
                <w:szCs w:val="18"/>
              </w:rPr>
            </w:pPr>
            <w:r>
              <w:rPr>
                <w:rFonts w:ascii="宋体" w:hAnsi="宋体" w:cs="宋体" w:eastAsia="宋体" w:hint="default"/>
                <w:sz w:val="18"/>
                <w:szCs w:val="18"/>
              </w:rPr>
              <w:t>应收款项坏账核销 审批流程</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875,130.46</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7" w:lineRule="auto" w:before="45"/>
        <w:ind w:left="441" w:right="1179" w:hanging="301"/>
        <w:jc w:val="left"/>
      </w:pPr>
      <w:r>
        <w:rPr/>
        <w:t>其他应收款核销说明： 本期核销的重要其他应收款，系本公司上期单项全额计提对深圳市轻松点科技有限公司的破产债权</w:t>
      </w:r>
      <w:r>
        <w:rPr>
          <w:rFonts w:ascii="Times New Roman" w:hAnsi="Times New Roman" w:cs="Times New Roman" w:eastAsia="Times New Roman" w:hint="default"/>
        </w:rPr>
        <w:t>928,299.55</w:t>
      </w:r>
      <w:r>
        <w:rPr/>
        <w:t>元，本期</w:t>
      </w:r>
    </w:p>
    <w:p>
      <w:pPr>
        <w:pStyle w:val="BodyText"/>
        <w:spacing w:line="210" w:lineRule="exact"/>
        <w:ind w:right="0"/>
        <w:jc w:val="left"/>
      </w:pPr>
      <w:r>
        <w:rPr/>
        <w:t>深圳市轻松点科技有限公司经法院裁定破产，并对破产财产依法进行分配，本公司分回</w:t>
      </w:r>
      <w:r>
        <w:rPr>
          <w:rFonts w:ascii="Times New Roman" w:hAnsi="Times New Roman" w:cs="Times New Roman" w:eastAsia="Times New Roman" w:hint="default"/>
        </w:rPr>
        <w:t>53,169.09</w:t>
      </w:r>
      <w:r>
        <w:rPr/>
        <w:t>元，剩余无法收回的债权</w:t>
      </w:r>
    </w:p>
    <w:p>
      <w:pPr>
        <w:pStyle w:val="BodyText"/>
        <w:spacing w:line="240" w:lineRule="auto" w:before="66"/>
        <w:ind w:right="0"/>
        <w:jc w:val="left"/>
      </w:pPr>
      <w:r>
        <w:rPr>
          <w:rFonts w:ascii="Times New Roman" w:hAnsi="Times New Roman" w:cs="Times New Roman" w:eastAsia="Times New Roman" w:hint="default"/>
        </w:rPr>
        <w:t>875,130.46</w:t>
      </w:r>
      <w:r>
        <w:rPr/>
        <w:t>元，作核销处理。</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5）按欠款方归集的期末余额前五名的其他应收款情况" w:id="273"/>
      <w:bookmarkEnd w:id="273"/>
      <w:r>
        <w:rPr>
          <w:b w:val="0"/>
          <w:bCs w:val="0"/>
        </w:rPr>
      </w:r>
      <w:r>
        <w:rPr>
          <w:rFonts w:ascii="Times New Roman" w:hAnsi="Times New Roman" w:cs="Times New Roman" w:eastAsia="Times New Roman" w:hint="default"/>
          <w:spacing w:val="5"/>
        </w:rPr>
        <w:t>5</w:t>
      </w:r>
      <w:r>
        <w:rPr>
          <w:spacing w:val="5"/>
        </w:rPr>
        <w:t>）按欠款方归集的期末余额前五名的其他应收款情况</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5" w:right="6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20"/>
              <w:jc w:val="left"/>
              <w:rPr>
                <w:rFonts w:ascii="宋体" w:hAnsi="宋体" w:cs="宋体" w:eastAsia="宋体" w:hint="default"/>
                <w:sz w:val="18"/>
                <w:szCs w:val="18"/>
              </w:rPr>
            </w:pPr>
            <w:r>
              <w:rPr>
                <w:rFonts w:ascii="宋体" w:hAnsi="宋体" w:cs="宋体" w:eastAsia="宋体" w:hint="default"/>
                <w:sz w:val="18"/>
                <w:szCs w:val="18"/>
              </w:rPr>
              <w:t>深圳市汇怡通投资 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13,000,000.00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24.43%</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20"/>
              <w:jc w:val="left"/>
              <w:rPr>
                <w:rFonts w:ascii="宋体" w:hAnsi="宋体" w:cs="宋体" w:eastAsia="宋体" w:hint="default"/>
                <w:sz w:val="18"/>
                <w:szCs w:val="18"/>
              </w:rPr>
            </w:pPr>
            <w:r>
              <w:rPr>
                <w:rFonts w:ascii="宋体" w:hAnsi="宋体" w:cs="宋体" w:eastAsia="宋体" w:hint="default"/>
                <w:sz w:val="18"/>
                <w:szCs w:val="18"/>
              </w:rPr>
              <w:t>中远海运租赁有限 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15.03%</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4,610,146.71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8.66%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20"/>
              <w:jc w:val="left"/>
              <w:rPr>
                <w:rFonts w:ascii="宋体" w:hAnsi="宋体" w:cs="宋体" w:eastAsia="宋体" w:hint="default"/>
                <w:sz w:val="18"/>
                <w:szCs w:val="18"/>
              </w:rPr>
            </w:pPr>
            <w:r>
              <w:rPr>
                <w:rFonts w:ascii="宋体" w:hAnsi="宋体" w:cs="宋体" w:eastAsia="宋体" w:hint="default"/>
                <w:sz w:val="18"/>
                <w:szCs w:val="18"/>
              </w:rPr>
              <w:t>至高建设集团有限 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18,454.40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至高建设集团有限 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7,955.30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795.53</w:t>
            </w: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至高建设集团有限 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3,052,000.00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5.74%</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方俊基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595.86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方俊基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2,920,806.00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5.49%</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5" w:right="0"/>
              <w:jc w:val="left"/>
              <w:rPr>
                <w:rFonts w:ascii="Times New Roman" w:hAnsi="Times New Roman" w:cs="Times New Roman" w:eastAsia="Times New Roman" w:hint="default"/>
                <w:sz w:val="18"/>
                <w:szCs w:val="18"/>
              </w:rPr>
            </w:pPr>
            <w:r>
              <w:rPr>
                <w:rFonts w:ascii="Times New Roman"/>
                <w:sz w:val="18"/>
              </w:rPr>
              <w:t>31,609,958.27</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20" w:right="0"/>
              <w:jc w:val="left"/>
              <w:rPr>
                <w:rFonts w:ascii="Times New Roman" w:hAnsi="Times New Roman" w:cs="Times New Roman" w:eastAsia="Times New Roman" w:hint="default"/>
                <w:sz w:val="18"/>
                <w:szCs w:val="18"/>
              </w:rPr>
            </w:pPr>
            <w:r>
              <w:rPr>
                <w:rFonts w:ascii="Times New Roman"/>
                <w:sz w:val="18"/>
              </w:rPr>
              <w:t>59.40%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795.53</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6）涉及政府补助的应收款项" w:id="274"/>
      <w:bookmarkEnd w:id="274"/>
      <w:r>
        <w:rPr>
          <w:b w:val="0"/>
          <w:bCs w:val="0"/>
        </w:rPr>
      </w:r>
      <w:r>
        <w:rPr>
          <w:rFonts w:ascii="Times New Roman" w:hAnsi="Times New Roman" w:cs="Times New Roman" w:eastAsia="Times New Roman" w:hint="default"/>
          <w:spacing w:val="4"/>
        </w:rPr>
        <w:t>6</w:t>
      </w:r>
      <w:r>
        <w:rPr>
          <w:spacing w:val="4"/>
        </w:rPr>
        <w:t>）涉及政府补助的应收款项</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7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691" w:right="45"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7）因金融资产转移而终止确认的其他应收款" w:id="275"/>
      <w:bookmarkEnd w:id="275"/>
      <w:r>
        <w:rPr>
          <w:b w:val="0"/>
          <w:bCs w:val="0"/>
        </w:rPr>
      </w:r>
      <w:r>
        <w:rPr>
          <w:rFonts w:ascii="Times New Roman" w:hAnsi="Times New Roman" w:cs="Times New Roman" w:eastAsia="Times New Roman" w:hint="default"/>
          <w:spacing w:val="5"/>
        </w:rPr>
        <w:t>7</w:t>
      </w:r>
      <w:r>
        <w:rPr>
          <w:spacing w:val="5"/>
        </w:rPr>
        <w:t>）因金融资产转移而终止确认的其他应收款</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8）转移其他应收款且继续涉入形成的资产、负债金额" w:id="276"/>
      <w:bookmarkEnd w:id="276"/>
      <w:r>
        <w:rPr>
          <w:b w:val="0"/>
          <w:bCs w:val="0"/>
        </w:rPr>
      </w:r>
      <w:r>
        <w:rPr>
          <w:rFonts w:ascii="Times New Roman" w:hAnsi="Times New Roman" w:cs="Times New Roman" w:eastAsia="Times New Roman" w:hint="default"/>
          <w:spacing w:val="5"/>
        </w:rPr>
        <w:t>8</w:t>
      </w:r>
      <w:r>
        <w:rPr>
          <w:spacing w:val="5"/>
        </w:rPr>
        <w:t>）转移其他应收款且继续涉入形成的资产、负债金额</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240" w:lineRule="auto" w:before="124"/>
        <w:ind w:left="636" w:right="0"/>
        <w:jc w:val="left"/>
      </w:pPr>
      <w:r>
        <w:rPr>
          <w:rFonts w:ascii="宋体" w:hAnsi="宋体" w:cs="宋体" w:eastAsia="宋体" w:hint="default"/>
        </w:rPr>
        <w:t>1. </w:t>
      </w:r>
      <w:r>
        <w:rPr>
          <w:rFonts w:ascii="宋体" w:hAnsi="宋体" w:cs="宋体" w:eastAsia="宋体" w:hint="default"/>
          <w:spacing w:val="12"/>
        </w:rPr>
        <w:t> </w:t>
      </w:r>
      <w:r>
        <w:rPr/>
        <w:t>期末其他应收款中应收关联方的款项详见</w:t>
      </w:r>
      <w:r>
        <w:rPr>
          <w:rFonts w:ascii="Times New Roman" w:hAnsi="Times New Roman" w:cs="Times New Roman" w:eastAsia="Times New Roman" w:hint="default"/>
        </w:rPr>
        <w:t>“</w:t>
      </w:r>
      <w:r>
        <w:rPr/>
        <w:t>第十二节、十二、</w:t>
      </w:r>
      <w:r>
        <w:rPr>
          <w:rFonts w:ascii="Times New Roman" w:hAnsi="Times New Roman" w:cs="Times New Roman" w:eastAsia="Times New Roman" w:hint="default"/>
        </w:rPr>
        <w:t>6</w:t>
      </w:r>
      <w:r>
        <w:rPr/>
        <w:t>、关联方应收应付款项</w:t>
      </w:r>
      <w:r>
        <w:rPr>
          <w:rFonts w:ascii="Times New Roman" w:hAnsi="Times New Roman" w:cs="Times New Roman" w:eastAsia="Times New Roman" w:hint="default"/>
        </w:rPr>
        <w:t>”</w:t>
      </w:r>
      <w:r>
        <w:rPr/>
        <w:t>。</w:t>
      </w:r>
    </w:p>
    <w:p>
      <w:pPr>
        <w:pStyle w:val="BodyText"/>
        <w:spacing w:line="240" w:lineRule="auto" w:before="66"/>
        <w:ind w:left="636" w:right="0"/>
        <w:jc w:val="left"/>
      </w:pPr>
      <w:r>
        <w:rPr>
          <w:rFonts w:ascii="宋体" w:hAnsi="宋体" w:cs="宋体" w:eastAsia="宋体" w:hint="default"/>
        </w:rPr>
        <w:t>2. </w:t>
      </w:r>
      <w:r>
        <w:rPr>
          <w:rFonts w:ascii="宋体" w:hAnsi="宋体" w:cs="宋体" w:eastAsia="宋体" w:hint="default"/>
          <w:spacing w:val="3"/>
        </w:rPr>
        <w:t> </w:t>
      </w:r>
      <w:r>
        <w:rPr/>
        <w:t>期末其他应收款中无预付持本公司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表决权股份的股东单位及其他关联方的款项。</w:t>
      </w:r>
    </w:p>
    <w:p>
      <w:pPr>
        <w:pStyle w:val="BodyText"/>
        <w:spacing w:line="288" w:lineRule="auto" w:before="66"/>
        <w:ind w:left="997" w:right="1118" w:hanging="361"/>
        <w:jc w:val="left"/>
      </w:pPr>
      <w:r>
        <w:rPr>
          <w:rFonts w:ascii="宋体" w:hAnsi="宋体" w:cs="宋体" w:eastAsia="宋体" w:hint="default"/>
        </w:rPr>
        <w:t>3.</w:t>
      </w:r>
      <w:r>
        <w:rPr>
          <w:rFonts w:ascii="宋体" w:hAnsi="宋体" w:cs="宋体" w:eastAsia="宋体" w:hint="default"/>
          <w:spacing w:val="5"/>
        </w:rPr>
        <w:t> </w:t>
      </w:r>
      <w:r>
        <w:rPr/>
        <w:t>其他应收款期末余额较期初增长</w:t>
      </w:r>
      <w:r>
        <w:rPr>
          <w:rFonts w:ascii="Times New Roman" w:hAnsi="Times New Roman" w:cs="Times New Roman" w:eastAsia="Times New Roman" w:hint="default"/>
        </w:rPr>
        <w:t>12,017,202.07</w:t>
      </w:r>
      <w:r>
        <w:rPr/>
        <w:t>元，增长比例为</w:t>
      </w:r>
      <w:r>
        <w:rPr>
          <w:rFonts w:ascii="Times New Roman" w:hAnsi="Times New Roman" w:cs="Times New Roman" w:eastAsia="Times New Roman" w:hint="default"/>
        </w:rPr>
        <w:t>33.05%</w:t>
      </w:r>
      <w:r>
        <w:rPr/>
        <w:t>，主要系押金、保证金和出口退税款增加所 致。</w:t>
      </w:r>
    </w:p>
    <w:p>
      <w:pPr>
        <w:spacing w:line="240" w:lineRule="auto" w:before="7"/>
        <w:rPr>
          <w:rFonts w:ascii="宋体" w:hAnsi="宋体" w:cs="宋体" w:eastAsia="宋体" w:hint="default"/>
          <w:sz w:val="26"/>
          <w:szCs w:val="26"/>
        </w:rPr>
      </w:pPr>
    </w:p>
    <w:p>
      <w:pPr>
        <w:pStyle w:val="Heading5"/>
        <w:spacing w:line="240" w:lineRule="auto"/>
        <w:ind w:right="0"/>
        <w:jc w:val="left"/>
        <w:rPr>
          <w:b w:val="0"/>
          <w:bCs w:val="0"/>
        </w:rPr>
      </w:pPr>
      <w:bookmarkStart w:name="9、存货" w:id="277"/>
      <w:bookmarkEnd w:id="277"/>
      <w:r>
        <w:rPr>
          <w:b w:val="0"/>
          <w:bCs w:val="0"/>
        </w:rPr>
      </w:r>
      <w:r>
        <w:rPr>
          <w:rFonts w:ascii="Times New Roman" w:hAnsi="Times New Roman" w:cs="Times New Roman" w:eastAsia="Times New Roman" w:hint="default"/>
          <w:spacing w:val="5"/>
        </w:rPr>
        <w:t>9</w:t>
      </w:r>
      <w:r>
        <w:rPr>
          <w:spacing w:val="5"/>
        </w:rPr>
        <w:t>、存货</w:t>
      </w:r>
      <w:r>
        <w:rPr>
          <w:b w:val="0"/>
          <w:bCs w:val="0"/>
          <w:spacing w:val="5"/>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是否已执行新收入准则</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1）存货分类" w:id="278"/>
      <w:bookmarkEnd w:id="278"/>
      <w:r>
        <w:rPr>
          <w:b w:val="0"/>
          <w:bCs w:val="0"/>
        </w:rPr>
      </w:r>
      <w:r>
        <w:rPr>
          <w:spacing w:val="5"/>
        </w:rPr>
        <w:t>（</w:t>
      </w:r>
      <w:r>
        <w:rPr>
          <w:rFonts w:ascii="Times New Roman" w:hAnsi="Times New Roman" w:cs="Times New Roman" w:eastAsia="Times New Roman" w:hint="default"/>
          <w:spacing w:val="5"/>
        </w:rPr>
        <w:t>1</w:t>
      </w:r>
      <w:r>
        <w:rPr>
          <w:spacing w:val="5"/>
        </w:rPr>
        <w:t>）存货分类</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82"/>
        <w:gridCol w:w="1367"/>
        <w:gridCol w:w="1366"/>
        <w:gridCol w:w="1367"/>
        <w:gridCol w:w="1367"/>
      </w:tblGrid>
      <w:tr>
        <w:trPr>
          <w:trHeight w:val="405"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115,924,483.18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16,270,377.27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99,654,105.91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182,428,608.56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29,021,214.43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153,407,394.13</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41,543,637.84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453,900.19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41,089,737.65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57,567,377.34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57,567,377.34</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106,194,753.05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5,054,485.27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101,140,267.78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116,276,449.30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34,311,643.57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81,964,805.73</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15,509,945.89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52,571.32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15,457,374.57</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10,685,355.91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10,685,355.91</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20,168,333.19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468,571.97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19,699,761.22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80,525,075.13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2,173,068.51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78,352,006.62</w:t>
            </w:r>
          </w:p>
        </w:tc>
      </w:tr>
      <w:tr>
        <w:trPr>
          <w:trHeight w:val="391"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1,258,414.10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1,258,414.10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3,301,524.51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3,301,524.51</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179,618.75</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179,618.75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5,830,909.30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5,830,909.30</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300,779,186.00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22,299,906.02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278,479,279.98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456,615,300.05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65,505,926.51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391,109,373.54</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存货跌价准备" w:id="279"/>
      <w:bookmarkEnd w:id="279"/>
      <w:r>
        <w:rPr>
          <w:b w:val="0"/>
          <w:bCs w:val="0"/>
        </w:rPr>
      </w:r>
      <w:r>
        <w:rPr>
          <w:spacing w:val="5"/>
        </w:rPr>
        <w:t>（</w:t>
      </w:r>
      <w:r>
        <w:rPr>
          <w:rFonts w:ascii="Times New Roman" w:hAnsi="Times New Roman" w:cs="Times New Roman" w:eastAsia="Times New Roman" w:hint="default"/>
          <w:spacing w:val="5"/>
        </w:rPr>
        <w:t>2</w:t>
      </w:r>
      <w:r>
        <w:rPr>
          <w:spacing w:val="5"/>
        </w:rPr>
        <w:t>）存货跌价准备</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203" w:hRule="exact"/>
        </w:trPr>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3" w:hRule="exact"/>
        </w:trPr>
        <w:tc>
          <w:tcPr>
            <w:tcW w:w="13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188" w:hRule="exact"/>
        </w:trPr>
        <w:tc>
          <w:tcPr>
            <w:tcW w:w="1367" w:type="dxa"/>
            <w:vMerge/>
            <w:tcBorders>
              <w:left w:val="single" w:sz="6" w:space="0" w:color="000000"/>
              <w:right w:val="single" w:sz="6" w:space="0" w:color="000000"/>
            </w:tcBorders>
            <w:shd w:val="clear" w:color="auto" w:fill="D2D2D2"/>
          </w:tcPr>
          <w:p>
            <w:pPr/>
          </w:p>
        </w:tc>
        <w:tc>
          <w:tcPr>
            <w:tcW w:w="1367" w:type="dxa"/>
            <w:vMerge/>
            <w:tcBorders>
              <w:left w:val="single" w:sz="6" w:space="0" w:color="000000"/>
              <w:bottom w:val="nil" w:sz="6" w:space="0" w:color="auto"/>
              <w:right w:val="single" w:sz="6" w:space="0" w:color="000000"/>
            </w:tcBorders>
            <w:shd w:val="clear" w:color="auto" w:fill="D2D2D2"/>
          </w:tcPr>
          <w:p>
            <w:pP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right w:val="single" w:sz="6" w:space="0" w:color="000000"/>
            </w:tcBorders>
            <w:shd w:val="clear" w:color="auto" w:fill="D2D2D2"/>
          </w:tcPr>
          <w:p>
            <w:pPr/>
          </w:p>
        </w:tc>
      </w:tr>
      <w:tr>
        <w:trPr>
          <w:trHeight w:val="217"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29,021,214.43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2,795,944.57</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15,546,781.73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16,270,377.27</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7" w:type="dxa"/>
            <w:tcBorders>
              <w:top w:val="single" w:sz="6" w:space="0" w:color="000000"/>
              <w:left w:val="single" w:sz="12"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453,900.19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453,900.19</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34,311,643.57</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29,257,158.30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5,054,485.27</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7" w:type="dxa"/>
            <w:tcBorders>
              <w:top w:val="single" w:sz="6" w:space="0" w:color="000000"/>
              <w:left w:val="single" w:sz="12"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52,571.32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52,571.32</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2,173,068.51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2,743.60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1,707,240.14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468,571.97</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65,505,926.51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3,305,159.68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46,511,180.17</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22,299,906.02</w:t>
            </w:r>
          </w:p>
        </w:tc>
      </w:tr>
    </w:tbl>
    <w:p>
      <w:pPr>
        <w:spacing w:line="240" w:lineRule="auto" w:before="10"/>
        <w:rPr>
          <w:rFonts w:ascii="宋体" w:hAnsi="宋体" w:cs="宋体" w:eastAsia="宋体" w:hint="default"/>
          <w:sz w:val="5"/>
          <w:szCs w:val="5"/>
        </w:rPr>
      </w:pPr>
    </w:p>
    <w:p>
      <w:pPr>
        <w:pStyle w:val="BodyText"/>
        <w:spacing w:line="316" w:lineRule="auto" w:before="44"/>
        <w:ind w:right="0" w:firstLine="420"/>
        <w:jc w:val="left"/>
      </w:pPr>
      <w:r>
        <w:rPr/>
        <w:t>存货跌价准备说明：库存商品和用于出售的材料等直接用于出售的商品存货，在正常生产经营过程中，以该存货的估 </w:t>
      </w:r>
      <w:r>
        <w:rPr>
          <w:spacing w:val="-2"/>
        </w:rPr>
        <w:t>计售价减去估计的销售费用和相关税费后的金额，确定其可变现净值；需要经过加工的存货，在正常生产经营过程中，以所</w:t>
      </w:r>
      <w:r>
        <w:rPr>
          <w:spacing w:val="-42"/>
        </w:rPr>
        <w:t> </w:t>
      </w:r>
      <w:r>
        <w:rPr>
          <w:spacing w:val="-42"/>
        </w:rPr>
      </w:r>
      <w:r>
        <w:rPr>
          <w:spacing w:val="-2"/>
        </w:rPr>
        <w:t>生产的产成品的估计售价减去至完工时估计将要发生的成本、估计的销售费用和相关税费后的金额，确定其可变现净值；为</w:t>
      </w:r>
      <w:r>
        <w:rPr>
          <w:spacing w:val="-75"/>
        </w:rPr>
        <w:t> </w:t>
      </w:r>
      <w:r>
        <w:rPr>
          <w:spacing w:val="-75"/>
        </w:rPr>
      </w:r>
      <w:r>
        <w:rPr/>
        <w:t>执行销售合同或者劳务合同而持有的存货，其可变现净值以合同价格为基础计算。</w:t>
      </w:r>
    </w:p>
    <w:p>
      <w:pPr>
        <w:pStyle w:val="BodyText"/>
        <w:spacing w:line="290" w:lineRule="auto" w:before="37"/>
        <w:ind w:left="997" w:right="0" w:hanging="361"/>
        <w:jc w:val="left"/>
      </w:pPr>
      <w:r>
        <w:rPr>
          <w:rFonts w:ascii="宋体" w:hAnsi="宋体" w:cs="宋体" w:eastAsia="宋体" w:hint="default"/>
        </w:rPr>
        <w:t>1.</w:t>
      </w:r>
      <w:r>
        <w:rPr>
          <w:rFonts w:ascii="宋体" w:hAnsi="宋体" w:cs="宋体" w:eastAsia="宋体" w:hint="default"/>
          <w:spacing w:val="3"/>
        </w:rPr>
        <w:t> </w:t>
      </w:r>
      <w:r>
        <w:rPr/>
        <w:t>本期存货账面余额较上年减少</w:t>
      </w:r>
      <w:r>
        <w:rPr>
          <w:rFonts w:ascii="Times New Roman" w:hAnsi="Times New Roman" w:cs="Times New Roman" w:eastAsia="Times New Roman" w:hint="default"/>
        </w:rPr>
        <w:t>155,836,114.05</w:t>
      </w:r>
      <w:r>
        <w:rPr/>
        <w:t>元，减少比例为</w:t>
      </w:r>
      <w:r>
        <w:rPr>
          <w:rFonts w:ascii="Times New Roman" w:hAnsi="Times New Roman" w:cs="Times New Roman" w:eastAsia="Times New Roman" w:hint="default"/>
        </w:rPr>
        <w:t>34.13%</w:t>
      </w:r>
      <w:r>
        <w:rPr/>
        <w:t>，主要系本期原材料储备需求减少、本期对 上期已计提跌价的存货进行报废核销和期末发出商品减少所致。</w:t>
      </w:r>
    </w:p>
    <w:p>
      <w:pPr>
        <w:pStyle w:val="BodyText"/>
        <w:spacing w:line="283" w:lineRule="auto" w:before="21"/>
        <w:ind w:left="997" w:right="1101" w:hanging="361"/>
        <w:jc w:val="left"/>
      </w:pPr>
      <w:r>
        <w:rPr>
          <w:rFonts w:ascii="宋体" w:hAnsi="宋体" w:cs="宋体" w:eastAsia="宋体" w:hint="default"/>
          <w:sz w:val="21"/>
          <w:szCs w:val="21"/>
        </w:rPr>
        <w:t>2.</w:t>
      </w:r>
      <w:r>
        <w:rPr>
          <w:rFonts w:ascii="宋体" w:hAnsi="宋体" w:cs="宋体" w:eastAsia="宋体" w:hint="default"/>
          <w:spacing w:val="48"/>
          <w:sz w:val="21"/>
          <w:szCs w:val="21"/>
        </w:rPr>
        <w:t> </w:t>
      </w:r>
      <w:r>
        <w:rPr/>
        <w:t>本期存货跌价准备较上年减少</w:t>
      </w:r>
      <w:r>
        <w:rPr>
          <w:rFonts w:ascii="Times New Roman" w:hAnsi="Times New Roman" w:cs="Times New Roman" w:eastAsia="Times New Roman" w:hint="default"/>
        </w:rPr>
        <w:t>43,206,020.49</w:t>
      </w:r>
      <w:r>
        <w:rPr/>
        <w:t>元，减少比例为</w:t>
      </w:r>
      <w:r>
        <w:rPr>
          <w:rFonts w:ascii="Times New Roman" w:hAnsi="Times New Roman" w:cs="Times New Roman" w:eastAsia="Times New Roman" w:hint="default"/>
        </w:rPr>
        <w:t>65.96%</w:t>
      </w:r>
      <w:r>
        <w:rPr/>
        <w:t>，主要系本期对上期已计提跌价的存货进行报 废核销，期末呆滞物料大幅减少，使存货跌价准备减少所致。</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存货期末余额含有借款费用资本化金额的说明" w:id="280"/>
      <w:bookmarkEnd w:id="280"/>
      <w:r>
        <w:rPr>
          <w:b w:val="0"/>
          <w:bCs w:val="0"/>
        </w:rPr>
      </w:r>
      <w:r>
        <w:rPr>
          <w:spacing w:val="5"/>
        </w:rPr>
        <w:t>（</w:t>
      </w:r>
      <w:r>
        <w:rPr>
          <w:rFonts w:ascii="Times New Roman" w:hAnsi="Times New Roman" w:cs="Times New Roman" w:eastAsia="Times New Roman" w:hint="default"/>
          <w:spacing w:val="5"/>
        </w:rPr>
        <w:t>3</w:t>
      </w:r>
      <w:r>
        <w:rPr>
          <w:spacing w:val="5"/>
        </w:rPr>
        <w:t>）存货期末余额含有借款费用资本化金额的说明</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4）期末建造合同形成的已完工未结算资产情况" w:id="281"/>
      <w:bookmarkEnd w:id="281"/>
      <w:r>
        <w:rPr>
          <w:b w:val="0"/>
          <w:bCs w:val="0"/>
        </w:rPr>
      </w:r>
      <w:r>
        <w:rPr>
          <w:spacing w:val="5"/>
        </w:rPr>
        <w:t>（</w:t>
      </w:r>
      <w:r>
        <w:rPr>
          <w:rFonts w:ascii="Times New Roman" w:hAnsi="Times New Roman" w:cs="Times New Roman" w:eastAsia="Times New Roman" w:hint="default"/>
          <w:spacing w:val="5"/>
        </w:rPr>
        <w:t>4</w:t>
      </w:r>
      <w:r>
        <w:rPr>
          <w:spacing w:val="5"/>
        </w:rPr>
        <w:t>）期末建造合同形成的已完工未结算资产情况</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1"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10、合同资产" w:id="282"/>
      <w:bookmarkEnd w:id="282"/>
      <w:r>
        <w:rPr>
          <w:b w:val="0"/>
          <w:bCs w:val="0"/>
        </w:rPr>
      </w:r>
      <w:r>
        <w:rPr>
          <w:rFonts w:ascii="Times New Roman" w:hAnsi="Times New Roman" w:cs="Times New Roman" w:eastAsia="Times New Roman" w:hint="default"/>
          <w:spacing w:val="3"/>
        </w:rPr>
        <w:t>10</w:t>
      </w:r>
      <w:r>
        <w:rPr>
          <w:spacing w:val="3"/>
        </w:rPr>
        <w:t>、合同资产</w:t>
      </w:r>
      <w:r>
        <w:rPr>
          <w:b w:val="0"/>
          <w:bCs w:val="0"/>
          <w:spacing w:val="3"/>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132"/>
        <w:gridCol w:w="1202"/>
        <w:gridCol w:w="1321"/>
        <w:gridCol w:w="1202"/>
        <w:gridCol w:w="1201"/>
        <w:gridCol w:w="1202"/>
        <w:gridCol w:w="1326"/>
      </w:tblGrid>
      <w:tr>
        <w:trPr>
          <w:trHeight w:val="405"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25"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5"/>
        <w:ind w:right="0"/>
        <w:jc w:val="left"/>
      </w:pPr>
      <w:r>
        <w:rPr/>
        <w:t>合同资产的账面价值在本期内发生的重大变动金额和原因：</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207"/>
        <w:gridCol w:w="2418"/>
        <w:gridCol w:w="4956"/>
      </w:tblGrid>
      <w:tr>
        <w:trPr>
          <w:trHeight w:val="391"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45"/>
        <w:ind w:right="0"/>
        <w:jc w:val="left"/>
      </w:pPr>
      <w:r>
        <w:rPr/>
        <w:t>如是按照预期信用损失一般模型计提合同资产坏账准备，请参照其他应收款的披露方式披露坏账准备的相关信息：</w:t>
      </w:r>
    </w:p>
    <w:p>
      <w:pPr>
        <w:pStyle w:val="BodyText"/>
        <w:spacing w:line="333" w:lineRule="auto" w:before="124"/>
        <w:ind w:right="82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本期合同资产计提减值准备情况</w:t>
      </w:r>
    </w:p>
    <w:p>
      <w:pPr>
        <w:pStyle w:val="BodyText"/>
        <w:spacing w:line="240" w:lineRule="auto" w:before="3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7"/>
          <w:szCs w:val="27"/>
        </w:rPr>
      </w:pPr>
    </w:p>
    <w:p>
      <w:pPr>
        <w:pStyle w:val="Heading5"/>
        <w:spacing w:line="240" w:lineRule="auto" w:before="45"/>
        <w:ind w:right="0"/>
        <w:jc w:val="left"/>
        <w:rPr>
          <w:b w:val="0"/>
          <w:bCs w:val="0"/>
        </w:rPr>
      </w:pPr>
      <w:bookmarkStart w:name="11、持有待售资产" w:id="283"/>
      <w:bookmarkEnd w:id="283"/>
      <w:r>
        <w:rPr>
          <w:b w:val="0"/>
          <w:bCs w:val="0"/>
        </w:rPr>
      </w:r>
      <w:r>
        <w:rPr>
          <w:rFonts w:ascii="Times New Roman" w:hAnsi="Times New Roman" w:cs="Times New Roman" w:eastAsia="Times New Roman" w:hint="default"/>
          <w:spacing w:val="4"/>
        </w:rPr>
        <w:t>11</w:t>
      </w:r>
      <w:r>
        <w:rPr>
          <w:spacing w:val="4"/>
        </w:rPr>
        <w:t>、持有待售资产</w:t>
      </w:r>
      <w:r>
        <w:rPr>
          <w:b w:val="0"/>
          <w:bCs w:val="0"/>
          <w:spacing w:val="4"/>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12、一年内到期的非流动资产" w:id="284"/>
      <w:bookmarkEnd w:id="284"/>
      <w:r>
        <w:rPr>
          <w:b w:val="0"/>
          <w:bCs w:val="0"/>
        </w:rPr>
      </w:r>
      <w:r>
        <w:rPr>
          <w:rFonts w:ascii="Times New Roman" w:hAnsi="Times New Roman" w:cs="Times New Roman" w:eastAsia="Times New Roman" w:hint="default"/>
          <w:spacing w:val="4"/>
        </w:rPr>
        <w:t>12</w:t>
      </w:r>
      <w:r>
        <w:rPr>
          <w:spacing w:val="4"/>
        </w:rPr>
        <w:t>、一年内到期的非流动资产</w:t>
      </w:r>
      <w:r>
        <w:rPr>
          <w:b w:val="0"/>
          <w:bCs w:val="0"/>
          <w:spacing w:val="4"/>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9"/>
        <w:ind w:right="0"/>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13、其他流动资产" w:id="285"/>
      <w:bookmarkEnd w:id="285"/>
      <w:r>
        <w:rPr>
          <w:b w:val="0"/>
          <w:bCs w:val="0"/>
        </w:rPr>
      </w:r>
      <w:r>
        <w:rPr>
          <w:rFonts w:ascii="Times New Roman" w:hAnsi="Times New Roman" w:cs="Times New Roman" w:eastAsia="Times New Roman" w:hint="default"/>
          <w:spacing w:val="4"/>
        </w:rPr>
        <w:t>13</w:t>
      </w:r>
      <w:r>
        <w:rPr>
          <w:spacing w:val="4"/>
        </w:rPr>
        <w:t>、其他流动资产</w:t>
      </w:r>
      <w:r>
        <w:rPr>
          <w:b w:val="0"/>
          <w:bCs w:val="0"/>
          <w:spacing w:val="4"/>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是否已执行新收入准则</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增值税留抵扣额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12,696,955.35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9,073,262.83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预缴其他税金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1,922,489.98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6,598,288.36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14,619,445.33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15,671,551.19</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14、债权投资" w:id="286"/>
      <w:bookmarkEnd w:id="286"/>
      <w:r>
        <w:rPr>
          <w:b w:val="0"/>
          <w:bCs w:val="0"/>
        </w:rPr>
      </w:r>
      <w:r>
        <w:rPr>
          <w:rFonts w:ascii="Times New Roman" w:hAnsi="Times New Roman" w:cs="Times New Roman" w:eastAsia="Times New Roman" w:hint="default"/>
          <w:spacing w:val="3"/>
        </w:rPr>
        <w:t>14</w:t>
      </w:r>
      <w:r>
        <w:rPr>
          <w:spacing w:val="3"/>
        </w:rPr>
        <w:t>、债权投资</w:t>
      </w:r>
      <w:r>
        <w:rPr>
          <w:b w:val="0"/>
          <w:bCs w:val="0"/>
          <w:spacing w:val="3"/>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5"/>
        <w:ind w:right="0"/>
        <w:jc w:val="left"/>
      </w:pPr>
      <w:r>
        <w:rPr/>
        <w:t>重要的债权投资</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5"/>
        <w:ind w:right="0"/>
        <w:jc w:val="left"/>
      </w:pPr>
      <w:r>
        <w:rPr/>
        <w:t>减值准备计提情况</w:t>
      </w:r>
    </w:p>
    <w:p>
      <w:pPr>
        <w:pStyle w:val="BodyText"/>
        <w:spacing w:line="240" w:lineRule="auto" w:before="109"/>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4"/>
        <w:ind w:right="0"/>
        <w:jc w:val="left"/>
      </w:pPr>
      <w:r>
        <w:rPr/>
        <w:t>损失准备本期变动金额重大的账面余额变动情况</w:t>
      </w:r>
    </w:p>
    <w:p>
      <w:pPr>
        <w:pStyle w:val="BodyText"/>
        <w:spacing w:line="316"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1"/>
        <w:rPr>
          <w:rFonts w:ascii="宋体" w:hAnsi="宋体" w:cs="宋体" w:eastAsia="宋体" w:hint="default"/>
          <w:sz w:val="26"/>
          <w:szCs w:val="26"/>
        </w:rPr>
      </w:pPr>
    </w:p>
    <w:p>
      <w:pPr>
        <w:pStyle w:val="Heading5"/>
        <w:spacing w:line="240" w:lineRule="auto"/>
        <w:ind w:right="0"/>
        <w:jc w:val="left"/>
        <w:rPr>
          <w:b w:val="0"/>
          <w:bCs w:val="0"/>
        </w:rPr>
      </w:pPr>
      <w:bookmarkStart w:name="15、其他债权投资" w:id="287"/>
      <w:bookmarkEnd w:id="287"/>
      <w:r>
        <w:rPr>
          <w:b w:val="0"/>
          <w:bCs w:val="0"/>
        </w:rPr>
      </w:r>
      <w:r>
        <w:rPr>
          <w:rFonts w:ascii="Times New Roman" w:hAnsi="Times New Roman" w:cs="Times New Roman" w:eastAsia="Times New Roman" w:hint="default"/>
          <w:spacing w:val="4"/>
        </w:rPr>
        <w:t>15</w:t>
      </w:r>
      <w:r>
        <w:rPr>
          <w:spacing w:val="4"/>
        </w:rPr>
        <w:t>、其他债权投资</w:t>
      </w:r>
      <w:r>
        <w:rPr>
          <w:b w:val="0"/>
          <w:bCs w:val="0"/>
          <w:spacing w:val="4"/>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92"/>
        <w:gridCol w:w="1037"/>
        <w:gridCol w:w="1036"/>
        <w:gridCol w:w="1036"/>
        <w:gridCol w:w="1036"/>
        <w:gridCol w:w="1037"/>
        <w:gridCol w:w="1036"/>
        <w:gridCol w:w="1036"/>
        <w:gridCol w:w="1036"/>
      </w:tblGrid>
      <w:tr>
        <w:trPr>
          <w:trHeight w:val="133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5"/>
              <w:ind w:left="240" w:right="59" w:hanging="181"/>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5"/>
              <w:ind w:left="240" w:right="59" w:hanging="181"/>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60" w:right="60"/>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5"/>
        <w:ind w:right="0"/>
        <w:jc w:val="left"/>
      </w:pPr>
      <w:r>
        <w:rPr/>
        <w:t>重要的其他债权投资</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4"/>
        <w:ind w:right="0"/>
        <w:jc w:val="left"/>
      </w:pPr>
      <w:r>
        <w:rPr/>
        <w:t>减值准备计提情况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4"/>
        <w:ind w:right="0"/>
        <w:jc w:val="left"/>
      </w:pPr>
      <w:r>
        <w:rPr/>
        <w:t>损失准备本期变动金额重大的账面余额变动情况</w:t>
      </w:r>
    </w:p>
    <w:p>
      <w:pPr>
        <w:pStyle w:val="BodyText"/>
        <w:spacing w:line="316" w:lineRule="auto" w:before="140"/>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12"/>
        <w:rPr>
          <w:rFonts w:ascii="宋体" w:hAnsi="宋体" w:cs="宋体" w:eastAsia="宋体" w:hint="default"/>
          <w:sz w:val="24"/>
          <w:szCs w:val="24"/>
        </w:rPr>
      </w:pPr>
    </w:p>
    <w:p>
      <w:pPr>
        <w:pStyle w:val="Heading5"/>
        <w:spacing w:line="240" w:lineRule="auto"/>
        <w:ind w:right="0"/>
        <w:jc w:val="left"/>
        <w:rPr>
          <w:b w:val="0"/>
          <w:bCs w:val="0"/>
        </w:rPr>
      </w:pPr>
      <w:bookmarkStart w:name="16、长期应收款" w:id="288"/>
      <w:bookmarkEnd w:id="288"/>
      <w:r>
        <w:rPr>
          <w:b w:val="0"/>
          <w:bCs w:val="0"/>
        </w:rPr>
      </w:r>
      <w:r>
        <w:rPr>
          <w:rFonts w:ascii="Times New Roman" w:hAnsi="Times New Roman" w:cs="Times New Roman" w:eastAsia="Times New Roman" w:hint="default"/>
          <w:spacing w:val="5"/>
        </w:rPr>
        <w:t>16</w:t>
      </w:r>
      <w:r>
        <w:rPr>
          <w:spacing w:val="5"/>
        </w:rPr>
        <w:t>、长期应收款</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长期应收款情况" w:id="289"/>
      <w:bookmarkEnd w:id="289"/>
      <w:r>
        <w:rPr>
          <w:b w:val="0"/>
          <w:bCs w:val="0"/>
        </w:rPr>
      </w:r>
      <w:r>
        <w:rPr>
          <w:spacing w:val="4"/>
        </w:rPr>
        <w:t>（</w:t>
      </w:r>
      <w:r>
        <w:rPr>
          <w:rFonts w:ascii="Times New Roman" w:hAnsi="Times New Roman" w:cs="Times New Roman" w:eastAsia="Times New Roman" w:hint="default"/>
          <w:spacing w:val="4"/>
        </w:rPr>
        <w:t>1</w:t>
      </w:r>
      <w:r>
        <w:rPr>
          <w:spacing w:val="4"/>
        </w:rPr>
        <w:t>）长期应收款情况</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412"/>
        <w:gridCol w:w="1157"/>
        <w:gridCol w:w="1171"/>
        <w:gridCol w:w="1172"/>
        <w:gridCol w:w="1171"/>
        <w:gridCol w:w="1171"/>
        <w:gridCol w:w="1157"/>
        <w:gridCol w:w="1171"/>
      </w:tblGrid>
      <w:tr>
        <w:trPr>
          <w:trHeight w:val="405" w:hRule="exact"/>
        </w:trPr>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390"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坏账准备减值情况</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5"/>
        <w:ind w:right="0"/>
        <w:jc w:val="left"/>
      </w:pPr>
      <w:r>
        <w:rPr/>
        <w:t>损失准备本期变动金额重大的账面余额变动情况</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2）因金融资产转移而终止确认的长期应收款" w:id="290"/>
      <w:bookmarkEnd w:id="290"/>
      <w:r>
        <w:rPr>
          <w:b w:val="0"/>
          <w:bCs w:val="0"/>
        </w:rPr>
      </w:r>
      <w:r>
        <w:rPr>
          <w:spacing w:val="5"/>
        </w:rPr>
        <w:t>（</w:t>
      </w:r>
      <w:r>
        <w:rPr>
          <w:rFonts w:ascii="Times New Roman" w:hAnsi="Times New Roman" w:cs="Times New Roman" w:eastAsia="Times New Roman" w:hint="default"/>
          <w:spacing w:val="5"/>
        </w:rPr>
        <w:t>2</w:t>
      </w:r>
      <w:r>
        <w:rPr>
          <w:spacing w:val="5"/>
        </w:rPr>
        <w:t>）因金融资产转移而终止确认的长期应收款</w:t>
      </w:r>
      <w:r>
        <w:rPr>
          <w:b w:val="0"/>
          <w:bCs w:val="0"/>
          <w:spacing w:val="5"/>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3）转移长期应收款且继续涉入形成的资产、负债金额" w:id="291"/>
      <w:bookmarkEnd w:id="291"/>
      <w:r>
        <w:rPr>
          <w:b w:val="0"/>
          <w:bCs w:val="0"/>
        </w:rPr>
      </w:r>
      <w:r>
        <w:rPr>
          <w:spacing w:val="5"/>
        </w:rPr>
        <w:t>（</w:t>
      </w:r>
      <w:r>
        <w:rPr>
          <w:rFonts w:ascii="Times New Roman" w:hAnsi="Times New Roman" w:cs="Times New Roman" w:eastAsia="Times New Roman" w:hint="default"/>
          <w:spacing w:val="5"/>
        </w:rPr>
        <w:t>3</w:t>
      </w:r>
      <w:r>
        <w:rPr>
          <w:spacing w:val="5"/>
        </w:rPr>
        <w:t>）转移长期应收款且继续涉入形成的资产、负债金额</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17、长期股权投资" w:id="292"/>
      <w:bookmarkEnd w:id="292"/>
      <w:r>
        <w:rPr>
          <w:b w:val="0"/>
          <w:bCs w:val="0"/>
        </w:rPr>
      </w:r>
      <w:r>
        <w:rPr>
          <w:rFonts w:ascii="Times New Roman" w:hAnsi="Times New Roman" w:cs="Times New Roman" w:eastAsia="Times New Roman" w:hint="default"/>
          <w:spacing w:val="4"/>
        </w:rPr>
        <w:t>17</w:t>
      </w:r>
      <w:r>
        <w:rPr>
          <w:spacing w:val="4"/>
        </w:rPr>
        <w:t>、长期股权投资</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285" w:right="45" w:hanging="271"/>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1"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9" w:right="28"/>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45"/>
              <w:jc w:val="both"/>
              <w:rPr>
                <w:rFonts w:ascii="宋体" w:hAnsi="宋体" w:cs="宋体" w:eastAsia="宋体" w:hint="default"/>
                <w:sz w:val="18"/>
                <w:szCs w:val="18"/>
              </w:rPr>
            </w:pPr>
            <w:r>
              <w:rPr>
                <w:rFonts w:ascii="宋体" w:hAnsi="宋体" w:cs="宋体" w:eastAsia="宋体" w:hint="default"/>
                <w:sz w:val="18"/>
                <w:szCs w:val="18"/>
              </w:rPr>
              <w:t>深圳市深 创谷技术 服务有限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2,400,087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-737,375.</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-1,051,75</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3.53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-66,446.5</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3,102,033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-238,875.</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3,407,670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.85</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2,400,087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-737,375.</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-1,051,75</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3.53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-66,446.5</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3,102,033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-238,875.</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3,407,670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.85</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2,400,087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w w:val="95"/>
                <w:sz w:val="18"/>
              </w:rPr>
              <w:t>-737,375.</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left"/>
              <w:rPr>
                <w:rFonts w:ascii="Times New Roman" w:hAnsi="Times New Roman" w:cs="Times New Roman" w:eastAsia="Times New Roman" w:hint="default"/>
                <w:sz w:val="18"/>
                <w:szCs w:val="18"/>
              </w:rPr>
            </w:pPr>
            <w:r>
              <w:rPr>
                <w:rFonts w:ascii="Times New Roman"/>
                <w:sz w:val="18"/>
              </w:rPr>
              <w:t>-1,051,75</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3.53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w w:val="95"/>
                <w:sz w:val="18"/>
              </w:rPr>
              <w:t>-66,446.5</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3,102,033</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-238,875.</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3,407,670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.85</w:t>
            </w:r>
          </w:p>
        </w:tc>
        <w:tc>
          <w:tcPr>
            <w:tcW w:w="79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0"/>
        <w:jc w:val="left"/>
      </w:pPr>
      <w:r>
        <w:rPr/>
        <w:t>其他说明</w:t>
      </w:r>
    </w:p>
    <w:p>
      <w:pPr>
        <w:spacing w:line="240" w:lineRule="auto" w:before="6"/>
        <w:rPr>
          <w:rFonts w:ascii="宋体" w:hAnsi="宋体" w:cs="宋体" w:eastAsia="宋体" w:hint="default"/>
          <w:sz w:val="16"/>
          <w:szCs w:val="16"/>
        </w:rPr>
      </w:pPr>
    </w:p>
    <w:p>
      <w:pPr>
        <w:pStyle w:val="BodyText"/>
        <w:spacing w:line="297" w:lineRule="auto"/>
        <w:ind w:right="1128" w:firstLine="435"/>
        <w:jc w:val="both"/>
      </w:pPr>
      <w:r>
        <w:rPr>
          <w:spacing w:val="-1"/>
        </w:rPr>
        <w:t>长期股权投资期末余额较期初增长</w:t>
      </w:r>
      <w:r>
        <w:rPr>
          <w:rFonts w:ascii="Times New Roman" w:hAnsi="Times New Roman" w:cs="Times New Roman" w:eastAsia="Times New Roman" w:hint="default"/>
          <w:spacing w:val="-1"/>
        </w:rPr>
        <w:t>1,007,583.06</w:t>
      </w:r>
      <w:r>
        <w:rPr>
          <w:spacing w:val="-1"/>
        </w:rPr>
        <w:t>元，增长比例为</w:t>
      </w:r>
      <w:r>
        <w:rPr>
          <w:rFonts w:ascii="Times New Roman" w:hAnsi="Times New Roman" w:cs="Times New Roman" w:eastAsia="Times New Roman" w:hint="default"/>
          <w:spacing w:val="-1"/>
        </w:rPr>
        <w:t>41.98%</w:t>
      </w:r>
      <w:r>
        <w:rPr>
          <w:spacing w:val="-1"/>
        </w:rPr>
        <w:t>，主要系被投资单位引进新投资，其他股东对被</w:t>
      </w:r>
      <w:r>
        <w:rPr/>
        <w:t> </w:t>
      </w:r>
      <w:r>
        <w:rPr>
          <w:spacing w:val="-2"/>
        </w:rPr>
        <w:t>投资单位增资导致本公司持股比例变动，本公司按被投资企业除净损益、其他综合收益以及利润分配以外的所有者权益的其</w:t>
      </w:r>
      <w:r>
        <w:rPr>
          <w:spacing w:val="-72"/>
        </w:rPr>
        <w:t> </w:t>
      </w:r>
      <w:r>
        <w:rPr>
          <w:spacing w:val="-72"/>
        </w:rPr>
      </w:r>
      <w:r>
        <w:rPr/>
        <w:t>他变动与所持股权比例计算享有的权益份额的变动增加本公司长期股权投资账面价值和资本公积所致。</w:t>
      </w:r>
    </w:p>
    <w:p>
      <w:pPr>
        <w:spacing w:after="0" w:line="297" w:lineRule="auto"/>
        <w:jc w:val="both"/>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18、其他权益工具投资" w:id="293"/>
      <w:bookmarkEnd w:id="293"/>
      <w:r>
        <w:rPr>
          <w:b w:val="0"/>
          <w:bCs w:val="0"/>
        </w:rPr>
      </w:r>
      <w:r>
        <w:rPr>
          <w:rFonts w:ascii="Times New Roman" w:hAnsi="Times New Roman" w:cs="Times New Roman" w:eastAsia="Times New Roman" w:hint="default"/>
          <w:spacing w:val="6"/>
        </w:rPr>
        <w:t>18</w:t>
      </w:r>
      <w:r>
        <w:rPr>
          <w:spacing w:val="6"/>
        </w:rPr>
        <w:t>、其他权益工具投资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4"/>
        <w:ind w:right="0"/>
        <w:jc w:val="left"/>
      </w:pPr>
      <w:r>
        <w:rPr/>
        <w:t>分项披露本期非交易性权益工具投资</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33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30" w:right="59"/>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19、其他非流动金融资产" w:id="294"/>
      <w:bookmarkEnd w:id="294"/>
      <w:r>
        <w:rPr>
          <w:b w:val="0"/>
          <w:bCs w:val="0"/>
        </w:rPr>
      </w:r>
      <w:r>
        <w:rPr>
          <w:rFonts w:ascii="Times New Roman" w:hAnsi="Times New Roman" w:cs="Times New Roman" w:eastAsia="Times New Roman" w:hint="default"/>
          <w:spacing w:val="4"/>
        </w:rPr>
        <w:t>19</w:t>
      </w:r>
      <w:r>
        <w:rPr>
          <w:spacing w:val="4"/>
        </w:rPr>
        <w:t>、其他非流动金融资产</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2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92"/>
              <w:jc w:val="left"/>
              <w:rPr>
                <w:rFonts w:ascii="宋体" w:hAnsi="宋体" w:cs="宋体" w:eastAsia="宋体" w:hint="default"/>
                <w:sz w:val="18"/>
                <w:szCs w:val="18"/>
              </w:rPr>
            </w:pPr>
            <w:r>
              <w:rPr>
                <w:rFonts w:ascii="宋体" w:hAnsi="宋体" w:cs="宋体" w:eastAsia="宋体" w:hint="default"/>
                <w:sz w:val="18"/>
                <w:szCs w:val="18"/>
              </w:rPr>
              <w:t>分类以公允价值计量且其变动计入当期 损益的金融资产</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92,954,270.82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138,351,411.60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其中：权益工具投资</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92,954,270.82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138,351,411.60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92,954,270.82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138,351,411.60</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20、投资性房地产" w:id="295"/>
      <w:bookmarkEnd w:id="295"/>
      <w:r>
        <w:rPr>
          <w:b w:val="0"/>
          <w:bCs w:val="0"/>
        </w:rPr>
      </w:r>
      <w:r>
        <w:rPr>
          <w:rFonts w:ascii="Times New Roman" w:hAnsi="Times New Roman" w:cs="Times New Roman" w:eastAsia="Times New Roman" w:hint="default"/>
          <w:spacing w:val="4"/>
        </w:rPr>
        <w:t>20</w:t>
      </w:r>
      <w:r>
        <w:rPr>
          <w:spacing w:val="4"/>
        </w:rPr>
        <w:t>、投资性房地产</w:t>
      </w:r>
      <w:r>
        <w:rPr>
          <w:b w:val="0"/>
          <w:bCs w:val="0"/>
          <w:spacing w:val="4"/>
        </w:rPr>
      </w:r>
    </w:p>
    <w:p>
      <w:pPr>
        <w:spacing w:line="240" w:lineRule="auto" w:before="11"/>
        <w:rPr>
          <w:rFonts w:ascii="宋体" w:hAnsi="宋体" w:cs="宋体" w:eastAsia="宋体" w:hint="default"/>
          <w:b/>
          <w:bCs/>
          <w:sz w:val="25"/>
          <w:szCs w:val="25"/>
        </w:rPr>
      </w:pPr>
    </w:p>
    <w:p>
      <w:pPr>
        <w:pStyle w:val="Heading5"/>
        <w:spacing w:line="240" w:lineRule="auto"/>
        <w:ind w:right="0"/>
        <w:jc w:val="left"/>
        <w:rPr>
          <w:b w:val="0"/>
          <w:bCs w:val="0"/>
        </w:rPr>
      </w:pPr>
      <w:bookmarkStart w:name="（1）采用成本计量模式的投资性房地产" w:id="296"/>
      <w:bookmarkEnd w:id="296"/>
      <w:r>
        <w:rPr>
          <w:b w:val="0"/>
          <w:bCs w:val="0"/>
        </w:rPr>
      </w:r>
      <w:r>
        <w:rPr>
          <w:spacing w:val="5"/>
        </w:rPr>
        <w:t>（</w:t>
      </w:r>
      <w:r>
        <w:rPr>
          <w:rFonts w:ascii="Times New Roman" w:hAnsi="Times New Roman" w:cs="Times New Roman" w:eastAsia="Times New Roman" w:hint="default"/>
          <w:spacing w:val="5"/>
        </w:rPr>
        <w:t>1</w:t>
      </w:r>
      <w:r>
        <w:rPr>
          <w:spacing w:val="5"/>
        </w:rPr>
        <w:t>）采用成本计量模式的投资性房地产</w:t>
      </w:r>
      <w:r>
        <w:rPr>
          <w:b w:val="0"/>
          <w:bCs w:val="0"/>
          <w:spacing w:val="5"/>
        </w:rPr>
      </w:r>
    </w:p>
    <w:p>
      <w:pPr>
        <w:spacing w:line="240" w:lineRule="auto" w:before="6"/>
        <w:rPr>
          <w:rFonts w:ascii="宋体" w:hAnsi="宋体" w:cs="宋体" w:eastAsia="宋体" w:hint="default"/>
          <w:b/>
          <w:bCs/>
          <w:sz w:val="24"/>
          <w:szCs w:val="24"/>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184,916,117.17</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184,916,117.17</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2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51"/>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113,151.10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113,151.10</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30"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113,151.10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113,151.10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184,802,966.07</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184,802,966.07</w:t>
            </w:r>
          </w:p>
        </w:tc>
      </w:tr>
      <w:tr>
        <w:trPr>
          <w:trHeight w:val="72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4,391,757.78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4,391,757.78</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5,855,677.07</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5,855,677.07</w:t>
            </w: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6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5,855,677.07</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5,855,677.07</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10,247,434.85</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10,247,434.85</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6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174,555,531.22</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174,555,531.22</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180,524,359.39</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180,524,359.39</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采用公允价值计量模式的投资性房地产" w:id="297"/>
      <w:bookmarkEnd w:id="297"/>
      <w:r>
        <w:rPr>
          <w:b w:val="0"/>
          <w:bCs w:val="0"/>
        </w:rPr>
      </w:r>
      <w:r>
        <w:rPr>
          <w:spacing w:val="5"/>
        </w:rPr>
        <w:t>（</w:t>
      </w:r>
      <w:r>
        <w:rPr>
          <w:rFonts w:ascii="Times New Roman" w:hAnsi="Times New Roman" w:cs="Times New Roman" w:eastAsia="Times New Roman" w:hint="default"/>
          <w:spacing w:val="5"/>
        </w:rPr>
        <w:t>2</w:t>
      </w:r>
      <w:r>
        <w:rPr>
          <w:spacing w:val="5"/>
        </w:rPr>
        <w:t>）采用公允价值计量模式的投资性房地产</w:t>
      </w:r>
      <w:r>
        <w:rPr>
          <w:b w:val="0"/>
          <w:bCs w:val="0"/>
          <w:spacing w:val="5"/>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3）未办妥产权证书的投资性房地产情况" w:id="298"/>
      <w:bookmarkEnd w:id="298"/>
      <w:r>
        <w:rPr>
          <w:b w:val="0"/>
          <w:bCs w:val="0"/>
        </w:rPr>
      </w:r>
      <w:r>
        <w:rPr>
          <w:spacing w:val="5"/>
        </w:rPr>
        <w:t>（</w:t>
      </w:r>
      <w:r>
        <w:rPr>
          <w:rFonts w:ascii="Times New Roman" w:hAnsi="Times New Roman" w:cs="Times New Roman" w:eastAsia="Times New Roman" w:hint="default"/>
          <w:spacing w:val="5"/>
        </w:rPr>
        <w:t>3</w:t>
      </w:r>
      <w:r>
        <w:rPr>
          <w:spacing w:val="5"/>
        </w:rPr>
        <w:t>）未办妥产权证书的投资性房地产情况</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2" w:type="dxa"/>
        <w:tblLayout w:type="fixed"/>
        <w:tblCellMar>
          <w:top w:w="0" w:type="dxa"/>
          <w:left w:w="0" w:type="dxa"/>
          <w:bottom w:w="0" w:type="dxa"/>
          <w:right w:w="0" w:type="dxa"/>
        </w:tblCellMar>
        <w:tblLook w:val="01E0"/>
      </w:tblPr>
      <w:tblGrid>
        <w:gridCol w:w="3188"/>
        <w:gridCol w:w="3199"/>
        <w:gridCol w:w="3199"/>
      </w:tblGrid>
      <w:tr>
        <w:trPr>
          <w:trHeight w:val="390"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174,555,531.22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0"/>
        <w:jc w:val="left"/>
        <w:rPr>
          <w:b w:val="0"/>
          <w:bCs w:val="0"/>
        </w:rPr>
      </w:pPr>
      <w:bookmarkStart w:name="21、固定资产" w:id="299"/>
      <w:bookmarkEnd w:id="299"/>
      <w:r>
        <w:rPr>
          <w:b w:val="0"/>
          <w:bCs w:val="0"/>
        </w:rPr>
      </w:r>
      <w:r>
        <w:rPr>
          <w:rFonts w:ascii="Times New Roman" w:hAnsi="Times New Roman" w:cs="Times New Roman" w:eastAsia="Times New Roman" w:hint="default"/>
          <w:spacing w:val="3"/>
        </w:rPr>
        <w:t>21</w:t>
      </w:r>
      <w:r>
        <w:rPr>
          <w:spacing w:val="3"/>
        </w:rPr>
        <w:t>、固定资产</w:t>
      </w:r>
      <w:r>
        <w:rPr>
          <w:b w:val="0"/>
          <w:bCs w:val="0"/>
          <w:spacing w:val="3"/>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1,228,647,910.45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1,234,307,153.03</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1,228,647,910.45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1,234,307,153.03</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1）固定资产情况" w:id="300"/>
      <w:bookmarkEnd w:id="300"/>
      <w:r>
        <w:rPr>
          <w:b w:val="0"/>
          <w:bCs w:val="0"/>
        </w:rPr>
      </w:r>
      <w:r>
        <w:rPr>
          <w:spacing w:val="5"/>
        </w:rPr>
        <w:t>（</w:t>
      </w:r>
      <w:r>
        <w:rPr>
          <w:rFonts w:ascii="Times New Roman" w:hAnsi="Times New Roman" w:cs="Times New Roman" w:eastAsia="Times New Roman" w:hint="default"/>
          <w:spacing w:val="5"/>
        </w:rPr>
        <w:t>1</w:t>
      </w:r>
      <w:r>
        <w:rPr>
          <w:spacing w:val="5"/>
        </w:rPr>
        <w:t>）固定资产情况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pict>
          <v:group style="position:absolute;margin-left:117.150002pt;margin-top:40.111717pt;width:57.85pt;height:20.3pt;mso-position-horizontal-relative:page;mso-position-vertical-relative:paragraph;z-index:-1268704" coordorigin="2343,802" coordsize="1157,406">
            <v:group style="position:absolute;left:2351;top:810;width:2;height:391" coordorigin="2351,810" coordsize="2,391">
              <v:shape style="position:absolute;left:2351;top:810;width:2;height:391" coordorigin="2351,810" coordsize="0,391" path="m2351,810l2351,1200e" filled="false" stroked="true" strokeweight=".75pt" strokecolor="#ffffff">
                <v:path arrowok="t"/>
              </v:shape>
            </v:group>
            <v:group style="position:absolute;left:2358;top:810;width:1142;height:391" coordorigin="2358,810" coordsize="1142,391">
              <v:shape style="position:absolute;left:2358;top:810;width:1142;height:391" coordorigin="2358,810" coordsize="1142,391" path="m2358,1200l3500,1200,3500,810,2358,810,2358,1200xe" filled="true" fillcolor="#ffffff" stroked="false">
                <v:path arrowok="t"/>
                <v:fill type="solid"/>
              </v:shape>
            </v:group>
            <w10:wrap type="none"/>
          </v:group>
        </w:pict>
      </w: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194"/>
        <w:gridCol w:w="1187"/>
        <w:gridCol w:w="1201"/>
        <w:gridCol w:w="1202"/>
        <w:gridCol w:w="1201"/>
        <w:gridCol w:w="1186"/>
        <w:gridCol w:w="1202"/>
        <w:gridCol w:w="1201"/>
      </w:tblGrid>
      <w:tr>
        <w:trPr>
          <w:trHeight w:val="405"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4"/>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仪器仪表</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7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0"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pacing w:val="-6"/>
                <w:sz w:val="18"/>
                <w:szCs w:val="18"/>
              </w:rPr>
              <w:t>一、账面原值</w:t>
            </w:r>
          </w:p>
        </w:tc>
        <w:tc>
          <w:tcPr>
            <w:tcW w:w="118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87" w:type="dxa"/>
            <w:vMerge w:val="restart"/>
            <w:tcBorders>
              <w:top w:val="single" w:sz="6" w:space="0" w:color="000000"/>
              <w:left w:val="single" w:sz="18"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575,273,119.66</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1,151,716,764.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06</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101,016,214.93</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5,014,164.05</w:t>
            </w:r>
          </w:p>
        </w:tc>
        <w:tc>
          <w:tcPr>
            <w:tcW w:w="118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57,682,820.02</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13,514,801.98</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1,904,217,884.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70</w:t>
            </w:r>
          </w:p>
        </w:tc>
      </w:tr>
      <w:tr>
        <w:trPr>
          <w:trHeight w:val="406" w:hRule="exact"/>
        </w:trPr>
        <w:tc>
          <w:tcPr>
            <w:tcW w:w="11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7" w:type="dxa"/>
            <w:vMerge/>
            <w:tcBorders>
              <w:left w:val="single" w:sz="18" w:space="0" w:color="D2D2D2"/>
              <w:right w:val="single" w:sz="6" w:space="0" w:color="000000"/>
            </w:tcBorders>
          </w:tcPr>
          <w:p>
            <w:pPr/>
          </w:p>
        </w:tc>
        <w:tc>
          <w:tcPr>
            <w:tcW w:w="1201"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c>
          <w:tcPr>
            <w:tcW w:w="1186"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r>
      <w:tr>
        <w:trPr>
          <w:trHeight w:val="158"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87" w:type="dxa"/>
            <w:vMerge/>
            <w:tcBorders>
              <w:left w:val="single" w:sz="18" w:space="0" w:color="D2D2D2"/>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186"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r>
      <w:tr>
        <w:trPr>
          <w:trHeight w:val="720"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13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87"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207,236,911.34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center"/>
              <w:rPr>
                <w:rFonts w:ascii="Times New Roman" w:hAnsi="Times New Roman" w:cs="Times New Roman" w:eastAsia="Times New Roman" w:hint="default"/>
                <w:sz w:val="18"/>
                <w:szCs w:val="18"/>
              </w:rPr>
            </w:pPr>
            <w:r>
              <w:rPr>
                <w:rFonts w:ascii="Times New Roman"/>
                <w:sz w:val="18"/>
              </w:rPr>
              <w:t>31,642,725.30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236,728.16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22,031,788.72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8,777,970.09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269,926,123.61</w:t>
            </w:r>
          </w:p>
        </w:tc>
      </w:tr>
      <w:tr>
        <w:trPr>
          <w:trHeight w:val="390"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8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 w:right="0"/>
              <w:jc w:val="center"/>
              <w:rPr>
                <w:rFonts w:ascii="Times New Roman" w:hAnsi="Times New Roman" w:cs="Times New Roman" w:eastAsia="Times New Roman" w:hint="default"/>
                <w:sz w:val="18"/>
                <w:szCs w:val="18"/>
              </w:rPr>
            </w:pPr>
            <w:r>
              <w:rPr>
                <w:rFonts w:ascii="Times New Roman"/>
                <w:sz w:val="18"/>
              </w:rPr>
              <w:t>207,236,911.34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8" w:right="0"/>
              <w:jc w:val="center"/>
              <w:rPr>
                <w:rFonts w:ascii="Times New Roman" w:hAnsi="Times New Roman" w:cs="Times New Roman" w:eastAsia="Times New Roman" w:hint="default"/>
                <w:sz w:val="18"/>
                <w:szCs w:val="18"/>
              </w:rPr>
            </w:pPr>
            <w:r>
              <w:rPr>
                <w:rFonts w:ascii="Times New Roman"/>
                <w:sz w:val="18"/>
              </w:rPr>
              <w:t>31,642,725.30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236,728.16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22,031,788.72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8,777,970.09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 w:right="0"/>
              <w:jc w:val="center"/>
              <w:rPr>
                <w:rFonts w:ascii="Times New Roman" w:hAnsi="Times New Roman" w:cs="Times New Roman" w:eastAsia="Times New Roman" w:hint="default"/>
                <w:sz w:val="18"/>
                <w:szCs w:val="18"/>
              </w:rPr>
            </w:pPr>
            <w:r>
              <w:rPr>
                <w:rFonts w:ascii="Times New Roman"/>
                <w:sz w:val="18"/>
              </w:rPr>
              <w:t>269,926,123.61</w:t>
            </w:r>
          </w:p>
        </w:tc>
      </w:tr>
      <w:tr>
        <w:trPr>
          <w:trHeight w:val="721"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28"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r>
              <w:rPr>
                <w:rFonts w:ascii="宋体" w:hAnsi="宋体" w:cs="宋体" w:eastAsia="宋体" w:hint="default"/>
                <w:sz w:val="18"/>
                <w:szCs w:val="18"/>
              </w:rPr>
              <w:t> 工程转入</w:t>
            </w:r>
          </w:p>
        </w:tc>
        <w:tc>
          <w:tcPr>
            <w:tcW w:w="1187"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28"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187"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13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8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258,857,077.31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12,959,697.40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95,094.02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5,428,663.98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786,763.00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278,127,295.71</w:t>
            </w:r>
          </w:p>
        </w:tc>
      </w:tr>
      <w:tr>
        <w:trPr>
          <w:trHeight w:val="721"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8"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8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258,857,077.31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12,959,697.40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95,094.02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5,428,663.98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786,763.00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278,127,295.71</w:t>
            </w:r>
          </w:p>
        </w:tc>
      </w:tr>
      <w:tr>
        <w:trPr>
          <w:trHeight w:val="390"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87" w:type="dxa"/>
            <w:vMerge w:val="restart"/>
            <w:tcBorders>
              <w:top w:val="single" w:sz="6" w:space="0" w:color="000000"/>
              <w:left w:val="single" w:sz="18" w:space="0" w:color="D2D2D2"/>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575,273,119.66</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1,100,096,598.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09</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119,699,242.83</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5,155,798.19</w:t>
            </w:r>
          </w:p>
        </w:tc>
        <w:tc>
          <w:tcPr>
            <w:tcW w:w="118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74,285,944.76</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35" w:right="0"/>
              <w:jc w:val="left"/>
              <w:rPr>
                <w:rFonts w:ascii="Times New Roman" w:hAnsi="Times New Roman" w:cs="Times New Roman" w:eastAsia="Times New Roman" w:hint="default"/>
                <w:sz w:val="18"/>
                <w:szCs w:val="18"/>
              </w:rPr>
            </w:pPr>
            <w:r>
              <w:rPr>
                <w:rFonts w:ascii="Times New Roman"/>
                <w:sz w:val="18"/>
              </w:rPr>
              <w:t>21,506,009.07</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1,896,016,712.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60</w:t>
            </w:r>
          </w:p>
        </w:tc>
      </w:tr>
      <w:tr>
        <w:trPr>
          <w:trHeight w:val="406" w:hRule="exact"/>
        </w:trPr>
        <w:tc>
          <w:tcPr>
            <w:tcW w:w="11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7" w:type="dxa"/>
            <w:vMerge/>
            <w:tcBorders>
              <w:left w:val="single" w:sz="18" w:space="0" w:color="D2D2D2"/>
              <w:right w:val="single" w:sz="6" w:space="0" w:color="000000"/>
            </w:tcBorders>
          </w:tcPr>
          <w:p>
            <w:pPr/>
          </w:p>
        </w:tc>
        <w:tc>
          <w:tcPr>
            <w:tcW w:w="1201"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c>
          <w:tcPr>
            <w:tcW w:w="1186"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r>
      <w:tr>
        <w:trPr>
          <w:trHeight w:val="158"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87" w:type="dxa"/>
            <w:vMerge/>
            <w:tcBorders>
              <w:left w:val="single" w:sz="18" w:space="0" w:color="D2D2D2"/>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186"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r>
      <w:tr>
        <w:trPr>
          <w:trHeight w:val="405"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87"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57,479,855.05</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 w:right="0"/>
              <w:jc w:val="center"/>
              <w:rPr>
                <w:rFonts w:ascii="Times New Roman" w:hAnsi="Times New Roman" w:cs="Times New Roman" w:eastAsia="Times New Roman" w:hint="default"/>
                <w:sz w:val="18"/>
                <w:szCs w:val="18"/>
              </w:rPr>
            </w:pPr>
            <w:r>
              <w:rPr>
                <w:rFonts w:ascii="Times New Roman"/>
                <w:sz w:val="18"/>
              </w:rPr>
              <w:t>505,588,776.94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8" w:right="0"/>
              <w:jc w:val="center"/>
              <w:rPr>
                <w:rFonts w:ascii="Times New Roman" w:hAnsi="Times New Roman" w:cs="Times New Roman" w:eastAsia="Times New Roman" w:hint="default"/>
                <w:sz w:val="18"/>
                <w:szCs w:val="18"/>
              </w:rPr>
            </w:pPr>
            <w:r>
              <w:rPr>
                <w:rFonts w:ascii="Times New Roman"/>
                <w:sz w:val="18"/>
              </w:rPr>
              <w:t>65,418,258.11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1,783,946.65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32,155,483.66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7,484,411.26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 w:right="0"/>
              <w:jc w:val="center"/>
              <w:rPr>
                <w:rFonts w:ascii="Times New Roman" w:hAnsi="Times New Roman" w:cs="Times New Roman" w:eastAsia="Times New Roman" w:hint="default"/>
                <w:sz w:val="18"/>
                <w:szCs w:val="18"/>
              </w:rPr>
            </w:pPr>
            <w:r>
              <w:rPr>
                <w:rFonts w:ascii="Times New Roman"/>
                <w:sz w:val="18"/>
              </w:rPr>
              <w:t>669,910,731.67</w:t>
            </w:r>
          </w:p>
        </w:tc>
      </w:tr>
      <w:tr>
        <w:trPr>
          <w:trHeight w:val="706"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13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8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18,360,029.79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103,864,880.01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10,943,638.16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600,490.46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6,787,797.42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2,239,403.61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142,796,239.45</w:t>
            </w:r>
          </w:p>
        </w:tc>
      </w:tr>
      <w:tr>
        <w:trPr>
          <w:trHeight w:val="405"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8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18,360,029.79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103,864,880.01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10,943,638.16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600,490.46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6,787,797.42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2,239,403.61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8" w:right="0"/>
              <w:jc w:val="center"/>
              <w:rPr>
                <w:rFonts w:ascii="Times New Roman" w:hAnsi="Times New Roman" w:cs="Times New Roman" w:eastAsia="Times New Roman" w:hint="default"/>
                <w:sz w:val="18"/>
                <w:szCs w:val="18"/>
              </w:rPr>
            </w:pPr>
            <w:r>
              <w:rPr>
                <w:rFonts w:ascii="Times New Roman"/>
                <w:sz w:val="18"/>
              </w:rPr>
              <w:t>142,796,239.45</w:t>
            </w:r>
          </w:p>
        </w:tc>
      </w:tr>
      <w:tr>
        <w:trPr>
          <w:trHeight w:val="390"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202"/>
        <w:gridCol w:w="1201"/>
      </w:tblGrid>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3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130,051,625.66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10,371,882.89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87,865.52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4,504,504.12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322,290.78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145,338,168.97</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8"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130,051,625.66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10,371,882.89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87,865.52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4,504,504.12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322,290.78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145,338,168.97</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75,839,884.84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479,402,031.29</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65,990,013.38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2,296,571.59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34,438,776.96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9,401,524.09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667,368,802.15</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13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3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8"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3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499,433,234.82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620,694,566.80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53,709,229.45</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2,859,226.60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39,847,167.80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12,104,484.98</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1,228,647,910.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45</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3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517,793,264.61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646,127,987.12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35,597,956.82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3,230,217.40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25,527,336.36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6,030,390.72</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1,234,307,153.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03</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暂时闲置的固定资产情况" w:id="301"/>
      <w:bookmarkEnd w:id="301"/>
      <w:r>
        <w:rPr>
          <w:b w:val="0"/>
          <w:bCs w:val="0"/>
        </w:rPr>
      </w:r>
      <w:r>
        <w:rPr>
          <w:spacing w:val="5"/>
        </w:rPr>
        <w:t>（</w:t>
      </w:r>
      <w:r>
        <w:rPr>
          <w:rFonts w:ascii="Times New Roman" w:hAnsi="Times New Roman" w:cs="Times New Roman" w:eastAsia="Times New Roman" w:hint="default"/>
          <w:spacing w:val="5"/>
        </w:rPr>
        <w:t>2</w:t>
      </w:r>
      <w:r>
        <w:rPr>
          <w:spacing w:val="5"/>
        </w:rPr>
        <w:t>）暂时闲置的固定资产情况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3）通过融资租赁租入的固定资产情况" w:id="302"/>
      <w:bookmarkEnd w:id="302"/>
      <w:r>
        <w:rPr>
          <w:b w:val="0"/>
          <w:bCs w:val="0"/>
        </w:rPr>
      </w:r>
      <w:r>
        <w:rPr>
          <w:spacing w:val="5"/>
        </w:rPr>
        <w:t>（</w:t>
      </w:r>
      <w:r>
        <w:rPr>
          <w:rFonts w:ascii="Times New Roman" w:hAnsi="Times New Roman" w:cs="Times New Roman" w:eastAsia="Times New Roman" w:hint="default"/>
          <w:spacing w:val="5"/>
        </w:rPr>
        <w:t>3</w:t>
      </w:r>
      <w:r>
        <w:rPr>
          <w:spacing w:val="5"/>
        </w:rPr>
        <w:t>）通过融资租赁租入的固定资产情况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138,291,287.31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2,578,577.82</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135,712,709.49</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138,291,287.31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2,578,577.82</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135,712,709.49</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4）通过经营租赁租出的固定资产" w:id="303"/>
      <w:bookmarkEnd w:id="303"/>
      <w:r>
        <w:rPr>
          <w:b w:val="0"/>
          <w:bCs w:val="0"/>
        </w:rPr>
      </w:r>
      <w:r>
        <w:rPr>
          <w:spacing w:val="5"/>
        </w:rPr>
        <w:t>（</w:t>
      </w:r>
      <w:r>
        <w:rPr>
          <w:rFonts w:ascii="Times New Roman" w:hAnsi="Times New Roman" w:cs="Times New Roman" w:eastAsia="Times New Roman" w:hint="default"/>
          <w:spacing w:val="5"/>
        </w:rPr>
        <w:t>4</w:t>
      </w:r>
      <w:r>
        <w:rPr>
          <w:spacing w:val="5"/>
        </w:rPr>
        <w:t>）通过经营租赁租出的固定资产</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5）未办妥产权证书的固定资产情况" w:id="304"/>
      <w:bookmarkEnd w:id="304"/>
      <w:r>
        <w:rPr>
          <w:b w:val="0"/>
          <w:bCs w:val="0"/>
        </w:rPr>
      </w:r>
      <w:r>
        <w:rPr>
          <w:spacing w:val="5"/>
        </w:rPr>
        <w:t>（</w:t>
      </w:r>
      <w:r>
        <w:rPr>
          <w:rFonts w:ascii="Times New Roman" w:hAnsi="Times New Roman" w:cs="Times New Roman" w:eastAsia="Times New Roman" w:hint="default"/>
          <w:spacing w:val="5"/>
        </w:rPr>
        <w:t>5</w:t>
      </w:r>
      <w:r>
        <w:rPr>
          <w:spacing w:val="5"/>
        </w:rPr>
        <w:t>）未办妥产权证书的固定资产情况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117,757,666.14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117,757,666.14</w:t>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pStyle w:val="BodyText"/>
        <w:spacing w:line="240" w:lineRule="auto" w:before="124"/>
        <w:ind w:right="0"/>
        <w:jc w:val="left"/>
      </w:pPr>
      <w:r>
        <w:rPr>
          <w:rFonts w:ascii="Times New Roman" w:hAnsi="Times New Roman" w:cs="Times New Roman" w:eastAsia="Times New Roman" w:hint="default"/>
        </w:rPr>
        <w:t>1</w:t>
      </w:r>
      <w:r>
        <w:rPr/>
        <w:t>、 期末固定资产不存在抵押或担保的情况。</w:t>
      </w:r>
    </w:p>
    <w:p>
      <w:pPr>
        <w:pStyle w:val="BodyText"/>
        <w:spacing w:line="240" w:lineRule="auto" w:before="111"/>
        <w:ind w:right="0"/>
        <w:jc w:val="left"/>
      </w:pPr>
      <w:r>
        <w:rPr>
          <w:rFonts w:ascii="Times New Roman" w:hAnsi="Times New Roman" w:cs="Times New Roman" w:eastAsia="Times New Roman" w:hint="default"/>
        </w:rPr>
        <w:t>2</w:t>
      </w:r>
      <w:r>
        <w:rPr/>
        <w:t>、期末固定资产不存在可收回金额低于其账面价值的情况，未计提固定资产减值准备。</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6）固定资产清理" w:id="305"/>
      <w:bookmarkEnd w:id="305"/>
      <w:r>
        <w:rPr>
          <w:b w:val="0"/>
          <w:bCs w:val="0"/>
        </w:rPr>
      </w:r>
      <w:r>
        <w:rPr>
          <w:spacing w:val="5"/>
        </w:rPr>
        <w:t>（</w:t>
      </w:r>
      <w:r>
        <w:rPr>
          <w:rFonts w:ascii="Times New Roman" w:hAnsi="Times New Roman" w:cs="Times New Roman" w:eastAsia="Times New Roman" w:hint="default"/>
          <w:spacing w:val="5"/>
        </w:rPr>
        <w:t>6</w:t>
      </w:r>
      <w:r>
        <w:rPr>
          <w:spacing w:val="5"/>
        </w:rPr>
        <w:t>）固定资产清理</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0"/>
        <w:jc w:val="left"/>
        <w:rPr>
          <w:b w:val="0"/>
          <w:bCs w:val="0"/>
        </w:rPr>
      </w:pPr>
      <w:bookmarkStart w:name="22、在建工程" w:id="306"/>
      <w:bookmarkEnd w:id="306"/>
      <w:r>
        <w:rPr>
          <w:b w:val="0"/>
          <w:bCs w:val="0"/>
        </w:rPr>
      </w:r>
      <w:r>
        <w:rPr>
          <w:rFonts w:ascii="Times New Roman" w:hAnsi="Times New Roman" w:cs="Times New Roman" w:eastAsia="Times New Roman" w:hint="default"/>
          <w:spacing w:val="3"/>
        </w:rPr>
        <w:t>22</w:t>
      </w:r>
      <w:r>
        <w:rPr>
          <w:spacing w:val="3"/>
        </w:rPr>
        <w:t>、在建工程</w:t>
      </w:r>
      <w:r>
        <w:rPr>
          <w:b w:val="0"/>
          <w:bCs w:val="0"/>
          <w:spacing w:val="3"/>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224,114,739.32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165,595,023.06</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224,114,739.32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165,595,023.06</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1）在建工程情况" w:id="307"/>
      <w:bookmarkEnd w:id="307"/>
      <w:r>
        <w:rPr>
          <w:b w:val="0"/>
          <w:bCs w:val="0"/>
        </w:rPr>
      </w:r>
      <w:r>
        <w:rPr>
          <w:spacing w:val="5"/>
        </w:rPr>
        <w:t>（</w:t>
      </w:r>
      <w:r>
        <w:rPr>
          <w:rFonts w:ascii="Times New Roman" w:hAnsi="Times New Roman" w:cs="Times New Roman" w:eastAsia="Times New Roman" w:hint="default"/>
          <w:spacing w:val="5"/>
        </w:rPr>
        <w:t>1</w:t>
      </w:r>
      <w:r>
        <w:rPr>
          <w:spacing w:val="5"/>
        </w:rPr>
        <w:t>）在建工程情况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1"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224,114,739.32</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224,114,739.32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165,595,023.06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165,595,023.06</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224,114,739.32</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224,114,739.32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165,595,023.06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165,595,023.06</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重要在建工程项目本期变动情况" w:id="308"/>
      <w:bookmarkEnd w:id="308"/>
      <w:r>
        <w:rPr>
          <w:b w:val="0"/>
          <w:bCs w:val="0"/>
        </w:rPr>
      </w:r>
      <w:r>
        <w:rPr>
          <w:spacing w:val="5"/>
        </w:rPr>
        <w:t>（</w:t>
      </w:r>
      <w:r>
        <w:rPr>
          <w:rFonts w:ascii="Times New Roman" w:hAnsi="Times New Roman" w:cs="Times New Roman" w:eastAsia="Times New Roman" w:hint="default"/>
          <w:spacing w:val="5"/>
        </w:rPr>
        <w:t>2</w:t>
      </w:r>
      <w:r>
        <w:rPr>
          <w:spacing w:val="5"/>
        </w:rPr>
        <w:t>）重要在建工程项目本期变动情况</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1336"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5"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5" w:right="103"/>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5" w:right="105"/>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90"/>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70" w:right="90" w:hanging="181"/>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90" w:right="90"/>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70" w:right="8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88"/>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30" w:right="14"/>
              <w:jc w:val="center"/>
              <w:rPr>
                <w:rFonts w:ascii="宋体" w:hAnsi="宋体" w:cs="宋体" w:eastAsia="宋体" w:hint="default"/>
                <w:sz w:val="18"/>
                <w:szCs w:val="18"/>
              </w:rPr>
            </w:pPr>
            <w:r>
              <w:rPr>
                <w:rFonts w:ascii="宋体" w:hAnsi="宋体" w:cs="宋体" w:eastAsia="宋体" w:hint="default"/>
                <w:spacing w:val="-12"/>
                <w:sz w:val="18"/>
                <w:szCs w:val="18"/>
              </w:rPr>
              <w:t>其中：本</w:t>
            </w:r>
            <w:r>
              <w:rPr>
                <w:rFonts w:ascii="宋体" w:hAnsi="宋体" w:cs="宋体" w:eastAsia="宋体" w:hint="default"/>
                <w:sz w:val="18"/>
                <w:szCs w:val="18"/>
              </w:rPr>
              <w:t> 期利息 资本化 金额</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105"/>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3" w:hanging="181"/>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天津基 地项目</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165,576,</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548.31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58,538,1</w:t>
            </w:r>
          </w:p>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91.01</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224,114,</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739.32</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05"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65"/>
              <w:jc w:val="left"/>
              <w:rPr>
                <w:rFonts w:ascii="宋体" w:hAnsi="宋体" w:cs="宋体" w:eastAsia="宋体" w:hint="default"/>
                <w:sz w:val="18"/>
                <w:szCs w:val="18"/>
              </w:rPr>
            </w:pPr>
            <w:r>
              <w:rPr>
                <w:rFonts w:ascii="宋体" w:hAnsi="宋体" w:cs="宋体" w:eastAsia="宋体" w:hint="default"/>
                <w:sz w:val="18"/>
                <w:szCs w:val="18"/>
              </w:rPr>
              <w:t>深圳基 地项目</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18,474.7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18,474.7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21"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165,595,</w:t>
            </w:r>
          </w:p>
          <w:p>
            <w:pPr>
              <w:pStyle w:val="TableParagraph"/>
              <w:spacing w:line="240" w:lineRule="auto" w:before="108"/>
              <w:ind w:left="164" w:right="0"/>
              <w:jc w:val="center"/>
              <w:rPr>
                <w:rFonts w:ascii="Times New Roman" w:hAnsi="Times New Roman" w:cs="Times New Roman" w:eastAsia="Times New Roman" w:hint="default"/>
                <w:sz w:val="18"/>
                <w:szCs w:val="18"/>
              </w:rPr>
            </w:pPr>
            <w:r>
              <w:rPr>
                <w:rFonts w:ascii="Times New Roman"/>
                <w:sz w:val="18"/>
              </w:rPr>
              <w:t>023.06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58,538,1</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91.01</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18,474.7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224,114,</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739.32</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1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3）本期计提在建工程减值准备情况" w:id="309"/>
      <w:bookmarkEnd w:id="309"/>
      <w:r>
        <w:rPr>
          <w:b w:val="0"/>
          <w:bCs w:val="0"/>
        </w:rPr>
      </w:r>
      <w:r>
        <w:rPr>
          <w:spacing w:val="5"/>
        </w:rPr>
        <w:t>（</w:t>
      </w:r>
      <w:r>
        <w:rPr>
          <w:rFonts w:ascii="Times New Roman" w:hAnsi="Times New Roman" w:cs="Times New Roman" w:eastAsia="Times New Roman" w:hint="default"/>
          <w:spacing w:val="5"/>
        </w:rPr>
        <w:t>3</w:t>
      </w:r>
      <w:r>
        <w:rPr>
          <w:spacing w:val="5"/>
        </w:rPr>
        <w:t>）本期计提在建工程减值准备情况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35"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4"/>
        <w:ind w:right="0"/>
        <w:jc w:val="left"/>
      </w:pPr>
      <w:r>
        <w:rPr/>
        <w:t>其他说明</w:t>
      </w:r>
    </w:p>
    <w:p>
      <w:pPr>
        <w:pStyle w:val="BodyText"/>
        <w:spacing w:line="321" w:lineRule="auto" w:before="125"/>
        <w:ind w:left="546" w:right="1374"/>
        <w:jc w:val="left"/>
      </w:pPr>
      <w:r>
        <w:rPr/>
        <w:t>截止期末在建工程不存在减值情况，故未计提在建工程减值准备。 在建工程期末余额较期初增长</w:t>
      </w:r>
      <w:r>
        <w:rPr>
          <w:rFonts w:ascii="Times New Roman" w:hAnsi="Times New Roman" w:cs="Times New Roman" w:eastAsia="Times New Roman" w:hint="default"/>
        </w:rPr>
        <w:t>58,519,716.26</w:t>
      </w:r>
      <w:r>
        <w:rPr/>
        <w:t>元，增长比例为</w:t>
      </w:r>
      <w:r>
        <w:rPr>
          <w:rFonts w:ascii="Times New Roman" w:hAnsi="Times New Roman" w:cs="Times New Roman" w:eastAsia="Times New Roman" w:hint="default"/>
        </w:rPr>
        <w:t>35.34%</w:t>
      </w:r>
      <w:r>
        <w:rPr/>
        <w:t>，主要系本期天津生产基地持续投入建设所致。</w:t>
      </w:r>
    </w:p>
    <w:p>
      <w:pPr>
        <w:spacing w:line="240" w:lineRule="auto" w:before="12"/>
        <w:rPr>
          <w:rFonts w:ascii="宋体" w:hAnsi="宋体" w:cs="宋体" w:eastAsia="宋体" w:hint="default"/>
          <w:sz w:val="21"/>
          <w:szCs w:val="21"/>
        </w:rPr>
      </w:pPr>
    </w:p>
    <w:p>
      <w:pPr>
        <w:pStyle w:val="Heading5"/>
        <w:spacing w:line="240" w:lineRule="auto"/>
        <w:ind w:right="0"/>
        <w:jc w:val="left"/>
        <w:rPr>
          <w:b w:val="0"/>
          <w:bCs w:val="0"/>
        </w:rPr>
      </w:pPr>
      <w:bookmarkStart w:name="（4）工程物资" w:id="310"/>
      <w:bookmarkEnd w:id="310"/>
      <w:r>
        <w:rPr>
          <w:b w:val="0"/>
          <w:bCs w:val="0"/>
        </w:rPr>
      </w:r>
      <w:r>
        <w:rPr>
          <w:spacing w:val="5"/>
        </w:rPr>
        <w:t>（</w:t>
      </w:r>
      <w:r>
        <w:rPr>
          <w:rFonts w:ascii="Times New Roman" w:hAnsi="Times New Roman" w:cs="Times New Roman" w:eastAsia="Times New Roman" w:hint="default"/>
          <w:spacing w:val="5"/>
        </w:rPr>
        <w:t>4</w:t>
      </w:r>
      <w:r>
        <w:rPr>
          <w:spacing w:val="5"/>
        </w:rPr>
        <w:t>）工程物资</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132"/>
        <w:gridCol w:w="1337"/>
        <w:gridCol w:w="1322"/>
        <w:gridCol w:w="1201"/>
        <w:gridCol w:w="1201"/>
        <w:gridCol w:w="1187"/>
        <w:gridCol w:w="1205"/>
      </w:tblGrid>
      <w:tr>
        <w:trPr>
          <w:trHeight w:val="390"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6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9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23、生产性生物资产" w:id="311"/>
      <w:bookmarkEnd w:id="311"/>
      <w:r>
        <w:rPr>
          <w:b w:val="0"/>
          <w:bCs w:val="0"/>
        </w:rPr>
      </w:r>
      <w:r>
        <w:rPr>
          <w:rFonts w:ascii="Times New Roman" w:hAnsi="Times New Roman" w:cs="Times New Roman" w:eastAsia="Times New Roman" w:hint="default"/>
          <w:spacing w:val="4"/>
        </w:rPr>
        <w:t>23</w:t>
      </w:r>
      <w:r>
        <w:rPr>
          <w:spacing w:val="4"/>
        </w:rPr>
        <w:t>、生产性生物资产</w:t>
      </w:r>
      <w:r>
        <w:rPr>
          <w:b w:val="0"/>
          <w:bCs w:val="0"/>
          <w:spacing w:val="4"/>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采用成本计量模式的生产性生物资产" w:id="312"/>
      <w:bookmarkEnd w:id="312"/>
      <w:r>
        <w:rPr>
          <w:b w:val="0"/>
          <w:bCs w:val="0"/>
        </w:rPr>
      </w:r>
      <w:r>
        <w:rPr>
          <w:spacing w:val="5"/>
        </w:rPr>
        <w:t>（</w:t>
      </w:r>
      <w:r>
        <w:rPr>
          <w:rFonts w:ascii="Times New Roman" w:hAnsi="Times New Roman" w:cs="Times New Roman" w:eastAsia="Times New Roman" w:hint="default"/>
          <w:spacing w:val="5"/>
        </w:rPr>
        <w:t>1</w:t>
      </w:r>
      <w:r>
        <w:rPr>
          <w:spacing w:val="5"/>
        </w:rPr>
        <w:t>）采用成本计量模式的生产性生物资产</w:t>
      </w:r>
      <w:r>
        <w:rPr>
          <w:b w:val="0"/>
          <w:bCs w:val="0"/>
          <w:spacing w:val="5"/>
        </w:rPr>
      </w:r>
    </w:p>
    <w:p>
      <w:pPr>
        <w:spacing w:line="240" w:lineRule="auto" w:before="1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2）采用公允价值计量模式的生产性生物资产" w:id="313"/>
      <w:bookmarkEnd w:id="313"/>
      <w:r>
        <w:rPr>
          <w:b w:val="0"/>
          <w:bCs w:val="0"/>
        </w:rPr>
      </w:r>
      <w:r>
        <w:rPr>
          <w:spacing w:val="5"/>
        </w:rPr>
        <w:t>（</w:t>
      </w:r>
      <w:r>
        <w:rPr>
          <w:rFonts w:ascii="Times New Roman" w:hAnsi="Times New Roman" w:cs="Times New Roman" w:eastAsia="Times New Roman" w:hint="default"/>
          <w:spacing w:val="5"/>
        </w:rPr>
        <w:t>2</w:t>
      </w:r>
      <w:r>
        <w:rPr>
          <w:spacing w:val="5"/>
        </w:rPr>
        <w:t>）采用公允价值计量模式的生产性生物资产</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24、油气资产" w:id="314"/>
      <w:bookmarkEnd w:id="314"/>
      <w:r>
        <w:rPr>
          <w:b w:val="0"/>
          <w:bCs w:val="0"/>
        </w:rPr>
      </w:r>
      <w:r>
        <w:rPr>
          <w:rFonts w:ascii="Times New Roman" w:hAnsi="Times New Roman" w:cs="Times New Roman" w:eastAsia="Times New Roman" w:hint="default"/>
          <w:spacing w:val="3"/>
        </w:rPr>
        <w:t>24</w:t>
      </w:r>
      <w:r>
        <w:rPr>
          <w:spacing w:val="3"/>
        </w:rPr>
        <w:t>、油气资产</w:t>
      </w:r>
      <w:r>
        <w:rPr>
          <w:b w:val="0"/>
          <w:bCs w:val="0"/>
          <w:spacing w:val="3"/>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7"/>
          <w:szCs w:val="27"/>
        </w:rPr>
      </w:pPr>
    </w:p>
    <w:p>
      <w:pPr>
        <w:pStyle w:val="Heading5"/>
        <w:spacing w:line="240" w:lineRule="auto" w:before="45"/>
        <w:ind w:right="0"/>
        <w:jc w:val="left"/>
        <w:rPr>
          <w:b w:val="0"/>
          <w:bCs w:val="0"/>
        </w:rPr>
      </w:pPr>
      <w:bookmarkStart w:name="25、使用权资产" w:id="315"/>
      <w:bookmarkEnd w:id="315"/>
      <w:r>
        <w:rPr>
          <w:b w:val="0"/>
          <w:bCs w:val="0"/>
        </w:rPr>
      </w:r>
      <w:r>
        <w:rPr>
          <w:rFonts w:ascii="Times New Roman" w:hAnsi="Times New Roman" w:cs="Times New Roman" w:eastAsia="Times New Roman" w:hint="default"/>
          <w:spacing w:val="5"/>
        </w:rPr>
        <w:t>25</w:t>
      </w:r>
      <w:r>
        <w:rPr>
          <w:spacing w:val="5"/>
        </w:rPr>
        <w:t>、使用权资产</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26、无形资产" w:id="316"/>
      <w:bookmarkEnd w:id="316"/>
      <w:r>
        <w:rPr>
          <w:b w:val="0"/>
          <w:bCs w:val="0"/>
        </w:rPr>
      </w:r>
      <w:r>
        <w:rPr>
          <w:rFonts w:ascii="Times New Roman" w:hAnsi="Times New Roman" w:cs="Times New Roman" w:eastAsia="Times New Roman" w:hint="default"/>
          <w:spacing w:val="3"/>
        </w:rPr>
        <w:t>26</w:t>
      </w:r>
      <w:r>
        <w:rPr>
          <w:spacing w:val="3"/>
        </w:rPr>
        <w:t>、无形资产</w:t>
      </w:r>
      <w:r>
        <w:rPr>
          <w:b w:val="0"/>
          <w:bCs w:val="0"/>
          <w:spacing w:val="3"/>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无形资产情况" w:id="317"/>
      <w:bookmarkEnd w:id="317"/>
      <w:r>
        <w:rPr>
          <w:b w:val="0"/>
          <w:bCs w:val="0"/>
        </w:rPr>
      </w:r>
      <w:r>
        <w:rPr>
          <w:spacing w:val="5"/>
        </w:rPr>
        <w:t>（</w:t>
      </w:r>
      <w:r>
        <w:rPr>
          <w:rFonts w:ascii="Times New Roman" w:hAnsi="Times New Roman" w:cs="Times New Roman" w:eastAsia="Times New Roman" w:hint="default"/>
          <w:spacing w:val="5"/>
        </w:rPr>
        <w:t>1</w:t>
      </w:r>
      <w:r>
        <w:rPr>
          <w:spacing w:val="5"/>
        </w:rPr>
        <w:t>）无形资产情况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577"/>
        <w:gridCol w:w="1614"/>
        <w:gridCol w:w="1592"/>
        <w:gridCol w:w="1592"/>
        <w:gridCol w:w="1592"/>
        <w:gridCol w:w="1607"/>
      </w:tblGrid>
      <w:tr>
        <w:trPr>
          <w:trHeight w:val="39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5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生产经营用软件</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26,594,890.82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10,694,798.87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13,298,600.00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41,345,469.00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91,933,758.69</w:t>
            </w:r>
          </w:p>
        </w:tc>
      </w:tr>
      <w:tr>
        <w:trPr>
          <w:trHeight w:val="72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5,101,480.77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223,300.97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1,941,446.24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7,266,227.98</w:t>
            </w:r>
          </w:p>
        </w:tc>
      </w:tr>
      <w:tr>
        <w:trPr>
          <w:trHeight w:val="39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223,300.97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1,941,446.24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2,164,747.21</w:t>
            </w:r>
          </w:p>
        </w:tc>
      </w:tr>
      <w:tr>
        <w:trPr>
          <w:trHeight w:val="72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5,101,480.77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5,101,480.77</w:t>
            </w:r>
          </w:p>
        </w:tc>
      </w:tr>
      <w:tr>
        <w:trPr>
          <w:trHeight w:val="72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4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5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26,594,890.82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15,796,279.64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13,521,900.97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43,286,915.24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99,199,986.67</w:t>
            </w: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5,466,324.50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2,804,780.04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3,324,649.95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23,880,914.60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35,476,669.09</w:t>
            </w:r>
          </w:p>
        </w:tc>
      </w:tr>
      <w:tr>
        <w:trPr>
          <w:trHeight w:val="72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531,897.84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2,486,369.82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2,704,380.12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5,605,031.45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11,327,679.23</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531,897.84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2,486,369.82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2,704,380.12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5,605,031.45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11,327,679.23</w:t>
            </w:r>
          </w:p>
        </w:tc>
      </w:tr>
      <w:tr>
        <w:trPr>
          <w:trHeight w:val="39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0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5,998,222.34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5,291,149.86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6,029,030.07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29,485,946.05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46,804,348.32</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85"/>
        <w:gridCol w:w="1615"/>
        <w:gridCol w:w="1592"/>
        <w:gridCol w:w="1592"/>
        <w:gridCol w:w="1592"/>
        <w:gridCol w:w="1607"/>
      </w:tblGrid>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15"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20,596,668.48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10,505,129.78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7,492,870.90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13,800,969.19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52,395,638.35</w:t>
            </w:r>
          </w:p>
        </w:tc>
      </w:tr>
      <w:tr>
        <w:trPr>
          <w:trHeight w:val="706"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21,128,566.32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7,890,018.83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9,973,950.05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17,464,554.40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56,457,089.60</w:t>
            </w:r>
          </w:p>
        </w:tc>
      </w:tr>
    </w:tbl>
    <w:p>
      <w:pPr>
        <w:pStyle w:val="BodyText"/>
        <w:spacing w:line="240" w:lineRule="auto" w:before="60"/>
        <w:ind w:right="0"/>
        <w:jc w:val="left"/>
      </w:pPr>
      <w:r>
        <w:rPr/>
        <w:t>本期末通过公司内部研发形成的无形资产占无形资产余额的比例</w:t>
      </w:r>
      <w:r>
        <w:rPr>
          <w:spacing w:val="-39"/>
        </w:rPr>
        <w:t> </w:t>
      </w:r>
      <w:r>
        <w:rPr>
          <w:rFonts w:ascii="Times New Roman" w:hAnsi="Times New Roman" w:cs="Times New Roman" w:eastAsia="Times New Roman" w:hint="default"/>
        </w:rPr>
        <w:t>13.47%</w:t>
      </w:r>
      <w:r>
        <w:rPr/>
        <w:t>。</w:t>
      </w: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2）未办妥产权证书的土地使用权情况" w:id="318"/>
      <w:bookmarkEnd w:id="318"/>
      <w:r>
        <w:rPr>
          <w:b w:val="0"/>
          <w:bCs w:val="0"/>
        </w:rPr>
      </w:r>
      <w:r>
        <w:rPr>
          <w:spacing w:val="5"/>
        </w:rPr>
        <w:t>（</w:t>
      </w:r>
      <w:r>
        <w:rPr>
          <w:rFonts w:ascii="Times New Roman" w:hAnsi="Times New Roman" w:cs="Times New Roman" w:eastAsia="Times New Roman" w:hint="default"/>
          <w:spacing w:val="5"/>
        </w:rPr>
        <w:t>2</w:t>
      </w:r>
      <w:r>
        <w:rPr>
          <w:spacing w:val="5"/>
        </w:rPr>
        <w:t>）未办妥产权证书的土地使用权情况</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2" w:lineRule="auto" w:before="44"/>
        <w:ind w:left="366" w:right="7284" w:hanging="225"/>
        <w:jc w:val="left"/>
      </w:pPr>
      <w:r>
        <w:rPr/>
        <w:t>其他说明： 期末无形资产无用于抵押或担保的情况。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28"/>
        <w:ind w:right="0"/>
        <w:jc w:val="left"/>
        <w:rPr>
          <w:b w:val="0"/>
          <w:bCs w:val="0"/>
        </w:rPr>
      </w:pPr>
      <w:bookmarkStart w:name="27、开发支出" w:id="319"/>
      <w:bookmarkEnd w:id="319"/>
      <w:r>
        <w:rPr>
          <w:b w:val="0"/>
          <w:bCs w:val="0"/>
        </w:rPr>
      </w:r>
      <w:r>
        <w:rPr>
          <w:rFonts w:ascii="Times New Roman" w:hAnsi="Times New Roman" w:cs="Times New Roman" w:eastAsia="Times New Roman" w:hint="default"/>
          <w:spacing w:val="3"/>
        </w:rPr>
        <w:t>27</w:t>
      </w:r>
      <w:r>
        <w:rPr>
          <w:spacing w:val="3"/>
        </w:rPr>
        <w:t>、开发支出</w:t>
      </w:r>
      <w:r>
        <w:rPr>
          <w:b w:val="0"/>
          <w:bCs w:val="0"/>
          <w:spacing w:val="3"/>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051"/>
        <w:gridCol w:w="1074"/>
        <w:gridCol w:w="1067"/>
        <w:gridCol w:w="1051"/>
        <w:gridCol w:w="1066"/>
        <w:gridCol w:w="1067"/>
        <w:gridCol w:w="1066"/>
        <w:gridCol w:w="1067"/>
        <w:gridCol w:w="1066"/>
      </w:tblGrid>
      <w:tr>
        <w:trPr>
          <w:trHeight w:val="405" w:hRule="exact"/>
        </w:trPr>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74"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3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8" w:hRule="exact"/>
        </w:trPr>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4"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1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20" w:right="89" w:hanging="361"/>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345" w:right="74" w:hanging="271"/>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35" w:right="73" w:hanging="361"/>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80" w:hRule="exact"/>
        </w:trPr>
        <w:tc>
          <w:tcPr>
            <w:tcW w:w="1051" w:type="dxa"/>
            <w:vMerge/>
            <w:tcBorders>
              <w:left w:val="single" w:sz="6" w:space="0" w:color="000000"/>
              <w:right w:val="single" w:sz="6" w:space="0" w:color="000000"/>
            </w:tcBorders>
            <w:shd w:val="clear" w:color="auto" w:fill="D2D2D2"/>
          </w:tcPr>
          <w:p>
            <w:pPr/>
          </w:p>
        </w:tc>
        <w:tc>
          <w:tcPr>
            <w:tcW w:w="1074"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6" w:type="dxa"/>
            <w:vMerge w:val="restart"/>
            <w:tcBorders>
              <w:top w:val="nil" w:sz="6" w:space="0" w:color="auto"/>
              <w:left w:val="single" w:sz="6" w:space="0" w:color="000000"/>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7" w:type="dxa"/>
            <w:vMerge w:val="restart"/>
            <w:tcBorders>
              <w:top w:val="nil" w:sz="6" w:space="0" w:color="auto"/>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211" w:hRule="exact"/>
        </w:trPr>
        <w:tc>
          <w:tcPr>
            <w:tcW w:w="1051" w:type="dxa"/>
            <w:vMerge/>
            <w:tcBorders>
              <w:left w:val="single" w:sz="6" w:space="0" w:color="000000"/>
              <w:right w:val="single" w:sz="6" w:space="0" w:color="000000"/>
            </w:tcBorders>
            <w:shd w:val="clear" w:color="auto" w:fill="D2D2D2"/>
          </w:tcPr>
          <w:p>
            <w:pPr/>
          </w:p>
        </w:tc>
        <w:tc>
          <w:tcPr>
            <w:tcW w:w="1074" w:type="dxa"/>
            <w:vMerge w:val="restart"/>
            <w:tcBorders>
              <w:top w:val="nil" w:sz="6" w:space="0" w:color="auto"/>
              <w:left w:val="single" w:sz="6" w:space="0" w:color="000000"/>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7"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58" w:hRule="exact"/>
        </w:trPr>
        <w:tc>
          <w:tcPr>
            <w:tcW w:w="1051" w:type="dxa"/>
            <w:vMerge/>
            <w:tcBorders>
              <w:left w:val="single" w:sz="6" w:space="0" w:color="000000"/>
              <w:bottom w:val="single" w:sz="6" w:space="0" w:color="000000"/>
              <w:right w:val="single" w:sz="6" w:space="0" w:color="000000"/>
            </w:tcBorders>
            <w:shd w:val="clear" w:color="auto" w:fill="D2D2D2"/>
          </w:tcPr>
          <w:p>
            <w:pPr/>
          </w:p>
        </w:tc>
        <w:tc>
          <w:tcPr>
            <w:tcW w:w="1074" w:type="dxa"/>
            <w:vMerge/>
            <w:tcBorders>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0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r>
      <w:tr>
        <w:trPr>
          <w:trHeight w:val="1336"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 w:right="126"/>
              <w:jc w:val="both"/>
              <w:rPr>
                <w:rFonts w:ascii="宋体" w:hAnsi="宋体" w:cs="宋体" w:eastAsia="宋体" w:hint="default"/>
                <w:sz w:val="18"/>
                <w:szCs w:val="18"/>
              </w:rPr>
            </w:pPr>
            <w:r>
              <w:rPr>
                <w:rFonts w:ascii="宋体" w:hAnsi="宋体" w:cs="宋体" w:eastAsia="宋体" w:hint="default"/>
                <w:sz w:val="18"/>
                <w:szCs w:val="18"/>
              </w:rPr>
              <w:t>光纤传导多 功能网关测 试关键技术 研发</w:t>
            </w:r>
          </w:p>
        </w:tc>
        <w:tc>
          <w:tcPr>
            <w:tcW w:w="1074"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3,493,132.67</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3,493,132.67</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991"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26"/>
              <w:jc w:val="both"/>
              <w:rPr>
                <w:rFonts w:ascii="宋体" w:hAnsi="宋体" w:cs="宋体" w:eastAsia="宋体" w:hint="default"/>
                <w:sz w:val="18"/>
                <w:szCs w:val="18"/>
              </w:rPr>
            </w:pPr>
            <w:r>
              <w:rPr>
                <w:rFonts w:ascii="宋体" w:hAnsi="宋体" w:cs="宋体" w:eastAsia="宋体" w:hint="default"/>
                <w:sz w:val="18"/>
                <w:szCs w:val="18"/>
              </w:rPr>
              <w:t>微芯片驱控 差压式气密 性测试关键</w:t>
            </w:r>
          </w:p>
        </w:tc>
        <w:tc>
          <w:tcPr>
            <w:tcW w:w="1074"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1,608,348.10</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1,608,348.10</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51"/>
        <w:gridCol w:w="1066"/>
        <w:gridCol w:w="1067"/>
        <w:gridCol w:w="1066"/>
        <w:gridCol w:w="1067"/>
        <w:gridCol w:w="1066"/>
      </w:tblGrid>
      <w:tr>
        <w:trPr>
          <w:trHeight w:val="36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技术研发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967"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33"/>
              <w:jc w:val="both"/>
              <w:rPr>
                <w:rFonts w:ascii="宋体" w:hAnsi="宋体" w:cs="宋体" w:eastAsia="宋体" w:hint="default"/>
                <w:sz w:val="18"/>
                <w:szCs w:val="18"/>
              </w:rPr>
            </w:pPr>
            <w:r>
              <w:rPr>
                <w:rFonts w:ascii="宋体" w:hAnsi="宋体" w:cs="宋体" w:eastAsia="宋体" w:hint="default"/>
                <w:sz w:val="18"/>
                <w:szCs w:val="18"/>
              </w:rPr>
              <w:t>全自动扣屏 蔽盖一体机 的视觉定位 技术与嵌入 关键技术的 研究</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4,533,166.71</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4,533,166.71</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2"/>
              <w:jc w:val="both"/>
              <w:rPr>
                <w:rFonts w:ascii="宋体" w:hAnsi="宋体" w:cs="宋体" w:eastAsia="宋体" w:hint="default"/>
                <w:sz w:val="18"/>
                <w:szCs w:val="18"/>
              </w:rPr>
            </w:pPr>
            <w:r>
              <w:rPr>
                <w:rFonts w:ascii="宋体" w:hAnsi="宋体" w:cs="宋体" w:eastAsia="宋体" w:hint="default"/>
                <w:sz w:val="18"/>
                <w:szCs w:val="18"/>
              </w:rPr>
              <w:t>双位双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Y</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高 速分板机的 关键技术研</w:t>
            </w:r>
          </w:p>
          <w:p>
            <w:pPr>
              <w:pStyle w:val="TableParagraph"/>
              <w:spacing w:line="240" w:lineRule="auto" w:before="36"/>
              <w:ind w:left="15" w:right="0"/>
              <w:jc w:val="both"/>
              <w:rPr>
                <w:rFonts w:ascii="宋体" w:hAnsi="宋体" w:cs="宋体" w:eastAsia="宋体" w:hint="default"/>
                <w:sz w:val="18"/>
                <w:szCs w:val="18"/>
              </w:rPr>
            </w:pPr>
            <w:r>
              <w:rPr>
                <w:rFonts w:ascii="宋体" w:hAnsi="宋体" w:cs="宋体" w:eastAsia="宋体" w:hint="default"/>
                <w:sz w:val="18"/>
                <w:szCs w:val="18"/>
              </w:rPr>
              <w:t>究</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8"/>
              <w:jc w:val="right"/>
              <w:rPr>
                <w:rFonts w:ascii="Times New Roman" w:hAnsi="Times New Roman" w:cs="Times New Roman" w:eastAsia="Times New Roman" w:hint="default"/>
                <w:sz w:val="18"/>
                <w:szCs w:val="18"/>
              </w:rPr>
            </w:pPr>
            <w:r>
              <w:rPr>
                <w:rFonts w:ascii="Times New Roman"/>
                <w:sz w:val="18"/>
              </w:rPr>
              <w:t>4,090,912.64</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4,090,912.64</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2282"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手机包装线 全自动无人 包装机操作 工艺流程技 术分析与嵌 入关键技术 的研究</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4,701,290.77</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4,701,290.77</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全自动贴</w:t>
            </w:r>
          </w:p>
          <w:p>
            <w:pPr>
              <w:pStyle w:val="TableParagraph"/>
              <w:spacing w:line="297" w:lineRule="auto" w:before="95"/>
              <w:ind w:left="15"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Mylar</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标签机</w:t>
            </w:r>
            <w:r>
              <w:rPr>
                <w:rFonts w:ascii="宋体" w:hAnsi="宋体" w:cs="宋体" w:eastAsia="宋体" w:hint="default"/>
                <w:spacing w:val="-87"/>
                <w:sz w:val="18"/>
                <w:szCs w:val="18"/>
              </w:rPr>
              <w:t> </w:t>
            </w:r>
            <w:r>
              <w:rPr>
                <w:rFonts w:ascii="宋体" w:hAnsi="宋体" w:cs="宋体" w:eastAsia="宋体" w:hint="default"/>
                <w:sz w:val="18"/>
                <w:szCs w:val="18"/>
              </w:rPr>
              <w:t>的关键技术 研发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z w:val="18"/>
              </w:rPr>
              <w:t>3,924,067.30</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3,924,067.30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33"/>
              <w:jc w:val="both"/>
              <w:rPr>
                <w:rFonts w:ascii="宋体" w:hAnsi="宋体" w:cs="宋体" w:eastAsia="宋体" w:hint="default"/>
                <w:sz w:val="18"/>
                <w:szCs w:val="18"/>
              </w:rPr>
            </w:pPr>
            <w:r>
              <w:rPr>
                <w:rFonts w:ascii="宋体" w:hAnsi="宋体" w:cs="宋体" w:eastAsia="宋体" w:hint="default"/>
                <w:sz w:val="18"/>
                <w:szCs w:val="18"/>
              </w:rPr>
              <w:t>激光平面度 测量机刻度 等离子与视 觉定位技术 的研究</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3,342,778.35</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3,342,778.35</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33"/>
              <w:jc w:val="both"/>
              <w:rPr>
                <w:rFonts w:ascii="宋体" w:hAnsi="宋体" w:cs="宋体" w:eastAsia="宋体" w:hint="default"/>
                <w:sz w:val="18"/>
                <w:szCs w:val="18"/>
              </w:rPr>
            </w:pPr>
            <w:r>
              <w:rPr>
                <w:rFonts w:ascii="宋体" w:hAnsi="宋体" w:cs="宋体" w:eastAsia="宋体" w:hint="default"/>
                <w:sz w:val="18"/>
                <w:szCs w:val="18"/>
              </w:rPr>
              <w:t>前驱后阻尼 式标签分离 模块开发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5,992,740.06</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5,992,740.06</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33"/>
              <w:jc w:val="both"/>
              <w:rPr>
                <w:rFonts w:ascii="宋体" w:hAnsi="宋体" w:cs="宋体" w:eastAsia="宋体" w:hint="default"/>
                <w:sz w:val="18"/>
                <w:szCs w:val="18"/>
              </w:rPr>
            </w:pPr>
            <w:r>
              <w:rPr>
                <w:rFonts w:ascii="宋体" w:hAnsi="宋体" w:cs="宋体" w:eastAsia="宋体" w:hint="default"/>
                <w:sz w:val="18"/>
                <w:szCs w:val="18"/>
              </w:rPr>
              <w:t>精密伺服控 制翻转定位 设备研发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5,178,400.24</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5,178,400.24</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精密电机驱 动等分中间 顶升辅助接 驳台研发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z w:val="18"/>
              </w:rPr>
              <w:t>7,113,814.37</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7,113,814.37</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337"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15" w:right="133"/>
              <w:jc w:val="both"/>
              <w:rPr>
                <w:rFonts w:ascii="宋体" w:hAnsi="宋体" w:cs="宋体" w:eastAsia="宋体" w:hint="default"/>
                <w:sz w:val="18"/>
                <w:szCs w:val="18"/>
              </w:rPr>
            </w:pPr>
            <w:r>
              <w:rPr>
                <w:rFonts w:ascii="宋体" w:hAnsi="宋体" w:cs="宋体" w:eastAsia="宋体" w:hint="default"/>
                <w:sz w:val="18"/>
                <w:szCs w:val="18"/>
              </w:rPr>
              <w:t>伺服电机驱 动宽度自动 调节输送带 研发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9"/>
              <w:jc w:val="right"/>
              <w:rPr>
                <w:rFonts w:ascii="Times New Roman" w:hAnsi="Times New Roman" w:cs="Times New Roman" w:eastAsia="Times New Roman" w:hint="default"/>
                <w:sz w:val="18"/>
                <w:szCs w:val="18"/>
              </w:rPr>
            </w:pPr>
            <w:r>
              <w:rPr>
                <w:rFonts w:ascii="Times New Roman"/>
                <w:sz w:val="18"/>
              </w:rPr>
              <w:t>3,941,629.13</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3"/>
              <w:jc w:val="right"/>
              <w:rPr>
                <w:rFonts w:ascii="Times New Roman" w:hAnsi="Times New Roman" w:cs="Times New Roman" w:eastAsia="Times New Roman" w:hint="default"/>
                <w:sz w:val="18"/>
                <w:szCs w:val="18"/>
              </w:rPr>
            </w:pPr>
            <w:r>
              <w:rPr>
                <w:rFonts w:ascii="Times New Roman"/>
                <w:sz w:val="18"/>
              </w:rPr>
              <w:t>3,941,629.13</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51"/>
        <w:gridCol w:w="1066"/>
        <w:gridCol w:w="1067"/>
        <w:gridCol w:w="1066"/>
        <w:gridCol w:w="1067"/>
        <w:gridCol w:w="1066"/>
      </w:tblGrid>
      <w:tr>
        <w:trPr>
          <w:trHeight w:val="102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快速举升驱 动限位装置 研发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6,765,678.15</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6,765,678.15</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35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15" w:right="133"/>
              <w:jc w:val="both"/>
              <w:rPr>
                <w:rFonts w:ascii="宋体" w:hAnsi="宋体" w:cs="宋体" w:eastAsia="宋体" w:hint="default"/>
                <w:sz w:val="18"/>
                <w:szCs w:val="18"/>
              </w:rPr>
            </w:pPr>
            <w:r>
              <w:rPr>
                <w:rFonts w:ascii="宋体" w:hAnsi="宋体" w:cs="宋体" w:eastAsia="宋体" w:hint="default"/>
                <w:sz w:val="18"/>
                <w:szCs w:val="18"/>
              </w:rPr>
              <w:t>集成旋转定 位料盘快速 限位装置开 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9"/>
              <w:jc w:val="right"/>
              <w:rPr>
                <w:rFonts w:ascii="Times New Roman" w:hAnsi="Times New Roman" w:cs="Times New Roman" w:eastAsia="Times New Roman" w:hint="default"/>
                <w:sz w:val="18"/>
                <w:szCs w:val="18"/>
              </w:rPr>
            </w:pPr>
            <w:r>
              <w:rPr>
                <w:rFonts w:ascii="Times New Roman"/>
                <w:sz w:val="18"/>
              </w:rPr>
              <w:t>3,520,476.01</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3"/>
              <w:jc w:val="right"/>
              <w:rPr>
                <w:rFonts w:ascii="Times New Roman" w:hAnsi="Times New Roman" w:cs="Times New Roman" w:eastAsia="Times New Roman" w:hint="default"/>
                <w:sz w:val="18"/>
                <w:szCs w:val="18"/>
              </w:rPr>
            </w:pPr>
            <w:r>
              <w:rPr>
                <w:rFonts w:ascii="Times New Roman"/>
                <w:sz w:val="18"/>
              </w:rPr>
              <w:t>3,520,476.01</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四轴高精密 拾取自动测 试设备研究</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3,223,077.48</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3,223,077.48</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智能泛光摄 像机技术与 嵌入关键技 术的研究</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sz w:val="18"/>
              </w:rPr>
              <w:t>2,982,703.38</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3"/>
              <w:jc w:val="right"/>
              <w:rPr>
                <w:rFonts w:ascii="Times New Roman" w:hAnsi="Times New Roman" w:cs="Times New Roman" w:eastAsia="Times New Roman" w:hint="default"/>
                <w:sz w:val="18"/>
                <w:szCs w:val="18"/>
              </w:rPr>
            </w:pPr>
            <w:r>
              <w:rPr>
                <w:rFonts w:ascii="Times New Roman"/>
                <w:sz w:val="18"/>
              </w:rPr>
              <w:t>2,982,703.38</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59"/>
              <w:ind w:left="15" w:right="7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Smart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高端</w:t>
            </w:r>
            <w:r>
              <w:rPr>
                <w:rFonts w:ascii="宋体" w:hAnsi="宋体" w:cs="宋体" w:eastAsia="宋体" w:hint="default"/>
                <w:spacing w:val="-88"/>
                <w:sz w:val="18"/>
                <w:szCs w:val="18"/>
              </w:rPr>
              <w:t> </w:t>
            </w:r>
            <w:r>
              <w:rPr>
                <w:rFonts w:ascii="Times New Roman" w:hAnsi="Times New Roman" w:cs="Times New Roman" w:eastAsia="Times New Roman" w:hint="default"/>
                <w:spacing w:val="2"/>
                <w:sz w:val="18"/>
                <w:szCs w:val="18"/>
              </w:rPr>
              <w:t>AI</w:t>
            </w:r>
            <w:r>
              <w:rPr>
                <w:rFonts w:ascii="Times New Roman" w:hAnsi="Times New Roman" w:cs="Times New Roman" w:eastAsia="Times New Roman" w:hint="default"/>
                <w:sz w:val="18"/>
                <w:szCs w:val="18"/>
              </w:rPr>
              <w:t> </w:t>
            </w:r>
            <w:r>
              <w:rPr>
                <w:rFonts w:ascii="宋体" w:hAnsi="宋体" w:cs="宋体" w:eastAsia="宋体" w:hint="default"/>
                <w:sz w:val="18"/>
                <w:szCs w:val="18"/>
              </w:rPr>
              <w:t>语音浴霸 开发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4,678,026.94</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4,678,026.94</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红色有镉量 子点材料开 发项目</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1,090,331.96</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1,090,331.96</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绿色有镉量 子点材料开 发项目</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1,111,893.48</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1,111,893.48</w:t>
            </w:r>
          </w:p>
        </w:tc>
      </w:tr>
      <w:tr>
        <w:trPr>
          <w:trHeight w:val="7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33"/>
              <w:jc w:val="left"/>
              <w:rPr>
                <w:rFonts w:ascii="宋体" w:hAnsi="宋体" w:cs="宋体" w:eastAsia="宋体" w:hint="default"/>
                <w:sz w:val="18"/>
                <w:szCs w:val="18"/>
              </w:rPr>
            </w:pPr>
            <w:r>
              <w:rPr>
                <w:rFonts w:ascii="宋体" w:hAnsi="宋体" w:cs="宋体" w:eastAsia="宋体" w:hint="default"/>
                <w:sz w:val="18"/>
                <w:szCs w:val="18"/>
              </w:rPr>
              <w:t>无镉量子点 预研项目</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277,016.60</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277,016.60</w:t>
            </w: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量子点光学 膜片开发项 目</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207,574.62</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207,574.62</w:t>
            </w:r>
          </w:p>
        </w:tc>
      </w:tr>
      <w:tr>
        <w:trPr>
          <w:trHeight w:val="7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33"/>
              <w:jc w:val="left"/>
              <w:rPr>
                <w:rFonts w:ascii="宋体" w:hAnsi="宋体" w:cs="宋体" w:eastAsia="宋体" w:hint="default"/>
                <w:sz w:val="18"/>
                <w:szCs w:val="18"/>
              </w:rPr>
            </w:pPr>
            <w:r>
              <w:rPr>
                <w:rFonts w:ascii="宋体" w:hAnsi="宋体" w:cs="宋体" w:eastAsia="宋体" w:hint="default"/>
                <w:sz w:val="18"/>
                <w:szCs w:val="18"/>
              </w:rPr>
              <w:t>量子点应用 项目</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856,523.92</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856,523.92</w:t>
            </w:r>
          </w:p>
        </w:tc>
      </w:tr>
      <w:tr>
        <w:trPr>
          <w:trHeight w:val="72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33"/>
              <w:jc w:val="left"/>
              <w:rPr>
                <w:rFonts w:ascii="宋体" w:hAnsi="宋体" w:cs="宋体" w:eastAsia="宋体" w:hint="default"/>
                <w:sz w:val="18"/>
                <w:szCs w:val="18"/>
              </w:rPr>
            </w:pPr>
            <w:r>
              <w:rPr>
                <w:rFonts w:ascii="宋体" w:hAnsi="宋体" w:cs="宋体" w:eastAsia="宋体" w:hint="default"/>
                <w:sz w:val="18"/>
                <w:szCs w:val="18"/>
              </w:rPr>
              <w:t>自动化治具 项目</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10,379,304.8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10,379,304.8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便携调节集 成左右夹持 网关测试设 备的研究</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9"/>
              <w:jc w:val="right"/>
              <w:rPr>
                <w:rFonts w:ascii="Times New Roman" w:hAnsi="Times New Roman" w:cs="Times New Roman" w:eastAsia="Times New Roman" w:hint="default"/>
                <w:sz w:val="18"/>
                <w:szCs w:val="18"/>
              </w:rPr>
            </w:pPr>
            <w:r>
              <w:rPr>
                <w:rFonts w:ascii="Times New Roman"/>
                <w:sz w:val="18"/>
              </w:rPr>
              <w:t>8,397,947.73</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3"/>
              <w:jc w:val="right"/>
              <w:rPr>
                <w:rFonts w:ascii="Times New Roman" w:hAnsi="Times New Roman" w:cs="Times New Roman" w:eastAsia="Times New Roman" w:hint="default"/>
                <w:sz w:val="18"/>
                <w:szCs w:val="18"/>
              </w:rPr>
            </w:pPr>
            <w:r>
              <w:rPr>
                <w:rFonts w:ascii="Times New Roman"/>
                <w:sz w:val="18"/>
              </w:rPr>
              <w:t>8,397,947.73</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33"/>
              <w:jc w:val="both"/>
              <w:rPr>
                <w:rFonts w:ascii="宋体" w:hAnsi="宋体" w:cs="宋体" w:eastAsia="宋体" w:hint="default"/>
                <w:sz w:val="18"/>
                <w:szCs w:val="18"/>
              </w:rPr>
            </w:pPr>
            <w:r>
              <w:rPr>
                <w:rFonts w:ascii="宋体" w:hAnsi="宋体" w:cs="宋体" w:eastAsia="宋体" w:hint="default"/>
                <w:sz w:val="18"/>
                <w:szCs w:val="18"/>
              </w:rPr>
              <w:t>多轴转向自 适应剥标模 组的研究</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958,025.21</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958,025.21</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移动电源全</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29"/>
              <w:jc w:val="right"/>
              <w:rPr>
                <w:rFonts w:ascii="Times New Roman" w:hAnsi="Times New Roman" w:cs="Times New Roman" w:eastAsia="Times New Roman" w:hint="default"/>
                <w:sz w:val="18"/>
                <w:szCs w:val="18"/>
              </w:rPr>
            </w:pPr>
            <w:r>
              <w:rPr>
                <w:rFonts w:ascii="Times New Roman"/>
                <w:sz w:val="18"/>
              </w:rPr>
              <w:t>18,569,734.5</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right"/>
              <w:rPr>
                <w:rFonts w:ascii="Times New Roman" w:hAnsi="Times New Roman" w:cs="Times New Roman" w:eastAsia="Times New Roman" w:hint="default"/>
                <w:sz w:val="18"/>
                <w:szCs w:val="18"/>
              </w:rPr>
            </w:pPr>
            <w:r>
              <w:rPr>
                <w:rFonts w:ascii="Times New Roman"/>
                <w:sz w:val="18"/>
              </w:rPr>
              <w:t>18,569,734.5</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51"/>
        <w:gridCol w:w="1066"/>
        <w:gridCol w:w="1067"/>
        <w:gridCol w:w="1066"/>
        <w:gridCol w:w="1067"/>
        <w:gridCol w:w="1066"/>
      </w:tblGrid>
      <w:tr>
        <w:trPr>
          <w:trHeight w:val="19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ind w:left="15" w:right="133"/>
              <w:jc w:val="both"/>
              <w:rPr>
                <w:rFonts w:ascii="宋体" w:hAnsi="宋体" w:cs="宋体" w:eastAsia="宋体" w:hint="default"/>
                <w:sz w:val="18"/>
                <w:szCs w:val="18"/>
              </w:rPr>
            </w:pPr>
            <w:r>
              <w:rPr>
                <w:rFonts w:ascii="宋体" w:hAnsi="宋体" w:cs="宋体" w:eastAsia="宋体" w:hint="default"/>
                <w:sz w:val="18"/>
                <w:szCs w:val="18"/>
              </w:rPr>
              <w:t>自动无人生 产线设备工 艺流程技术 分析与嵌入 关键技术的 研究</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right"/>
              <w:rPr>
                <w:rFonts w:ascii="Times New Roman" w:hAnsi="Times New Roman" w:cs="Times New Roman" w:eastAsia="Times New Roman" w:hint="default"/>
                <w:sz w:val="18"/>
                <w:szCs w:val="18"/>
              </w:rPr>
            </w:pPr>
            <w:r>
              <w:rPr>
                <w:rFonts w:ascii="Times New Roman"/>
                <w:sz w:val="18"/>
              </w:rPr>
              <w:t>5</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5</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15" w:right="133"/>
              <w:jc w:val="both"/>
              <w:rPr>
                <w:rFonts w:ascii="宋体" w:hAnsi="宋体" w:cs="宋体" w:eastAsia="宋体" w:hint="default"/>
                <w:sz w:val="18"/>
                <w:szCs w:val="18"/>
              </w:rPr>
            </w:pPr>
            <w:r>
              <w:rPr>
                <w:rFonts w:ascii="宋体" w:hAnsi="宋体" w:cs="宋体" w:eastAsia="宋体" w:hint="default"/>
                <w:sz w:val="18"/>
                <w:szCs w:val="18"/>
              </w:rPr>
              <w:t>网关成品功 能自动测试 机关键技术 研发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14,177,277.0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9</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14,177,277.0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352"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15" w:right="133"/>
              <w:jc w:val="both"/>
              <w:rPr>
                <w:rFonts w:ascii="宋体" w:hAnsi="宋体" w:cs="宋体" w:eastAsia="宋体" w:hint="default"/>
                <w:sz w:val="18"/>
                <w:szCs w:val="18"/>
              </w:rPr>
            </w:pPr>
            <w:r>
              <w:rPr>
                <w:rFonts w:ascii="宋体" w:hAnsi="宋体" w:cs="宋体" w:eastAsia="宋体" w:hint="default"/>
                <w:sz w:val="18"/>
                <w:szCs w:val="18"/>
              </w:rPr>
              <w:t>珑智屏蔽箱 的隔离参数 关键技术的 研发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9"/>
              <w:jc w:val="right"/>
              <w:rPr>
                <w:rFonts w:ascii="Times New Roman" w:hAnsi="Times New Roman" w:cs="Times New Roman" w:eastAsia="Times New Roman" w:hint="default"/>
                <w:sz w:val="18"/>
                <w:szCs w:val="18"/>
              </w:rPr>
            </w:pPr>
            <w:r>
              <w:rPr>
                <w:rFonts w:ascii="Times New Roman"/>
                <w:sz w:val="18"/>
              </w:rPr>
              <w:t>2,766,344.56</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3"/>
              <w:jc w:val="right"/>
              <w:rPr>
                <w:rFonts w:ascii="Times New Roman" w:hAnsi="Times New Roman" w:cs="Times New Roman" w:eastAsia="Times New Roman" w:hint="default"/>
                <w:sz w:val="18"/>
                <w:szCs w:val="18"/>
              </w:rPr>
            </w:pPr>
            <w:r>
              <w:rPr>
                <w:rFonts w:ascii="Times New Roman"/>
                <w:sz w:val="18"/>
              </w:rPr>
              <w:t>2,766,344.56</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慧集屏蔽箱 的校准功能 关键技术的 研发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9"/>
              <w:jc w:val="right"/>
              <w:rPr>
                <w:rFonts w:ascii="Times New Roman" w:hAnsi="Times New Roman" w:cs="Times New Roman" w:eastAsia="Times New Roman" w:hint="default"/>
                <w:sz w:val="18"/>
                <w:szCs w:val="18"/>
              </w:rPr>
            </w:pPr>
            <w:r>
              <w:rPr>
                <w:rFonts w:ascii="Times New Roman"/>
                <w:sz w:val="18"/>
              </w:rPr>
              <w:t>2,462,440.18</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3"/>
              <w:jc w:val="right"/>
              <w:rPr>
                <w:rFonts w:ascii="Times New Roman" w:hAnsi="Times New Roman" w:cs="Times New Roman" w:eastAsia="Times New Roman" w:hint="default"/>
                <w:sz w:val="18"/>
                <w:szCs w:val="18"/>
              </w:rPr>
            </w:pPr>
            <w:r>
              <w:rPr>
                <w:rFonts w:ascii="Times New Roman"/>
                <w:sz w:val="18"/>
              </w:rPr>
              <w:t>2,462,440.18</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96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29"/>
              <w:ind w:left="15" w:right="133"/>
              <w:jc w:val="both"/>
              <w:rPr>
                <w:rFonts w:ascii="宋体" w:hAnsi="宋体" w:cs="宋体" w:eastAsia="宋体" w:hint="default"/>
                <w:sz w:val="18"/>
                <w:szCs w:val="18"/>
              </w:rPr>
            </w:pPr>
            <w:r>
              <w:rPr>
                <w:rFonts w:ascii="宋体" w:hAnsi="宋体" w:cs="宋体" w:eastAsia="宋体" w:hint="default"/>
                <w:sz w:val="18"/>
                <w:szCs w:val="18"/>
              </w:rPr>
              <w:t>自动点胶贴 屏一体机的 激光视觉定 位与校准检 测关键技术 的研究</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3,669,620.50</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3,669,620.50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MIFI</w:t>
            </w:r>
            <w:r>
              <w:rPr>
                <w:rFonts w:ascii="Times New Roman"/>
                <w:spacing w:val="11"/>
                <w:sz w:val="18"/>
              </w:rPr>
              <w:t> </w:t>
            </w:r>
            <w:r>
              <w:rPr>
                <w:rFonts w:ascii="Times New Roman"/>
                <w:sz w:val="18"/>
              </w:rPr>
              <w:t>ZE1302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6,420,031.44</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6,420,031.44</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CPE</w:t>
            </w:r>
            <w:r>
              <w:rPr>
                <w:rFonts w:ascii="Times New Roman"/>
                <w:spacing w:val="7"/>
                <w:sz w:val="18"/>
              </w:rPr>
              <w:t> </w:t>
            </w:r>
            <w:r>
              <w:rPr>
                <w:rFonts w:ascii="Times New Roman"/>
                <w:sz w:val="18"/>
              </w:rPr>
              <w:t>ZC1201</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7,104,414.51</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7,104,414.51</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18"/>
              <w:jc w:val="center"/>
              <w:rPr>
                <w:rFonts w:ascii="宋体" w:hAnsi="宋体" w:cs="宋体" w:eastAsia="宋体" w:hint="default"/>
                <w:sz w:val="18"/>
                <w:szCs w:val="18"/>
              </w:rPr>
            </w:pPr>
            <w:r>
              <w:rPr>
                <w:rFonts w:ascii="宋体" w:hAnsi="宋体" w:cs="宋体" w:eastAsia="宋体" w:hint="default"/>
                <w:sz w:val="18"/>
                <w:szCs w:val="18"/>
              </w:rPr>
              <w:t>机器人项目</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4,051,552.92</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4,051,552.92</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151,590,276.</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38</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5,101,480.77</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142,945,455.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03</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3,543,340.58</w:t>
            </w:r>
          </w:p>
        </w:tc>
      </w:tr>
    </w:tbl>
    <w:p>
      <w:pPr>
        <w:pStyle w:val="BodyText"/>
        <w:spacing w:line="240" w:lineRule="auto" w:before="44"/>
        <w:ind w:right="0"/>
        <w:jc w:val="left"/>
      </w:pPr>
      <w:r>
        <w:rPr/>
        <w:t>其他说明</w:t>
      </w:r>
    </w:p>
    <w:p>
      <w:pPr>
        <w:spacing w:line="240" w:lineRule="auto" w:before="4"/>
        <w:rPr>
          <w:rFonts w:ascii="宋体" w:hAnsi="宋体" w:cs="宋体" w:eastAsia="宋体" w:hint="default"/>
          <w:sz w:val="15"/>
          <w:szCs w:val="15"/>
        </w:rPr>
      </w:pPr>
    </w:p>
    <w:p>
      <w:pPr>
        <w:pStyle w:val="BodyText"/>
        <w:spacing w:line="480" w:lineRule="auto"/>
        <w:ind w:right="1131" w:firstLine="360"/>
        <w:jc w:val="both"/>
      </w:pPr>
      <w:r>
        <w:rPr/>
        <w:t>（</w:t>
      </w:r>
      <w:r>
        <w:rPr>
          <w:rFonts w:ascii="宋体" w:hAnsi="宋体" w:cs="宋体" w:eastAsia="宋体" w:hint="default"/>
        </w:rPr>
        <w:t>1</w:t>
      </w:r>
      <w:r>
        <w:rPr/>
        <w:t>）红色有镉量子点材料开发项目是为了研发高端显示材料，以满足市场对高端显示材料的需求。现阶段红色有镉量 </w:t>
      </w:r>
      <w:r>
        <w:rPr>
          <w:spacing w:val="-2"/>
        </w:rPr>
        <w:t>子点材料开发项目已完成，开发所得红色有镉量子点半峰宽窄，发光效率高，性能稳定，能够应用于包括显示、照明、医疗</w:t>
      </w:r>
      <w:r>
        <w:rPr>
          <w:spacing w:val="-72"/>
        </w:rPr>
        <w:t> </w:t>
      </w:r>
      <w:r>
        <w:rPr>
          <w:spacing w:val="-72"/>
        </w:rPr>
      </w:r>
      <w:r>
        <w:rPr>
          <w:spacing w:val="-2"/>
        </w:rPr>
        <w:t>等众多领域。红色有镉量子点材料开发项目经过立项调研评估，立项后进入开发阶段，公司将此项目开发阶段中与项目开发</w:t>
      </w:r>
      <w:r>
        <w:rPr>
          <w:spacing w:val="-75"/>
        </w:rPr>
        <w:t> </w:t>
      </w:r>
      <w:r>
        <w:rPr>
          <w:spacing w:val="-75"/>
        </w:rPr>
      </w:r>
      <w:r>
        <w:rPr/>
        <w:t>直接相关的费用进行资本化，截止</w:t>
      </w:r>
      <w:r>
        <w:rPr>
          <w:spacing w:val="-42"/>
        </w:rPr>
        <w:t> </w:t>
      </w:r>
      <w:r>
        <w:rPr>
          <w:rFonts w:ascii="宋体" w:hAnsi="宋体" w:cs="宋体" w:eastAsia="宋体" w:hint="default"/>
        </w:rPr>
        <w:t>2019</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日，红色有镉量子点材料开发项目已经完成项目开发，后续产业化等相</w:t>
      </w:r>
    </w:p>
    <w:p>
      <w:pPr>
        <w:pStyle w:val="BodyText"/>
        <w:spacing w:line="240" w:lineRule="auto" w:before="34"/>
        <w:ind w:right="0"/>
        <w:jc w:val="left"/>
      </w:pPr>
      <w:r>
        <w:rPr/>
        <w:t>关工作也在同步展开，预计在</w:t>
      </w:r>
      <w:r>
        <w:rPr>
          <w:spacing w:val="-42"/>
        </w:rPr>
        <w:t> </w:t>
      </w:r>
      <w:r>
        <w:rPr>
          <w:rFonts w:ascii="宋体" w:hAnsi="宋体" w:cs="宋体" w:eastAsia="宋体" w:hint="default"/>
        </w:rPr>
        <w:t>2020</w:t>
      </w:r>
      <w:r>
        <w:rPr>
          <w:rFonts w:ascii="宋体" w:hAnsi="宋体" w:cs="宋体" w:eastAsia="宋体" w:hint="default"/>
          <w:spacing w:val="-45"/>
        </w:rPr>
        <w:t> </w:t>
      </w:r>
      <w:r>
        <w:rPr/>
        <w:t>年</w:t>
      </w:r>
      <w:r>
        <w:rPr>
          <w:spacing w:val="-45"/>
        </w:rPr>
        <w:t> </w:t>
      </w:r>
      <w:r>
        <w:rPr>
          <w:rFonts w:ascii="宋体" w:hAnsi="宋体" w:cs="宋体" w:eastAsia="宋体" w:hint="default"/>
        </w:rPr>
        <w:t>9</w:t>
      </w:r>
      <w:r>
        <w:rPr>
          <w:rFonts w:ascii="宋体" w:hAnsi="宋体" w:cs="宋体" w:eastAsia="宋体" w:hint="default"/>
          <w:spacing w:val="-45"/>
        </w:rPr>
        <w:t> </w:t>
      </w:r>
      <w:r>
        <w:rPr/>
        <w:t>月份实现量产。</w:t>
      </w:r>
    </w:p>
    <w:p>
      <w:pPr>
        <w:spacing w:line="240" w:lineRule="auto" w:before="2"/>
        <w:rPr>
          <w:rFonts w:ascii="宋体" w:hAnsi="宋体" w:cs="宋体" w:eastAsia="宋体" w:hint="default"/>
          <w:sz w:val="22"/>
          <w:szCs w:val="22"/>
        </w:rPr>
      </w:pPr>
    </w:p>
    <w:p>
      <w:pPr>
        <w:pStyle w:val="BodyText"/>
        <w:spacing w:line="240" w:lineRule="auto"/>
        <w:ind w:left="501" w:right="0"/>
        <w:jc w:val="left"/>
      </w:pPr>
      <w:r>
        <w:rPr/>
        <w:t>（</w:t>
      </w:r>
      <w:r>
        <w:rPr>
          <w:rFonts w:ascii="宋体" w:hAnsi="宋体" w:cs="宋体" w:eastAsia="宋体" w:hint="default"/>
        </w:rPr>
        <w:t>2</w:t>
      </w:r>
      <w:r>
        <w:rPr/>
        <w:t>）绿色有镉量子点材料开发项目是为了研发高端显示材料，以满足市场对高端显示材料的需求。现阶段绿色有镉量</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75" w:lineRule="auto"/>
        <w:ind w:right="1131"/>
        <w:jc w:val="both"/>
      </w:pPr>
      <w:r>
        <w:rPr>
          <w:spacing w:val="-2"/>
        </w:rPr>
        <w:t>子点材料开发项目已完成，开发所得绿色有镉量子点半峰宽窄，发光效率高，性能稳定，能够应用于包括显示、照明、医疗</w:t>
      </w:r>
      <w:r>
        <w:rPr>
          <w:spacing w:val="-69"/>
        </w:rPr>
        <w:t> </w:t>
      </w:r>
      <w:r>
        <w:rPr>
          <w:spacing w:val="-69"/>
        </w:rPr>
      </w:r>
      <w:r>
        <w:rPr>
          <w:spacing w:val="-2"/>
        </w:rPr>
        <w:t>等众多领域。绿色有镉量子点材料开发项目经过立项调研评估，立项后进入开发阶段，公司将此项目开发阶段中与项目开发</w:t>
      </w:r>
      <w:r>
        <w:rPr>
          <w:spacing w:val="-75"/>
        </w:rPr>
        <w:t> </w:t>
      </w:r>
      <w:r>
        <w:rPr>
          <w:spacing w:val="-75"/>
        </w:rPr>
      </w:r>
      <w:r>
        <w:rPr/>
        <w:t>直接相关的费用进行资本化，截止</w:t>
      </w:r>
      <w:r>
        <w:rPr>
          <w:spacing w:val="-42"/>
        </w:rPr>
        <w:t> </w:t>
      </w:r>
      <w:r>
        <w:rPr>
          <w:rFonts w:ascii="宋体" w:hAnsi="宋体" w:cs="宋体" w:eastAsia="宋体" w:hint="default"/>
        </w:rPr>
        <w:t>2019</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日，绿色有镉量子点材料开发项目已经完成项目开发，后续产业化等相</w:t>
      </w:r>
    </w:p>
    <w:p>
      <w:pPr>
        <w:pStyle w:val="BodyText"/>
        <w:spacing w:line="240" w:lineRule="auto" w:before="53"/>
        <w:ind w:right="0"/>
        <w:jc w:val="both"/>
      </w:pPr>
      <w:r>
        <w:rPr/>
        <w:t>关工作也在同步展开，预计在</w:t>
      </w:r>
      <w:r>
        <w:rPr>
          <w:spacing w:val="-42"/>
        </w:rPr>
        <w:t> </w:t>
      </w:r>
      <w:r>
        <w:rPr>
          <w:rFonts w:ascii="宋体" w:hAnsi="宋体" w:cs="宋体" w:eastAsia="宋体" w:hint="default"/>
        </w:rPr>
        <w:t>2020</w:t>
      </w:r>
      <w:r>
        <w:rPr>
          <w:rFonts w:ascii="宋体" w:hAnsi="宋体" w:cs="宋体" w:eastAsia="宋体" w:hint="default"/>
          <w:spacing w:val="-45"/>
        </w:rPr>
        <w:t> </w:t>
      </w:r>
      <w:r>
        <w:rPr/>
        <w:t>年</w:t>
      </w:r>
      <w:r>
        <w:rPr>
          <w:spacing w:val="-45"/>
        </w:rPr>
        <w:t> </w:t>
      </w:r>
      <w:r>
        <w:rPr>
          <w:rFonts w:ascii="宋体" w:hAnsi="宋体" w:cs="宋体" w:eastAsia="宋体" w:hint="default"/>
        </w:rPr>
        <w:t>9</w:t>
      </w:r>
      <w:r>
        <w:rPr>
          <w:rFonts w:ascii="宋体" w:hAnsi="宋体" w:cs="宋体" w:eastAsia="宋体" w:hint="default"/>
          <w:spacing w:val="-45"/>
        </w:rPr>
        <w:t> </w:t>
      </w:r>
      <w:r>
        <w:rPr/>
        <w:t>月份实现量产。</w:t>
      </w:r>
    </w:p>
    <w:p>
      <w:pPr>
        <w:spacing w:line="240" w:lineRule="auto" w:before="13"/>
        <w:rPr>
          <w:rFonts w:ascii="宋体" w:hAnsi="宋体" w:cs="宋体" w:eastAsia="宋体" w:hint="default"/>
          <w:sz w:val="20"/>
          <w:szCs w:val="20"/>
        </w:rPr>
      </w:pPr>
    </w:p>
    <w:p>
      <w:pPr>
        <w:pStyle w:val="BodyText"/>
        <w:spacing w:line="475" w:lineRule="auto"/>
        <w:ind w:right="1100" w:firstLine="360"/>
        <w:jc w:val="both"/>
      </w:pPr>
      <w:r>
        <w:rPr/>
        <w:t>（</w:t>
      </w:r>
      <w:r>
        <w:rPr>
          <w:rFonts w:ascii="宋体" w:hAnsi="宋体" w:cs="宋体" w:eastAsia="宋体" w:hint="default"/>
        </w:rPr>
        <w:t>3</w:t>
      </w:r>
      <w:r>
        <w:rPr/>
        <w:t>）无镉量子点预研项目是为了解决有镉量子点含有有毒物质的痛点，以进一步满足市场对高端显示材料的需求。现 </w:t>
      </w:r>
      <w:r>
        <w:rPr>
          <w:spacing w:val="-1"/>
        </w:rPr>
        <w:t>阶段无镉量子点预研项目已完成，预研所得无镉量子点与同类产品相比半峰宽较窄，发光效率较高，性能稳定，为后续进一</w:t>
      </w:r>
      <w:r>
        <w:rPr/>
        <w:t> </w:t>
      </w:r>
      <w:r>
        <w:rPr>
          <w:spacing w:val="-2"/>
        </w:rPr>
        <w:t>步的研发工作打下坚实基础。无镉量子点预研项目经过立项调研评估，立项后进入开发阶段，公司将此项目开发阶段中与项</w:t>
      </w:r>
      <w:r>
        <w:rPr>
          <w:spacing w:val="-75"/>
        </w:rPr>
        <w:t> </w:t>
      </w:r>
      <w:r>
        <w:rPr>
          <w:spacing w:val="-75"/>
        </w:rPr>
      </w:r>
      <w:r>
        <w:rPr/>
        <w:t>目开发直接相关的费用进行资本化，截止</w:t>
      </w:r>
      <w:r>
        <w:rPr>
          <w:spacing w:val="-42"/>
        </w:rPr>
        <w:t> </w:t>
      </w:r>
      <w:r>
        <w:rPr>
          <w:rFonts w:ascii="宋体" w:hAnsi="宋体" w:cs="宋体" w:eastAsia="宋体" w:hint="default"/>
        </w:rPr>
        <w:t>2019</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日，无镉量子点预研项目已经完成项目预研工作，后续将进一步 提升材料的性能及稳定性，以满足市场对高端显示材料的多元化需求。</w:t>
      </w:r>
    </w:p>
    <w:p>
      <w:pPr>
        <w:pStyle w:val="BodyText"/>
        <w:spacing w:line="480" w:lineRule="auto" w:before="113"/>
        <w:ind w:right="1026" w:firstLine="360"/>
        <w:jc w:val="left"/>
      </w:pPr>
      <w:r>
        <w:rPr/>
        <w:t>（</w:t>
      </w:r>
      <w:r>
        <w:rPr>
          <w:rFonts w:ascii="宋体" w:hAnsi="宋体" w:cs="宋体" w:eastAsia="宋体" w:hint="default"/>
        </w:rPr>
        <w:t>4</w:t>
      </w:r>
      <w:r>
        <w:rPr/>
        <w:t>）量子点光学膜片开发项目是为了配合使用公司自研量子点材料，制成满足市场需求的量子点光学膜片，使其在未 </w:t>
      </w:r>
      <w:r>
        <w:rPr>
          <w:spacing w:val="-2"/>
        </w:rPr>
        <w:t>来实现量子点材料利用最大化。现阶段量子点光学膜片开发项目仍在进行中，现阶段开发所得量子点光学膜片稳定性高，寿</w:t>
      </w:r>
      <w:r>
        <w:rPr>
          <w:spacing w:val="-68"/>
        </w:rPr>
        <w:t> </w:t>
      </w:r>
      <w:r>
        <w:rPr>
          <w:spacing w:val="-68"/>
        </w:rPr>
      </w:r>
      <w:r>
        <w:rPr/>
        <w:t>命长，亮度好，可根据客户要求对</w:t>
      </w:r>
      <w:r>
        <w:rPr>
          <w:spacing w:val="-42"/>
        </w:rPr>
        <w:t> </w:t>
      </w:r>
      <w:r>
        <w:rPr>
          <w:rFonts w:ascii="宋体" w:hAnsi="宋体" w:cs="宋体" w:eastAsia="宋体" w:hint="default"/>
        </w:rPr>
        <w:t>CIE</w:t>
      </w:r>
      <w:r>
        <w:rPr>
          <w:rFonts w:ascii="宋体" w:hAnsi="宋体" w:cs="宋体" w:eastAsia="宋体" w:hint="default"/>
          <w:spacing w:val="-45"/>
        </w:rPr>
        <w:t> </w:t>
      </w:r>
      <w:r>
        <w:rPr/>
        <w:t>进行精确调节。量子点光学膜片开发项目经过立项调研评估，立项后进入开发阶段， 公司将此项目开发阶段中与项目开发直接相关的费用进行资本化，截止</w:t>
      </w:r>
      <w:r>
        <w:rPr>
          <w:spacing w:val="-39"/>
        </w:rPr>
        <w:t> </w:t>
      </w:r>
      <w:r>
        <w:rPr>
          <w:rFonts w:ascii="宋体" w:hAnsi="宋体" w:cs="宋体" w:eastAsia="宋体" w:hint="default"/>
        </w:rPr>
        <w:t>2019</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5"/>
        </w:rPr>
        <w:t> </w:t>
      </w:r>
      <w:r>
        <w:rPr/>
        <w:t>日，量子点光学膜片开发项目完成</w:t>
      </w:r>
    </w:p>
    <w:p>
      <w:pPr>
        <w:pStyle w:val="BodyText"/>
        <w:spacing w:line="465" w:lineRule="auto" w:before="50"/>
        <w:ind w:right="1126"/>
        <w:jc w:val="both"/>
      </w:pPr>
      <w:r>
        <w:rPr/>
        <w:t>第三阶段的项目开发，根据项目计划，在</w:t>
      </w:r>
      <w:r>
        <w:rPr>
          <w:spacing w:val="-42"/>
        </w:rPr>
        <w:t> </w:t>
      </w:r>
      <w:r>
        <w:rPr>
          <w:rFonts w:ascii="宋体" w:hAnsi="宋体" w:cs="宋体" w:eastAsia="宋体" w:hint="default"/>
        </w:rPr>
        <w:t>2020</w:t>
      </w:r>
      <w:r>
        <w:rPr>
          <w:rFonts w:ascii="宋体" w:hAnsi="宋体" w:cs="宋体" w:eastAsia="宋体" w:hint="default"/>
          <w:spacing w:val="-45"/>
        </w:rPr>
        <w:t> </w:t>
      </w:r>
      <w:r>
        <w:rPr/>
        <w:t>年将进行项目第四阶段的开展实施，本阶段预期花费</w:t>
      </w:r>
      <w:r>
        <w:rPr>
          <w:spacing w:val="-40"/>
        </w:rPr>
        <w:t> </w:t>
      </w:r>
      <w:r>
        <w:rPr>
          <w:rFonts w:ascii="宋体" w:hAnsi="宋体" w:cs="宋体" w:eastAsia="宋体" w:hint="default"/>
        </w:rPr>
        <w:t>7</w:t>
      </w:r>
      <w:r>
        <w:rPr>
          <w:rFonts w:ascii="宋体" w:hAnsi="宋体" w:cs="宋体" w:eastAsia="宋体" w:hint="default"/>
          <w:spacing w:val="-45"/>
        </w:rPr>
        <w:t> </w:t>
      </w:r>
      <w:r>
        <w:rPr/>
        <w:t>个月时间，主要进行 </w:t>
      </w:r>
      <w:r>
        <w:rPr>
          <w:spacing w:val="-2"/>
        </w:rPr>
        <w:t>涂布厂家外协合作和制作量产膜片样品等内容，项目开发完成后将达成量产膜片样品符合目标客户需求的目标，同时积累量</w:t>
      </w:r>
      <w:r>
        <w:rPr>
          <w:spacing w:val="-72"/>
        </w:rPr>
        <w:t> </w:t>
      </w:r>
      <w:r>
        <w:rPr>
          <w:spacing w:val="-72"/>
        </w:rPr>
      </w:r>
      <w:r>
        <w:rPr/>
        <w:t>子点光学膜片量产的工艺技术及经验，为后续大量量产做基础。</w:t>
      </w:r>
    </w:p>
    <w:p>
      <w:pPr>
        <w:pStyle w:val="BodyText"/>
        <w:spacing w:line="477" w:lineRule="auto" w:before="120"/>
        <w:ind w:right="1014" w:firstLine="315"/>
        <w:jc w:val="left"/>
      </w:pPr>
      <w:r>
        <w:rPr/>
        <w:t>（</w:t>
      </w:r>
      <w:r>
        <w:rPr>
          <w:rFonts w:ascii="宋体" w:hAnsi="宋体" w:cs="宋体" w:eastAsia="宋体" w:hint="default"/>
        </w:rPr>
        <w:t>5</w:t>
      </w:r>
      <w:r>
        <w:rPr/>
        <w:t>）量子点应用项目是为了掌握量子点材料在各领域的应用要求，改善或优化自身量子点材料性能，实现自产量子点 </w:t>
      </w:r>
      <w:r>
        <w:rPr>
          <w:spacing w:val="-3"/>
        </w:rPr>
        <w:t>价值最大化，达到战略布局。现阶段量子点应用项目仍在进行中，现阶段开发所得量子点应用涵盖材料、显示、照明等领域。</w:t>
      </w:r>
      <w:r>
        <w:rPr>
          <w:spacing w:val="-80"/>
        </w:rPr>
        <w:t> </w:t>
      </w:r>
      <w:r>
        <w:rPr>
          <w:spacing w:val="-80"/>
        </w:rPr>
      </w:r>
      <w:r>
        <w:rPr>
          <w:spacing w:val="-4"/>
        </w:rPr>
        <w:t>量子点应用项目经过立项调研评估，立项后进入开发阶段，公司将此项目开发阶段中与项目开发直接相关的费用进行资本化，</w:t>
      </w:r>
      <w:r>
        <w:rPr>
          <w:spacing w:val="-50"/>
        </w:rPr>
        <w:t> </w:t>
      </w:r>
      <w:r>
        <w:rPr>
          <w:spacing w:val="-50"/>
        </w:rPr>
      </w: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w:t>
      </w:r>
      <w:r>
        <w:rPr/>
        <w:t>该项目已完成</w:t>
      </w:r>
      <w:r>
        <w:rPr>
          <w:rFonts w:ascii="宋体" w:hAnsi="宋体" w:cs="宋体" w:eastAsia="宋体" w:hint="default"/>
        </w:rPr>
        <w:t>4</w:t>
      </w:r>
      <w:r>
        <w:rPr/>
        <w:t>项</w:t>
      </w:r>
      <w:r>
        <w:rPr>
          <w:rFonts w:ascii="宋体" w:hAnsi="宋体" w:cs="宋体" w:eastAsia="宋体" w:hint="default"/>
        </w:rPr>
        <w:t>7</w:t>
      </w:r>
      <w:r>
        <w:rPr/>
        <w:t>篇专利的撰写、修改及递交工作。根据项目计划，在</w:t>
      </w:r>
      <w:r>
        <w:rPr>
          <w:rFonts w:ascii="宋体" w:hAnsi="宋体" w:cs="宋体" w:eastAsia="宋体" w:hint="default"/>
        </w:rPr>
        <w:t>2020</w:t>
      </w:r>
      <w:r>
        <w:rPr/>
        <w:t>年将在量子点所涉及的重</w:t>
      </w:r>
      <w:r>
        <w:rPr>
          <w:spacing w:val="-85"/>
        </w:rPr>
        <w:t> </w:t>
      </w:r>
      <w:r>
        <w:rPr>
          <w:spacing w:val="-2"/>
        </w:rPr>
        <w:t>点领域进行进一步布局，所涉及费用包含文献专利查询费用，专利修改润色委托费，专利送审费，实验设备公摊等，以实现</w:t>
      </w:r>
      <w:r>
        <w:rPr>
          <w:spacing w:val="-53"/>
        </w:rPr>
        <w:t> </w:t>
      </w:r>
      <w:r>
        <w:rPr>
          <w:spacing w:val="-53"/>
        </w:rPr>
      </w:r>
      <w:r>
        <w:rPr/>
        <w:t>公司在量子点应用方面，尤其是量子点显示、照明应用方面的专利布局。</w:t>
      </w:r>
    </w:p>
    <w:p>
      <w:pPr>
        <w:spacing w:line="240" w:lineRule="auto" w:before="3"/>
        <w:rPr>
          <w:rFonts w:ascii="宋体" w:hAnsi="宋体" w:cs="宋体" w:eastAsia="宋体" w:hint="default"/>
          <w:sz w:val="20"/>
          <w:szCs w:val="20"/>
        </w:rPr>
      </w:pPr>
    </w:p>
    <w:p>
      <w:pPr>
        <w:pStyle w:val="Heading5"/>
        <w:spacing w:line="240" w:lineRule="auto"/>
        <w:ind w:right="0"/>
        <w:jc w:val="both"/>
        <w:rPr>
          <w:b w:val="0"/>
          <w:bCs w:val="0"/>
        </w:rPr>
      </w:pPr>
      <w:bookmarkStart w:name="28、商誉" w:id="320"/>
      <w:bookmarkEnd w:id="320"/>
      <w:r>
        <w:rPr>
          <w:b w:val="0"/>
          <w:bCs w:val="0"/>
        </w:rPr>
      </w:r>
      <w:r>
        <w:rPr>
          <w:rFonts w:ascii="Times New Roman" w:hAnsi="Times New Roman" w:cs="Times New Roman" w:eastAsia="Times New Roman" w:hint="default"/>
          <w:spacing w:val="5"/>
        </w:rPr>
        <w:t>28</w:t>
      </w:r>
      <w:r>
        <w:rPr>
          <w:spacing w:val="5"/>
        </w:rPr>
        <w:t>、商誉</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both"/>
        <w:rPr>
          <w:b w:val="0"/>
          <w:bCs w:val="0"/>
        </w:rPr>
      </w:pPr>
      <w:bookmarkStart w:name="（1）商誉账面原值" w:id="321"/>
      <w:bookmarkEnd w:id="321"/>
      <w:r>
        <w:rPr>
          <w:b w:val="0"/>
          <w:bCs w:val="0"/>
        </w:rPr>
      </w:r>
      <w:r>
        <w:rPr>
          <w:spacing w:val="5"/>
        </w:rPr>
        <w:t>（</w:t>
      </w:r>
      <w:r>
        <w:rPr>
          <w:rFonts w:ascii="Times New Roman" w:hAnsi="Times New Roman" w:cs="Times New Roman" w:eastAsia="Times New Roman" w:hint="default"/>
          <w:spacing w:val="5"/>
        </w:rPr>
        <w:t>1</w:t>
      </w:r>
      <w:r>
        <w:rPr>
          <w:spacing w:val="5"/>
        </w:rPr>
        <w:t>）商誉账面原值</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2"/>
        <w:gridCol w:w="1382"/>
        <w:gridCol w:w="1359"/>
        <w:gridCol w:w="1382"/>
        <w:gridCol w:w="1366"/>
        <w:gridCol w:w="1367"/>
        <w:gridCol w:w="1367"/>
      </w:tblGrid>
      <w:tr>
        <w:trPr>
          <w:trHeight w:val="308"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22" w:right="5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82"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1"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7"/>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5" w:hRule="exact"/>
        </w:trPr>
        <w:tc>
          <w:tcPr>
            <w:tcW w:w="1352" w:type="dxa"/>
            <w:vMerge/>
            <w:tcBorders>
              <w:left w:val="single" w:sz="6" w:space="0" w:color="000000"/>
              <w:right w:val="single" w:sz="6" w:space="0" w:color="000000"/>
            </w:tcBorders>
            <w:shd w:val="clear" w:color="auto" w:fill="D2D2D2"/>
          </w:tcPr>
          <w:p>
            <w:pPr/>
          </w:p>
        </w:tc>
        <w:tc>
          <w:tcPr>
            <w:tcW w:w="138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1"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55" w:hRule="exact"/>
        </w:trPr>
        <w:tc>
          <w:tcPr>
            <w:tcW w:w="1352" w:type="dxa"/>
            <w:vMerge/>
            <w:tcBorders>
              <w:left w:val="single" w:sz="6" w:space="0" w:color="000000"/>
              <w:right w:val="single" w:sz="6" w:space="0" w:color="000000"/>
            </w:tcBorders>
            <w:shd w:val="clear" w:color="auto" w:fill="D2D2D2"/>
          </w:tcPr>
          <w:p>
            <w:pPr/>
          </w:p>
        </w:tc>
        <w:tc>
          <w:tcPr>
            <w:tcW w:w="1382" w:type="dxa"/>
            <w:vMerge/>
            <w:tcBorders>
              <w:left w:val="single" w:sz="6" w:space="0" w:color="000000"/>
              <w:bottom w:val="nil" w:sz="6" w:space="0" w:color="auto"/>
              <w:right w:val="single" w:sz="6" w:space="0" w:color="000000"/>
            </w:tcBorders>
            <w:shd w:val="clear" w:color="auto" w:fill="D2D2D2"/>
          </w:tcPr>
          <w:p>
            <w:pPr/>
          </w:p>
        </w:tc>
        <w:tc>
          <w:tcPr>
            <w:tcW w:w="135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8"/>
              <w:ind w:left="3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8"/>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3"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nil" w:sz="6" w:space="0" w:color="auto"/>
              <w:left w:val="single" w:sz="6" w:space="0" w:color="000000"/>
              <w:bottom w:val="single" w:sz="6" w:space="0" w:color="000000"/>
              <w:right w:val="single" w:sz="6" w:space="0" w:color="000000"/>
            </w:tcBorders>
            <w:shd w:val="clear" w:color="auto" w:fill="D2D2D2"/>
          </w:tcPr>
          <w:p>
            <w:pPr/>
          </w:p>
        </w:tc>
        <w:tc>
          <w:tcPr>
            <w:tcW w:w="1359"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12" w:space="0" w:color="000000"/>
              <w:bottom w:val="single" w:sz="6" w:space="0" w:color="000000"/>
              <w:right w:val="single" w:sz="6" w:space="0" w:color="000000"/>
            </w:tcBorders>
          </w:tcPr>
          <w:p>
            <w:pPr/>
          </w:p>
        </w:tc>
        <w:tc>
          <w:tcPr>
            <w:tcW w:w="1359" w:type="dxa"/>
            <w:tcBorders>
              <w:top w:val="single" w:sz="48" w:space="0" w:color="D2D2D2"/>
              <w:left w:val="single" w:sz="6" w:space="0" w:color="000000"/>
              <w:bottom w:val="single" w:sz="6" w:space="0" w:color="000000"/>
              <w:right w:val="single" w:sz="6" w:space="0" w:color="000000"/>
            </w:tcBorders>
          </w:tcPr>
          <w:p>
            <w:pPr/>
          </w:p>
        </w:tc>
        <w:tc>
          <w:tcPr>
            <w:tcW w:w="1382" w:type="dxa"/>
            <w:tcBorders>
              <w:top w:val="single" w:sz="48" w:space="0" w:color="D2D2D2"/>
              <w:left w:val="single" w:sz="6" w:space="0" w:color="000000"/>
              <w:bottom w:val="single" w:sz="6" w:space="0" w:color="000000"/>
              <w:right w:val="single" w:sz="6" w:space="0" w:color="000000"/>
            </w:tcBorders>
          </w:tcPr>
          <w:p>
            <w:pPr/>
          </w:p>
        </w:tc>
        <w:tc>
          <w:tcPr>
            <w:tcW w:w="1366" w:type="dxa"/>
            <w:tcBorders>
              <w:top w:val="single" w:sz="48"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商誉减值准备" w:id="322"/>
      <w:bookmarkEnd w:id="322"/>
      <w:r>
        <w:rPr>
          <w:b w:val="0"/>
          <w:bCs w:val="0"/>
        </w:rPr>
      </w:r>
      <w:r>
        <w:rPr>
          <w:spacing w:val="5"/>
        </w:rPr>
        <w:t>（</w:t>
      </w:r>
      <w:r>
        <w:rPr>
          <w:rFonts w:ascii="Times New Roman" w:hAnsi="Times New Roman" w:cs="Times New Roman" w:eastAsia="Times New Roman" w:hint="default"/>
          <w:spacing w:val="5"/>
        </w:rPr>
        <w:t>2</w:t>
      </w:r>
      <w:r>
        <w:rPr>
          <w:spacing w:val="5"/>
        </w:rPr>
        <w:t>）商誉减值准备</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08"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2" w:right="5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0"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40"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2"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48" w:space="0" w:color="D2D2D2"/>
              <w:left w:val="single" w:sz="6" w:space="0" w:color="000000"/>
              <w:bottom w:val="single" w:sz="6" w:space="0" w:color="000000"/>
              <w:right w:val="single" w:sz="6" w:space="0" w:color="000000"/>
            </w:tcBorders>
          </w:tcPr>
          <w:p>
            <w:pPr/>
          </w:p>
        </w:tc>
        <w:tc>
          <w:tcPr>
            <w:tcW w:w="1382" w:type="dxa"/>
            <w:tcBorders>
              <w:top w:val="single" w:sz="48" w:space="0" w:color="D2D2D2"/>
              <w:left w:val="single" w:sz="6" w:space="0" w:color="000000"/>
              <w:bottom w:val="single" w:sz="6" w:space="0" w:color="000000"/>
              <w:right w:val="single" w:sz="6" w:space="0" w:color="000000"/>
            </w:tcBorders>
          </w:tcPr>
          <w:p>
            <w:pPr/>
          </w:p>
        </w:tc>
        <w:tc>
          <w:tcPr>
            <w:tcW w:w="1366" w:type="dxa"/>
            <w:tcBorders>
              <w:top w:val="single" w:sz="48"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0"/>
        <w:jc w:val="left"/>
      </w:pPr>
      <w:r>
        <w:rPr/>
        <w:t>商誉所在资产组或资产组组合的相关信息</w:t>
      </w:r>
    </w:p>
    <w:p>
      <w:pPr>
        <w:pStyle w:val="BodyText"/>
        <w:spacing w:line="304" w:lineRule="auto" w:before="125"/>
        <w:ind w:right="0"/>
        <w:jc w:val="left"/>
      </w:pPr>
      <w:r>
        <w:rPr>
          <w:spacing w:val="-2"/>
        </w:rPr>
        <w:t>说明商誉减值测试过程、关键参数（如预计未来现金流量现值时的预测期增长率、稳定期增长率、利润率、折现率、预测期</w:t>
      </w:r>
      <w:r>
        <w:rPr>
          <w:spacing w:val="-72"/>
        </w:rPr>
        <w:t> </w:t>
      </w:r>
      <w:r>
        <w:rPr>
          <w:spacing w:val="-72"/>
        </w:rPr>
      </w:r>
      <w:r>
        <w:rPr/>
        <w:t>等）及商誉减值损失的确认方法：</w:t>
      </w:r>
    </w:p>
    <w:p>
      <w:pPr>
        <w:pStyle w:val="BodyText"/>
        <w:spacing w:line="352" w:lineRule="auto" w:before="76"/>
        <w:ind w:right="9129"/>
        <w:jc w:val="left"/>
      </w:pPr>
      <w:r>
        <w:rPr/>
        <w:t>商誉减值测试的影响 其他说明</w:t>
      </w:r>
    </w:p>
    <w:p>
      <w:pPr>
        <w:spacing w:line="240" w:lineRule="auto" w:before="13"/>
        <w:rPr>
          <w:rFonts w:ascii="宋体" w:hAnsi="宋体" w:cs="宋体" w:eastAsia="宋体" w:hint="default"/>
          <w:sz w:val="23"/>
          <w:szCs w:val="23"/>
        </w:rPr>
      </w:pPr>
    </w:p>
    <w:p>
      <w:pPr>
        <w:pStyle w:val="Heading5"/>
        <w:spacing w:line="240" w:lineRule="auto"/>
        <w:ind w:right="0"/>
        <w:jc w:val="left"/>
        <w:rPr>
          <w:b w:val="0"/>
          <w:bCs w:val="0"/>
        </w:rPr>
      </w:pPr>
      <w:bookmarkStart w:name="29、长期待摊费用" w:id="323"/>
      <w:bookmarkEnd w:id="323"/>
      <w:r>
        <w:rPr>
          <w:b w:val="0"/>
          <w:bCs w:val="0"/>
        </w:rPr>
      </w:r>
      <w:r>
        <w:rPr>
          <w:rFonts w:ascii="Times New Roman" w:hAnsi="Times New Roman" w:cs="Times New Roman" w:eastAsia="Times New Roman" w:hint="default"/>
          <w:spacing w:val="4"/>
        </w:rPr>
        <w:t>29</w:t>
      </w:r>
      <w:r>
        <w:rPr>
          <w:spacing w:val="4"/>
        </w:rPr>
        <w:t>、长期待摊费用</w:t>
      </w:r>
      <w:r>
        <w:rPr>
          <w:b w:val="0"/>
          <w:bCs w:val="0"/>
          <w:spacing w:val="4"/>
        </w:rPr>
      </w:r>
    </w:p>
    <w:p>
      <w:pPr>
        <w:spacing w:line="240" w:lineRule="auto" w:before="7"/>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3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5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租入固定资产改良 支出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33,226,787.19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46,046,208.00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12,665,004.55</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66,607,990.64</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生产用模具</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15,212,742.82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7,325,467.24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7,279,866.34</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15,258,343.72</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生产用工、夹具</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26,519,599.74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24,611,412.14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7,694,329.03</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43,436,682.85</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4,272,142.60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962,484.83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1,690,735.42</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3,543,892.01</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79,231,272.35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78,945,572.21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29,329,935.34</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128,846,909.22</w:t>
            </w:r>
          </w:p>
        </w:tc>
      </w:tr>
    </w:tbl>
    <w:p>
      <w:pPr>
        <w:pStyle w:val="BodyText"/>
        <w:spacing w:line="240" w:lineRule="auto" w:before="44"/>
        <w:ind w:right="0"/>
        <w:jc w:val="left"/>
      </w:pPr>
      <w:r>
        <w:rPr/>
        <w:t>其他说明</w:t>
      </w:r>
    </w:p>
    <w:p>
      <w:pPr>
        <w:pStyle w:val="BodyText"/>
        <w:spacing w:line="288" w:lineRule="auto" w:before="125"/>
        <w:ind w:right="1194" w:firstLine="405"/>
        <w:jc w:val="left"/>
      </w:pPr>
      <w:r>
        <w:rPr/>
        <w:t>长期待摊费用期末余额较期初增加</w:t>
      </w:r>
      <w:r>
        <w:rPr>
          <w:rFonts w:ascii="Times New Roman" w:hAnsi="Times New Roman" w:cs="Times New Roman" w:eastAsia="Times New Roman" w:hint="default"/>
        </w:rPr>
        <w:t>49,615,636.87</w:t>
      </w:r>
      <w:r>
        <w:rPr/>
        <w:t>元，增加比例为</w:t>
      </w:r>
      <w:r>
        <w:rPr>
          <w:rFonts w:ascii="Times New Roman" w:hAnsi="Times New Roman" w:cs="Times New Roman" w:eastAsia="Times New Roman" w:hint="default"/>
        </w:rPr>
        <w:t>62.62%</w:t>
      </w:r>
      <w:r>
        <w:rPr/>
        <w:t>，主要系本期扩大生产，加大生产用工、治具 投入和经营租入的厂房装修费增加所致。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Heading5"/>
        <w:spacing w:line="240" w:lineRule="auto"/>
        <w:ind w:right="0"/>
        <w:jc w:val="left"/>
        <w:rPr>
          <w:b w:val="0"/>
          <w:bCs w:val="0"/>
        </w:rPr>
      </w:pPr>
      <w:bookmarkStart w:name="30、递延所得税资产/递延所得税负债" w:id="324"/>
      <w:bookmarkEnd w:id="324"/>
      <w:r>
        <w:rPr>
          <w:b w:val="0"/>
          <w:bCs w:val="0"/>
        </w:rPr>
      </w:r>
      <w:r>
        <w:rPr>
          <w:rFonts w:ascii="Times New Roman" w:hAnsi="Times New Roman" w:cs="Times New Roman" w:eastAsia="Times New Roman" w:hint="default"/>
          <w:spacing w:val="4"/>
        </w:rPr>
        <w:t>30</w:t>
      </w:r>
      <w:r>
        <w:rPr>
          <w:spacing w:val="4"/>
        </w:rPr>
        <w:t>、递延所得税资产</w:t>
      </w:r>
      <w:r>
        <w:rPr>
          <w:rFonts w:ascii="Times New Roman" w:hAnsi="Times New Roman" w:cs="Times New Roman" w:eastAsia="Times New Roman" w:hint="default"/>
          <w:spacing w:val="4"/>
        </w:rPr>
        <w:t>/</w:t>
      </w:r>
      <w:r>
        <w:rPr>
          <w:spacing w:val="4"/>
        </w:rPr>
        <w:t>递延所得税负债</w:t>
      </w:r>
      <w:r>
        <w:rPr>
          <w:b w:val="0"/>
          <w:bCs w:val="0"/>
          <w:spacing w:val="4"/>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未经抵销的递延所得税资产" w:id="325"/>
      <w:bookmarkEnd w:id="325"/>
      <w:r>
        <w:rPr>
          <w:b w:val="0"/>
          <w:bCs w:val="0"/>
        </w:rPr>
      </w:r>
      <w:r>
        <w:rPr>
          <w:spacing w:val="5"/>
        </w:rPr>
        <w:t>（</w:t>
      </w:r>
      <w:r>
        <w:rPr>
          <w:rFonts w:ascii="Times New Roman" w:hAnsi="Times New Roman" w:cs="Times New Roman" w:eastAsia="Times New Roman" w:hint="default"/>
          <w:spacing w:val="5"/>
        </w:rPr>
        <w:t>1</w:t>
      </w:r>
      <w:r>
        <w:rPr>
          <w:spacing w:val="5"/>
        </w:rPr>
        <w:t>）未经抵销的递延所得税资产</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6" w:hRule="exact"/>
        </w:trPr>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37,596,733.74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8,035,781.26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78,925,397.92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15,867,063.41</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2,678,611.14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669,652.79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1,782,886.78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267,433.01</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192,813,892.22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45,438,433.43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129,057,137.87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29,226,033.77</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5,180,797.63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914,887.81</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233,089,237.10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54,143,867.48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214,946,220.20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46,275,418.00</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未经抵销的递延所得税负债" w:id="326"/>
      <w:bookmarkEnd w:id="326"/>
      <w:r>
        <w:rPr>
          <w:b w:val="0"/>
          <w:bCs w:val="0"/>
        </w:rPr>
      </w:r>
      <w:r>
        <w:rPr>
          <w:spacing w:val="5"/>
        </w:rPr>
        <w:t>（</w:t>
      </w:r>
      <w:r>
        <w:rPr>
          <w:rFonts w:ascii="Times New Roman" w:hAnsi="Times New Roman" w:cs="Times New Roman" w:eastAsia="Times New Roman" w:hint="default"/>
          <w:spacing w:val="5"/>
        </w:rPr>
        <w:t>2</w:t>
      </w:r>
      <w:r>
        <w:rPr>
          <w:spacing w:val="5"/>
        </w:rPr>
        <w:t>）未经抵销的递延所得税负债</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021"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5"/>
              <w:jc w:val="both"/>
              <w:rPr>
                <w:rFonts w:ascii="宋体" w:hAnsi="宋体" w:cs="宋体" w:eastAsia="宋体" w:hint="default"/>
                <w:sz w:val="18"/>
                <w:szCs w:val="18"/>
              </w:rPr>
            </w:pPr>
            <w:r>
              <w:rPr>
                <w:rFonts w:ascii="宋体" w:hAnsi="宋体" w:cs="宋体" w:eastAsia="宋体" w:hint="default"/>
                <w:sz w:val="18"/>
                <w:szCs w:val="18"/>
              </w:rPr>
              <w:t>以公允价值计量且其变 动计入当期损益的金融 工具的估值</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56,803,396.64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12,663,074.03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40,007,262.92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8,464,355.60</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56,803,396.64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12,663,074.03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40,007,262.92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8,464,355.60</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3）以抵销后净额列示的递延所得税资产或负债" w:id="327"/>
      <w:bookmarkEnd w:id="327"/>
      <w:r>
        <w:rPr>
          <w:b w:val="0"/>
          <w:bCs w:val="0"/>
        </w:rPr>
      </w:r>
      <w:r>
        <w:rPr>
          <w:spacing w:val="5"/>
        </w:rPr>
        <w:t>（</w:t>
      </w:r>
      <w:r>
        <w:rPr>
          <w:rFonts w:ascii="Times New Roman" w:hAnsi="Times New Roman" w:cs="Times New Roman" w:eastAsia="Times New Roman" w:hint="default"/>
          <w:spacing w:val="5"/>
        </w:rPr>
        <w:t>3</w:t>
      </w:r>
      <w:r>
        <w:rPr>
          <w:spacing w:val="5"/>
        </w:rPr>
        <w:t>）以抵销后净额列示的递延所得税资产或负债</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158"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413" w:right="46"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330" w:right="46"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405" w:right="45"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330" w:right="45" w:hanging="271"/>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0" w:hRule="exact"/>
        </w:trPr>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6" w:space="0" w:color="000000"/>
              <w:right w:val="single" w:sz="6" w:space="0" w:color="000000"/>
            </w:tcBorders>
            <w:shd w:val="clear" w:color="auto" w:fill="D2D2D2"/>
          </w:tcPr>
          <w:p>
            <w:pPr/>
          </w:p>
        </w:tc>
        <w:tc>
          <w:tcPr>
            <w:tcW w:w="1923" w:type="dxa"/>
            <w:vMerge/>
            <w:tcBorders>
              <w:left w:val="single" w:sz="6" w:space="0" w:color="000000"/>
              <w:right w:val="single" w:sz="6" w:space="0" w:color="000000"/>
            </w:tcBorders>
            <w:shd w:val="clear" w:color="auto" w:fill="D2D2D2"/>
          </w:tcPr>
          <w:p>
            <w:pPr/>
          </w:p>
        </w:tc>
        <w:tc>
          <w:tcPr>
            <w:tcW w:w="1907" w:type="dxa"/>
            <w:vMerge/>
            <w:tcBorders>
              <w:left w:val="single" w:sz="6" w:space="0" w:color="000000"/>
              <w:right w:val="single" w:sz="6" w:space="0" w:color="000000"/>
            </w:tcBorders>
            <w:shd w:val="clear" w:color="auto" w:fill="D2D2D2"/>
          </w:tcPr>
          <w:p>
            <w:pPr/>
          </w:p>
        </w:tc>
        <w:tc>
          <w:tcPr>
            <w:tcW w:w="1922" w:type="dxa"/>
            <w:vMerge/>
            <w:tcBorders>
              <w:left w:val="single" w:sz="6" w:space="0" w:color="000000"/>
              <w:right w:val="single" w:sz="6" w:space="0" w:color="000000"/>
            </w:tcBorders>
            <w:shd w:val="clear" w:color="auto" w:fill="D2D2D2"/>
          </w:tcPr>
          <w:p>
            <w:pPr/>
          </w:p>
        </w:tc>
      </w:tr>
      <w:tr>
        <w:trPr>
          <w:trHeight w:val="158"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54,143,867.48</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46,275,418.00</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12,663,074.03</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8,464,355.60</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4）未确认递延所得税资产明细" w:id="328"/>
      <w:bookmarkEnd w:id="328"/>
      <w:r>
        <w:rPr>
          <w:b w:val="0"/>
          <w:bCs w:val="0"/>
        </w:rPr>
      </w:r>
      <w:r>
        <w:rPr>
          <w:spacing w:val="5"/>
        </w:rPr>
        <w:t>（</w:t>
      </w:r>
      <w:r>
        <w:rPr>
          <w:rFonts w:ascii="Times New Roman" w:hAnsi="Times New Roman" w:cs="Times New Roman" w:eastAsia="Times New Roman" w:hint="default"/>
          <w:spacing w:val="5"/>
        </w:rPr>
        <w:t>4</w:t>
      </w:r>
      <w:r>
        <w:rPr>
          <w:spacing w:val="5"/>
        </w:rPr>
        <w:t>）未确认递延所得税资产明细</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77"/>
        <w:gridCol w:w="3199"/>
        <w:gridCol w:w="3199"/>
      </w:tblGrid>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3,897,153.53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6,165,359.76</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218,625,048.16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212,535,842.13</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49,367.51</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222,522,201.69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218,750,569.40</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5）未确认递延所得税资产的可抵扣亏损将于以下年度到期" w:id="329"/>
      <w:bookmarkEnd w:id="329"/>
      <w:r>
        <w:rPr>
          <w:b w:val="0"/>
          <w:bCs w:val="0"/>
        </w:rPr>
      </w:r>
      <w:r>
        <w:rPr>
          <w:spacing w:val="5"/>
        </w:rPr>
        <w:t>（</w:t>
      </w:r>
      <w:r>
        <w:rPr>
          <w:rFonts w:ascii="Times New Roman" w:hAnsi="Times New Roman" w:cs="Times New Roman" w:eastAsia="Times New Roman" w:hint="default"/>
          <w:spacing w:val="5"/>
        </w:rPr>
        <w:t>5</w:t>
      </w:r>
      <w:r>
        <w:rPr>
          <w:spacing w:val="5"/>
        </w:rPr>
        <w:t>）未确认递延所得税资产的可抵扣亏损将于以下年度到期</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21" w:right="0"/>
              <w:jc w:val="left"/>
              <w:rPr>
                <w:rFonts w:ascii="Times New Roman" w:hAnsi="Times New Roman" w:cs="Times New Roman" w:eastAsia="Times New Roman" w:hint="default"/>
                <w:sz w:val="18"/>
                <w:szCs w:val="18"/>
              </w:rPr>
            </w:pPr>
            <w:r>
              <w:rPr>
                <w:rFonts w:ascii="Times New Roman"/>
                <w:sz w:val="18"/>
              </w:rPr>
              <w:t>16,431,523.22</w:t>
            </w: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680"/>
              <w:jc w:val="righ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30,117,884.84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30,119,832.80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80"/>
              <w:jc w:val="righ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28,238,689.67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28,245,037.16</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80"/>
              <w:jc w:val="righ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22,390,787.42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22,415,715.21</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680"/>
              <w:jc w:val="righ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23,154,841.18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23,953,285.56</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680"/>
              <w:jc w:val="right"/>
              <w:rPr>
                <w:rFonts w:ascii="宋体" w:hAnsi="宋体" w:cs="宋体" w:eastAsia="宋体"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25,658,100.77</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129,560,303.88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121,165,393.95</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0"/>
        <w:jc w:val="left"/>
      </w:pPr>
      <w:r>
        <w:rPr/>
        <w:t>其他说明：</w:t>
      </w:r>
    </w:p>
    <w:p>
      <w:pPr>
        <w:spacing w:line="240" w:lineRule="auto" w:before="6"/>
        <w:rPr>
          <w:rFonts w:ascii="宋体" w:hAnsi="宋体" w:cs="宋体" w:eastAsia="宋体" w:hint="default"/>
          <w:sz w:val="16"/>
          <w:szCs w:val="16"/>
        </w:rPr>
      </w:pPr>
    </w:p>
    <w:p>
      <w:pPr>
        <w:pStyle w:val="BodyText"/>
        <w:spacing w:line="314" w:lineRule="auto"/>
        <w:ind w:right="1029" w:firstLine="360"/>
        <w:jc w:val="left"/>
      </w:pPr>
      <w:r>
        <w:rPr/>
        <w:t>期末未确认递延所得税资产的可抵扣暂时性差异主要系本公司全资子公司卓博机器人、中广物联及其子公司卓翼营销、 </w:t>
      </w:r>
      <w:r>
        <w:rPr>
          <w:spacing w:val="-2"/>
        </w:rPr>
        <w:t>卓大精密及其控股子公司翼丰盛的可抵扣暂时性差异，由于未来能否获得足够的应纳税所得额具有不确定性，因此未确认递</w:t>
      </w:r>
      <w:r>
        <w:rPr>
          <w:spacing w:val="-72"/>
        </w:rPr>
        <w:t> </w:t>
      </w:r>
      <w:r>
        <w:rPr>
          <w:spacing w:val="-72"/>
        </w:rPr>
      </w:r>
      <w:r>
        <w:rPr/>
        <w:t>延所得税资产。</w:t>
      </w:r>
    </w:p>
    <w:p>
      <w:pPr>
        <w:spacing w:line="240" w:lineRule="auto" w:before="12"/>
        <w:rPr>
          <w:rFonts w:ascii="宋体" w:hAnsi="宋体" w:cs="宋体" w:eastAsia="宋体" w:hint="default"/>
          <w:sz w:val="23"/>
          <w:szCs w:val="23"/>
        </w:rPr>
      </w:pPr>
    </w:p>
    <w:p>
      <w:pPr>
        <w:pStyle w:val="Heading5"/>
        <w:spacing w:line="240" w:lineRule="auto"/>
        <w:ind w:right="0"/>
        <w:jc w:val="left"/>
        <w:rPr>
          <w:b w:val="0"/>
          <w:bCs w:val="0"/>
        </w:rPr>
      </w:pPr>
      <w:bookmarkStart w:name="31、其他非流动资产" w:id="330"/>
      <w:bookmarkEnd w:id="330"/>
      <w:r>
        <w:rPr>
          <w:b w:val="0"/>
          <w:bCs w:val="0"/>
        </w:rPr>
      </w:r>
      <w:r>
        <w:rPr>
          <w:rFonts w:ascii="Times New Roman" w:hAnsi="Times New Roman" w:cs="Times New Roman" w:eastAsia="Times New Roman" w:hint="default"/>
          <w:spacing w:val="4"/>
        </w:rPr>
        <w:t>31</w:t>
      </w:r>
      <w:r>
        <w:rPr>
          <w:spacing w:val="4"/>
        </w:rPr>
        <w:t>、其他非流动资产</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预付设备、工程款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22,732,994.12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25,156,060.87</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预提涉讼固定资产购置款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30,232,994.12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25,156,060.87</w:t>
            </w:r>
          </w:p>
        </w:tc>
      </w:tr>
    </w:tbl>
    <w:p>
      <w:pPr>
        <w:pStyle w:val="BodyText"/>
        <w:spacing w:line="367" w:lineRule="auto" w:before="44"/>
        <w:ind w:right="9849"/>
        <w:jc w:val="left"/>
      </w:pPr>
      <w:r>
        <w:rPr/>
        <w:t>其他说明： 无</w:t>
      </w:r>
    </w:p>
    <w:p>
      <w:pPr>
        <w:spacing w:line="240" w:lineRule="auto" w:before="11"/>
        <w:rPr>
          <w:rFonts w:ascii="宋体" w:hAnsi="宋体" w:cs="宋体" w:eastAsia="宋体" w:hint="default"/>
          <w:sz w:val="20"/>
          <w:szCs w:val="20"/>
        </w:rPr>
      </w:pPr>
    </w:p>
    <w:p>
      <w:pPr>
        <w:pStyle w:val="Heading5"/>
        <w:spacing w:line="240" w:lineRule="auto"/>
        <w:ind w:right="0"/>
        <w:jc w:val="left"/>
        <w:rPr>
          <w:b w:val="0"/>
          <w:bCs w:val="0"/>
        </w:rPr>
      </w:pPr>
      <w:bookmarkStart w:name="32、短期借款" w:id="331"/>
      <w:bookmarkEnd w:id="331"/>
      <w:r>
        <w:rPr>
          <w:b w:val="0"/>
          <w:bCs w:val="0"/>
        </w:rPr>
      </w:r>
      <w:r>
        <w:rPr>
          <w:rFonts w:ascii="Times New Roman" w:hAnsi="Times New Roman" w:cs="Times New Roman" w:eastAsia="Times New Roman" w:hint="default"/>
          <w:spacing w:val="3"/>
        </w:rPr>
        <w:t>32</w:t>
      </w:r>
      <w:r>
        <w:rPr>
          <w:spacing w:val="3"/>
        </w:rPr>
        <w:t>、短期借款</w:t>
      </w:r>
      <w:r>
        <w:rPr>
          <w:b w:val="0"/>
          <w:bCs w:val="0"/>
          <w:spacing w:val="3"/>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短期借款分类" w:id="332"/>
      <w:bookmarkEnd w:id="332"/>
      <w:r>
        <w:rPr>
          <w:b w:val="0"/>
          <w:bCs w:val="0"/>
        </w:rPr>
      </w:r>
      <w:r>
        <w:rPr>
          <w:spacing w:val="7"/>
        </w:rPr>
        <w:t>（</w:t>
      </w:r>
      <w:r>
        <w:rPr>
          <w:rFonts w:ascii="Times New Roman" w:hAnsi="Times New Roman" w:cs="Times New Roman" w:eastAsia="Times New Roman" w:hint="default"/>
          <w:spacing w:val="7"/>
        </w:rPr>
        <w:t>1</w:t>
      </w:r>
      <w:r>
        <w:rPr>
          <w:spacing w:val="7"/>
        </w:rPr>
        <w:t>）短期借款分类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45,281,903.60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178,650,000.00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189,500,000.00</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保证</w:t>
            </w:r>
            <w:r>
              <w:rPr>
                <w:rFonts w:ascii="Times New Roman" w:hAnsi="Times New Roman" w:cs="Times New Roman" w:eastAsia="Times New Roman" w:hint="default"/>
                <w:sz w:val="18"/>
                <w:szCs w:val="18"/>
              </w:rPr>
              <w:t>+</w:t>
            </w:r>
            <w:r>
              <w:rPr>
                <w:rFonts w:ascii="宋体" w:hAnsi="宋体" w:cs="宋体" w:eastAsia="宋体" w:hint="default"/>
                <w:sz w:val="18"/>
                <w:szCs w:val="18"/>
              </w:rPr>
              <w:t>质押借款</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30,000,000.00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208,650,000.00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264,781,903.60</w:t>
            </w:r>
          </w:p>
        </w:tc>
      </w:tr>
    </w:tbl>
    <w:p>
      <w:pPr>
        <w:pStyle w:val="BodyText"/>
        <w:spacing w:line="240" w:lineRule="auto" w:before="45"/>
        <w:ind w:right="0"/>
        <w:jc w:val="left"/>
      </w:pPr>
      <w:r>
        <w:rPr/>
        <w:t>短期借款分类的说明：</w:t>
      </w:r>
    </w:p>
    <w:p>
      <w:pPr>
        <w:spacing w:line="240" w:lineRule="auto" w:before="9"/>
        <w:rPr>
          <w:rFonts w:ascii="宋体" w:hAnsi="宋体" w:cs="宋体" w:eastAsia="宋体" w:hint="default"/>
          <w:sz w:val="13"/>
          <w:szCs w:val="13"/>
        </w:rPr>
      </w:pPr>
    </w:p>
    <w:p>
      <w:pPr>
        <w:pStyle w:val="Heading4"/>
        <w:spacing w:line="240" w:lineRule="auto"/>
        <w:ind w:right="0"/>
        <w:jc w:val="left"/>
      </w:pPr>
      <w:r>
        <w:rPr/>
        <w:t>短期借款明细：</w:t>
      </w:r>
    </w:p>
    <w:p>
      <w:pPr>
        <w:spacing w:after="0" w:line="240"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95"/>
        <w:gridCol w:w="1908"/>
        <w:gridCol w:w="766"/>
        <w:gridCol w:w="1847"/>
        <w:gridCol w:w="1847"/>
        <w:gridCol w:w="2455"/>
      </w:tblGrid>
      <w:tr>
        <w:trPr>
          <w:trHeight w:val="353" w:hRule="exact"/>
        </w:trPr>
        <w:tc>
          <w:tcPr>
            <w:tcW w:w="4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sz w:val="18"/>
                <w:szCs w:val="18"/>
              </w:rPr>
              <w:t>序号</w:t>
            </w:r>
          </w:p>
        </w:tc>
        <w:tc>
          <w:tcPr>
            <w:tcW w:w="19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586" w:right="0"/>
              <w:jc w:val="left"/>
              <w:rPr>
                <w:rFonts w:ascii="宋体" w:hAnsi="宋体" w:cs="宋体" w:eastAsia="宋体" w:hint="default"/>
                <w:sz w:val="18"/>
                <w:szCs w:val="18"/>
              </w:rPr>
            </w:pPr>
            <w:r>
              <w:rPr>
                <w:rFonts w:ascii="宋体" w:hAnsi="宋体" w:cs="宋体" w:eastAsia="宋体" w:hint="default"/>
                <w:sz w:val="18"/>
                <w:szCs w:val="18"/>
              </w:rPr>
              <w:t>银行名称</w:t>
            </w:r>
          </w:p>
        </w:tc>
        <w:tc>
          <w:tcPr>
            <w:tcW w:w="7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570"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84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2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45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
              <w:ind w:right="42"/>
              <w:jc w:val="center"/>
              <w:rPr>
                <w:rFonts w:ascii="宋体" w:hAnsi="宋体" w:cs="宋体" w:eastAsia="宋体" w:hint="default"/>
                <w:sz w:val="18"/>
                <w:szCs w:val="18"/>
              </w:rPr>
            </w:pPr>
            <w:r>
              <w:rPr>
                <w:rFonts w:ascii="宋体" w:hAnsi="宋体" w:cs="宋体" w:eastAsia="宋体" w:hint="default"/>
                <w:sz w:val="18"/>
                <w:szCs w:val="18"/>
              </w:rPr>
              <w:t>期限</w:t>
            </w:r>
          </w:p>
        </w:tc>
      </w:tr>
      <w:tr>
        <w:trPr>
          <w:trHeight w:val="360" w:hRule="exact"/>
        </w:trPr>
        <w:tc>
          <w:tcPr>
            <w:tcW w:w="4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28"/>
              <w:jc w:val="center"/>
              <w:rPr>
                <w:rFonts w:ascii="宋体" w:hAnsi="宋体" w:cs="宋体" w:eastAsia="宋体" w:hint="default"/>
                <w:sz w:val="18"/>
                <w:szCs w:val="18"/>
              </w:rPr>
            </w:pPr>
            <w:r>
              <w:rPr>
                <w:rFonts w:ascii="宋体"/>
                <w:sz w:val="18"/>
              </w:rPr>
              <w:t>1</w:t>
            </w:r>
          </w:p>
        </w:tc>
        <w:tc>
          <w:tcPr>
            <w:tcW w:w="19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中国银行深圳湾支行</w:t>
            </w:r>
          </w:p>
        </w:tc>
        <w:tc>
          <w:tcPr>
            <w:tcW w:w="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6"/>
              <w:jc w:val="right"/>
              <w:rPr>
                <w:rFonts w:ascii="宋体" w:hAnsi="宋体" w:cs="宋体" w:eastAsia="宋体" w:hint="default"/>
                <w:sz w:val="18"/>
                <w:szCs w:val="18"/>
              </w:rPr>
            </w:pPr>
            <w:r>
              <w:rPr>
                <w:rFonts w:ascii="宋体"/>
                <w:sz w:val="18"/>
              </w:rPr>
              <w:t>39,400,000.00</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2455" w:type="dxa"/>
            <w:tcBorders>
              <w:top w:val="single" w:sz="12" w:space="0" w:color="000000"/>
              <w:left w:val="single" w:sz="6" w:space="0" w:color="000000"/>
              <w:bottom w:val="single" w:sz="12" w:space="0" w:color="000000"/>
              <w:right w:val="nil" w:sz="6" w:space="0" w:color="auto"/>
            </w:tcBorders>
          </w:tcPr>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2019-3-20</w:t>
            </w:r>
            <w:r>
              <w:rPr>
                <w:rFonts w:ascii="宋体" w:hAnsi="宋体" w:cs="宋体" w:eastAsia="宋体" w:hint="default"/>
                <w:sz w:val="18"/>
                <w:szCs w:val="18"/>
              </w:rPr>
              <w:t>至</w:t>
            </w:r>
            <w:r>
              <w:rPr>
                <w:rFonts w:ascii="宋体" w:hAnsi="宋体" w:cs="宋体" w:eastAsia="宋体" w:hint="default"/>
                <w:sz w:val="18"/>
                <w:szCs w:val="18"/>
              </w:rPr>
              <w:t>2020-3-20</w:t>
            </w:r>
          </w:p>
        </w:tc>
      </w:tr>
      <w:tr>
        <w:trPr>
          <w:trHeight w:val="345" w:hRule="exact"/>
        </w:trPr>
        <w:tc>
          <w:tcPr>
            <w:tcW w:w="4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8"/>
              <w:jc w:val="center"/>
              <w:rPr>
                <w:rFonts w:ascii="宋体" w:hAnsi="宋体" w:cs="宋体" w:eastAsia="宋体" w:hint="default"/>
                <w:sz w:val="18"/>
                <w:szCs w:val="18"/>
              </w:rPr>
            </w:pPr>
            <w:r>
              <w:rPr>
                <w:rFonts w:ascii="宋体"/>
                <w:sz w:val="18"/>
              </w:rPr>
              <w:t>2</w:t>
            </w:r>
          </w:p>
        </w:tc>
        <w:tc>
          <w:tcPr>
            <w:tcW w:w="1908"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中国银行深圳湾支行</w:t>
            </w:r>
          </w:p>
        </w:tc>
        <w:tc>
          <w:tcPr>
            <w:tcW w:w="766"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4"/>
              <w:jc w:val="right"/>
              <w:rPr>
                <w:rFonts w:ascii="宋体" w:hAnsi="宋体" w:cs="宋体" w:eastAsia="宋体" w:hint="default"/>
                <w:sz w:val="18"/>
                <w:szCs w:val="18"/>
              </w:rPr>
            </w:pPr>
            <w:r>
              <w:rPr>
                <w:rFonts w:ascii="宋体"/>
                <w:sz w:val="18"/>
              </w:rPr>
              <w:t>49,250,000.00</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15"/>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2455" w:type="dxa"/>
            <w:tcBorders>
              <w:top w:val="single" w:sz="12" w:space="0" w:color="000000"/>
              <w:left w:val="single" w:sz="6" w:space="0" w:color="000000"/>
              <w:bottom w:val="single" w:sz="12" w:space="0" w:color="000000"/>
              <w:right w:val="nil" w:sz="6" w:space="0" w:color="auto"/>
            </w:tcBorders>
          </w:tcPr>
          <w:p>
            <w:pPr>
              <w:pStyle w:val="TableParagraph"/>
              <w:spacing w:line="235" w:lineRule="exact"/>
              <w:ind w:right="29"/>
              <w:jc w:val="right"/>
              <w:rPr>
                <w:rFonts w:ascii="宋体" w:hAnsi="宋体" w:cs="宋体" w:eastAsia="宋体" w:hint="default"/>
                <w:sz w:val="18"/>
                <w:szCs w:val="18"/>
              </w:rPr>
            </w:pPr>
            <w:r>
              <w:rPr>
                <w:rFonts w:ascii="宋体" w:hAnsi="宋体" w:cs="宋体" w:eastAsia="宋体" w:hint="default"/>
                <w:sz w:val="18"/>
                <w:szCs w:val="18"/>
              </w:rPr>
              <w:t>2019-4-12</w:t>
            </w:r>
            <w:r>
              <w:rPr>
                <w:rFonts w:ascii="宋体" w:hAnsi="宋体" w:cs="宋体" w:eastAsia="宋体" w:hint="default"/>
                <w:sz w:val="18"/>
                <w:szCs w:val="18"/>
              </w:rPr>
              <w:t>至</w:t>
            </w:r>
            <w:r>
              <w:rPr>
                <w:rFonts w:ascii="宋体" w:hAnsi="宋体" w:cs="宋体" w:eastAsia="宋体" w:hint="default"/>
                <w:sz w:val="18"/>
                <w:szCs w:val="18"/>
              </w:rPr>
              <w:t>2020-4-12</w:t>
            </w:r>
          </w:p>
        </w:tc>
      </w:tr>
      <w:tr>
        <w:trPr>
          <w:trHeight w:val="661" w:hRule="exact"/>
        </w:trPr>
        <w:tc>
          <w:tcPr>
            <w:tcW w:w="4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28"/>
              <w:jc w:val="center"/>
              <w:rPr>
                <w:rFonts w:ascii="宋体" w:hAnsi="宋体" w:cs="宋体" w:eastAsia="宋体" w:hint="default"/>
                <w:sz w:val="18"/>
                <w:szCs w:val="18"/>
              </w:rPr>
            </w:pPr>
            <w:r>
              <w:rPr>
                <w:rFonts w:ascii="宋体"/>
                <w:sz w:val="18"/>
              </w:rPr>
              <w:t>3</w:t>
            </w:r>
          </w:p>
        </w:tc>
        <w:tc>
          <w:tcPr>
            <w:tcW w:w="1908"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90"/>
              <w:jc w:val="left"/>
              <w:rPr>
                <w:rFonts w:ascii="宋体" w:hAnsi="宋体" w:cs="宋体" w:eastAsia="宋体" w:hint="default"/>
                <w:sz w:val="18"/>
                <w:szCs w:val="18"/>
              </w:rPr>
            </w:pPr>
            <w:r>
              <w:rPr>
                <w:rFonts w:ascii="宋体" w:hAnsi="宋体" w:cs="宋体" w:eastAsia="宋体" w:hint="default"/>
                <w:sz w:val="18"/>
                <w:szCs w:val="18"/>
              </w:rPr>
              <w:t>中国农业银行股份有限 公司深圳松岗支行</w:t>
            </w:r>
          </w:p>
        </w:tc>
        <w:tc>
          <w:tcPr>
            <w:tcW w:w="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0"/>
              <w:ind w:right="-14"/>
              <w:jc w:val="right"/>
              <w:rPr>
                <w:rFonts w:ascii="宋体" w:hAnsi="宋体" w:cs="宋体" w:eastAsia="宋体" w:hint="default"/>
                <w:sz w:val="18"/>
                <w:szCs w:val="18"/>
              </w:rPr>
            </w:pPr>
            <w:r>
              <w:rPr>
                <w:rFonts w:ascii="宋体"/>
                <w:sz w:val="18"/>
              </w:rPr>
              <w:t>15,000,000.00</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0"/>
              <w:ind w:right="-15"/>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24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0"/>
              <w:ind w:right="29"/>
              <w:jc w:val="right"/>
              <w:rPr>
                <w:rFonts w:ascii="宋体" w:hAnsi="宋体" w:cs="宋体" w:eastAsia="宋体" w:hint="default"/>
                <w:sz w:val="18"/>
                <w:szCs w:val="18"/>
              </w:rPr>
            </w:pPr>
            <w:r>
              <w:rPr>
                <w:rFonts w:ascii="宋体" w:hAnsi="宋体" w:cs="宋体" w:eastAsia="宋体" w:hint="default"/>
                <w:sz w:val="18"/>
                <w:szCs w:val="18"/>
              </w:rPr>
              <w:t>2019-2-22</w:t>
            </w:r>
            <w:r>
              <w:rPr>
                <w:rFonts w:ascii="宋体" w:hAnsi="宋体" w:cs="宋体" w:eastAsia="宋体" w:hint="default"/>
                <w:sz w:val="18"/>
                <w:szCs w:val="18"/>
              </w:rPr>
              <w:t>至</w:t>
            </w:r>
            <w:r>
              <w:rPr>
                <w:rFonts w:ascii="宋体" w:hAnsi="宋体" w:cs="宋体" w:eastAsia="宋体" w:hint="default"/>
                <w:sz w:val="18"/>
                <w:szCs w:val="18"/>
              </w:rPr>
              <w:t>2020-2-20</w:t>
            </w:r>
          </w:p>
        </w:tc>
      </w:tr>
      <w:tr>
        <w:trPr>
          <w:trHeight w:val="675" w:hRule="exact"/>
        </w:trPr>
        <w:tc>
          <w:tcPr>
            <w:tcW w:w="4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8"/>
              <w:jc w:val="center"/>
              <w:rPr>
                <w:rFonts w:ascii="宋体" w:hAnsi="宋体" w:cs="宋体" w:eastAsia="宋体" w:hint="default"/>
                <w:sz w:val="18"/>
                <w:szCs w:val="18"/>
              </w:rPr>
            </w:pPr>
            <w:r>
              <w:rPr>
                <w:rFonts w:ascii="宋体"/>
                <w:sz w:val="18"/>
              </w:rPr>
              <w:t>4</w:t>
            </w:r>
          </w:p>
        </w:tc>
        <w:tc>
          <w:tcPr>
            <w:tcW w:w="1908"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90"/>
              <w:jc w:val="left"/>
              <w:rPr>
                <w:rFonts w:ascii="宋体" w:hAnsi="宋体" w:cs="宋体" w:eastAsia="宋体" w:hint="default"/>
                <w:sz w:val="18"/>
                <w:szCs w:val="18"/>
              </w:rPr>
            </w:pPr>
            <w:r>
              <w:rPr>
                <w:rFonts w:ascii="宋体" w:hAnsi="宋体" w:cs="宋体" w:eastAsia="宋体" w:hint="default"/>
                <w:sz w:val="18"/>
                <w:szCs w:val="18"/>
              </w:rPr>
              <w:t>中国农业银行股份有限 公司深圳松岗支行</w:t>
            </w:r>
          </w:p>
        </w:tc>
        <w:tc>
          <w:tcPr>
            <w:tcW w:w="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宋体" w:hAnsi="宋体" w:cs="宋体" w:eastAsia="宋体" w:hint="default"/>
                <w:sz w:val="18"/>
                <w:szCs w:val="18"/>
              </w:rPr>
            </w:pPr>
            <w:r>
              <w:rPr>
                <w:rFonts w:ascii="宋体"/>
                <w:sz w:val="18"/>
              </w:rPr>
              <w:t>15,000,000.00</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24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2019-9-26</w:t>
            </w:r>
            <w:r>
              <w:rPr>
                <w:rFonts w:ascii="宋体" w:hAnsi="宋体" w:cs="宋体" w:eastAsia="宋体" w:hint="default"/>
                <w:sz w:val="18"/>
                <w:szCs w:val="18"/>
              </w:rPr>
              <w:t>至</w:t>
            </w:r>
            <w:r>
              <w:rPr>
                <w:rFonts w:ascii="宋体" w:hAnsi="宋体" w:cs="宋体" w:eastAsia="宋体" w:hint="default"/>
                <w:sz w:val="18"/>
                <w:szCs w:val="18"/>
              </w:rPr>
              <w:t>2020-3-23</w:t>
            </w:r>
          </w:p>
        </w:tc>
      </w:tr>
      <w:tr>
        <w:trPr>
          <w:trHeight w:val="661" w:hRule="exact"/>
        </w:trPr>
        <w:tc>
          <w:tcPr>
            <w:tcW w:w="4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8"/>
              <w:jc w:val="center"/>
              <w:rPr>
                <w:rFonts w:ascii="宋体" w:hAnsi="宋体" w:cs="宋体" w:eastAsia="宋体" w:hint="default"/>
                <w:sz w:val="18"/>
                <w:szCs w:val="18"/>
              </w:rPr>
            </w:pPr>
            <w:r>
              <w:rPr>
                <w:rFonts w:ascii="宋体"/>
                <w:sz w:val="18"/>
              </w:rPr>
              <w:t>5</w:t>
            </w:r>
          </w:p>
        </w:tc>
        <w:tc>
          <w:tcPr>
            <w:tcW w:w="1908"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ind w:right="90"/>
              <w:jc w:val="left"/>
              <w:rPr>
                <w:rFonts w:ascii="宋体" w:hAnsi="宋体" w:cs="宋体" w:eastAsia="宋体" w:hint="default"/>
                <w:sz w:val="18"/>
                <w:szCs w:val="18"/>
              </w:rPr>
            </w:pPr>
            <w:r>
              <w:rPr>
                <w:rFonts w:ascii="宋体" w:hAnsi="宋体" w:cs="宋体" w:eastAsia="宋体" w:hint="default"/>
                <w:sz w:val="18"/>
                <w:szCs w:val="18"/>
              </w:rPr>
              <w:t>中国农业银行股份有限 公司深圳松岗支行</w:t>
            </w:r>
          </w:p>
        </w:tc>
        <w:tc>
          <w:tcPr>
            <w:tcW w:w="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9"/>
              <w:ind w:right="-14"/>
              <w:jc w:val="right"/>
              <w:rPr>
                <w:rFonts w:ascii="宋体" w:hAnsi="宋体" w:cs="宋体" w:eastAsia="宋体" w:hint="default"/>
                <w:sz w:val="18"/>
                <w:szCs w:val="18"/>
              </w:rPr>
            </w:pPr>
            <w:r>
              <w:rPr>
                <w:rFonts w:ascii="宋体"/>
                <w:sz w:val="18"/>
              </w:rPr>
              <w:t>20,000,000.00</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9"/>
              <w:ind w:right="-15"/>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24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49"/>
              <w:ind w:right="29"/>
              <w:jc w:val="right"/>
              <w:rPr>
                <w:rFonts w:ascii="宋体" w:hAnsi="宋体" w:cs="宋体" w:eastAsia="宋体" w:hint="default"/>
                <w:sz w:val="18"/>
                <w:szCs w:val="18"/>
              </w:rPr>
            </w:pPr>
            <w:r>
              <w:rPr>
                <w:rFonts w:ascii="宋体" w:hAnsi="宋体" w:cs="宋体" w:eastAsia="宋体" w:hint="default"/>
                <w:sz w:val="18"/>
                <w:szCs w:val="18"/>
              </w:rPr>
              <w:t>2019-7-12</w:t>
            </w:r>
            <w:r>
              <w:rPr>
                <w:rFonts w:ascii="宋体" w:hAnsi="宋体" w:cs="宋体" w:eastAsia="宋体" w:hint="default"/>
                <w:sz w:val="18"/>
                <w:szCs w:val="18"/>
              </w:rPr>
              <w:t>至</w:t>
            </w:r>
            <w:r>
              <w:rPr>
                <w:rFonts w:ascii="宋体" w:hAnsi="宋体" w:cs="宋体" w:eastAsia="宋体" w:hint="default"/>
                <w:sz w:val="18"/>
                <w:szCs w:val="18"/>
              </w:rPr>
              <w:t>2020-7-10</w:t>
            </w:r>
          </w:p>
        </w:tc>
      </w:tr>
      <w:tr>
        <w:trPr>
          <w:trHeight w:val="660" w:hRule="exact"/>
        </w:trPr>
        <w:tc>
          <w:tcPr>
            <w:tcW w:w="4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8"/>
              <w:jc w:val="center"/>
              <w:rPr>
                <w:rFonts w:ascii="宋体" w:hAnsi="宋体" w:cs="宋体" w:eastAsia="宋体" w:hint="default"/>
                <w:sz w:val="18"/>
                <w:szCs w:val="18"/>
              </w:rPr>
            </w:pPr>
            <w:r>
              <w:rPr>
                <w:rFonts w:ascii="宋体"/>
                <w:sz w:val="18"/>
              </w:rPr>
              <w:t>6</w:t>
            </w:r>
          </w:p>
        </w:tc>
        <w:tc>
          <w:tcPr>
            <w:tcW w:w="1908"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90"/>
              <w:jc w:val="left"/>
              <w:rPr>
                <w:rFonts w:ascii="宋体" w:hAnsi="宋体" w:cs="宋体" w:eastAsia="宋体" w:hint="default"/>
                <w:sz w:val="18"/>
                <w:szCs w:val="18"/>
              </w:rPr>
            </w:pPr>
            <w:r>
              <w:rPr>
                <w:rFonts w:ascii="宋体" w:hAnsi="宋体" w:cs="宋体" w:eastAsia="宋体" w:hint="default"/>
                <w:sz w:val="18"/>
                <w:szCs w:val="18"/>
              </w:rPr>
              <w:t>上海浦东发展银行股份 有限公司深圳分行</w:t>
            </w:r>
          </w:p>
        </w:tc>
        <w:tc>
          <w:tcPr>
            <w:tcW w:w="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0"/>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0"/>
              <w:ind w:right="-14"/>
              <w:jc w:val="right"/>
              <w:rPr>
                <w:rFonts w:ascii="宋体" w:hAnsi="宋体" w:cs="宋体" w:eastAsia="宋体" w:hint="default"/>
                <w:sz w:val="18"/>
                <w:szCs w:val="18"/>
              </w:rPr>
            </w:pPr>
            <w:r>
              <w:rPr>
                <w:rFonts w:ascii="宋体"/>
                <w:sz w:val="18"/>
              </w:rPr>
              <w:t>40,000,000.00</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0"/>
              <w:ind w:right="-15"/>
              <w:jc w:val="right"/>
              <w:rPr>
                <w:rFonts w:ascii="宋体" w:hAnsi="宋体" w:cs="宋体" w:eastAsia="宋体" w:hint="default"/>
                <w:sz w:val="18"/>
                <w:szCs w:val="18"/>
              </w:rPr>
            </w:pPr>
            <w:r>
              <w:rPr>
                <w:rFonts w:ascii="宋体" w:hAnsi="宋体" w:cs="宋体" w:eastAsia="宋体" w:hint="default"/>
                <w:sz w:val="18"/>
                <w:szCs w:val="18"/>
              </w:rPr>
              <w:t>信用借款</w:t>
            </w:r>
          </w:p>
        </w:tc>
        <w:tc>
          <w:tcPr>
            <w:tcW w:w="24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50"/>
              <w:ind w:right="29"/>
              <w:jc w:val="right"/>
              <w:rPr>
                <w:rFonts w:ascii="宋体" w:hAnsi="宋体" w:cs="宋体" w:eastAsia="宋体" w:hint="default"/>
                <w:sz w:val="18"/>
                <w:szCs w:val="18"/>
              </w:rPr>
            </w:pPr>
            <w:r>
              <w:rPr>
                <w:rFonts w:ascii="宋体" w:hAnsi="宋体" w:cs="宋体" w:eastAsia="宋体" w:hint="default"/>
                <w:sz w:val="18"/>
                <w:szCs w:val="18"/>
              </w:rPr>
              <w:t>2019-10-10</w:t>
            </w:r>
            <w:r>
              <w:rPr>
                <w:rFonts w:ascii="宋体" w:hAnsi="宋体" w:cs="宋体" w:eastAsia="宋体" w:hint="default"/>
                <w:sz w:val="18"/>
                <w:szCs w:val="18"/>
              </w:rPr>
              <w:t>到</w:t>
            </w:r>
            <w:r>
              <w:rPr>
                <w:rFonts w:ascii="宋体" w:hAnsi="宋体" w:cs="宋体" w:eastAsia="宋体" w:hint="default"/>
                <w:sz w:val="18"/>
                <w:szCs w:val="18"/>
              </w:rPr>
              <w:t>2020-4-9</w:t>
            </w:r>
          </w:p>
        </w:tc>
      </w:tr>
      <w:tr>
        <w:trPr>
          <w:trHeight w:val="661" w:hRule="exact"/>
        </w:trPr>
        <w:tc>
          <w:tcPr>
            <w:tcW w:w="495" w:type="dxa"/>
            <w:tcBorders>
              <w:top w:val="single" w:sz="12" w:space="0" w:color="000000"/>
              <w:left w:val="single" w:sz="6" w:space="0" w:color="000000"/>
              <w:bottom w:val="single" w:sz="12" w:space="0" w:color="000000"/>
              <w:right w:val="single" w:sz="6" w:space="0" w:color="000000"/>
            </w:tcBorders>
          </w:tcPr>
          <w:p>
            <w:pPr>
              <w:pStyle w:val="TableParagraph"/>
              <w:spacing w:line="235" w:lineRule="exact"/>
              <w:ind w:right="28"/>
              <w:jc w:val="center"/>
              <w:rPr>
                <w:rFonts w:ascii="宋体" w:hAnsi="宋体" w:cs="宋体" w:eastAsia="宋体" w:hint="default"/>
                <w:sz w:val="18"/>
                <w:szCs w:val="18"/>
              </w:rPr>
            </w:pPr>
            <w:r>
              <w:rPr>
                <w:rFonts w:ascii="宋体"/>
                <w:sz w:val="18"/>
              </w:rPr>
              <w:t>7</w:t>
            </w:r>
          </w:p>
        </w:tc>
        <w:tc>
          <w:tcPr>
            <w:tcW w:w="1908" w:type="dxa"/>
            <w:tcBorders>
              <w:top w:val="single" w:sz="12" w:space="0" w:color="000000"/>
              <w:left w:val="single" w:sz="6" w:space="0" w:color="000000"/>
              <w:bottom w:val="single" w:sz="12" w:space="0" w:color="000000"/>
              <w:right w:val="single" w:sz="6" w:space="0" w:color="000000"/>
            </w:tcBorders>
          </w:tcPr>
          <w:p>
            <w:pPr>
              <w:pStyle w:val="TableParagraph"/>
              <w:spacing w:line="321" w:lineRule="auto"/>
              <w:ind w:right="90"/>
              <w:jc w:val="left"/>
              <w:rPr>
                <w:rFonts w:ascii="宋体" w:hAnsi="宋体" w:cs="宋体" w:eastAsia="宋体" w:hint="default"/>
                <w:sz w:val="18"/>
                <w:szCs w:val="18"/>
              </w:rPr>
            </w:pPr>
            <w:r>
              <w:rPr>
                <w:rFonts w:ascii="宋体" w:hAnsi="宋体" w:cs="宋体" w:eastAsia="宋体" w:hint="default"/>
                <w:sz w:val="18"/>
                <w:szCs w:val="18"/>
              </w:rPr>
              <w:t>中国银行深圳深圳湾支 行</w:t>
            </w:r>
          </w:p>
        </w:tc>
        <w:tc>
          <w:tcPr>
            <w:tcW w:w="7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宋体" w:hAnsi="宋体" w:cs="宋体" w:eastAsia="宋体" w:hint="default"/>
                <w:sz w:val="18"/>
                <w:szCs w:val="18"/>
              </w:rPr>
            </w:pPr>
            <w:r>
              <w:rPr>
                <w:rFonts w:ascii="宋体"/>
                <w:sz w:val="18"/>
              </w:rPr>
              <w:t>30,000,000.00</w:t>
            </w: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保证借款</w:t>
            </w:r>
          </w:p>
        </w:tc>
        <w:tc>
          <w:tcPr>
            <w:tcW w:w="24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2019-3-1</w:t>
            </w:r>
            <w:r>
              <w:rPr>
                <w:rFonts w:ascii="宋体" w:hAnsi="宋体" w:cs="宋体" w:eastAsia="宋体" w:hint="default"/>
                <w:sz w:val="18"/>
                <w:szCs w:val="18"/>
              </w:rPr>
              <w:t>至</w:t>
            </w:r>
            <w:r>
              <w:rPr>
                <w:rFonts w:ascii="宋体" w:hAnsi="宋体" w:cs="宋体" w:eastAsia="宋体" w:hint="default"/>
                <w:sz w:val="18"/>
                <w:szCs w:val="18"/>
              </w:rPr>
              <w:t>2020-3-1</w:t>
            </w:r>
          </w:p>
        </w:tc>
      </w:tr>
      <w:tr>
        <w:trPr>
          <w:trHeight w:val="361" w:hRule="exact"/>
        </w:trPr>
        <w:tc>
          <w:tcPr>
            <w:tcW w:w="495" w:type="dxa"/>
            <w:tcBorders>
              <w:top w:val="single" w:sz="12" w:space="0" w:color="000000"/>
              <w:left w:val="single" w:sz="6" w:space="0" w:color="000000"/>
              <w:bottom w:val="single" w:sz="12" w:space="0" w:color="000000"/>
              <w:right w:val="single" w:sz="6" w:space="0" w:color="000000"/>
            </w:tcBorders>
          </w:tcPr>
          <w:p>
            <w:pPr/>
          </w:p>
        </w:tc>
        <w:tc>
          <w:tcPr>
            <w:tcW w:w="19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12" w:space="0" w:color="000000"/>
              <w:left w:val="single" w:sz="6" w:space="0" w:color="000000"/>
              <w:bottom w:val="single" w:sz="12" w:space="0" w:color="000000"/>
              <w:right w:val="single" w:sz="6" w:space="0" w:color="000000"/>
            </w:tcBorders>
          </w:tcPr>
          <w:p>
            <w:pPr/>
          </w:p>
        </w:tc>
        <w:tc>
          <w:tcPr>
            <w:tcW w:w="184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14"/>
              <w:jc w:val="right"/>
              <w:rPr>
                <w:rFonts w:ascii="宋体" w:hAnsi="宋体" w:cs="宋体" w:eastAsia="宋体" w:hint="default"/>
                <w:sz w:val="18"/>
                <w:szCs w:val="18"/>
              </w:rPr>
            </w:pPr>
            <w:r>
              <w:rPr>
                <w:rFonts w:ascii="宋体"/>
                <w:sz w:val="18"/>
              </w:rPr>
              <w:t>208,650,000.00</w:t>
            </w:r>
          </w:p>
        </w:tc>
        <w:tc>
          <w:tcPr>
            <w:tcW w:w="1847" w:type="dxa"/>
            <w:tcBorders>
              <w:top w:val="single" w:sz="12" w:space="0" w:color="000000"/>
              <w:left w:val="single" w:sz="6" w:space="0" w:color="000000"/>
              <w:bottom w:val="single" w:sz="12" w:space="0" w:color="000000"/>
              <w:right w:val="single" w:sz="6" w:space="0" w:color="000000"/>
            </w:tcBorders>
          </w:tcPr>
          <w:p>
            <w:pPr/>
          </w:p>
        </w:tc>
        <w:tc>
          <w:tcPr>
            <w:tcW w:w="2455"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12"/>
        <w:rPr>
          <w:rFonts w:ascii="宋体" w:hAnsi="宋体" w:cs="宋体" w:eastAsia="宋体" w:hint="default"/>
          <w:sz w:val="6"/>
          <w:szCs w:val="6"/>
        </w:rPr>
      </w:pPr>
    </w:p>
    <w:p>
      <w:pPr>
        <w:pStyle w:val="BodyText"/>
        <w:spacing w:line="240" w:lineRule="auto" w:before="44"/>
        <w:ind w:left="501" w:right="0"/>
        <w:jc w:val="left"/>
      </w:pPr>
      <w:r>
        <w:rPr/>
        <w:t>保证借款系本公司为本公司之子公司提供保证担保，详见</w:t>
      </w:r>
      <w:r>
        <w:rPr>
          <w:rFonts w:ascii="Times New Roman" w:hAnsi="Times New Roman" w:cs="Times New Roman" w:eastAsia="Times New Roman" w:hint="default"/>
        </w:rPr>
        <w:t>“</w:t>
      </w:r>
      <w:r>
        <w:rPr/>
        <w:t>第十二节、十二、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4</w:t>
      </w:r>
      <w:r>
        <w:rPr/>
        <w:t>）、关联担保情况</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2）已逾期未偿还的短期借款情况" w:id="333"/>
      <w:bookmarkEnd w:id="333"/>
      <w:r>
        <w:rPr>
          <w:b w:val="0"/>
          <w:bCs w:val="0"/>
        </w:rPr>
      </w:r>
      <w:r>
        <w:rPr>
          <w:spacing w:val="5"/>
        </w:rPr>
        <w:t>（</w:t>
      </w:r>
      <w:r>
        <w:rPr>
          <w:rFonts w:ascii="Times New Roman" w:hAnsi="Times New Roman" w:cs="Times New Roman" w:eastAsia="Times New Roman" w:hint="default"/>
          <w:spacing w:val="5"/>
        </w:rPr>
        <w:t>2</w:t>
      </w:r>
      <w:r>
        <w:rPr>
          <w:spacing w:val="5"/>
        </w:rPr>
        <w:t>）已逾期未偿还的短期借款情况</w:t>
      </w:r>
      <w:r>
        <w:rPr>
          <w:b w:val="0"/>
          <w:bCs w:val="0"/>
          <w:spacing w:val="5"/>
        </w:rPr>
      </w:r>
    </w:p>
    <w:p>
      <w:pPr>
        <w:spacing w:line="240" w:lineRule="auto" w:before="6"/>
        <w:rPr>
          <w:rFonts w:ascii="宋体" w:hAnsi="宋体" w:cs="宋体" w:eastAsia="宋体" w:hint="default"/>
          <w:b/>
          <w:bCs/>
          <w:sz w:val="24"/>
          <w:szCs w:val="24"/>
        </w:rPr>
      </w:pPr>
    </w:p>
    <w:p>
      <w:pPr>
        <w:pStyle w:val="BodyText"/>
        <w:spacing w:line="240" w:lineRule="auto" w:before="44"/>
        <w:ind w:right="0"/>
        <w:jc w:val="left"/>
      </w:pPr>
      <w:r>
        <w:rPr/>
        <w:t>本期末已逾期未偿还的短期借款总额为</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33、交易性金融负债" w:id="334"/>
      <w:bookmarkEnd w:id="334"/>
      <w:r>
        <w:rPr>
          <w:b w:val="0"/>
          <w:bCs w:val="0"/>
        </w:rPr>
      </w:r>
      <w:r>
        <w:rPr>
          <w:rFonts w:ascii="Times New Roman" w:hAnsi="Times New Roman" w:cs="Times New Roman" w:eastAsia="Times New Roman" w:hint="default"/>
          <w:spacing w:val="4"/>
        </w:rPr>
        <w:t>33</w:t>
      </w:r>
      <w:r>
        <w:rPr>
          <w:spacing w:val="4"/>
        </w:rPr>
        <w:t>、交易性金融负债</w:t>
      </w:r>
      <w:r>
        <w:rPr>
          <w:b w:val="0"/>
          <w:bCs w:val="0"/>
          <w:spacing w:val="4"/>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0"/>
        <w:jc w:val="left"/>
        <w:rPr>
          <w:b w:val="0"/>
          <w:bCs w:val="0"/>
        </w:rPr>
      </w:pPr>
      <w:bookmarkStart w:name="34、衍生金融负债" w:id="335"/>
      <w:bookmarkEnd w:id="335"/>
      <w:r>
        <w:rPr>
          <w:b w:val="0"/>
          <w:bCs w:val="0"/>
        </w:rPr>
      </w:r>
      <w:r>
        <w:rPr>
          <w:rFonts w:ascii="Times New Roman" w:hAnsi="Times New Roman" w:cs="Times New Roman" w:eastAsia="Times New Roman" w:hint="default"/>
          <w:spacing w:val="4"/>
        </w:rPr>
        <w:t>34</w:t>
      </w:r>
      <w:r>
        <w:rPr>
          <w:spacing w:val="4"/>
        </w:rPr>
        <w:t>、衍生金融负债</w:t>
      </w:r>
      <w:r>
        <w:rPr>
          <w:b w:val="0"/>
          <w:bCs w:val="0"/>
          <w:spacing w:val="4"/>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7"/>
          <w:szCs w:val="27"/>
        </w:rPr>
      </w:pPr>
    </w:p>
    <w:p>
      <w:pPr>
        <w:pStyle w:val="Heading5"/>
        <w:spacing w:line="240" w:lineRule="auto" w:before="45"/>
        <w:ind w:right="0"/>
        <w:jc w:val="left"/>
        <w:rPr>
          <w:b w:val="0"/>
          <w:bCs w:val="0"/>
        </w:rPr>
      </w:pPr>
      <w:bookmarkStart w:name="35、应付票据" w:id="336"/>
      <w:bookmarkEnd w:id="336"/>
      <w:r>
        <w:rPr>
          <w:b w:val="0"/>
          <w:bCs w:val="0"/>
        </w:rPr>
      </w:r>
      <w:r>
        <w:rPr>
          <w:rFonts w:ascii="Times New Roman" w:hAnsi="Times New Roman" w:cs="Times New Roman" w:eastAsia="Times New Roman" w:hint="default"/>
          <w:spacing w:val="3"/>
        </w:rPr>
        <w:t>35</w:t>
      </w:r>
      <w:r>
        <w:rPr>
          <w:spacing w:val="3"/>
        </w:rPr>
        <w:t>、应付票据</w:t>
      </w:r>
      <w:r>
        <w:rPr>
          <w:b w:val="0"/>
          <w:bCs w:val="0"/>
          <w:spacing w:val="3"/>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种类</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2,273,948.88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127,027,925.12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186,418,052.15</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129,301,874.00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186,418,052.15</w:t>
            </w:r>
          </w:p>
        </w:tc>
      </w:tr>
    </w:tbl>
    <w:p>
      <w:pPr>
        <w:pStyle w:val="BodyText"/>
        <w:spacing w:line="240" w:lineRule="auto" w:before="60"/>
        <w:ind w:right="0"/>
        <w:jc w:val="left"/>
      </w:pPr>
      <w:r>
        <w:rPr/>
        <w:t>本期末已到期未支付的应付票据总额为</w:t>
      </w:r>
      <w:r>
        <w:rPr>
          <w:spacing w:val="-42"/>
        </w:rPr>
        <w:t> </w:t>
      </w:r>
      <w:r>
        <w:rPr>
          <w:rFonts w:ascii="Times New Roman" w:hAnsi="Times New Roman" w:cs="Times New Roman" w:eastAsia="Times New Roman" w:hint="default"/>
        </w:rPr>
        <w:t>0.00 </w:t>
      </w:r>
      <w:r>
        <w:rPr/>
        <w:t>元。</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36、应付账款" w:id="337"/>
      <w:bookmarkEnd w:id="337"/>
      <w:r>
        <w:rPr>
          <w:b w:val="0"/>
          <w:bCs w:val="0"/>
        </w:rPr>
      </w:r>
      <w:r>
        <w:rPr>
          <w:rFonts w:ascii="Times New Roman" w:hAnsi="Times New Roman" w:cs="Times New Roman" w:eastAsia="Times New Roman" w:hint="default"/>
          <w:spacing w:val="3"/>
        </w:rPr>
        <w:t>36</w:t>
      </w:r>
      <w:r>
        <w:rPr>
          <w:spacing w:val="3"/>
        </w:rPr>
        <w:t>、应付账款</w:t>
      </w:r>
      <w:r>
        <w:rPr>
          <w:b w:val="0"/>
          <w:bCs w:val="0"/>
          <w:spacing w:val="3"/>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应付账款列示" w:id="338"/>
      <w:bookmarkEnd w:id="338"/>
      <w:r>
        <w:rPr>
          <w:b w:val="0"/>
          <w:bCs w:val="0"/>
        </w:rPr>
      </w:r>
      <w:r>
        <w:rPr>
          <w:spacing w:val="5"/>
        </w:rPr>
        <w:t>（</w:t>
      </w:r>
      <w:r>
        <w:rPr>
          <w:rFonts w:ascii="Times New Roman" w:hAnsi="Times New Roman" w:cs="Times New Roman" w:eastAsia="Times New Roman" w:hint="default"/>
          <w:spacing w:val="5"/>
        </w:rPr>
        <w:t>1</w:t>
      </w:r>
      <w:r>
        <w:rPr>
          <w:spacing w:val="5"/>
        </w:rPr>
        <w:t>）应付账款列示</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983,596,063.38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714,785,132.27</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应付工程、设备款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5,837,754.86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16,466,175.61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989,433,818.24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731,251,307.88</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账龄超过1年的重要应付账款" w:id="339"/>
      <w:bookmarkEnd w:id="339"/>
      <w:r>
        <w:rPr>
          <w:b w:val="0"/>
          <w:bCs w:val="0"/>
        </w:rPr>
      </w:r>
      <w:r>
        <w:rPr>
          <w:spacing w:val="5"/>
        </w:rPr>
        <w:t>（</w:t>
      </w:r>
      <w:r>
        <w:rPr>
          <w:rFonts w:ascii="Times New Roman" w:hAnsi="Times New Roman" w:cs="Times New Roman" w:eastAsia="Times New Roman" w:hint="default"/>
          <w:spacing w:val="5"/>
        </w:rPr>
        <w:t>2</w:t>
      </w:r>
      <w:r>
        <w:rPr>
          <w:spacing w:val="5"/>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spacing w:val="5"/>
        </w:rPr>
        <w:t>年的重要应付账款</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4,031,506.17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未与供应商结算</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3,262,500.00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存在设备验收问题</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1,344,700.00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存在材料质量问题</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413,877.63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未与供应商结算</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351,574.29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未与供应商结算</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9,404,158.09</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w:t>
      </w:r>
    </w:p>
    <w:p>
      <w:pPr>
        <w:spacing w:line="240" w:lineRule="auto" w:before="7"/>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1.</w:t>
      </w:r>
      <w:r>
        <w:rPr/>
        <w:t>期末应付账款中无应付持本公司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表决权股份的股东单位及其他关联方的款项。</w:t>
      </w:r>
    </w:p>
    <w:p>
      <w:pPr>
        <w:spacing w:line="240" w:lineRule="auto" w:before="1"/>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2.</w:t>
      </w:r>
      <w:r>
        <w:rPr/>
        <w:t>期末应付账款中应付其他关联方款项，详见</w:t>
      </w:r>
      <w:r>
        <w:rPr>
          <w:rFonts w:ascii="Times New Roman" w:hAnsi="Times New Roman" w:cs="Times New Roman" w:eastAsia="Times New Roman" w:hint="default"/>
        </w:rPr>
        <w:t>“</w:t>
      </w:r>
      <w:r>
        <w:rPr/>
        <w:t>第十二节、十二、关联方及关联交易</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3"/>
          <w:szCs w:val="23"/>
        </w:rPr>
      </w:pPr>
    </w:p>
    <w:p>
      <w:pPr>
        <w:pStyle w:val="Heading5"/>
        <w:spacing w:line="240" w:lineRule="auto"/>
        <w:ind w:right="0"/>
        <w:jc w:val="left"/>
        <w:rPr>
          <w:b w:val="0"/>
          <w:bCs w:val="0"/>
        </w:rPr>
      </w:pPr>
      <w:bookmarkStart w:name="37、预收款项" w:id="340"/>
      <w:bookmarkEnd w:id="340"/>
      <w:r>
        <w:rPr>
          <w:b w:val="0"/>
          <w:bCs w:val="0"/>
        </w:rPr>
      </w:r>
      <w:r>
        <w:rPr>
          <w:rFonts w:ascii="Times New Roman" w:hAnsi="Times New Roman" w:cs="Times New Roman" w:eastAsia="Times New Roman" w:hint="default"/>
          <w:spacing w:val="3"/>
        </w:rPr>
        <w:t>37</w:t>
      </w:r>
      <w:r>
        <w:rPr>
          <w:spacing w:val="3"/>
        </w:rPr>
        <w:t>、预收款项</w:t>
      </w:r>
      <w:r>
        <w:rPr>
          <w:b w:val="0"/>
          <w:bCs w:val="0"/>
          <w:spacing w:val="3"/>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7"/>
          <w:szCs w:val="27"/>
        </w:rPr>
      </w:pPr>
    </w:p>
    <w:p>
      <w:pPr>
        <w:pStyle w:val="Heading5"/>
        <w:spacing w:line="240" w:lineRule="auto" w:before="45"/>
        <w:ind w:right="0"/>
        <w:jc w:val="left"/>
        <w:rPr>
          <w:b w:val="0"/>
          <w:bCs w:val="0"/>
        </w:rPr>
      </w:pPr>
      <w:bookmarkStart w:name="（1）预收款项列示" w:id="341"/>
      <w:bookmarkEnd w:id="341"/>
      <w:r>
        <w:rPr>
          <w:b w:val="0"/>
          <w:bCs w:val="0"/>
        </w:rPr>
      </w:r>
      <w:r>
        <w:rPr>
          <w:spacing w:val="5"/>
        </w:rPr>
        <w:t>（</w:t>
      </w:r>
      <w:r>
        <w:rPr>
          <w:rFonts w:ascii="Times New Roman" w:hAnsi="Times New Roman" w:cs="Times New Roman" w:eastAsia="Times New Roman" w:hint="default"/>
          <w:spacing w:val="5"/>
        </w:rPr>
        <w:t>1</w:t>
      </w:r>
      <w:r>
        <w:rPr>
          <w:spacing w:val="5"/>
        </w:rPr>
        <w:t>）预收款项列示</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7,069,271.32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19,756,513.35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预收租赁款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1,637,263.34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1,001,495.54</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8,706,534.66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20,758,008.89</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账龄超过1年的重要预收款项" w:id="342"/>
      <w:bookmarkEnd w:id="342"/>
      <w:r>
        <w:rPr>
          <w:b w:val="0"/>
          <w:bCs w:val="0"/>
        </w:rPr>
      </w:r>
      <w:r>
        <w:rPr>
          <w:spacing w:val="5"/>
        </w:rPr>
        <w:t>（</w:t>
      </w:r>
      <w:r>
        <w:rPr>
          <w:rFonts w:ascii="Times New Roman" w:hAnsi="Times New Roman" w:cs="Times New Roman" w:eastAsia="Times New Roman" w:hint="default"/>
          <w:spacing w:val="5"/>
        </w:rPr>
        <w:t>2</w:t>
      </w:r>
      <w:r>
        <w:rPr>
          <w:spacing w:val="5"/>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spacing w:val="5"/>
        </w:rPr>
        <w:t>年的重要预收款项</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福建伊斯普电子科技有限公司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547,448.00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深圳市比巴科技有限公司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353,885.03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西安富立叶微电子有限责任公司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234,107.64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深圳市格兰莫尔科技有限公司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229,406.07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MEGA</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105,979.71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1,470,826.45</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3）期末建造合同形成的已结算未完工项目情况" w:id="343"/>
      <w:bookmarkEnd w:id="343"/>
      <w:r>
        <w:rPr>
          <w:b w:val="0"/>
          <w:bCs w:val="0"/>
        </w:rPr>
      </w:r>
      <w:r>
        <w:rPr>
          <w:spacing w:val="5"/>
        </w:rPr>
        <w:t>（</w:t>
      </w:r>
      <w:r>
        <w:rPr>
          <w:rFonts w:ascii="Times New Roman" w:hAnsi="Times New Roman" w:cs="Times New Roman" w:eastAsia="Times New Roman" w:hint="default"/>
          <w:spacing w:val="5"/>
        </w:rPr>
        <w:t>3</w:t>
      </w:r>
      <w:r>
        <w:rPr>
          <w:spacing w:val="5"/>
        </w:rPr>
        <w:t>）期末建造合同形成的已结算未完工项目情况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5"/>
        <w:ind w:right="0"/>
        <w:jc w:val="left"/>
      </w:pPr>
      <w:r>
        <w:rPr/>
        <w:t>其他说明：</w:t>
      </w:r>
    </w:p>
    <w:p>
      <w:pPr>
        <w:spacing w:line="240" w:lineRule="auto" w:before="5"/>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w:t>
      </w:r>
      <w:r>
        <w:rPr/>
        <w:t>期末预收款项中无预收持本公司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表决权股份的股东单位的款项。</w:t>
      </w:r>
    </w:p>
    <w:p>
      <w:pPr>
        <w:spacing w:line="240" w:lineRule="auto" w:before="1"/>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2.</w:t>
      </w:r>
      <w:r>
        <w:rPr/>
        <w:t>期末预收款项中预收其他关联方款项，详见</w:t>
      </w:r>
      <w:r>
        <w:rPr>
          <w:rFonts w:ascii="Times New Roman" w:hAnsi="Times New Roman" w:cs="Times New Roman" w:eastAsia="Times New Roman" w:hint="default"/>
        </w:rPr>
        <w:t>“</w:t>
      </w:r>
      <w:r>
        <w:rPr/>
        <w:t>第十二节、十二、关联方及关联交易。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Heading5"/>
        <w:spacing w:line="240" w:lineRule="auto"/>
        <w:ind w:right="0"/>
        <w:jc w:val="left"/>
        <w:rPr>
          <w:b w:val="0"/>
          <w:bCs w:val="0"/>
        </w:rPr>
      </w:pPr>
      <w:bookmarkStart w:name="38、合同负债" w:id="344"/>
      <w:bookmarkEnd w:id="344"/>
      <w:r>
        <w:rPr>
          <w:b w:val="0"/>
          <w:bCs w:val="0"/>
        </w:rPr>
      </w:r>
      <w:r>
        <w:rPr>
          <w:rFonts w:ascii="Times New Roman" w:hAnsi="Times New Roman" w:cs="Times New Roman" w:eastAsia="Times New Roman" w:hint="default"/>
          <w:spacing w:val="3"/>
        </w:rPr>
        <w:t>38</w:t>
      </w:r>
      <w:r>
        <w:rPr>
          <w:spacing w:val="3"/>
        </w:rPr>
        <w:t>、合同负债</w:t>
      </w:r>
      <w:r>
        <w:rPr>
          <w:b w:val="0"/>
          <w:bCs w:val="0"/>
          <w:spacing w:val="3"/>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4"/>
        <w:ind w:right="0"/>
        <w:jc w:val="left"/>
      </w:pPr>
      <w:r>
        <w:rPr/>
        <w:t>报告期内账面价值发生重大变动的金额和原因</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207"/>
        <w:gridCol w:w="2418"/>
        <w:gridCol w:w="4956"/>
      </w:tblGrid>
      <w:tr>
        <w:trPr>
          <w:trHeight w:val="390"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39、应付职工薪酬" w:id="345"/>
      <w:bookmarkEnd w:id="345"/>
      <w:r>
        <w:rPr>
          <w:b w:val="0"/>
          <w:bCs w:val="0"/>
        </w:rPr>
      </w:r>
      <w:r>
        <w:rPr>
          <w:rFonts w:ascii="Times New Roman" w:hAnsi="Times New Roman" w:cs="Times New Roman" w:eastAsia="Times New Roman" w:hint="default"/>
          <w:spacing w:val="4"/>
        </w:rPr>
        <w:t>39</w:t>
      </w:r>
      <w:r>
        <w:rPr>
          <w:spacing w:val="4"/>
        </w:rPr>
        <w:t>、应付职工薪酬</w:t>
      </w:r>
      <w:r>
        <w:rPr>
          <w:b w:val="0"/>
          <w:bCs w:val="0"/>
          <w:spacing w:val="4"/>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应付职工薪酬列示" w:id="346"/>
      <w:bookmarkEnd w:id="346"/>
      <w:r>
        <w:rPr>
          <w:b w:val="0"/>
          <w:bCs w:val="0"/>
        </w:rPr>
      </w:r>
      <w:r>
        <w:rPr>
          <w:spacing w:val="5"/>
        </w:rPr>
        <w:t>（</w:t>
      </w:r>
      <w:r>
        <w:rPr>
          <w:rFonts w:ascii="Times New Roman" w:hAnsi="Times New Roman" w:cs="Times New Roman" w:eastAsia="Times New Roman" w:hint="default"/>
          <w:spacing w:val="5"/>
        </w:rPr>
        <w:t>1</w:t>
      </w:r>
      <w:r>
        <w:rPr>
          <w:spacing w:val="5"/>
        </w:rPr>
        <w:t>）应付职工薪酬列示</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39,410,254.80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809,186,229.97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763,140,547.40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85,455,937.37</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20,343,678.86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20,343,678.86</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1,079,751.00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754,751.00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325,000.00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39,410,254.80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830,609,659.83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784,238,977.26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85,780,937.37</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短期薪酬列示" w:id="347"/>
      <w:bookmarkEnd w:id="347"/>
      <w:r>
        <w:rPr>
          <w:b w:val="0"/>
          <w:bCs w:val="0"/>
        </w:rPr>
      </w:r>
      <w:r>
        <w:rPr>
          <w:spacing w:val="5"/>
        </w:rPr>
        <w:t>（</w:t>
      </w:r>
      <w:r>
        <w:rPr>
          <w:rFonts w:ascii="Times New Roman" w:hAnsi="Times New Roman" w:cs="Times New Roman" w:eastAsia="Times New Roman" w:hint="default"/>
          <w:spacing w:val="5"/>
        </w:rPr>
        <w:t>2</w:t>
      </w:r>
      <w:r>
        <w:rPr>
          <w:spacing w:val="5"/>
        </w:rPr>
        <w:t>）短期薪酬列示</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37,898,802.49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759,944,040.36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715,525,943.60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82,316,899.25</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1,511,452.31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33,752,689.30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32,193,173.49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3,070,968.12</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5,875,986.26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5,875,986.26</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4,663,091.09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4,663,091.09</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483,673.69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483,673.69</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729,221.48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729,221.48</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9,613,514.05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9,545,444.05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68,070.00</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39,410,254.80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809,186,229.97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763,140,547.40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85,455,937.37</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3）设定提存计划列示" w:id="348"/>
      <w:bookmarkEnd w:id="348"/>
      <w:r>
        <w:rPr>
          <w:b w:val="0"/>
          <w:bCs w:val="0"/>
        </w:rPr>
      </w:r>
      <w:r>
        <w:rPr>
          <w:spacing w:val="5"/>
        </w:rPr>
        <w:t>（</w:t>
      </w:r>
      <w:r>
        <w:rPr>
          <w:rFonts w:ascii="Times New Roman" w:hAnsi="Times New Roman" w:cs="Times New Roman" w:eastAsia="Times New Roman" w:hint="default"/>
          <w:spacing w:val="5"/>
        </w:rPr>
        <w:t>3</w:t>
      </w:r>
      <w:r>
        <w:rPr>
          <w:spacing w:val="5"/>
        </w:rPr>
        <w:t>）设定提存计划列示</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19,611,993.58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19,611,993.58</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731,685.28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731,685.28</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20,343,678.86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20,343,678.86</w:t>
            </w:r>
          </w:p>
        </w:tc>
        <w:tc>
          <w:tcPr>
            <w:tcW w:w="192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0"/>
        <w:jc w:val="left"/>
      </w:pPr>
      <w:r>
        <w:rPr/>
        <w:t>其他说明：</w:t>
      </w:r>
    </w:p>
    <w:p>
      <w:pPr>
        <w:spacing w:line="240" w:lineRule="auto" w:before="5"/>
        <w:rPr>
          <w:rFonts w:ascii="宋体" w:hAnsi="宋体" w:cs="宋体" w:eastAsia="宋体" w:hint="default"/>
          <w:sz w:val="16"/>
          <w:szCs w:val="16"/>
        </w:rPr>
      </w:pPr>
    </w:p>
    <w:p>
      <w:pPr>
        <w:pStyle w:val="BodyText"/>
        <w:spacing w:line="273" w:lineRule="auto"/>
        <w:ind w:right="1179" w:firstLine="150"/>
        <w:jc w:val="left"/>
      </w:pPr>
      <w:r>
        <w:rPr/>
        <w:t>应付职工薪酬期末余额较期初增长</w:t>
      </w:r>
      <w:r>
        <w:rPr>
          <w:rFonts w:ascii="Times New Roman" w:hAnsi="Times New Roman" w:cs="Times New Roman" w:eastAsia="Times New Roman" w:hint="default"/>
        </w:rPr>
        <w:t>46,370,682.57</w:t>
      </w:r>
      <w:r>
        <w:rPr/>
        <w:t>元，增长比例为</w:t>
      </w:r>
      <w:r>
        <w:rPr>
          <w:rFonts w:ascii="Times New Roman" w:hAnsi="Times New Roman" w:cs="Times New Roman" w:eastAsia="Times New Roman" w:hint="default"/>
        </w:rPr>
        <w:t>117.66%</w:t>
      </w:r>
      <w:r>
        <w:rPr/>
        <w:t>，主要系本期第四季度订单量增长，加大生产所 需人工投入所致。</w:t>
      </w:r>
    </w:p>
    <w:p>
      <w:pPr>
        <w:spacing w:after="0" w:line="273" w:lineRule="auto"/>
        <w:jc w:val="left"/>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40、应交税费" w:id="349"/>
      <w:bookmarkEnd w:id="349"/>
      <w:r>
        <w:rPr>
          <w:b w:val="0"/>
          <w:bCs w:val="0"/>
        </w:rPr>
      </w:r>
      <w:r>
        <w:rPr>
          <w:rFonts w:ascii="Times New Roman" w:hAnsi="Times New Roman" w:cs="Times New Roman" w:eastAsia="Times New Roman" w:hint="default"/>
          <w:spacing w:val="3"/>
        </w:rPr>
        <w:t>40</w:t>
      </w:r>
      <w:r>
        <w:rPr>
          <w:spacing w:val="3"/>
        </w:rPr>
        <w:t>、应交税费</w:t>
      </w:r>
      <w:r>
        <w:rPr>
          <w:b w:val="0"/>
          <w:bCs w:val="0"/>
          <w:spacing w:val="3"/>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44,429,605.96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36,574,567.02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1,192,416.10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660,393.86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936,995.82</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1,183,215.79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1,785,607.48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845,154.14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1,275,433.95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273,873.76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946,373.38</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32,680.99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40,851.24</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431,926.89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969,710.89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3,204.70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44,094.32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962.08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49,053,434.27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42,573,634.10</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41、其他应付款" w:id="350"/>
      <w:bookmarkEnd w:id="350"/>
      <w:r>
        <w:rPr>
          <w:b w:val="0"/>
          <w:bCs w:val="0"/>
        </w:rPr>
      </w:r>
      <w:r>
        <w:rPr>
          <w:rFonts w:ascii="Times New Roman" w:hAnsi="Times New Roman" w:cs="Times New Roman" w:eastAsia="Times New Roman" w:hint="default"/>
          <w:spacing w:val="5"/>
        </w:rPr>
        <w:t>41</w:t>
      </w:r>
      <w:r>
        <w:rPr>
          <w:spacing w:val="5"/>
        </w:rPr>
        <w:t>、其他应付款</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1,678,637.55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2,868,509.53</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67,821,432.41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42,500,011.71</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69,500,069.96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45,368,521.24</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1）应付利息" w:id="351"/>
      <w:bookmarkEnd w:id="351"/>
      <w:r>
        <w:rPr>
          <w:b w:val="0"/>
          <w:bCs w:val="0"/>
        </w:rPr>
      </w:r>
      <w:r>
        <w:rPr>
          <w:spacing w:val="5"/>
        </w:rPr>
        <w:t>（</w:t>
      </w:r>
      <w:r>
        <w:rPr>
          <w:rFonts w:ascii="Times New Roman" w:hAnsi="Times New Roman" w:cs="Times New Roman" w:eastAsia="Times New Roman" w:hint="default"/>
          <w:spacing w:val="5"/>
        </w:rPr>
        <w:t>1</w:t>
      </w:r>
      <w:r>
        <w:rPr>
          <w:spacing w:val="5"/>
        </w:rPr>
        <w:t>）应付利息</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84"/>
        <w:gridCol w:w="3192"/>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280,882.27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168,498.75</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1,144,306.63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2,700,010.78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应收账款保理利息</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253,448.65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1,678,637.55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2,868,509.53</w:t>
            </w:r>
          </w:p>
        </w:tc>
      </w:tr>
    </w:tbl>
    <w:p>
      <w:pPr>
        <w:pStyle w:val="BodyText"/>
        <w:spacing w:line="240" w:lineRule="auto" w:before="45"/>
        <w:ind w:right="0"/>
        <w:jc w:val="left"/>
      </w:pPr>
      <w:r>
        <w:rPr/>
        <w:t>重要的已逾期未支付的利息情况：</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7"/>
          <w:szCs w:val="27"/>
        </w:rPr>
      </w:pPr>
    </w:p>
    <w:p>
      <w:pPr>
        <w:pStyle w:val="Heading5"/>
        <w:spacing w:line="240" w:lineRule="auto" w:before="45"/>
        <w:ind w:right="0"/>
        <w:jc w:val="left"/>
        <w:rPr>
          <w:b w:val="0"/>
          <w:bCs w:val="0"/>
        </w:rPr>
      </w:pPr>
      <w:bookmarkStart w:name="（2）应付股利" w:id="352"/>
      <w:bookmarkEnd w:id="352"/>
      <w:r>
        <w:rPr>
          <w:b w:val="0"/>
          <w:bCs w:val="0"/>
        </w:rPr>
      </w:r>
      <w:r>
        <w:rPr>
          <w:spacing w:val="5"/>
        </w:rPr>
        <w:t>（</w:t>
      </w:r>
      <w:r>
        <w:rPr>
          <w:rFonts w:ascii="Times New Roman" w:hAnsi="Times New Roman" w:cs="Times New Roman" w:eastAsia="Times New Roman" w:hint="default"/>
          <w:spacing w:val="5"/>
        </w:rPr>
        <w:t>2</w:t>
      </w:r>
      <w:r>
        <w:rPr>
          <w:spacing w:val="5"/>
        </w:rPr>
        <w:t>）应付股利</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9"/>
        <w:ind w:right="0"/>
        <w:jc w:val="left"/>
      </w:pPr>
      <w:r>
        <w:rPr/>
        <w:t>其他说明，包括重要的超过</w:t>
      </w:r>
      <w:r>
        <w:rPr>
          <w:spacing w:val="-43"/>
        </w:rPr>
        <w:t> </w:t>
      </w:r>
      <w:r>
        <w:rPr>
          <w:rFonts w:ascii="Times New Roman" w:hAnsi="Times New Roman" w:cs="Times New Roman" w:eastAsia="Times New Roman" w:hint="default"/>
        </w:rPr>
        <w:t>1 </w:t>
      </w:r>
      <w:r>
        <w:rPr/>
        <w:t>年未支付的应付股利，应披露未支付原因：</w:t>
      </w:r>
    </w:p>
    <w:p>
      <w:pPr>
        <w:spacing w:line="240" w:lineRule="auto" w:before="0"/>
        <w:rPr>
          <w:rFonts w:ascii="宋体" w:hAnsi="宋体" w:cs="宋体" w:eastAsia="宋体" w:hint="default"/>
          <w:sz w:val="18"/>
          <w:szCs w:val="18"/>
        </w:rPr>
      </w:pPr>
    </w:p>
    <w:p>
      <w:pPr>
        <w:pStyle w:val="Heading5"/>
        <w:spacing w:line="547" w:lineRule="auto" w:before="119"/>
        <w:ind w:right="6789"/>
        <w:jc w:val="left"/>
        <w:rPr>
          <w:b w:val="0"/>
          <w:bCs w:val="0"/>
        </w:rPr>
      </w:pPr>
      <w:bookmarkStart w:name="（3）其他应付款" w:id="353"/>
      <w:bookmarkEnd w:id="353"/>
      <w:r>
        <w:rPr>
          <w:b w:val="0"/>
          <w:bCs w:val="0"/>
        </w:rPr>
      </w:r>
      <w:r>
        <w:rPr>
          <w:spacing w:val="4"/>
        </w:rPr>
        <w:t>（</w:t>
      </w:r>
      <w:r>
        <w:rPr>
          <w:rFonts w:ascii="Times New Roman" w:hAnsi="Times New Roman" w:cs="Times New Roman" w:eastAsia="Times New Roman" w:hint="default"/>
          <w:spacing w:val="4"/>
        </w:rPr>
        <w:t>3</w:t>
      </w:r>
      <w:r>
        <w:rPr>
          <w:spacing w:val="4"/>
        </w:rPr>
        <w:t>）其他应付款</w:t>
      </w:r>
      <w:r>
        <w:rPr>
          <w:spacing w:val="-58"/>
        </w:rPr>
        <w:t> </w:t>
      </w:r>
      <w:r>
        <w:rPr>
          <w:spacing w:val="-58"/>
        </w:rPr>
      </w:r>
      <w:bookmarkStart w:name="1）按款项性质列示其他应付款" w:id="354"/>
      <w:bookmarkEnd w:id="354"/>
      <w:r>
        <w:rPr>
          <w:spacing w:val="-58"/>
        </w:rPr>
      </w:r>
      <w:r>
        <w:rPr>
          <w:rFonts w:ascii="Times New Roman" w:hAnsi="Times New Roman" w:cs="Times New Roman" w:eastAsia="Times New Roman" w:hint="default"/>
          <w:spacing w:val="5"/>
        </w:rPr>
        <w:t>1</w:t>
      </w:r>
      <w:r>
        <w:rPr>
          <w:spacing w:val="5"/>
        </w:rPr>
        <w:t>）按款项性质列示其他应付款</w:t>
      </w:r>
      <w:r>
        <w:rPr>
          <w:b w:val="0"/>
          <w:bCs w:val="0"/>
          <w:spacing w:val="5"/>
        </w:rPr>
      </w:r>
    </w:p>
    <w:p>
      <w:pPr>
        <w:pStyle w:val="BodyText"/>
        <w:spacing w:line="240" w:lineRule="auto" w:before="7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5,986,725.47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2,199,601.91</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3,544,938.54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1,833,277.19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其他预提费用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36,325,495.10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20,619,573.40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代收款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4,210,352.17</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4,393,567.07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3,852,634.21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限制性股票的回购义务</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4,970,875.00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13,994,925.00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涉讼应付款项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8,389,479.06</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67,821,432.41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42,500,011.71</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账龄超过1年的重要其他应付款" w:id="355"/>
      <w:bookmarkEnd w:id="355"/>
      <w:r>
        <w:rPr>
          <w:b w:val="0"/>
          <w:bCs w:val="0"/>
        </w:rPr>
      </w:r>
      <w:r>
        <w:rPr>
          <w:rFonts w:ascii="Times New Roman" w:hAnsi="Times New Roman" w:cs="Times New Roman" w:eastAsia="Times New Roman" w:hint="default"/>
          <w:spacing w:val="5"/>
        </w:rPr>
        <w:t>2</w:t>
      </w:r>
      <w:r>
        <w:rPr>
          <w:spacing w:val="5"/>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6"/>
        </w:rPr>
        <w:t>年的重要其他应付款</w:t>
      </w:r>
      <w:r>
        <w:rPr>
          <w:b w:val="0"/>
          <w:bCs w:val="0"/>
          <w:spacing w:val="6"/>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深圳市丰盛真空技术有限公司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6,274,130.08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涉讼设备款</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安徽华米信息科技有限公司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1,589,619.19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未结算的预提物料损耗</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杨义华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涉讼往来款</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Innovative    Technology</w:t>
            </w:r>
            <w:r>
              <w:rPr>
                <w:rFonts w:ascii="Times New Roman"/>
                <w:spacing w:val="3"/>
                <w:sz w:val="18"/>
              </w:rPr>
              <w:t> </w:t>
            </w:r>
            <w:r>
              <w:rPr>
                <w:rFonts w:ascii="Times New Roman"/>
                <w:sz w:val="18"/>
              </w:rPr>
              <w:t>Ltd</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751,999.26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兴鼎工程（深圳）有限公司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586,000.00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质保金</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10,701,748.53</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w:t>
      </w:r>
    </w:p>
    <w:p>
      <w:pPr>
        <w:spacing w:line="240" w:lineRule="auto" w:before="5"/>
        <w:rPr>
          <w:rFonts w:ascii="宋体" w:hAnsi="宋体" w:cs="宋体" w:eastAsia="宋体" w:hint="default"/>
          <w:sz w:val="16"/>
          <w:szCs w:val="16"/>
        </w:rPr>
      </w:pPr>
    </w:p>
    <w:p>
      <w:pPr>
        <w:pStyle w:val="BodyText"/>
        <w:spacing w:line="273" w:lineRule="auto"/>
        <w:ind w:right="1104"/>
        <w:jc w:val="left"/>
      </w:pPr>
      <w:r>
        <w:rPr>
          <w:rFonts w:ascii="Times New Roman" w:hAnsi="Times New Roman" w:cs="Times New Roman" w:eastAsia="Times New Roman" w:hint="default"/>
        </w:rPr>
        <w:t>1.</w:t>
      </w:r>
      <w:r>
        <w:rPr/>
        <w:t>其他应付款期末余额较期初增长</w:t>
      </w:r>
      <w:r>
        <w:rPr>
          <w:rFonts w:ascii="Times New Roman" w:hAnsi="Times New Roman" w:cs="Times New Roman" w:eastAsia="Times New Roman" w:hint="default"/>
        </w:rPr>
        <w:t>24,131,548.72</w:t>
      </w:r>
      <w:r>
        <w:rPr/>
        <w:t>元，增长比例为</w:t>
      </w:r>
      <w:r>
        <w:rPr>
          <w:rFonts w:ascii="Times New Roman" w:hAnsi="Times New Roman" w:cs="Times New Roman" w:eastAsia="Times New Roman" w:hint="default"/>
        </w:rPr>
        <w:t>53.19%</w:t>
      </w:r>
      <w:r>
        <w:rPr/>
        <w:t>，主要系公司日常经营预提性费用增长和控股孙公司</w:t>
      </w:r>
      <w:r>
        <w:rPr>
          <w:spacing w:val="-85"/>
        </w:rPr>
        <w:t> </w:t>
      </w:r>
      <w:r>
        <w:rPr/>
        <w:t>翼丰盛涉讼应付款项增加所致。</w:t>
      </w:r>
    </w:p>
    <w:p>
      <w:pPr>
        <w:spacing w:line="240" w:lineRule="auto" w:before="6"/>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2.</w:t>
      </w:r>
      <w:r>
        <w:rPr/>
        <w:t>期末其他应付款中无应付持本公司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表决权股份的股东单位款项。</w:t>
      </w:r>
    </w:p>
    <w:p>
      <w:pPr>
        <w:spacing w:line="240" w:lineRule="auto" w:before="3"/>
        <w:rPr>
          <w:rFonts w:ascii="宋体" w:hAnsi="宋体" w:cs="宋体" w:eastAsia="宋体" w:hint="default"/>
          <w:sz w:val="14"/>
          <w:szCs w:val="14"/>
        </w:rPr>
      </w:pPr>
    </w:p>
    <w:p>
      <w:pPr>
        <w:pStyle w:val="BodyText"/>
        <w:spacing w:line="240" w:lineRule="auto"/>
        <w:ind w:right="0"/>
        <w:jc w:val="left"/>
      </w:pPr>
      <w:r>
        <w:rPr>
          <w:rFonts w:ascii="Times New Roman" w:hAnsi="Times New Roman" w:cs="Times New Roman" w:eastAsia="Times New Roman" w:hint="default"/>
        </w:rPr>
        <w:t>3.</w:t>
      </w:r>
      <w:r>
        <w:rPr/>
        <w:t>期末其他应付款中无应付其他关联方款项。</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5"/>
        <w:spacing w:line="240" w:lineRule="auto"/>
        <w:ind w:right="0"/>
        <w:jc w:val="left"/>
        <w:rPr>
          <w:b w:val="0"/>
          <w:bCs w:val="0"/>
        </w:rPr>
      </w:pPr>
      <w:bookmarkStart w:name="42、持有待售负债" w:id="356"/>
      <w:bookmarkEnd w:id="356"/>
      <w:r>
        <w:rPr>
          <w:b w:val="0"/>
          <w:bCs w:val="0"/>
        </w:rPr>
      </w:r>
      <w:r>
        <w:rPr>
          <w:rFonts w:ascii="Times New Roman" w:hAnsi="Times New Roman" w:cs="Times New Roman" w:eastAsia="Times New Roman" w:hint="default"/>
          <w:spacing w:val="4"/>
        </w:rPr>
        <w:t>42</w:t>
      </w:r>
      <w:r>
        <w:rPr>
          <w:spacing w:val="4"/>
        </w:rPr>
        <w:t>、持有待售负债</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43、一年内到期的非流动负债" w:id="357"/>
      <w:bookmarkEnd w:id="357"/>
      <w:r>
        <w:rPr>
          <w:b w:val="0"/>
          <w:bCs w:val="0"/>
        </w:rPr>
      </w:r>
      <w:r>
        <w:rPr>
          <w:rFonts w:ascii="Times New Roman" w:hAnsi="Times New Roman" w:cs="Times New Roman" w:eastAsia="Times New Roman" w:hint="default"/>
          <w:spacing w:val="4"/>
        </w:rPr>
        <w:t>43</w:t>
      </w:r>
      <w:r>
        <w:rPr>
          <w:spacing w:val="4"/>
        </w:rPr>
        <w:t>、一年内到期的非流动负债</w:t>
      </w:r>
      <w:r>
        <w:rPr>
          <w:b w:val="0"/>
          <w:bCs w:val="0"/>
          <w:spacing w:val="4"/>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11,000,000.00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60,080,000.00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74,080,000.00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11,000,000.00</w:t>
            </w:r>
          </w:p>
        </w:tc>
      </w:tr>
    </w:tbl>
    <w:p>
      <w:pPr>
        <w:pStyle w:val="BodyText"/>
        <w:spacing w:line="240" w:lineRule="auto" w:before="44"/>
        <w:ind w:right="0"/>
        <w:jc w:val="left"/>
      </w:pPr>
      <w:r>
        <w:rPr/>
        <w:t>其他说明：</w:t>
      </w:r>
    </w:p>
    <w:p>
      <w:pPr>
        <w:pStyle w:val="BodyText"/>
        <w:spacing w:line="240" w:lineRule="auto" w:before="110"/>
        <w:ind w:left="441" w:right="0"/>
        <w:jc w:val="left"/>
      </w:pPr>
      <w:r>
        <w:rPr/>
        <w:t>一年内到期的长期借款明细：</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435"/>
        <w:gridCol w:w="3139"/>
        <w:gridCol w:w="991"/>
        <w:gridCol w:w="1788"/>
        <w:gridCol w:w="991"/>
        <w:gridCol w:w="2268"/>
      </w:tblGrid>
      <w:tr>
        <w:trPr>
          <w:trHeight w:val="345" w:hRule="exact"/>
        </w:trPr>
        <w:tc>
          <w:tcPr>
            <w:tcW w:w="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银行名称</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25"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种类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 w:right="0"/>
              <w:jc w:val="center"/>
              <w:rPr>
                <w:rFonts w:ascii="宋体" w:hAnsi="宋体" w:cs="宋体" w:eastAsia="宋体" w:hint="default"/>
                <w:sz w:val="18"/>
                <w:szCs w:val="18"/>
              </w:rPr>
            </w:pPr>
            <w:r>
              <w:rPr>
                <w:rFonts w:ascii="宋体" w:hAnsi="宋体" w:cs="宋体" w:eastAsia="宋体" w:hint="default"/>
                <w:sz w:val="18"/>
                <w:szCs w:val="18"/>
              </w:rPr>
              <w:t>期限</w:t>
            </w:r>
          </w:p>
        </w:tc>
      </w:tr>
      <w:tr>
        <w:trPr>
          <w:trHeight w:val="360" w:hRule="exact"/>
        </w:trPr>
        <w:tc>
          <w:tcPr>
            <w:tcW w:w="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中国工商银行厦门软件园支行</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11,000,000.00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2017.12.12</w:t>
            </w:r>
            <w:r>
              <w:rPr>
                <w:rFonts w:ascii="宋体" w:hAnsi="宋体" w:cs="宋体" w:eastAsia="宋体" w:hint="default"/>
                <w:sz w:val="18"/>
                <w:szCs w:val="18"/>
              </w:rPr>
              <w:t>至</w:t>
            </w:r>
            <w:r>
              <w:rPr>
                <w:rFonts w:ascii="Times New Roman" w:hAnsi="Times New Roman" w:cs="Times New Roman" w:eastAsia="Times New Roman" w:hint="default"/>
                <w:sz w:val="18"/>
                <w:szCs w:val="18"/>
              </w:rPr>
              <w:t>2020.12.20</w:t>
            </w:r>
          </w:p>
        </w:tc>
      </w:tr>
      <w:tr>
        <w:trPr>
          <w:trHeight w:val="345" w:hRule="exact"/>
        </w:trPr>
        <w:tc>
          <w:tcPr>
            <w:tcW w:w="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2</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华夏银行股份有限公司深圳蔡屋围支行</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2019.4.2</w:t>
            </w:r>
            <w:r>
              <w:rPr>
                <w:rFonts w:ascii="宋体" w:hAnsi="宋体" w:cs="宋体" w:eastAsia="宋体" w:hint="default"/>
                <w:sz w:val="18"/>
                <w:szCs w:val="18"/>
              </w:rPr>
              <w:t>至</w:t>
            </w:r>
            <w:r>
              <w:rPr>
                <w:rFonts w:ascii="Times New Roman" w:hAnsi="Times New Roman" w:cs="Times New Roman" w:eastAsia="Times New Roman" w:hint="default"/>
                <w:sz w:val="18"/>
                <w:szCs w:val="18"/>
              </w:rPr>
              <w:t>2020.6.30</w:t>
            </w:r>
          </w:p>
        </w:tc>
      </w:tr>
      <w:tr>
        <w:trPr>
          <w:trHeight w:val="345" w:hRule="exact"/>
        </w:trPr>
        <w:tc>
          <w:tcPr>
            <w:tcW w:w="435" w:type="dxa"/>
            <w:tcBorders>
              <w:top w:val="single" w:sz="6" w:space="0" w:color="000000"/>
              <w:left w:val="single" w:sz="6" w:space="0" w:color="000000"/>
              <w:bottom w:val="single" w:sz="6" w:space="0" w:color="000000"/>
              <w:right w:val="single" w:sz="6" w:space="0" w:color="000000"/>
            </w:tcBorders>
          </w:tcPr>
          <w:p>
            <w:pP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14,000,000.00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left="486" w:right="0"/>
        <w:jc w:val="left"/>
      </w:pPr>
      <w:r>
        <w:rPr/>
        <w:t>一年内到期的长期借款系：</w:t>
      </w:r>
    </w:p>
    <w:p>
      <w:pPr>
        <w:pStyle w:val="BodyText"/>
        <w:spacing w:line="290" w:lineRule="auto" w:before="94"/>
        <w:ind w:right="0" w:firstLine="420"/>
        <w:jc w:val="left"/>
      </w:pPr>
      <w:r>
        <w:rPr>
          <w:spacing w:val="-2"/>
        </w:rPr>
        <w:t>（</w:t>
      </w:r>
      <w:r>
        <w:rPr>
          <w:rFonts w:ascii="Times New Roman" w:hAnsi="Times New Roman" w:cs="Times New Roman" w:eastAsia="Times New Roman" w:hint="default"/>
          <w:spacing w:val="-2"/>
        </w:rPr>
        <w:t>1</w:t>
      </w:r>
      <w:r>
        <w:rPr>
          <w:spacing w:val="-2"/>
        </w:rPr>
        <w:t>）本公司之全资孙公司中广互联（厦门）信息科技有限公司以所购厦门软件园三期研发楼作为抵押，并由本公司提</w:t>
      </w:r>
      <w:r>
        <w:rPr/>
        <w:t> 供担保，向中国工商银行厦门软件园支行申请借款，按照借款合同约定将于</w:t>
      </w:r>
      <w:r>
        <w:rPr>
          <w:rFonts w:ascii="Times New Roman" w:hAnsi="Times New Roman" w:cs="Times New Roman" w:eastAsia="Times New Roman" w:hint="default"/>
        </w:rPr>
        <w:t>2020</w:t>
      </w:r>
      <w:r>
        <w:rPr/>
        <w:t>年偿还的借款金额。</w:t>
      </w:r>
    </w:p>
    <w:p>
      <w:pPr>
        <w:pStyle w:val="BodyText"/>
        <w:spacing w:line="304" w:lineRule="auto" w:before="24"/>
        <w:ind w:right="1112" w:firstLine="420"/>
        <w:jc w:val="left"/>
      </w:pPr>
      <w:r>
        <w:rPr>
          <w:spacing w:val="-1"/>
        </w:rPr>
        <w:t>（</w:t>
      </w:r>
      <w:r>
        <w:rPr>
          <w:rFonts w:ascii="Times New Roman" w:hAnsi="Times New Roman" w:cs="Times New Roman" w:eastAsia="Times New Roman" w:hint="default"/>
          <w:spacing w:val="-1"/>
        </w:rPr>
        <w:t>2</w:t>
      </w:r>
      <w:r>
        <w:rPr>
          <w:spacing w:val="-1"/>
        </w:rPr>
        <w:t>）本公司以马家龙创新大厦</w:t>
      </w:r>
      <w:r>
        <w:rPr>
          <w:rFonts w:ascii="Times New Roman" w:hAnsi="Times New Roman" w:cs="Times New Roman" w:eastAsia="Times New Roman" w:hint="default"/>
          <w:spacing w:val="-1"/>
        </w:rPr>
        <w:t>12</w:t>
      </w:r>
      <w:r>
        <w:rPr>
          <w:spacing w:val="-1"/>
        </w:rPr>
        <w:t>套房产作为抵押，向华夏银行股份有限公司深圳蔡屋围支行申请借款，按照借款合同</w:t>
      </w:r>
      <w:r>
        <w:rPr/>
        <w:t> 约定将于</w:t>
      </w:r>
      <w:r>
        <w:rPr>
          <w:rFonts w:ascii="Times New Roman" w:hAnsi="Times New Roman" w:cs="Times New Roman" w:eastAsia="Times New Roman" w:hint="default"/>
        </w:rPr>
        <w:t>2020</w:t>
      </w:r>
      <w:r>
        <w:rPr/>
        <w:t>年偿还的借款金额。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5"/>
        <w:ind w:right="0"/>
        <w:jc w:val="left"/>
        <w:rPr>
          <w:b w:val="0"/>
          <w:bCs w:val="0"/>
        </w:rPr>
      </w:pPr>
      <w:bookmarkStart w:name="44、其他流动负债" w:id="358"/>
      <w:bookmarkEnd w:id="358"/>
      <w:r>
        <w:rPr>
          <w:b w:val="0"/>
          <w:bCs w:val="0"/>
        </w:rPr>
      </w:r>
      <w:r>
        <w:rPr>
          <w:rFonts w:ascii="Times New Roman" w:hAnsi="Times New Roman" w:cs="Times New Roman" w:eastAsia="Times New Roman" w:hint="default"/>
          <w:spacing w:val="4"/>
        </w:rPr>
        <w:t>44</w:t>
      </w:r>
      <w:r>
        <w:rPr>
          <w:spacing w:val="4"/>
        </w:rPr>
        <w:t>、其他流动负债</w:t>
      </w:r>
      <w:r>
        <w:rPr>
          <w:b w:val="0"/>
          <w:bCs w:val="0"/>
          <w:spacing w:val="4"/>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是否已执行新收入准则</w:t>
      </w:r>
    </w:p>
    <w:p>
      <w:pPr>
        <w:pStyle w:val="BodyText"/>
        <w:spacing w:line="240" w:lineRule="auto" w:before="13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4"/>
        <w:ind w:right="0"/>
        <w:jc w:val="left"/>
      </w:pPr>
      <w:r>
        <w:rPr/>
        <w:t>短期应付债券的增减变动：</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811"/>
        <w:gridCol w:w="796"/>
        <w:gridCol w:w="796"/>
        <w:gridCol w:w="796"/>
        <w:gridCol w:w="796"/>
        <w:gridCol w:w="811"/>
        <w:gridCol w:w="796"/>
        <w:gridCol w:w="796"/>
        <w:gridCol w:w="796"/>
        <w:gridCol w:w="796"/>
      </w:tblGrid>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4"/>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7"/>
          <w:szCs w:val="27"/>
        </w:rPr>
      </w:pPr>
    </w:p>
    <w:p>
      <w:pPr>
        <w:pStyle w:val="Heading5"/>
        <w:spacing w:line="240" w:lineRule="auto" w:before="45"/>
        <w:ind w:right="0"/>
        <w:jc w:val="left"/>
        <w:rPr>
          <w:b w:val="0"/>
          <w:bCs w:val="0"/>
        </w:rPr>
      </w:pPr>
      <w:bookmarkStart w:name="45、长期借款" w:id="359"/>
      <w:bookmarkEnd w:id="359"/>
      <w:r>
        <w:rPr>
          <w:b w:val="0"/>
          <w:bCs w:val="0"/>
        </w:rPr>
      </w:r>
      <w:r>
        <w:rPr>
          <w:rFonts w:ascii="Times New Roman" w:hAnsi="Times New Roman" w:cs="Times New Roman" w:eastAsia="Times New Roman" w:hint="default"/>
          <w:spacing w:val="3"/>
        </w:rPr>
        <w:t>45</w:t>
      </w:r>
      <w:r>
        <w:rPr>
          <w:spacing w:val="3"/>
        </w:rPr>
        <w:t>、长期借款</w:t>
      </w:r>
      <w:r>
        <w:rPr>
          <w:b w:val="0"/>
          <w:bCs w:val="0"/>
          <w:spacing w:val="3"/>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长期借款分类" w:id="360"/>
      <w:bookmarkEnd w:id="360"/>
      <w:r>
        <w:rPr>
          <w:b w:val="0"/>
          <w:bCs w:val="0"/>
        </w:rPr>
      </w:r>
      <w:r>
        <w:rPr>
          <w:spacing w:val="5"/>
        </w:rPr>
        <w:t>（</w:t>
      </w:r>
      <w:r>
        <w:rPr>
          <w:rFonts w:ascii="Times New Roman" w:hAnsi="Times New Roman" w:cs="Times New Roman" w:eastAsia="Times New Roman" w:hint="default"/>
          <w:spacing w:val="5"/>
        </w:rPr>
        <w:t>1</w:t>
      </w:r>
      <w:r>
        <w:rPr>
          <w:spacing w:val="5"/>
        </w:rPr>
        <w:t>）长期借款分类</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163,750,000.00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120,000,000.00</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163,750,000.00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120,000,000.00</w:t>
            </w:r>
          </w:p>
        </w:tc>
      </w:tr>
    </w:tbl>
    <w:p>
      <w:pPr>
        <w:pStyle w:val="BodyText"/>
        <w:spacing w:line="240" w:lineRule="auto" w:before="45"/>
        <w:ind w:right="0"/>
        <w:jc w:val="left"/>
      </w:pPr>
      <w:r>
        <w:rPr/>
        <w:t>长期借款分类的说明：</w:t>
      </w:r>
    </w:p>
    <w:p>
      <w:pPr>
        <w:pStyle w:val="Heading4"/>
        <w:spacing w:line="240" w:lineRule="auto" w:before="90"/>
        <w:ind w:right="0"/>
        <w:jc w:val="left"/>
      </w:pPr>
      <w:r>
        <w:rPr/>
        <w:t>长期借款明细</w:t>
      </w:r>
    </w:p>
    <w:p>
      <w:pPr>
        <w:spacing w:line="240" w:lineRule="auto" w:before="8"/>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435"/>
        <w:gridCol w:w="3139"/>
        <w:gridCol w:w="991"/>
        <w:gridCol w:w="1788"/>
        <w:gridCol w:w="991"/>
        <w:gridCol w:w="2268"/>
      </w:tblGrid>
      <w:tr>
        <w:trPr>
          <w:trHeight w:val="345" w:hRule="exact"/>
        </w:trPr>
        <w:tc>
          <w:tcPr>
            <w:tcW w:w="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宋体" w:hAnsi="宋体" w:cs="宋体" w:eastAsia="宋体" w:hint="default"/>
                <w:sz w:val="15"/>
                <w:szCs w:val="15"/>
              </w:rPr>
            </w:pPr>
            <w:r>
              <w:rPr>
                <w:rFonts w:ascii="宋体" w:hAnsi="宋体" w:cs="宋体" w:eastAsia="宋体" w:hint="default"/>
                <w:sz w:val="15"/>
                <w:szCs w:val="15"/>
              </w:rPr>
              <w:t>序号</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银行名称</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25"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3"/>
              <w:jc w:val="center"/>
              <w:rPr>
                <w:rFonts w:ascii="宋体" w:hAnsi="宋体" w:cs="宋体" w:eastAsia="宋体" w:hint="default"/>
                <w:sz w:val="18"/>
                <w:szCs w:val="18"/>
              </w:rPr>
            </w:pPr>
            <w:r>
              <w:rPr>
                <w:rFonts w:ascii="宋体" w:hAnsi="宋体" w:cs="宋体" w:eastAsia="宋体" w:hint="default"/>
                <w:sz w:val="18"/>
                <w:szCs w:val="18"/>
              </w:rPr>
              <w:t>种类</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 w:right="0"/>
              <w:jc w:val="center"/>
              <w:rPr>
                <w:rFonts w:ascii="宋体" w:hAnsi="宋体" w:cs="宋体" w:eastAsia="宋体" w:hint="default"/>
                <w:sz w:val="18"/>
                <w:szCs w:val="18"/>
              </w:rPr>
            </w:pPr>
            <w:r>
              <w:rPr>
                <w:rFonts w:ascii="宋体" w:hAnsi="宋体" w:cs="宋体" w:eastAsia="宋体" w:hint="default"/>
                <w:sz w:val="18"/>
                <w:szCs w:val="18"/>
              </w:rPr>
              <w:t>期限</w:t>
            </w:r>
          </w:p>
        </w:tc>
      </w:tr>
      <w:tr>
        <w:trPr>
          <w:trHeight w:val="361" w:hRule="exact"/>
        </w:trPr>
        <w:tc>
          <w:tcPr>
            <w:tcW w:w="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中国工商银行厦门软件园支行</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109,000,000.00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2017.12.12</w:t>
            </w:r>
            <w:r>
              <w:rPr>
                <w:rFonts w:ascii="宋体" w:hAnsi="宋体" w:cs="宋体" w:eastAsia="宋体" w:hint="default"/>
                <w:sz w:val="18"/>
                <w:szCs w:val="18"/>
              </w:rPr>
              <w:t>至</w:t>
            </w:r>
            <w:r>
              <w:rPr>
                <w:rFonts w:ascii="Times New Roman" w:hAnsi="Times New Roman" w:cs="Times New Roman" w:eastAsia="Times New Roman" w:hint="default"/>
                <w:sz w:val="18"/>
                <w:szCs w:val="18"/>
              </w:rPr>
              <w:t>2027.12.14</w:t>
            </w:r>
          </w:p>
        </w:tc>
      </w:tr>
      <w:tr>
        <w:trPr>
          <w:trHeight w:val="346" w:hRule="exact"/>
        </w:trPr>
        <w:tc>
          <w:tcPr>
            <w:tcW w:w="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2</w:t>
            </w: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华夏银行股份有限公司深圳蔡屋围支行</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54,750,000.00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2019.4.2</w:t>
            </w:r>
            <w:r>
              <w:rPr>
                <w:rFonts w:ascii="宋体" w:hAnsi="宋体" w:cs="宋体" w:eastAsia="宋体" w:hint="default"/>
                <w:sz w:val="18"/>
                <w:szCs w:val="18"/>
              </w:rPr>
              <w:t>至</w:t>
            </w:r>
            <w:r>
              <w:rPr>
                <w:rFonts w:ascii="Times New Roman" w:hAnsi="Times New Roman" w:cs="Times New Roman" w:eastAsia="Times New Roman" w:hint="default"/>
                <w:sz w:val="18"/>
                <w:szCs w:val="18"/>
              </w:rPr>
              <w:t>2027.4.2</w:t>
            </w:r>
          </w:p>
        </w:tc>
      </w:tr>
      <w:tr>
        <w:trPr>
          <w:trHeight w:val="345" w:hRule="exact"/>
        </w:trPr>
        <w:tc>
          <w:tcPr>
            <w:tcW w:w="435" w:type="dxa"/>
            <w:tcBorders>
              <w:top w:val="single" w:sz="6" w:space="0" w:color="000000"/>
              <w:left w:val="single" w:sz="6" w:space="0" w:color="000000"/>
              <w:bottom w:val="single" w:sz="6" w:space="0" w:color="000000"/>
              <w:right w:val="single" w:sz="6" w:space="0" w:color="000000"/>
            </w:tcBorders>
          </w:tcPr>
          <w:p>
            <w:pPr/>
          </w:p>
        </w:tc>
        <w:tc>
          <w:tcPr>
            <w:tcW w:w="31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6" w:space="0" w:color="000000"/>
              <w:left w:val="single" w:sz="6" w:space="0" w:color="000000"/>
              <w:bottom w:val="single" w:sz="6" w:space="0" w:color="000000"/>
              <w:right w:val="single" w:sz="6" w:space="0" w:color="000000"/>
            </w:tcBorders>
          </w:tcPr>
          <w:p>
            <w:pP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163,750,000.00</w:t>
            </w:r>
          </w:p>
        </w:tc>
        <w:tc>
          <w:tcPr>
            <w:tcW w:w="991"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r>
    </w:tbl>
    <w:p>
      <w:pPr>
        <w:pStyle w:val="Heading4"/>
        <w:spacing w:line="255" w:lineRule="exact"/>
        <w:ind w:right="0"/>
        <w:jc w:val="left"/>
      </w:pPr>
      <w:r>
        <w:rPr/>
        <w:t>抵押借款系：</w:t>
      </w:r>
    </w:p>
    <w:p>
      <w:pPr>
        <w:pStyle w:val="BodyText"/>
        <w:spacing w:line="297" w:lineRule="auto" w:before="75"/>
        <w:ind w:right="1125"/>
        <w:jc w:val="both"/>
      </w:pPr>
      <w:r>
        <w:rPr/>
        <w:t>（</w:t>
      </w:r>
      <w:r>
        <w:rPr>
          <w:rFonts w:ascii="Times New Roman" w:hAnsi="Times New Roman" w:cs="Times New Roman" w:eastAsia="Times New Roman" w:hint="default"/>
        </w:rPr>
        <w:t>1</w:t>
      </w:r>
      <w:r>
        <w:rPr/>
        <w:t>）本公司之全资孙公司中广互联（厦门）信息科技有限公司以所购厦门软件园三期研发楼作为抵押，并由本公司提供担 保，向中国工商银行厦门软件园支行申请借款，借款总金额</w:t>
      </w:r>
      <w:r>
        <w:rPr>
          <w:rFonts w:ascii="Times New Roman" w:hAnsi="Times New Roman" w:cs="Times New Roman" w:eastAsia="Times New Roman" w:hint="default"/>
        </w:rPr>
        <w:t>14,000.00</w:t>
      </w:r>
      <w:r>
        <w:rPr/>
        <w:t>万元</w:t>
      </w:r>
      <w:r>
        <w:rPr>
          <w:rFonts w:ascii="Times New Roman" w:hAnsi="Times New Roman" w:cs="Times New Roman" w:eastAsia="Times New Roman" w:hint="default"/>
        </w:rPr>
        <w:t>,</w:t>
      </w:r>
      <w:r>
        <w:rPr/>
        <w:t>本期还款</w:t>
      </w:r>
      <w:r>
        <w:rPr>
          <w:rFonts w:ascii="Times New Roman" w:hAnsi="Times New Roman" w:cs="Times New Roman" w:eastAsia="Times New Roman" w:hint="default"/>
        </w:rPr>
        <w:t>1,100.00</w:t>
      </w:r>
      <w:r>
        <w:rPr/>
        <w:t>万元</w:t>
      </w:r>
      <w:r>
        <w:rPr>
          <w:rFonts w:ascii="Times New Roman" w:hAnsi="Times New Roman" w:cs="Times New Roman" w:eastAsia="Times New Roman" w:hint="default"/>
        </w:rPr>
        <w:t>,</w:t>
      </w:r>
      <w:r>
        <w:rPr/>
        <w:t>累计还款</w:t>
      </w:r>
      <w:r>
        <w:rPr>
          <w:rFonts w:ascii="Times New Roman" w:hAnsi="Times New Roman" w:cs="Times New Roman" w:eastAsia="Times New Roman" w:hint="default"/>
        </w:rPr>
        <w:t>2,000.00</w:t>
      </w:r>
      <w:r>
        <w:rPr/>
        <w:t>万元，将</w:t>
      </w:r>
      <w:r>
        <w:rPr>
          <w:spacing w:val="-82"/>
        </w:rPr>
        <w:t> </w:t>
      </w:r>
      <w:r>
        <w:rPr/>
        <w:t>于一年内到期的借款金额</w:t>
      </w:r>
      <w:r>
        <w:rPr>
          <w:rFonts w:ascii="Times New Roman" w:hAnsi="Times New Roman" w:cs="Times New Roman" w:eastAsia="Times New Roman" w:hint="default"/>
        </w:rPr>
        <w:t>1,100.00</w:t>
      </w:r>
      <w:r>
        <w:rPr/>
        <w:t>万元重分类至一年内到期的非流动负债列报。</w:t>
      </w:r>
    </w:p>
    <w:p>
      <w:pPr>
        <w:pStyle w:val="BodyText"/>
        <w:spacing w:line="295" w:lineRule="auto" w:before="18"/>
        <w:ind w:right="1119"/>
        <w:jc w:val="left"/>
      </w:pPr>
      <w:r>
        <w:rPr/>
        <w:t>（</w:t>
      </w:r>
      <w:r>
        <w:rPr>
          <w:rFonts w:ascii="Times New Roman" w:hAnsi="Times New Roman" w:cs="Times New Roman" w:eastAsia="Times New Roman" w:hint="default"/>
        </w:rPr>
        <w:t>2</w:t>
      </w:r>
      <w:r>
        <w:rPr/>
        <w:t>）本公司以马家龙创新大厦</w:t>
      </w:r>
      <w:r>
        <w:rPr>
          <w:rFonts w:ascii="Times New Roman" w:hAnsi="Times New Roman" w:cs="Times New Roman" w:eastAsia="Times New Roman" w:hint="default"/>
        </w:rPr>
        <w:t>12</w:t>
      </w:r>
      <w:r>
        <w:rPr/>
        <w:t>套房产作为抵押，向华夏银行股份有限公司深圳蔡屋围支行申请借款，借款总额</w:t>
      </w:r>
      <w:r>
        <w:rPr>
          <w:rFonts w:ascii="Times New Roman" w:hAnsi="Times New Roman" w:cs="Times New Roman" w:eastAsia="Times New Roman" w:hint="default"/>
        </w:rPr>
        <w:t>6,000.00</w:t>
      </w:r>
      <w:r>
        <w:rPr>
          <w:rFonts w:ascii="Times New Roman" w:hAnsi="Times New Roman" w:cs="Times New Roman" w:eastAsia="Times New Roman" w:hint="default"/>
          <w:spacing w:val="-35"/>
        </w:rPr>
        <w:t> </w:t>
      </w:r>
      <w:r>
        <w:rPr/>
        <w:t>万元，本期还款</w:t>
      </w:r>
      <w:r>
        <w:rPr>
          <w:rFonts w:ascii="Times New Roman" w:hAnsi="Times New Roman" w:cs="Times New Roman" w:eastAsia="Times New Roman" w:hint="default"/>
        </w:rPr>
        <w:t>225.00</w:t>
      </w:r>
      <w:r>
        <w:rPr/>
        <w:t>万元</w:t>
      </w:r>
      <w:r>
        <w:rPr>
          <w:rFonts w:ascii="Times New Roman" w:hAnsi="Times New Roman" w:cs="Times New Roman" w:eastAsia="Times New Roman" w:hint="default"/>
        </w:rPr>
        <w:t>,</w:t>
      </w:r>
      <w:r>
        <w:rPr/>
        <w:t>累计还款</w:t>
      </w:r>
      <w:r>
        <w:rPr>
          <w:rFonts w:ascii="Times New Roman" w:hAnsi="Times New Roman" w:cs="Times New Roman" w:eastAsia="Times New Roman" w:hint="default"/>
        </w:rPr>
        <w:t>225.00</w:t>
      </w:r>
      <w:r>
        <w:rPr/>
        <w:t>万元，将于一年内到期的借款金额</w:t>
      </w:r>
      <w:r>
        <w:rPr>
          <w:rFonts w:ascii="Times New Roman" w:hAnsi="Times New Roman" w:cs="Times New Roman" w:eastAsia="Times New Roman" w:hint="default"/>
        </w:rPr>
        <w:t>300.00</w:t>
      </w:r>
      <w:r>
        <w:rPr/>
        <w:t>万元重分类至一年内到期的非流动负债</w:t>
      </w:r>
      <w:r>
        <w:rPr>
          <w:spacing w:val="-85"/>
        </w:rPr>
        <w:t> </w:t>
      </w:r>
      <w:r>
        <w:rPr/>
        <w:t>列报。</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其他说明，包括利率区间：</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46、应付债券" w:id="361"/>
      <w:bookmarkEnd w:id="361"/>
      <w:r>
        <w:rPr>
          <w:b w:val="0"/>
          <w:bCs w:val="0"/>
        </w:rPr>
      </w:r>
      <w:r>
        <w:rPr>
          <w:rFonts w:ascii="Times New Roman" w:hAnsi="Times New Roman" w:cs="Times New Roman" w:eastAsia="Times New Roman" w:hint="default"/>
          <w:spacing w:val="3"/>
        </w:rPr>
        <w:t>46</w:t>
      </w:r>
      <w:r>
        <w:rPr>
          <w:spacing w:val="3"/>
        </w:rPr>
        <w:t>、应付债券</w:t>
      </w:r>
      <w:r>
        <w:rPr>
          <w:b w:val="0"/>
          <w:bCs w:val="0"/>
          <w:spacing w:val="3"/>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应付债券" w:id="362"/>
      <w:bookmarkEnd w:id="362"/>
      <w:r>
        <w:rPr>
          <w:b w:val="0"/>
          <w:bCs w:val="0"/>
        </w:rPr>
      </w:r>
      <w:r>
        <w:rPr>
          <w:spacing w:val="5"/>
        </w:rPr>
        <w:t>（</w:t>
      </w:r>
      <w:r>
        <w:rPr>
          <w:rFonts w:ascii="Times New Roman" w:hAnsi="Times New Roman" w:cs="Times New Roman" w:eastAsia="Times New Roman" w:hint="default"/>
          <w:spacing w:val="5"/>
        </w:rPr>
        <w:t>1</w:t>
      </w:r>
      <w:r>
        <w:rPr>
          <w:spacing w:val="5"/>
        </w:rPr>
        <w:t>）应付债券</w:t>
      </w:r>
      <w:r>
        <w:rPr>
          <w:b w:val="0"/>
          <w:bCs w:val="0"/>
          <w:spacing w:val="5"/>
        </w:rPr>
      </w:r>
    </w:p>
    <w:p>
      <w:pPr>
        <w:spacing w:line="240" w:lineRule="auto" w:before="7"/>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应付债券的增减变动（不包括划分为金融负债的优先股、永续债等其他金融工具）" w:id="363"/>
      <w:bookmarkEnd w:id="363"/>
      <w:r>
        <w:rPr>
          <w:b w:val="0"/>
          <w:bCs w:val="0"/>
        </w:rPr>
      </w:r>
      <w:r>
        <w:rPr>
          <w:spacing w:val="5"/>
        </w:rPr>
        <w:t>（</w:t>
      </w:r>
      <w:r>
        <w:rPr>
          <w:rFonts w:ascii="Times New Roman" w:hAnsi="Times New Roman" w:cs="Times New Roman" w:eastAsia="Times New Roman" w:hint="default"/>
          <w:spacing w:val="5"/>
        </w:rPr>
        <w:t>2</w:t>
      </w:r>
      <w:r>
        <w:rPr>
          <w:spacing w:val="5"/>
        </w:rPr>
        <w:t>）应付债券的增减变动（不包括划分为金融负债的优先股、永续债等其他金融工具）</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89"/>
        <w:gridCol w:w="804"/>
        <w:gridCol w:w="811"/>
        <w:gridCol w:w="796"/>
        <w:gridCol w:w="796"/>
        <w:gridCol w:w="796"/>
        <w:gridCol w:w="796"/>
        <w:gridCol w:w="811"/>
        <w:gridCol w:w="796"/>
        <w:gridCol w:w="796"/>
        <w:gridCol w:w="796"/>
        <w:gridCol w:w="796"/>
      </w:tblGrid>
      <w:tr>
        <w:trPr>
          <w:trHeight w:val="158" w:hRule="exact"/>
        </w:trPr>
        <w:tc>
          <w:tcPr>
            <w:tcW w:w="789" w:type="dxa"/>
            <w:tcBorders>
              <w:top w:val="single" w:sz="6" w:space="0" w:color="000000"/>
              <w:left w:val="single" w:sz="6" w:space="0" w:color="000000"/>
              <w:bottom w:val="nil" w:sz="6" w:space="0" w:color="auto"/>
              <w:right w:val="single" w:sz="6" w:space="0" w:color="000000"/>
            </w:tcBorders>
            <w:shd w:val="clear" w:color="auto" w:fill="D2D2D2"/>
          </w:tcPr>
          <w:p>
            <w:pPr/>
          </w:p>
        </w:tc>
        <w:tc>
          <w:tcPr>
            <w:tcW w:w="804"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vMerge w:val="restart"/>
            <w:tcBorders>
              <w:top w:val="single" w:sz="6" w:space="0" w:color="000000"/>
              <w:left w:val="single" w:sz="6" w:space="0" w:color="000000"/>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78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80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r>
      <w:tr>
        <w:trPr>
          <w:trHeight w:val="158" w:hRule="exact"/>
        </w:trPr>
        <w:tc>
          <w:tcPr>
            <w:tcW w:w="789" w:type="dxa"/>
            <w:vMerge/>
            <w:tcBorders>
              <w:left w:val="single" w:sz="6" w:space="0" w:color="000000"/>
              <w:bottom w:val="single" w:sz="6" w:space="0" w:color="000000"/>
              <w:right w:val="single" w:sz="6" w:space="0" w:color="000000"/>
            </w:tcBorders>
            <w:shd w:val="clear" w:color="auto" w:fill="D2D2D2"/>
          </w:tcPr>
          <w:p>
            <w:pPr/>
          </w:p>
        </w:tc>
        <w:tc>
          <w:tcPr>
            <w:tcW w:w="804"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78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804" w:type="dxa"/>
            <w:tcBorders>
              <w:top w:val="single" w:sz="6" w:space="0" w:color="000000"/>
              <w:left w:val="single" w:sz="12"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7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12"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3）可转换公司债券的转股条件、转股时间说明" w:id="364"/>
      <w:bookmarkEnd w:id="364"/>
      <w:r>
        <w:rPr>
          <w:b w:val="0"/>
          <w:bCs w:val="0"/>
        </w:rPr>
      </w:r>
      <w:r>
        <w:rPr>
          <w:spacing w:val="5"/>
        </w:rPr>
        <w:t>（</w:t>
      </w:r>
      <w:r>
        <w:rPr>
          <w:rFonts w:ascii="Times New Roman" w:hAnsi="Times New Roman" w:cs="Times New Roman" w:eastAsia="Times New Roman" w:hint="default"/>
          <w:spacing w:val="5"/>
        </w:rPr>
        <w:t>3</w:t>
      </w:r>
      <w:r>
        <w:rPr>
          <w:spacing w:val="5"/>
        </w:rPr>
        <w:t>）可转换公司债券的转股条件、转股时间说明</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4）划分为金融负债的其他金融工具说明" w:id="365"/>
      <w:bookmarkEnd w:id="365"/>
      <w:r>
        <w:rPr>
          <w:b w:val="0"/>
          <w:bCs w:val="0"/>
        </w:rPr>
      </w:r>
      <w:r>
        <w:rPr>
          <w:spacing w:val="5"/>
        </w:rPr>
        <w:t>（</w:t>
      </w:r>
      <w:r>
        <w:rPr>
          <w:rFonts w:ascii="Times New Roman" w:hAnsi="Times New Roman" w:cs="Times New Roman" w:eastAsia="Times New Roman" w:hint="default"/>
          <w:spacing w:val="5"/>
        </w:rPr>
        <w:t>4</w:t>
      </w:r>
      <w:r>
        <w:rPr>
          <w:spacing w:val="5"/>
        </w:rPr>
        <w:t>）划分为金融负债的其他金融工具说明</w:t>
      </w:r>
      <w:r>
        <w:rPr>
          <w:b w:val="0"/>
          <w:bCs w:val="0"/>
          <w:spacing w:val="5"/>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50"/>
          <w:pgMar w:header="731" w:footer="981" w:top="1040" w:bottom="1180" w:left="1000" w:right="0"/>
        </w:sectPr>
      </w:pPr>
    </w:p>
    <w:p>
      <w:pPr>
        <w:pStyle w:val="BodyText"/>
        <w:spacing w:line="352"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4642" w:space="420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405"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89"/>
              <w:ind w:left="150" w:right="88"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91"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7" w:lineRule="auto" w:before="44"/>
        <w:ind w:right="7509"/>
        <w:jc w:val="left"/>
      </w:pPr>
      <w:r>
        <w:rPr/>
        <w:t>其他金融工具划分为金融负债的依据说明 其他说明</w:t>
      </w:r>
    </w:p>
    <w:p>
      <w:pPr>
        <w:spacing w:line="240" w:lineRule="auto" w:before="0"/>
        <w:rPr>
          <w:rFonts w:ascii="宋体" w:hAnsi="宋体" w:cs="宋体" w:eastAsia="宋体" w:hint="default"/>
          <w:sz w:val="22"/>
          <w:szCs w:val="22"/>
        </w:rPr>
      </w:pPr>
    </w:p>
    <w:p>
      <w:pPr>
        <w:pStyle w:val="Heading5"/>
        <w:spacing w:line="240" w:lineRule="auto"/>
        <w:ind w:right="0"/>
        <w:jc w:val="left"/>
        <w:rPr>
          <w:b w:val="0"/>
          <w:bCs w:val="0"/>
        </w:rPr>
      </w:pPr>
      <w:bookmarkStart w:name="47、租赁负债" w:id="366"/>
      <w:bookmarkEnd w:id="366"/>
      <w:r>
        <w:rPr>
          <w:b w:val="0"/>
          <w:bCs w:val="0"/>
        </w:rPr>
      </w:r>
      <w:r>
        <w:rPr>
          <w:rFonts w:ascii="Times New Roman" w:hAnsi="Times New Roman" w:cs="Times New Roman" w:eastAsia="Times New Roman" w:hint="default"/>
          <w:spacing w:val="3"/>
        </w:rPr>
        <w:t>47</w:t>
      </w:r>
      <w:r>
        <w:rPr>
          <w:spacing w:val="3"/>
        </w:rPr>
        <w:t>、租赁负债</w:t>
      </w:r>
      <w:r>
        <w:rPr>
          <w:b w:val="0"/>
          <w:bCs w:val="0"/>
          <w:spacing w:val="3"/>
        </w:rPr>
      </w:r>
    </w:p>
    <w:p>
      <w:pPr>
        <w:spacing w:line="240" w:lineRule="auto" w:before="2"/>
        <w:rPr>
          <w:rFonts w:ascii="宋体" w:hAnsi="宋体" w:cs="宋体" w:eastAsia="宋体" w:hint="default"/>
          <w:b/>
          <w:bCs/>
          <w:sz w:val="22"/>
          <w:szCs w:val="22"/>
        </w:rPr>
      </w:pPr>
    </w:p>
    <w:p>
      <w:pPr>
        <w:pStyle w:val="BodyText"/>
        <w:spacing w:line="240" w:lineRule="auto" w:before="44"/>
        <w:ind w:left="0" w:right="1111"/>
        <w:jc w:val="right"/>
      </w:pPr>
      <w:r>
        <w:rPr/>
        <w:t>单位：</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48、长期应付款" w:id="367"/>
      <w:bookmarkEnd w:id="367"/>
      <w:r>
        <w:rPr>
          <w:b w:val="0"/>
          <w:bCs w:val="0"/>
        </w:rPr>
      </w:r>
      <w:r>
        <w:rPr>
          <w:rFonts w:ascii="Times New Roman" w:hAnsi="Times New Roman" w:cs="Times New Roman" w:eastAsia="Times New Roman" w:hint="default"/>
          <w:spacing w:val="5"/>
        </w:rPr>
        <w:t>48</w:t>
      </w:r>
      <w:r>
        <w:rPr>
          <w:spacing w:val="5"/>
        </w:rPr>
        <w:t>、长期应付款</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75,039,546.66</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75,039,546.66</w:t>
            </w: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1）按款项性质列示长期应付款" w:id="368"/>
      <w:bookmarkEnd w:id="368"/>
      <w:r>
        <w:rPr>
          <w:b w:val="0"/>
          <w:bCs w:val="0"/>
        </w:rPr>
      </w:r>
      <w:r>
        <w:rPr>
          <w:spacing w:val="5"/>
        </w:rPr>
        <w:t>（</w:t>
      </w:r>
      <w:r>
        <w:rPr>
          <w:rFonts w:ascii="Times New Roman" w:hAnsi="Times New Roman" w:cs="Times New Roman" w:eastAsia="Times New Roman" w:hint="default"/>
          <w:spacing w:val="5"/>
        </w:rPr>
        <w:t>1</w:t>
      </w:r>
      <w:r>
        <w:rPr>
          <w:spacing w:val="5"/>
        </w:rPr>
        <w:t>）按款项性质列示长期应付款</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中远海运租赁有限公司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64,560,100.00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远东国际租赁有限公司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27,801,000.00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减：未确认融资费用</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中远海运租赁有限公司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12,046,443.55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远东国际租赁有限公司</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5,275,109.79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75,039,546.66</w:t>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458" w:lineRule="auto" w:before="45"/>
        <w:ind w:right="8949"/>
        <w:jc w:val="left"/>
      </w:pPr>
      <w:r>
        <w:rPr/>
        <w:t>其他说明： 未确认融资费用说明：</w:t>
      </w:r>
    </w:p>
    <w:p>
      <w:pPr>
        <w:spacing w:after="0" w:line="458" w:lineRule="auto"/>
        <w:jc w:val="left"/>
        <w:sectPr>
          <w:type w:val="continuous"/>
          <w:pgSz w:w="11910" w:h="16850"/>
          <w:pgMar w:top="1040" w:bottom="1180" w:left="1000" w:right="0"/>
        </w:sectPr>
      </w:pPr>
    </w:p>
    <w:p>
      <w:pPr>
        <w:spacing w:line="240" w:lineRule="auto" w:before="2"/>
        <w:rPr>
          <w:rFonts w:ascii="宋体" w:hAnsi="宋体" w:cs="宋体" w:eastAsia="宋体" w:hint="default"/>
          <w:sz w:val="27"/>
          <w:szCs w:val="27"/>
        </w:rPr>
      </w:pPr>
    </w:p>
    <w:p>
      <w:pPr>
        <w:pStyle w:val="BodyText"/>
        <w:spacing w:line="300" w:lineRule="auto" w:before="44"/>
        <w:ind w:right="1130"/>
        <w:jc w:val="left"/>
      </w:pPr>
      <w:r>
        <w:rPr/>
        <w:t>（</w:t>
      </w:r>
      <w:r>
        <w:rPr>
          <w:rFonts w:ascii="Times New Roman" w:hAnsi="Times New Roman" w:cs="Times New Roman" w:eastAsia="Times New Roman" w:hint="default"/>
        </w:rPr>
        <w:t>1</w:t>
      </w:r>
      <w:r>
        <w:rPr/>
        <w:t>）</w:t>
      </w:r>
      <w:r>
        <w:rPr>
          <w:spacing w:val="-26"/>
        </w:rPr>
        <w:t> </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4</w:t>
      </w:r>
      <w:r>
        <w:rPr>
          <w:spacing w:val="-3"/>
        </w:rPr>
        <w:t>日，本公司与中远海运租赁有限公司签订售后融资租回合同，合同标的物为本公司所拥有的机器设备（原</w:t>
      </w:r>
      <w:r>
        <w:rPr>
          <w:spacing w:val="-82"/>
        </w:rPr>
        <w:t> </w:t>
      </w:r>
      <w:r>
        <w:rPr>
          <w:spacing w:val="-82"/>
        </w:rPr>
      </w:r>
      <w:r>
        <w:rPr/>
        <w:t>值</w:t>
      </w:r>
      <w:r>
        <w:rPr>
          <w:rFonts w:ascii="Times New Roman" w:hAnsi="Times New Roman" w:cs="Times New Roman" w:eastAsia="Times New Roman" w:hint="default"/>
        </w:rPr>
        <w:t>85,897,648.51</w:t>
      </w:r>
      <w:r>
        <w:rPr/>
        <w:t>元，累计折旧</w:t>
      </w:r>
      <w:r>
        <w:rPr>
          <w:rFonts w:ascii="Times New Roman" w:hAnsi="Times New Roman" w:cs="Times New Roman" w:eastAsia="Times New Roman" w:hint="default"/>
        </w:rPr>
        <w:t>37,668,050.87</w:t>
      </w:r>
      <w:r>
        <w:rPr/>
        <w:t>元，净值</w:t>
      </w:r>
      <w:r>
        <w:rPr>
          <w:rFonts w:ascii="Times New Roman" w:hAnsi="Times New Roman" w:cs="Times New Roman" w:eastAsia="Times New Roman" w:hint="default"/>
        </w:rPr>
        <w:t>48,229,597.64</w:t>
      </w:r>
      <w:r>
        <w:rPr/>
        <w:t>元），合同期限为三年，在该项售后回租合同项下取得借</w:t>
      </w:r>
      <w:r>
        <w:rPr>
          <w:spacing w:val="-86"/>
        </w:rPr>
        <w:t> </w:t>
      </w:r>
      <w:r>
        <w:rPr/>
        <w:t>款</w:t>
      </w:r>
      <w:r>
        <w:rPr>
          <w:rFonts w:ascii="Times New Roman" w:hAnsi="Times New Roman" w:cs="Times New Roman" w:eastAsia="Times New Roman" w:hint="default"/>
        </w:rPr>
        <w:t>96,840,000.00</w:t>
      </w:r>
      <w:r>
        <w:rPr/>
        <w:t>元。该融资租赁共形成</w:t>
      </w:r>
      <w:r>
        <w:rPr>
          <w:rFonts w:ascii="Times New Roman" w:hAnsi="Times New Roman" w:cs="Times New Roman" w:eastAsia="Times New Roman" w:hint="default"/>
        </w:rPr>
        <w:t>13,540,343.41</w:t>
      </w:r>
      <w:r>
        <w:rPr/>
        <w:t>元的未确认融资费用，按照</w:t>
      </w:r>
      <w:r>
        <w:rPr>
          <w:rFonts w:ascii="Times New Roman" w:hAnsi="Times New Roman" w:cs="Times New Roman" w:eastAsia="Times New Roman" w:hint="default"/>
        </w:rPr>
        <w:t>10.38%</w:t>
      </w:r>
      <w:r>
        <w:rPr/>
        <w:t>的实际利率分期摊销，本期摊销</w:t>
      </w:r>
      <w:r>
        <w:rPr>
          <w:spacing w:val="-84"/>
        </w:rPr>
        <w:t> </w:t>
      </w:r>
      <w:r>
        <w:rPr>
          <w:rFonts w:ascii="Times New Roman" w:hAnsi="Times New Roman" w:cs="Times New Roman" w:eastAsia="Times New Roman" w:hint="default"/>
        </w:rPr>
        <w:t>1,493,899.86</w:t>
      </w:r>
      <w:r>
        <w:rPr/>
        <w:t>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日未确认融资费用累计摊销额</w:t>
      </w:r>
      <w:r>
        <w:rPr>
          <w:rFonts w:ascii="Times New Roman" w:hAnsi="Times New Roman" w:cs="Times New Roman" w:eastAsia="Times New Roman" w:hint="default"/>
        </w:rPr>
        <w:t>1,493,899.86</w:t>
      </w:r>
      <w:r>
        <w:rPr/>
        <w:t>元，期末账面余额为</w:t>
      </w:r>
      <w:r>
        <w:rPr>
          <w:rFonts w:ascii="Times New Roman" w:hAnsi="Times New Roman" w:cs="Times New Roman" w:eastAsia="Times New Roman" w:hint="default"/>
        </w:rPr>
        <w:t>12,046,443.55</w:t>
      </w:r>
      <w:r>
        <w:rPr/>
        <w:t>元。</w:t>
      </w:r>
    </w:p>
    <w:p>
      <w:pPr>
        <w:pStyle w:val="BodyText"/>
        <w:spacing w:line="300" w:lineRule="auto" w:before="136"/>
        <w:ind w:right="111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日，本公司下属子公司卓翼智造与远东国际租赁有限公司签订售后融资租回合同，合同标的物为卓翼智</w:t>
      </w:r>
      <w:r>
        <w:rPr>
          <w:spacing w:val="-87"/>
        </w:rPr>
        <w:t> </w:t>
      </w:r>
      <w:r>
        <w:rPr>
          <w:spacing w:val="-87"/>
        </w:rPr>
      </w:r>
      <w:r>
        <w:rPr/>
        <w:t>造所拥有的机器设备（原值</w:t>
      </w:r>
      <w:r>
        <w:rPr>
          <w:rFonts w:ascii="Times New Roman" w:hAnsi="Times New Roman" w:cs="Times New Roman" w:eastAsia="Times New Roman" w:hint="default"/>
        </w:rPr>
        <w:t>56,121,379.27</w:t>
      </w:r>
      <w:r>
        <w:rPr/>
        <w:t>元，累计折旧</w:t>
      </w:r>
      <w:r>
        <w:rPr>
          <w:rFonts w:ascii="Times New Roman" w:hAnsi="Times New Roman" w:cs="Times New Roman" w:eastAsia="Times New Roman" w:hint="default"/>
        </w:rPr>
        <w:t>15,749,911.15</w:t>
      </w:r>
      <w:r>
        <w:rPr/>
        <w:t>元，净值</w:t>
      </w:r>
      <w:r>
        <w:rPr>
          <w:rFonts w:ascii="Times New Roman" w:hAnsi="Times New Roman" w:cs="Times New Roman" w:eastAsia="Times New Roman" w:hint="default"/>
        </w:rPr>
        <w:t>40,371,468.12</w:t>
      </w:r>
      <w:r>
        <w:rPr/>
        <w:t>元），合同期限为二年，并由本</w:t>
      </w:r>
      <w:r>
        <w:rPr>
          <w:spacing w:val="-84"/>
        </w:rPr>
        <w:t> </w:t>
      </w:r>
      <w:r>
        <w:rPr>
          <w:spacing w:val="-2"/>
        </w:rPr>
        <w:t>公司提供连带责任保证。在该项售后回租合同项下取得借款</w:t>
      </w:r>
      <w:r>
        <w:rPr>
          <w:rFonts w:ascii="Times New Roman" w:hAnsi="Times New Roman" w:cs="Times New Roman" w:eastAsia="Times New Roman" w:hint="default"/>
          <w:spacing w:val="-2"/>
        </w:rPr>
        <w:t>55,600,000.00</w:t>
      </w:r>
      <w:r>
        <w:rPr>
          <w:spacing w:val="-2"/>
        </w:rPr>
        <w:t>元。该融资租赁共形成</w:t>
      </w:r>
      <w:r>
        <w:rPr>
          <w:rFonts w:ascii="Times New Roman" w:hAnsi="Times New Roman" w:cs="Times New Roman" w:eastAsia="Times New Roman" w:hint="default"/>
          <w:spacing w:val="-2"/>
        </w:rPr>
        <w:t>5,727,469.28</w:t>
      </w:r>
      <w:r>
        <w:rPr>
          <w:spacing w:val="-2"/>
        </w:rPr>
        <w:t>元的未确认融资</w:t>
      </w:r>
      <w:r>
        <w:rPr>
          <w:spacing w:val="-35"/>
        </w:rPr>
        <w:t> </w:t>
      </w:r>
      <w:r>
        <w:rPr>
          <w:spacing w:val="-2"/>
        </w:rPr>
        <w:t>费用，按照</w:t>
      </w:r>
      <w:r>
        <w:rPr>
          <w:rFonts w:ascii="Times New Roman" w:hAnsi="Times New Roman" w:cs="Times New Roman" w:eastAsia="Times New Roman" w:hint="default"/>
          <w:spacing w:val="-2"/>
        </w:rPr>
        <w:t>10.48%</w:t>
      </w:r>
      <w:r>
        <w:rPr>
          <w:spacing w:val="-2"/>
        </w:rPr>
        <w:t>的实际利率分期摊销，本期摊销</w:t>
      </w:r>
      <w:r>
        <w:rPr>
          <w:rFonts w:ascii="Times New Roman" w:hAnsi="Times New Roman" w:cs="Times New Roman" w:eastAsia="Times New Roman" w:hint="default"/>
          <w:spacing w:val="-2"/>
        </w:rPr>
        <w:t>452,359.49</w:t>
      </w:r>
      <w:r>
        <w:rPr>
          <w:spacing w:val="-2"/>
        </w:rPr>
        <w:t>元，截止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日未确认融资费用累计摊销额</w:t>
      </w:r>
      <w:r>
        <w:rPr>
          <w:rFonts w:ascii="Times New Roman" w:hAnsi="Times New Roman" w:cs="Times New Roman" w:eastAsia="Times New Roman" w:hint="default"/>
          <w:spacing w:val="-2"/>
        </w:rPr>
        <w:t>452,359.49</w:t>
      </w:r>
      <w:r>
        <w:rPr>
          <w:rFonts w:ascii="Times New Roman" w:hAnsi="Times New Roman" w:cs="Times New Roman" w:eastAsia="Times New Roman" w:hint="default"/>
          <w:spacing w:val="13"/>
        </w:rPr>
        <w:t> </w:t>
      </w:r>
      <w:r>
        <w:rPr/>
        <w:t>元，期末账面余额为</w:t>
      </w:r>
      <w:r>
        <w:rPr>
          <w:rFonts w:ascii="Times New Roman" w:hAnsi="Times New Roman" w:cs="Times New Roman" w:eastAsia="Times New Roman" w:hint="default"/>
        </w:rPr>
        <w:t>5,275,109.79</w:t>
      </w:r>
      <w:r>
        <w:rPr/>
        <w:t>元。</w:t>
      </w:r>
    </w:p>
    <w:p>
      <w:pPr>
        <w:spacing w:line="240" w:lineRule="auto" w:before="4"/>
        <w:rPr>
          <w:rFonts w:ascii="宋体" w:hAnsi="宋体" w:cs="宋体" w:eastAsia="宋体" w:hint="default"/>
          <w:sz w:val="23"/>
          <w:szCs w:val="23"/>
        </w:rPr>
      </w:pPr>
    </w:p>
    <w:p>
      <w:pPr>
        <w:pStyle w:val="Heading5"/>
        <w:spacing w:line="240" w:lineRule="auto"/>
        <w:ind w:right="0"/>
        <w:jc w:val="left"/>
        <w:rPr>
          <w:b w:val="0"/>
          <w:bCs w:val="0"/>
        </w:rPr>
      </w:pPr>
      <w:bookmarkStart w:name="（2）专项应付款" w:id="369"/>
      <w:bookmarkEnd w:id="369"/>
      <w:r>
        <w:rPr>
          <w:b w:val="0"/>
          <w:bCs w:val="0"/>
        </w:rPr>
      </w:r>
      <w:r>
        <w:rPr>
          <w:spacing w:val="4"/>
        </w:rPr>
        <w:t>（</w:t>
      </w:r>
      <w:r>
        <w:rPr>
          <w:rFonts w:ascii="Times New Roman" w:hAnsi="Times New Roman" w:cs="Times New Roman" w:eastAsia="Times New Roman" w:hint="default"/>
          <w:spacing w:val="4"/>
        </w:rPr>
        <w:t>2</w:t>
      </w:r>
      <w:r>
        <w:rPr>
          <w:spacing w:val="4"/>
        </w:rPr>
        <w:t>）专项应付款</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49、长期应付职工薪酬" w:id="370"/>
      <w:bookmarkEnd w:id="370"/>
      <w:r>
        <w:rPr>
          <w:b w:val="0"/>
          <w:bCs w:val="0"/>
        </w:rPr>
      </w:r>
      <w:r>
        <w:rPr>
          <w:rFonts w:ascii="Times New Roman" w:hAnsi="Times New Roman" w:cs="Times New Roman" w:eastAsia="Times New Roman" w:hint="default"/>
          <w:spacing w:val="4"/>
        </w:rPr>
        <w:t>49</w:t>
      </w:r>
      <w:r>
        <w:rPr>
          <w:spacing w:val="4"/>
        </w:rPr>
        <w:t>、长期应付职工薪酬</w:t>
      </w:r>
      <w:r>
        <w:rPr>
          <w:b w:val="0"/>
          <w:bCs w:val="0"/>
          <w:spacing w:val="4"/>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长期应付职工薪酬表" w:id="371"/>
      <w:bookmarkEnd w:id="371"/>
      <w:r>
        <w:rPr>
          <w:b w:val="0"/>
          <w:bCs w:val="0"/>
        </w:rPr>
      </w:r>
      <w:r>
        <w:rPr>
          <w:spacing w:val="5"/>
        </w:rPr>
        <w:t>（</w:t>
      </w:r>
      <w:r>
        <w:rPr>
          <w:rFonts w:ascii="Times New Roman" w:hAnsi="Times New Roman" w:cs="Times New Roman" w:eastAsia="Times New Roman" w:hint="default"/>
          <w:spacing w:val="5"/>
        </w:rPr>
        <w:t>1</w:t>
      </w:r>
      <w:r>
        <w:rPr>
          <w:spacing w:val="5"/>
        </w:rPr>
        <w:t>）长期应付职工薪酬表</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设定受益计划变动情况" w:id="372"/>
      <w:bookmarkEnd w:id="372"/>
      <w:r>
        <w:rPr>
          <w:b w:val="0"/>
          <w:bCs w:val="0"/>
        </w:rPr>
      </w:r>
      <w:r>
        <w:rPr>
          <w:spacing w:val="4"/>
        </w:rPr>
        <w:t>（</w:t>
      </w:r>
      <w:r>
        <w:rPr>
          <w:rFonts w:ascii="Times New Roman" w:hAnsi="Times New Roman" w:cs="Times New Roman" w:eastAsia="Times New Roman" w:hint="default"/>
          <w:spacing w:val="4"/>
        </w:rPr>
        <w:t>2</w:t>
      </w:r>
      <w:r>
        <w:rPr>
          <w:spacing w:val="4"/>
        </w:rPr>
        <w:t>）设定受益计划变动情况</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设定受益计划义务现值：</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4"/>
        <w:ind w:right="0"/>
        <w:jc w:val="left"/>
      </w:pPr>
      <w:r>
        <w:rPr/>
        <w:t>计划资产：</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4"/>
        <w:ind w:right="0"/>
        <w:jc w:val="left"/>
      </w:pPr>
      <w:r>
        <w:rPr/>
        <w:t>设定受益计划净负债（净资产）</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2" w:lineRule="auto" w:before="44"/>
        <w:ind w:right="3549"/>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5"/>
        <w:ind w:right="0"/>
        <w:jc w:val="left"/>
      </w:pPr>
      <w:r>
        <w:rPr/>
        <w:t>其他说明：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0"/>
        <w:jc w:val="left"/>
        <w:rPr>
          <w:b w:val="0"/>
          <w:bCs w:val="0"/>
        </w:rPr>
      </w:pPr>
      <w:bookmarkStart w:name="50、预计负债" w:id="373"/>
      <w:bookmarkEnd w:id="373"/>
      <w:r>
        <w:rPr>
          <w:b w:val="0"/>
          <w:bCs w:val="0"/>
        </w:rPr>
      </w:r>
      <w:r>
        <w:rPr>
          <w:rFonts w:ascii="Times New Roman" w:hAnsi="Times New Roman" w:cs="Times New Roman" w:eastAsia="Times New Roman" w:hint="default"/>
          <w:spacing w:val="3"/>
        </w:rPr>
        <w:t>50</w:t>
      </w:r>
      <w:r>
        <w:rPr>
          <w:spacing w:val="3"/>
        </w:rPr>
        <w:t>、预计负债</w:t>
      </w:r>
      <w:r>
        <w:rPr>
          <w:b w:val="0"/>
          <w:bCs w:val="0"/>
          <w:spacing w:val="3"/>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是否已执行新收入准则</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338" w:hRule="exact"/>
        </w:trPr>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554" w:right="0"/>
              <w:jc w:val="left"/>
              <w:rPr>
                <w:rFonts w:ascii="Times New Roman" w:hAnsi="Times New Roman" w:cs="Times New Roman" w:eastAsia="Times New Roman" w:hint="default"/>
                <w:sz w:val="18"/>
                <w:szCs w:val="18"/>
              </w:rPr>
            </w:pPr>
            <w:r>
              <w:rPr>
                <w:rFonts w:ascii="Times New Roman"/>
                <w:sz w:val="18"/>
              </w:rPr>
              <w:t>982,921.87</w:t>
            </w:r>
          </w:p>
        </w:tc>
        <w:tc>
          <w:tcPr>
            <w:tcW w:w="2388" w:type="dxa"/>
            <w:vMerge w:val="restart"/>
            <w:tcBorders>
              <w:top w:val="single" w:sz="6" w:space="0" w:color="000000"/>
              <w:left w:val="single" w:sz="6" w:space="0" w:color="000000"/>
              <w:right w:val="single" w:sz="6" w:space="0" w:color="000000"/>
            </w:tcBorders>
          </w:tcPr>
          <w:p>
            <w:pPr/>
          </w:p>
        </w:tc>
        <w:tc>
          <w:tcPr>
            <w:tcW w:w="2403" w:type="dxa"/>
            <w:vMerge w:val="restart"/>
            <w:tcBorders>
              <w:top w:val="single" w:sz="6" w:space="0" w:color="000000"/>
              <w:left w:val="single" w:sz="6" w:space="0" w:color="000000"/>
              <w:right w:val="single" w:sz="6" w:space="0" w:color="000000"/>
            </w:tcBorders>
          </w:tcPr>
          <w:p>
            <w:pPr>
              <w:pStyle w:val="TableParagraph"/>
              <w:spacing w:line="240" w:lineRule="auto" w:before="29"/>
              <w:ind w:right="17"/>
              <w:jc w:val="right"/>
              <w:rPr>
                <w:rFonts w:ascii="宋体" w:hAnsi="宋体" w:cs="宋体" w:eastAsia="宋体" w:hint="default"/>
                <w:sz w:val="18"/>
                <w:szCs w:val="18"/>
              </w:rPr>
            </w:pPr>
            <w:r>
              <w:rPr>
                <w:rFonts w:ascii="宋体" w:hAnsi="宋体" w:cs="宋体" w:eastAsia="宋体" w:hint="default"/>
                <w:sz w:val="18"/>
                <w:szCs w:val="18"/>
              </w:rPr>
              <w:t>翼丰盛合同诉讼预计应付赔</w:t>
            </w:r>
          </w:p>
          <w:p>
            <w:pPr>
              <w:pStyle w:val="TableParagraph"/>
              <w:spacing w:line="240" w:lineRule="auto" w:before="79"/>
              <w:ind w:right="13"/>
              <w:jc w:val="right"/>
              <w:rPr>
                <w:rFonts w:ascii="宋体" w:hAnsi="宋体" w:cs="宋体" w:eastAsia="宋体" w:hint="default"/>
                <w:sz w:val="18"/>
                <w:szCs w:val="18"/>
              </w:rPr>
            </w:pPr>
            <w:r>
              <w:rPr>
                <w:rFonts w:ascii="宋体" w:hAnsi="宋体" w:cs="宋体" w:eastAsia="宋体" w:hint="default"/>
                <w:sz w:val="18"/>
                <w:szCs w:val="18"/>
              </w:rPr>
              <w:t>偿款</w:t>
            </w:r>
          </w:p>
        </w:tc>
      </w:tr>
      <w:tr>
        <w:trPr>
          <w:trHeight w:val="391" w:hRule="exact"/>
        </w:trPr>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3" w:type="dxa"/>
            <w:vMerge/>
            <w:tcBorders>
              <w:left w:val="single" w:sz="12" w:space="0" w:color="D2D2D2"/>
              <w:right w:val="single" w:sz="6" w:space="0" w:color="000000"/>
            </w:tcBorders>
          </w:tcPr>
          <w:p>
            <w:pPr/>
          </w:p>
        </w:tc>
        <w:tc>
          <w:tcPr>
            <w:tcW w:w="2388" w:type="dxa"/>
            <w:vMerge/>
            <w:tcBorders>
              <w:left w:val="single" w:sz="6" w:space="0" w:color="000000"/>
              <w:right w:val="single" w:sz="6" w:space="0" w:color="000000"/>
            </w:tcBorders>
          </w:tcPr>
          <w:p>
            <w:pPr/>
          </w:p>
        </w:tc>
        <w:tc>
          <w:tcPr>
            <w:tcW w:w="2403" w:type="dxa"/>
            <w:vMerge/>
            <w:tcBorders>
              <w:left w:val="single" w:sz="6" w:space="0" w:color="000000"/>
              <w:right w:val="single" w:sz="6" w:space="0" w:color="000000"/>
            </w:tcBorders>
          </w:tcPr>
          <w:p>
            <w:pPr/>
          </w:p>
        </w:tc>
      </w:tr>
      <w:tr>
        <w:trPr>
          <w:trHeight w:val="337" w:hRule="exact"/>
        </w:trPr>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12" w:space="0" w:color="D2D2D2"/>
              <w:bottom w:val="single" w:sz="6" w:space="0" w:color="000000"/>
              <w:right w:val="single" w:sz="6" w:space="0" w:color="000000"/>
            </w:tcBorders>
          </w:tcPr>
          <w:p>
            <w:pPr/>
          </w:p>
        </w:tc>
        <w:tc>
          <w:tcPr>
            <w:tcW w:w="2388" w:type="dxa"/>
            <w:vMerge/>
            <w:tcBorders>
              <w:left w:val="single" w:sz="6" w:space="0" w:color="000000"/>
              <w:bottom w:val="single" w:sz="6" w:space="0" w:color="000000"/>
              <w:right w:val="single" w:sz="6" w:space="0" w:color="000000"/>
            </w:tcBorders>
          </w:tcPr>
          <w:p>
            <w:pPr/>
          </w:p>
        </w:tc>
        <w:tc>
          <w:tcPr>
            <w:tcW w:w="2403" w:type="dxa"/>
            <w:vMerge/>
            <w:tcBorders>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1554" w:right="0"/>
              <w:jc w:val="left"/>
              <w:rPr>
                <w:rFonts w:ascii="Times New Roman" w:hAnsi="Times New Roman" w:cs="Times New Roman" w:eastAsia="Times New Roman" w:hint="default"/>
                <w:sz w:val="18"/>
                <w:szCs w:val="18"/>
              </w:rPr>
            </w:pPr>
            <w:r>
              <w:rPr>
                <w:rFonts w:ascii="Times New Roman"/>
                <w:sz w:val="18"/>
              </w:rPr>
              <w:t>982,921.87</w:t>
            </w:r>
          </w:p>
        </w:tc>
        <w:tc>
          <w:tcPr>
            <w:tcW w:w="2388" w:type="dxa"/>
            <w:tcBorders>
              <w:top w:val="single" w:sz="6" w:space="0" w:color="000000"/>
              <w:left w:val="single" w:sz="6" w:space="0" w:color="000000"/>
              <w:bottom w:val="single" w:sz="6" w:space="0" w:color="000000"/>
              <w:right w:val="single" w:sz="18" w:space="0" w:color="D2D2D2"/>
            </w:tcBorders>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51、递延收益" w:id="374"/>
      <w:bookmarkEnd w:id="374"/>
      <w:r>
        <w:rPr>
          <w:b w:val="0"/>
          <w:bCs w:val="0"/>
        </w:rPr>
      </w:r>
      <w:r>
        <w:rPr>
          <w:rFonts w:ascii="Times New Roman" w:hAnsi="Times New Roman" w:cs="Times New Roman" w:eastAsia="Times New Roman" w:hint="default"/>
          <w:spacing w:val="3"/>
        </w:rPr>
        <w:t>51</w:t>
      </w:r>
      <w:r>
        <w:rPr>
          <w:spacing w:val="3"/>
        </w:rPr>
        <w:t>、递延收益</w:t>
      </w:r>
      <w:r>
        <w:rPr>
          <w:b w:val="0"/>
          <w:bCs w:val="0"/>
          <w:spacing w:val="3"/>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25,992,907.90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21,405,473.00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5,076,334.40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42,322,046.50</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51,398,934.24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1,945,517.25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49,453,416.99</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25,992,907.90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72,804,407.24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7,021,851.65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91,775,463.49</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0"/>
        <w:jc w:val="left"/>
      </w:pPr>
      <w:r>
        <w:rPr/>
        <w:t>涉及政府补助的项目：</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06"/>
        <w:gridCol w:w="1262"/>
        <w:gridCol w:w="1006"/>
        <w:gridCol w:w="1006"/>
        <w:gridCol w:w="1021"/>
        <w:gridCol w:w="1007"/>
        <w:gridCol w:w="1006"/>
        <w:gridCol w:w="1262"/>
        <w:gridCol w:w="1006"/>
      </w:tblGrid>
      <w:tr>
        <w:trPr>
          <w:trHeight w:val="1021" w:hRule="exact"/>
        </w:trPr>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4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30"/>
              <w:ind w:left="59" w:right="2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60" w:right="45"/>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5" w:right="4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73" w:lineRule="auto"/>
              <w:ind w:left="45" w:right="24" w:hanging="3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）软土地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基补贴专用 款</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5,054,878.23</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209,167.44</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4,845,710.79</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）战略新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兴产业发展 资金</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2,291,666.67</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1,791,666.67</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1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）国家进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口设备资助 款</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3,108,699.25</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654,463.00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2,454,236.25</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1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）国家进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口贴息资助 项目</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5,715,997.09</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1,043,059.25</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4,672,937.84</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）深圳市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产业技术进 步资金资助 项目</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15,166.66</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15,166.66</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61"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4"/>
              <w:ind w:left="15" w:right="1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）天津市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工业企业技</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1,037,500.00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150,000.00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887,500.00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footerReference w:type="default" r:id="rId25"/>
          <w:pgSz w:w="11910" w:h="16850"/>
          <w:pgMar w:footer="981" w:header="73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006"/>
        <w:gridCol w:w="1262"/>
        <w:gridCol w:w="1006"/>
        <w:gridCol w:w="1006"/>
        <w:gridCol w:w="1021"/>
        <w:gridCol w:w="1007"/>
        <w:gridCol w:w="1006"/>
        <w:gridCol w:w="1262"/>
        <w:gridCol w:w="1006"/>
      </w:tblGrid>
      <w:tr>
        <w:trPr>
          <w:trHeight w:val="360"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术改造项目</w:t>
            </w: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1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）国家机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器人设备资 助款</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1,287,000.00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572,000.00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715,000.00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p>
          <w:p>
            <w:pPr>
              <w:pStyle w:val="TableParagraph"/>
              <w:spacing w:line="314" w:lineRule="auto" w:before="51"/>
              <w:ind w:left="15" w:right="73"/>
              <w:jc w:val="both"/>
              <w:rPr>
                <w:rFonts w:ascii="宋体" w:hAnsi="宋体" w:cs="宋体" w:eastAsia="宋体" w:hint="default"/>
                <w:sz w:val="18"/>
                <w:szCs w:val="18"/>
              </w:rPr>
            </w:pPr>
            <w:r>
              <w:rPr>
                <w:rFonts w:ascii="宋体" w:hAnsi="宋体" w:cs="宋体" w:eastAsia="宋体" w:hint="default"/>
                <w:sz w:val="18"/>
                <w:szCs w:val="18"/>
              </w:rPr>
              <w:t>年技术改造 投资补贴项 目</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7,482,000.00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774,000.00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6,708,000.00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12"/>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9</w:t>
            </w:r>
            <w:r>
              <w:rPr>
                <w:rFonts w:ascii="宋体" w:hAnsi="宋体" w:cs="宋体" w:eastAsia="宋体" w:hint="default"/>
                <w:spacing w:val="-6"/>
                <w:sz w:val="18"/>
                <w:szCs w:val="18"/>
              </w:rPr>
              <w:t>）深圳市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工业和信息</w:t>
            </w:r>
          </w:p>
          <w:p>
            <w:pPr>
              <w:pStyle w:val="TableParagraph"/>
              <w:spacing w:line="273" w:lineRule="auto" w:before="59"/>
              <w:ind w:left="15" w:right="12"/>
              <w:jc w:val="left"/>
              <w:rPr>
                <w:rFonts w:ascii="宋体" w:hAnsi="宋体" w:cs="宋体" w:eastAsia="宋体" w:hint="default"/>
                <w:sz w:val="18"/>
                <w:szCs w:val="18"/>
              </w:rPr>
            </w:pPr>
            <w:r>
              <w:rPr>
                <w:rFonts w:ascii="宋体" w:hAnsi="宋体" w:cs="宋体" w:eastAsia="宋体" w:hint="default"/>
                <w:sz w:val="18"/>
                <w:szCs w:val="18"/>
              </w:rPr>
              <w:t>化局</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进 口贴息资金</w:t>
            </w: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1,474,641.00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61,443.38</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1,413,197.62</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7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）技术 装备及管理 智能化提升</w:t>
            </w:r>
          </w:p>
          <w:p>
            <w:pPr>
              <w:pStyle w:val="TableParagraph"/>
              <w:spacing w:line="240" w:lineRule="auto" w:before="36"/>
              <w:ind w:left="15" w:right="0"/>
              <w:jc w:val="both"/>
              <w:rPr>
                <w:rFonts w:ascii="宋体" w:hAnsi="宋体" w:cs="宋体" w:eastAsia="宋体" w:hint="default"/>
                <w:sz w:val="18"/>
                <w:szCs w:val="18"/>
              </w:rPr>
            </w:pPr>
            <w:r>
              <w:rPr>
                <w:rFonts w:ascii="宋体" w:hAnsi="宋体" w:cs="宋体" w:eastAsia="宋体" w:hint="default"/>
                <w:sz w:val="18"/>
                <w:szCs w:val="18"/>
              </w:rPr>
              <w:t>项目</w:t>
            </w: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17,120,000.0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998,666.67</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16,121,333.33</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321" w:lineRule="auto" w:before="36"/>
              <w:ind w:left="15" w:right="73"/>
              <w:jc w:val="both"/>
              <w:rPr>
                <w:rFonts w:ascii="宋体" w:hAnsi="宋体" w:cs="宋体" w:eastAsia="宋体" w:hint="default"/>
                <w:sz w:val="18"/>
                <w:szCs w:val="18"/>
              </w:rPr>
            </w:pPr>
            <w:r>
              <w:rPr>
                <w:rFonts w:ascii="宋体" w:hAnsi="宋体" w:cs="宋体" w:eastAsia="宋体" w:hint="default"/>
                <w:sz w:val="18"/>
                <w:szCs w:val="18"/>
              </w:rPr>
              <w:t>年专项资金 进口贴息资 助款</w:t>
            </w: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2,360,832.00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98,368.00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2,262,464.00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7"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3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Delta</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高速并联机 器人视觉控</w:t>
            </w:r>
          </w:p>
          <w:p>
            <w:pPr>
              <w:pStyle w:val="TableParagraph"/>
              <w:spacing w:line="321" w:lineRule="auto" w:before="36"/>
              <w:ind w:left="15" w:right="73"/>
              <w:jc w:val="both"/>
              <w:rPr>
                <w:rFonts w:ascii="宋体" w:hAnsi="宋体" w:cs="宋体" w:eastAsia="宋体" w:hint="default"/>
                <w:sz w:val="18"/>
                <w:szCs w:val="18"/>
              </w:rPr>
            </w:pPr>
            <w:r>
              <w:rPr>
                <w:rFonts w:ascii="宋体" w:hAnsi="宋体" w:cs="宋体" w:eastAsia="宋体" w:hint="default"/>
                <w:sz w:val="18"/>
                <w:szCs w:val="18"/>
              </w:rPr>
              <w:t>制技术及视 觉标定技术 研究</w:t>
            </w: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450,000.00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450,000.00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59"/>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0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25,992,907.90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21,405,473.0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5,076,334.40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42,322,046.50</w:t>
            </w:r>
          </w:p>
        </w:tc>
        <w:tc>
          <w:tcPr>
            <w:tcW w:w="100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spacing w:line="240" w:lineRule="auto" w:before="10"/>
        <w:rPr>
          <w:rFonts w:ascii="宋体" w:hAnsi="宋体" w:cs="宋体" w:eastAsia="宋体" w:hint="default"/>
          <w:sz w:val="26"/>
          <w:szCs w:val="26"/>
        </w:rPr>
      </w:pPr>
    </w:p>
    <w:p>
      <w:pPr>
        <w:pStyle w:val="BodyText"/>
        <w:spacing w:line="240" w:lineRule="auto"/>
        <w:ind w:left="501" w:right="0"/>
        <w:jc w:val="left"/>
      </w:pPr>
      <w:r>
        <w:rPr/>
        <w:t>（</w:t>
      </w:r>
      <w:r>
        <w:rPr>
          <w:rFonts w:ascii="Times New Roman" w:hAnsi="Times New Roman" w:cs="Times New Roman" w:eastAsia="Times New Roman" w:hint="default"/>
        </w:rPr>
        <w:t>1</w:t>
      </w:r>
      <w:r>
        <w:rPr/>
        <w:t>）软土地基补贴专用款系经天津开发区管委会批准，天津技术开发区建设发展局同意给予软土地基补贴款</w:t>
      </w:r>
    </w:p>
    <w:p>
      <w:pPr>
        <w:pStyle w:val="BodyText"/>
        <w:spacing w:line="240" w:lineRule="auto" w:before="51"/>
        <w:ind w:right="0"/>
        <w:jc w:val="left"/>
      </w:pPr>
      <w:r>
        <w:rPr>
          <w:rFonts w:ascii="Times New Roman" w:hAnsi="Times New Roman" w:cs="Times New Roman" w:eastAsia="Times New Roman" w:hint="default"/>
        </w:rPr>
        <w:t>6,300,000.00</w:t>
      </w:r>
      <w:r>
        <w:rPr/>
        <w:t>元。本公司于</w:t>
      </w:r>
      <w:r>
        <w:rPr>
          <w:rFonts w:ascii="Times New Roman" w:hAnsi="Times New Roman" w:cs="Times New Roman" w:eastAsia="Times New Roman" w:hint="default"/>
        </w:rPr>
        <w:t>2007</w:t>
      </w:r>
      <w:r>
        <w:rPr/>
        <w:t>年收到补贴款</w:t>
      </w:r>
      <w:r>
        <w:rPr>
          <w:rFonts w:ascii="Times New Roman" w:hAnsi="Times New Roman" w:cs="Times New Roman" w:eastAsia="Times New Roman" w:hint="default"/>
        </w:rPr>
        <w:t>6,275,021.63</w:t>
      </w:r>
      <w:r>
        <w:rPr/>
        <w:t>元，本公司自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月按</w:t>
      </w:r>
      <w:r>
        <w:rPr>
          <w:rFonts w:ascii="Times New Roman" w:hAnsi="Times New Roman" w:cs="Times New Roman" w:eastAsia="Times New Roman" w:hint="default"/>
        </w:rPr>
        <w:t>30</w:t>
      </w:r>
      <w:r>
        <w:rPr/>
        <w:t>年结转损益。</w:t>
      </w:r>
    </w:p>
    <w:p>
      <w:pPr>
        <w:pStyle w:val="BodyText"/>
        <w:spacing w:line="304" w:lineRule="auto" w:before="51"/>
        <w:ind w:right="1111" w:firstLine="360"/>
        <w:jc w:val="both"/>
      </w:pPr>
      <w:r>
        <w:rPr>
          <w:spacing w:val="-1"/>
        </w:rPr>
        <w:t>（</w:t>
      </w:r>
      <w:r>
        <w:rPr>
          <w:rFonts w:ascii="Times New Roman" w:hAnsi="Times New Roman" w:cs="Times New Roman" w:eastAsia="Times New Roman" w:hint="default"/>
          <w:spacing w:val="-1"/>
        </w:rPr>
        <w:t>2</w:t>
      </w:r>
      <w:r>
        <w:rPr>
          <w:spacing w:val="-1"/>
        </w:rPr>
        <w:t>）战略新兴产业发展资金项目包括：</w:t>
      </w:r>
      <w:r>
        <w:rPr>
          <w:rFonts w:ascii="Times New Roman" w:hAnsi="Times New Roman" w:cs="Times New Roman" w:eastAsia="Times New Roman" w:hint="default"/>
          <w:spacing w:val="-1"/>
        </w:rPr>
        <w:t>A</w:t>
      </w:r>
      <w:r>
        <w:rPr>
          <w:spacing w:val="-1"/>
        </w:rPr>
        <w:t>、</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8</w:t>
      </w:r>
      <w:r>
        <w:rPr>
          <w:spacing w:val="-1"/>
        </w:rPr>
        <w:t>月，依据深发改</w:t>
      </w:r>
      <w:r>
        <w:rPr>
          <w:rFonts w:ascii="Times New Roman" w:hAnsi="Times New Roman" w:cs="Times New Roman" w:eastAsia="Times New Roman" w:hint="default"/>
          <w:spacing w:val="-1"/>
        </w:rPr>
        <w:t>[2013]994</w:t>
      </w:r>
      <w:r>
        <w:rPr>
          <w:spacing w:val="-1"/>
        </w:rPr>
        <w:t>号文本公司收到深圳市战略新兴产业发展</w:t>
      </w:r>
      <w:r>
        <w:rPr/>
        <w:t> 专项资金</w:t>
      </w:r>
      <w:r>
        <w:rPr>
          <w:rFonts w:ascii="Times New Roman" w:hAnsi="Times New Roman" w:cs="Times New Roman" w:eastAsia="Times New Roman" w:hint="default"/>
        </w:rPr>
        <w:t>5,000,000.00</w:t>
      </w:r>
      <w:r>
        <w:rPr/>
        <w:t>元，用于机器设备的购置，按</w:t>
      </w:r>
      <w:r>
        <w:rPr>
          <w:rFonts w:ascii="Times New Roman" w:hAnsi="Times New Roman" w:cs="Times New Roman" w:eastAsia="Times New Roman" w:hint="default"/>
        </w:rPr>
        <w:t>10</w:t>
      </w:r>
      <w:r>
        <w:rPr/>
        <w:t>年转入损益。</w:t>
      </w:r>
      <w:r>
        <w:rPr>
          <w:rFonts w:ascii="Times New Roman" w:hAnsi="Times New Roman" w:cs="Times New Roman" w:eastAsia="Times New Roman" w:hint="default"/>
        </w:rPr>
        <w:t>B</w:t>
      </w:r>
      <w:r>
        <w:rPr/>
        <w:t>、</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月，依据深发改</w:t>
      </w:r>
      <w:r>
        <w:rPr>
          <w:rFonts w:ascii="Times New Roman" w:hAnsi="Times New Roman" w:cs="Times New Roman" w:eastAsia="Times New Roman" w:hint="default"/>
        </w:rPr>
        <w:t>[2013]993</w:t>
      </w:r>
      <w:r>
        <w:rPr/>
        <w:t>号文本公司收到深</w:t>
      </w:r>
      <w:r>
        <w:rPr>
          <w:spacing w:val="-84"/>
        </w:rPr>
        <w:t> </w:t>
      </w:r>
      <w:r>
        <w:rPr/>
        <w:t>圳市战略新兴产业发展专项资金</w:t>
      </w:r>
      <w:r>
        <w:rPr>
          <w:rFonts w:ascii="Times New Roman" w:hAnsi="Times New Roman" w:cs="Times New Roman" w:eastAsia="Times New Roman" w:hint="default"/>
        </w:rPr>
        <w:t>1,200,000.00</w:t>
      </w:r>
      <w:r>
        <w:rPr/>
        <w:t>元，用于仪器仪表设备的购置，按</w:t>
      </w:r>
      <w:r>
        <w:rPr>
          <w:rFonts w:ascii="Times New Roman" w:hAnsi="Times New Roman" w:cs="Times New Roman" w:eastAsia="Times New Roman" w:hint="default"/>
        </w:rPr>
        <w:t>5</w:t>
      </w:r>
      <w:r>
        <w:rPr/>
        <w:t>年结转损益。</w:t>
      </w:r>
    </w:p>
    <w:p>
      <w:pPr>
        <w:pStyle w:val="BodyText"/>
        <w:spacing w:line="290" w:lineRule="auto" w:before="12"/>
        <w:ind w:right="1141" w:firstLine="360"/>
        <w:jc w:val="both"/>
      </w:pPr>
      <w:r>
        <w:rPr/>
        <w:t>（</w:t>
      </w:r>
      <w:r>
        <w:rPr>
          <w:rFonts w:ascii="Times New Roman" w:hAnsi="Times New Roman" w:cs="Times New Roman" w:eastAsia="Times New Roman" w:hint="default"/>
        </w:rPr>
        <w:t>3</w:t>
      </w:r>
      <w:r>
        <w:rPr/>
        <w:t>）国家进口设备资助款系依据深经贸信息外贸字</w:t>
      </w:r>
      <w:r>
        <w:rPr>
          <w:rFonts w:ascii="Times New Roman" w:hAnsi="Times New Roman" w:cs="Times New Roman" w:eastAsia="Times New Roman" w:hint="default"/>
        </w:rPr>
        <w:t>[2013]24</w:t>
      </w:r>
      <w:r>
        <w:rPr/>
        <w:t>号文收到国家进口设备补助资金</w:t>
      </w:r>
      <w:r>
        <w:rPr>
          <w:rFonts w:ascii="Times New Roman" w:hAnsi="Times New Roman" w:cs="Times New Roman" w:eastAsia="Times New Roman" w:hint="default"/>
        </w:rPr>
        <w:t>6,544,630.00</w:t>
      </w:r>
      <w:r>
        <w:rPr/>
        <w:t>元，按</w:t>
      </w:r>
      <w:r>
        <w:rPr>
          <w:rFonts w:ascii="Times New Roman" w:hAnsi="Times New Roman" w:cs="Times New Roman" w:eastAsia="Times New Roman" w:hint="default"/>
        </w:rPr>
        <w:t>10</w:t>
      </w:r>
      <w:r>
        <w:rPr/>
        <w:t>年结 转损益。</w:t>
      </w:r>
    </w:p>
    <w:p>
      <w:pPr>
        <w:pStyle w:val="BodyText"/>
        <w:spacing w:line="304" w:lineRule="auto" w:before="41"/>
        <w:ind w:right="1095" w:firstLine="360"/>
        <w:jc w:val="left"/>
      </w:pPr>
      <w:r>
        <w:rPr/>
        <w:t>（</w:t>
      </w:r>
      <w:r>
        <w:rPr>
          <w:rFonts w:ascii="Times New Roman" w:hAnsi="Times New Roman" w:cs="Times New Roman" w:eastAsia="Times New Roman" w:hint="default"/>
        </w:rPr>
        <w:t>4</w:t>
      </w:r>
      <w:r>
        <w:rPr/>
        <w:t>）国家进口贴息资助项目系依据《财政部、商务部关于印发</w:t>
      </w:r>
      <w:r>
        <w:rPr>
          <w:rFonts w:ascii="Times New Roman" w:hAnsi="Times New Roman" w:cs="Times New Roman" w:eastAsia="Times New Roman" w:hint="default"/>
        </w:rPr>
        <w:t>&lt;</w:t>
      </w:r>
      <w:r>
        <w:rPr/>
        <w:t>进口贴息资金管理办法</w:t>
      </w:r>
      <w:r>
        <w:rPr>
          <w:rFonts w:ascii="Times New Roman" w:hAnsi="Times New Roman" w:cs="Times New Roman" w:eastAsia="Times New Roman" w:hint="default"/>
        </w:rPr>
        <w:t>&gt;</w:t>
      </w:r>
      <w:r>
        <w:rPr/>
        <w:t>的通知》与发展改革委、财政 部、商务部《鼓励进口技术和产品目录（</w:t>
      </w:r>
      <w:r>
        <w:rPr>
          <w:rFonts w:ascii="Times New Roman" w:hAnsi="Times New Roman" w:cs="Times New Roman" w:eastAsia="Times New Roman" w:hint="default"/>
        </w:rPr>
        <w:t>2014</w:t>
      </w:r>
      <w:r>
        <w:rPr/>
        <w:t>年版）》，收到进口设备贴息款</w:t>
      </w:r>
      <w:r>
        <w:rPr>
          <w:rFonts w:ascii="Times New Roman" w:hAnsi="Times New Roman" w:cs="Times New Roman" w:eastAsia="Times New Roman" w:hint="default"/>
        </w:rPr>
        <w:t>10,007,220.00</w:t>
      </w:r>
      <w:r>
        <w:rPr/>
        <w:t>元，按</w:t>
      </w:r>
      <w:r>
        <w:rPr>
          <w:rFonts w:ascii="Times New Roman" w:hAnsi="Times New Roman" w:cs="Times New Roman" w:eastAsia="Times New Roman" w:hint="default"/>
        </w:rPr>
        <w:t>10</w:t>
      </w:r>
      <w:r>
        <w:rPr/>
        <w:t>年结转损益。</w:t>
      </w:r>
    </w:p>
    <w:p>
      <w:pPr>
        <w:pStyle w:val="BodyText"/>
        <w:spacing w:line="302" w:lineRule="auto" w:before="12"/>
        <w:ind w:right="1228" w:firstLine="360"/>
        <w:jc w:val="left"/>
      </w:pPr>
      <w:r>
        <w:rPr/>
        <w:t>（</w:t>
      </w:r>
      <w:r>
        <w:rPr>
          <w:rFonts w:ascii="Times New Roman" w:hAnsi="Times New Roman" w:cs="Times New Roman" w:eastAsia="Times New Roman" w:hint="default"/>
        </w:rPr>
        <w:t>5</w:t>
      </w:r>
      <w:r>
        <w:rPr/>
        <w:t>）深圳市产业技术进步资金资助项目系依据深圳市企业信息（</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268</w:t>
      </w:r>
      <w:r>
        <w:rPr/>
        <w:t>号文收到</w:t>
      </w:r>
      <w:r>
        <w:rPr>
          <w:rFonts w:ascii="Times New Roman" w:hAnsi="Times New Roman" w:cs="Times New Roman" w:eastAsia="Times New Roman" w:hint="default"/>
        </w:rPr>
        <w:t>ERP</w:t>
      </w:r>
      <w:r>
        <w:rPr/>
        <w:t>与</w:t>
      </w:r>
      <w:r>
        <w:rPr>
          <w:rFonts w:ascii="Times New Roman" w:hAnsi="Times New Roman" w:cs="Times New Roman" w:eastAsia="Times New Roman" w:hint="default"/>
        </w:rPr>
        <w:t>EMS</w:t>
      </w:r>
      <w:r>
        <w:rPr/>
        <w:t>系统集成项目补助款 </w:t>
      </w:r>
      <w:r>
        <w:rPr>
          <w:rFonts w:ascii="Times New Roman" w:hAnsi="Times New Roman" w:cs="Times New Roman" w:eastAsia="Times New Roman" w:hint="default"/>
        </w:rPr>
        <w:t>910,000.00</w:t>
      </w:r>
      <w:r>
        <w:rPr/>
        <w:t>元，按</w:t>
      </w:r>
      <w:r>
        <w:rPr>
          <w:rFonts w:ascii="Times New Roman" w:hAnsi="Times New Roman" w:cs="Times New Roman" w:eastAsia="Times New Roman" w:hint="default"/>
        </w:rPr>
        <w:t>5</w:t>
      </w:r>
      <w:r>
        <w:rPr/>
        <w:t>年结转损益。</w:t>
      </w:r>
    </w:p>
    <w:p>
      <w:pPr>
        <w:pStyle w:val="BodyText"/>
        <w:spacing w:line="240" w:lineRule="auto" w:before="14"/>
        <w:ind w:left="501" w:right="0"/>
        <w:jc w:val="left"/>
      </w:pPr>
      <w:r>
        <w:rPr/>
        <w:t>（</w:t>
      </w:r>
      <w:r>
        <w:rPr>
          <w:rFonts w:ascii="Times New Roman" w:hAnsi="Times New Roman" w:cs="Times New Roman" w:eastAsia="Times New Roman" w:hint="default"/>
        </w:rPr>
        <w:t>6</w:t>
      </w:r>
      <w:r>
        <w:rPr/>
        <w:t>）天津市工业企业技术改造项目系依据津工信投资</w:t>
      </w:r>
      <w:r>
        <w:rPr>
          <w:rFonts w:ascii="Times New Roman" w:hAnsi="Times New Roman" w:cs="Times New Roman" w:eastAsia="Times New Roman" w:hint="default"/>
        </w:rPr>
        <w:t>[2015]4</w:t>
      </w:r>
      <w:r>
        <w:rPr/>
        <w:t>号文收到</w:t>
      </w:r>
      <w:r>
        <w:rPr>
          <w:rFonts w:ascii="Times New Roman" w:hAnsi="Times New Roman" w:cs="Times New Roman" w:eastAsia="Times New Roman" w:hint="default"/>
        </w:rPr>
        <w:t>LED</w:t>
      </w:r>
      <w:r>
        <w:rPr/>
        <w:t>灯条生产线及</w:t>
      </w:r>
      <w:r>
        <w:rPr>
          <w:rFonts w:ascii="Times New Roman" w:hAnsi="Times New Roman" w:cs="Times New Roman" w:eastAsia="Times New Roman" w:hint="default"/>
        </w:rPr>
        <w:t>4G</w:t>
      </w:r>
      <w:r>
        <w:rPr/>
        <w:t>通讯终端产品技术改造款</w:t>
      </w:r>
    </w:p>
    <w:p>
      <w:pPr>
        <w:spacing w:after="0" w:line="240" w:lineRule="auto"/>
        <w:jc w:val="left"/>
        <w:sectPr>
          <w:footerReference w:type="default" r:id="rId26"/>
          <w:pgSz w:w="11910" w:h="16850"/>
          <w:pgMar w:footer="981" w:header="731" w:top="1040" w:bottom="1180" w:left="1000" w:right="0"/>
          <w:pgNumType w:start="201"/>
        </w:sectPr>
      </w:pPr>
    </w:p>
    <w:p>
      <w:pPr>
        <w:spacing w:line="240" w:lineRule="auto" w:before="2"/>
        <w:rPr>
          <w:rFonts w:ascii="宋体" w:hAnsi="宋体" w:cs="宋体" w:eastAsia="宋体" w:hint="default"/>
          <w:sz w:val="27"/>
          <w:szCs w:val="27"/>
        </w:rPr>
      </w:pPr>
    </w:p>
    <w:p>
      <w:pPr>
        <w:pStyle w:val="BodyText"/>
        <w:spacing w:line="240" w:lineRule="auto" w:before="44"/>
        <w:ind w:right="0"/>
        <w:jc w:val="left"/>
      </w:pPr>
      <w:r>
        <w:rPr>
          <w:rFonts w:ascii="Times New Roman" w:hAnsi="Times New Roman" w:cs="Times New Roman" w:eastAsia="Times New Roman" w:hint="default"/>
        </w:rPr>
        <w:t>1,500,000.00</w:t>
      </w:r>
      <w:r>
        <w:rPr/>
        <w:t>元，按</w:t>
      </w:r>
      <w:r>
        <w:rPr>
          <w:rFonts w:ascii="Times New Roman" w:hAnsi="Times New Roman" w:cs="Times New Roman" w:eastAsia="Times New Roman" w:hint="default"/>
        </w:rPr>
        <w:t>10</w:t>
      </w:r>
      <w:r>
        <w:rPr/>
        <w:t>年结转损益。</w:t>
      </w:r>
    </w:p>
    <w:p>
      <w:pPr>
        <w:pStyle w:val="BodyText"/>
        <w:spacing w:line="304" w:lineRule="auto" w:before="66"/>
        <w:ind w:right="1179" w:firstLine="360"/>
        <w:jc w:val="left"/>
      </w:pPr>
      <w:r>
        <w:rPr/>
        <w:t>（</w:t>
      </w:r>
      <w:r>
        <w:rPr>
          <w:rFonts w:ascii="Times New Roman" w:hAnsi="Times New Roman" w:cs="Times New Roman" w:eastAsia="Times New Roman" w:hint="default"/>
        </w:rPr>
        <w:t>7</w:t>
      </w:r>
      <w:r>
        <w:rPr/>
        <w:t>）国家机器人设备资助款系依据《深圳市产业转型升级专项资金暂行管理办法》（深财规</w:t>
      </w:r>
      <w:r>
        <w:rPr>
          <w:rFonts w:ascii="Times New Roman" w:hAnsi="Times New Roman" w:cs="Times New Roman" w:eastAsia="Times New Roman" w:hint="default"/>
        </w:rPr>
        <w:t>[2014]21</w:t>
      </w:r>
      <w:r>
        <w:rPr/>
        <w:t>号）、《深圳市 机器人、可穿戴设备和智能装备产业振兴发展政策》（深府</w:t>
      </w:r>
      <w:r>
        <w:rPr>
          <w:rFonts w:ascii="Times New Roman" w:hAnsi="Times New Roman" w:cs="Times New Roman" w:eastAsia="Times New Roman" w:hint="default"/>
        </w:rPr>
        <w:t>[2014]97</w:t>
      </w:r>
      <w:r>
        <w:rPr/>
        <w:t>号）收到补助款</w:t>
      </w:r>
      <w:r>
        <w:rPr>
          <w:rFonts w:ascii="Times New Roman" w:hAnsi="Times New Roman" w:cs="Times New Roman" w:eastAsia="Times New Roman" w:hint="default"/>
        </w:rPr>
        <w:t>2,860,000.00</w:t>
      </w:r>
      <w:r>
        <w:rPr/>
        <w:t>元，按</w:t>
      </w:r>
      <w:r>
        <w:rPr>
          <w:rFonts w:ascii="Times New Roman" w:hAnsi="Times New Roman" w:cs="Times New Roman" w:eastAsia="Times New Roman" w:hint="default"/>
        </w:rPr>
        <w:t>5</w:t>
      </w:r>
      <w:r>
        <w:rPr/>
        <w:t>年结转损益。</w:t>
      </w:r>
    </w:p>
    <w:p>
      <w:pPr>
        <w:pStyle w:val="BodyText"/>
        <w:spacing w:line="302" w:lineRule="auto"/>
        <w:ind w:right="1119" w:firstLine="360"/>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t>年技术改造投资补贴项目系依据《市经贸信息委关于</w:t>
      </w:r>
      <w:r>
        <w:rPr>
          <w:rFonts w:ascii="Times New Roman" w:hAnsi="Times New Roman" w:cs="Times New Roman" w:eastAsia="Times New Roman" w:hint="default"/>
        </w:rPr>
        <w:t>2018</w:t>
      </w:r>
      <w:r>
        <w:rPr/>
        <w:t>年技术改造倍增专项技术改造投资补贴项目第一批 计划公示的通知》深经贸信息技术字</w:t>
      </w:r>
      <w:r>
        <w:rPr>
          <w:rFonts w:ascii="Times New Roman" w:hAnsi="Times New Roman" w:cs="Times New Roman" w:eastAsia="Times New Roman" w:hint="default"/>
        </w:rPr>
        <w:t>[2018]206</w:t>
      </w:r>
      <w:r>
        <w:rPr/>
        <w:t>号文收到</w:t>
      </w:r>
      <w:r>
        <w:rPr>
          <w:rFonts w:ascii="Times New Roman" w:hAnsi="Times New Roman" w:cs="Times New Roman" w:eastAsia="Times New Roman" w:hint="default"/>
        </w:rPr>
        <w:t>7,740,000.00</w:t>
      </w:r>
      <w:r>
        <w:rPr/>
        <w:t>元，按</w:t>
      </w:r>
      <w:r>
        <w:rPr>
          <w:rFonts w:ascii="Times New Roman" w:hAnsi="Times New Roman" w:cs="Times New Roman" w:eastAsia="Times New Roman" w:hint="default"/>
        </w:rPr>
        <w:t>10</w:t>
      </w:r>
      <w:r>
        <w:rPr/>
        <w:t>年结转损益。</w:t>
      </w:r>
    </w:p>
    <w:p>
      <w:pPr>
        <w:pStyle w:val="BodyText"/>
        <w:spacing w:line="302" w:lineRule="auto" w:before="14"/>
        <w:ind w:right="1119" w:firstLine="360"/>
        <w:jc w:val="left"/>
      </w:pPr>
      <w:r>
        <w:rPr/>
        <w:t>（</w:t>
      </w:r>
      <w:r>
        <w:rPr>
          <w:rFonts w:ascii="Times New Roman" w:hAnsi="Times New Roman" w:cs="Times New Roman" w:eastAsia="Times New Roman" w:hint="default"/>
        </w:rPr>
        <w:t>9</w:t>
      </w:r>
      <w:r>
        <w:rPr/>
        <w:t>）深圳市工业和信息化局</w:t>
      </w:r>
      <w:r>
        <w:rPr>
          <w:rFonts w:ascii="Times New Roman" w:hAnsi="Times New Roman" w:cs="Times New Roman" w:eastAsia="Times New Roman" w:hint="default"/>
        </w:rPr>
        <w:t>2018</w:t>
      </w:r>
      <w:r>
        <w:rPr/>
        <w:t>进口贴息资金系依据《市经贸信息委关于组织开展</w:t>
      </w:r>
      <w:r>
        <w:rPr>
          <w:rFonts w:ascii="Times New Roman" w:hAnsi="Times New Roman" w:cs="Times New Roman" w:eastAsia="Times New Roman" w:hint="default"/>
        </w:rPr>
        <w:t>2018</w:t>
      </w:r>
      <w:r>
        <w:rPr/>
        <w:t>年度中央外经贸发展专项资金 进口贴息事项工作的通知》（深经贸信息外贸字</w:t>
      </w:r>
      <w:r>
        <w:rPr>
          <w:rFonts w:ascii="Times New Roman" w:hAnsi="Times New Roman" w:cs="Times New Roman" w:eastAsia="Times New Roman" w:hint="default"/>
        </w:rPr>
        <w:t>[2018]141</w:t>
      </w:r>
      <w:r>
        <w:rPr/>
        <w:t>号）收到补助款</w:t>
      </w:r>
      <w:r>
        <w:rPr>
          <w:rFonts w:ascii="Times New Roman" w:hAnsi="Times New Roman" w:cs="Times New Roman" w:eastAsia="Times New Roman" w:hint="default"/>
        </w:rPr>
        <w:t>1,474,641.00</w:t>
      </w:r>
      <w:r>
        <w:rPr/>
        <w:t>元，按</w:t>
      </w:r>
      <w:r>
        <w:rPr>
          <w:rFonts w:ascii="Times New Roman" w:hAnsi="Times New Roman" w:cs="Times New Roman" w:eastAsia="Times New Roman" w:hint="default"/>
        </w:rPr>
        <w:t>10</w:t>
      </w:r>
      <w:r>
        <w:rPr/>
        <w:t>年结转损益。</w:t>
      </w:r>
    </w:p>
    <w:p>
      <w:pPr>
        <w:pStyle w:val="BodyText"/>
        <w:spacing w:line="288" w:lineRule="auto" w:before="14"/>
        <w:ind w:right="0" w:firstLine="360"/>
        <w:jc w:val="left"/>
      </w:pPr>
      <w:r>
        <w:rPr>
          <w:spacing w:val="-2"/>
        </w:rPr>
        <w:t>（</w:t>
      </w:r>
      <w:r>
        <w:rPr>
          <w:rFonts w:ascii="Times New Roman" w:hAnsi="Times New Roman" w:cs="Times New Roman" w:eastAsia="Times New Roman" w:hint="default"/>
          <w:spacing w:val="-2"/>
        </w:rPr>
        <w:t>10</w:t>
      </w:r>
      <w:r>
        <w:rPr>
          <w:spacing w:val="-2"/>
        </w:rPr>
        <w:t>）技术装备及管理职能化提升项目系依据《市工业和信息化局关于</w:t>
      </w:r>
      <w:r>
        <w:rPr>
          <w:rFonts w:ascii="Times New Roman" w:hAnsi="Times New Roman" w:cs="Times New Roman" w:eastAsia="Times New Roman" w:hint="default"/>
          <w:spacing w:val="-2"/>
        </w:rPr>
        <w:t>2019</w:t>
      </w:r>
      <w:r>
        <w:rPr>
          <w:spacing w:val="-2"/>
        </w:rPr>
        <w:t>年技术改造倍增专项技术装备及管理智能化</w:t>
      </w:r>
      <w:r>
        <w:rPr/>
        <w:t> 提升项目第一批拟资助计划公示的通知》（深工信投创</w:t>
      </w:r>
      <w:r>
        <w:rPr>
          <w:rFonts w:ascii="Times New Roman" w:hAnsi="Times New Roman" w:cs="Times New Roman" w:eastAsia="Times New Roman" w:hint="default"/>
        </w:rPr>
        <w:t>[2019]123</w:t>
      </w:r>
      <w:r>
        <w:rPr/>
        <w:t>号）收到款项</w:t>
      </w:r>
      <w:r>
        <w:rPr>
          <w:rFonts w:ascii="Times New Roman" w:hAnsi="Times New Roman" w:cs="Times New Roman" w:eastAsia="Times New Roman" w:hint="default"/>
        </w:rPr>
        <w:t>17,120,000.00</w:t>
      </w:r>
      <w:r>
        <w:rPr/>
        <w:t>元，按</w:t>
      </w:r>
      <w:r>
        <w:rPr>
          <w:rFonts w:ascii="Times New Roman" w:hAnsi="Times New Roman" w:cs="Times New Roman" w:eastAsia="Times New Roman" w:hint="default"/>
        </w:rPr>
        <w:t>10</w:t>
      </w:r>
      <w:r>
        <w:rPr/>
        <w:t>年结转损益。</w:t>
      </w:r>
    </w:p>
    <w:p>
      <w:pPr>
        <w:pStyle w:val="BodyText"/>
        <w:spacing w:line="302" w:lineRule="auto" w:before="26"/>
        <w:ind w:right="0" w:firstLine="360"/>
        <w:jc w:val="left"/>
      </w:pPr>
      <w:r>
        <w:rPr>
          <w:spacing w:val="-2"/>
        </w:rPr>
        <w:t>（</w:t>
      </w:r>
      <w:r>
        <w:rPr>
          <w:rFonts w:ascii="Times New Roman" w:hAnsi="Times New Roman" w:cs="Times New Roman" w:eastAsia="Times New Roman" w:hint="default"/>
          <w:spacing w:val="-2"/>
        </w:rPr>
        <w:t>11</w:t>
      </w:r>
      <w:r>
        <w:rPr>
          <w:spacing w:val="-2"/>
        </w:rPr>
        <w:t>）</w:t>
      </w:r>
      <w:r>
        <w:rPr>
          <w:rFonts w:ascii="Times New Roman" w:hAnsi="Times New Roman" w:cs="Times New Roman" w:eastAsia="Times New Roman" w:hint="default"/>
          <w:spacing w:val="-2"/>
        </w:rPr>
        <w:t>2019</w:t>
      </w:r>
      <w:r>
        <w:rPr>
          <w:spacing w:val="-2"/>
        </w:rPr>
        <w:t>年专项资金进口贴息资助款《市经贸信息委关于组织开展</w:t>
      </w:r>
      <w:r>
        <w:rPr>
          <w:rFonts w:ascii="Times New Roman" w:hAnsi="Times New Roman" w:cs="Times New Roman" w:eastAsia="Times New Roman" w:hint="default"/>
          <w:spacing w:val="-2"/>
        </w:rPr>
        <w:t>2018</w:t>
      </w:r>
      <w:r>
        <w:rPr>
          <w:spacing w:val="-2"/>
        </w:rPr>
        <w:t>年度中央外经贸发展专项资金进口贴息事项工</w:t>
      </w:r>
      <w:r>
        <w:rPr/>
        <w:t> 作的通知》（深经贸信息外贸字</w:t>
      </w:r>
      <w:r>
        <w:rPr>
          <w:rFonts w:ascii="Times New Roman" w:hAnsi="Times New Roman" w:cs="Times New Roman" w:eastAsia="Times New Roman" w:hint="default"/>
        </w:rPr>
        <w:t>[2018]141</w:t>
      </w:r>
      <w:r>
        <w:rPr/>
        <w:t>号）收到补助款</w:t>
      </w:r>
      <w:r>
        <w:rPr>
          <w:rFonts w:ascii="Times New Roman" w:hAnsi="Times New Roman" w:cs="Times New Roman" w:eastAsia="Times New Roman" w:hint="default"/>
        </w:rPr>
        <w:t>2,360,832.00</w:t>
      </w:r>
      <w:r>
        <w:rPr/>
        <w:t>元，按</w:t>
      </w:r>
      <w:r>
        <w:rPr>
          <w:rFonts w:ascii="Times New Roman" w:hAnsi="Times New Roman" w:cs="Times New Roman" w:eastAsia="Times New Roman" w:hint="default"/>
        </w:rPr>
        <w:t>10</w:t>
      </w:r>
      <w:r>
        <w:rPr/>
        <w:t>年结转损益。</w:t>
      </w:r>
    </w:p>
    <w:p>
      <w:pPr>
        <w:pStyle w:val="BodyText"/>
        <w:spacing w:line="304" w:lineRule="auto" w:before="14"/>
        <w:ind w:right="1119" w:firstLine="360"/>
        <w:jc w:val="left"/>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Delta</w:t>
      </w:r>
      <w:r>
        <w:rPr/>
        <w:t>高速并联机器人视觉控制技术及视觉标定技术研究项目补贴系依据《深圳市科技计划项目合同书》</w:t>
      </w:r>
      <w:r>
        <w:rPr>
          <w:rFonts w:ascii="Times New Roman" w:hAnsi="Times New Roman" w:cs="Times New Roman" w:eastAsia="Times New Roman" w:hint="default"/>
        </w:rPr>
        <w:t>(</w:t>
      </w:r>
      <w:r>
        <w:rPr/>
        <w:t>无偿资 助</w:t>
      </w:r>
      <w:r>
        <w:rPr>
          <w:rFonts w:ascii="Times New Roman" w:hAnsi="Times New Roman" w:cs="Times New Roman" w:eastAsia="Times New Roman" w:hint="default"/>
        </w:rPr>
        <w:t>)</w:t>
      </w:r>
      <w:r>
        <w:rPr/>
        <w:t>深科技创新</w:t>
      </w:r>
      <w:r>
        <w:rPr>
          <w:rFonts w:ascii="Times New Roman" w:hAnsi="Times New Roman" w:cs="Times New Roman" w:eastAsia="Times New Roman" w:hint="default"/>
        </w:rPr>
        <w:t>[2018]320</w:t>
      </w:r>
      <w:r>
        <w:rPr/>
        <w:t>号文件，收到款项</w:t>
      </w:r>
      <w:r>
        <w:rPr>
          <w:rFonts w:ascii="Times New Roman" w:hAnsi="Times New Roman" w:cs="Times New Roman" w:eastAsia="Times New Roman" w:hint="default"/>
        </w:rPr>
        <w:t>450,000.00</w:t>
      </w:r>
      <w:r>
        <w:rPr/>
        <w:t>元，待项目验收后按设备剩余使用年限结转损益。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pStyle w:val="Heading5"/>
        <w:spacing w:line="240" w:lineRule="auto"/>
        <w:ind w:right="0"/>
        <w:jc w:val="left"/>
        <w:rPr>
          <w:b w:val="0"/>
          <w:bCs w:val="0"/>
        </w:rPr>
      </w:pPr>
      <w:bookmarkStart w:name="52、其他非流动负债" w:id="375"/>
      <w:bookmarkEnd w:id="375"/>
      <w:r>
        <w:rPr>
          <w:b w:val="0"/>
          <w:bCs w:val="0"/>
        </w:rPr>
      </w:r>
      <w:r>
        <w:rPr>
          <w:rFonts w:ascii="Times New Roman" w:hAnsi="Times New Roman" w:cs="Times New Roman" w:eastAsia="Times New Roman" w:hint="default"/>
          <w:spacing w:val="4"/>
        </w:rPr>
        <w:t>52</w:t>
      </w:r>
      <w:r>
        <w:rPr>
          <w:spacing w:val="4"/>
        </w:rPr>
        <w:t>、其他非流动负债</w:t>
      </w:r>
      <w:r>
        <w:rPr>
          <w:b w:val="0"/>
          <w:bCs w:val="0"/>
          <w:spacing w:val="4"/>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50"/>
          <w:pgMar w:header="731" w:footer="981" w:top="1040" w:bottom="1180" w:left="1000" w:right="0"/>
        </w:sectPr>
      </w:pPr>
    </w:p>
    <w:p>
      <w:pPr>
        <w:pStyle w:val="BodyText"/>
        <w:spacing w:line="240" w:lineRule="auto" w:before="44"/>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53、股本" w:id="376"/>
      <w:bookmarkEnd w:id="376"/>
      <w:r>
        <w:rPr>
          <w:b w:val="0"/>
          <w:bCs w:val="0"/>
        </w:rPr>
      </w:r>
      <w:r>
        <w:rPr>
          <w:rFonts w:ascii="Times New Roman" w:hAnsi="Times New Roman" w:cs="Times New Roman" w:eastAsia="Times New Roman" w:hint="default"/>
          <w:spacing w:val="5"/>
        </w:rPr>
        <w:t>53</w:t>
      </w:r>
      <w:r>
        <w:rPr>
          <w:spacing w:val="5"/>
        </w:rPr>
        <w:t>、股本</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194"/>
        <w:gridCol w:w="1194"/>
        <w:gridCol w:w="1194"/>
        <w:gridCol w:w="1202"/>
        <w:gridCol w:w="1201"/>
        <w:gridCol w:w="1186"/>
        <w:gridCol w:w="1194"/>
        <w:gridCol w:w="1209"/>
      </w:tblGrid>
      <w:tr>
        <w:trPr>
          <w:trHeight w:val="203"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5977"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88" w:hRule="exact"/>
        </w:trPr>
        <w:tc>
          <w:tcPr>
            <w:tcW w:w="1194" w:type="dxa"/>
            <w:vMerge w:val="restart"/>
            <w:tcBorders>
              <w:top w:val="nil" w:sz="6" w:space="0" w:color="auto"/>
              <w:left w:val="single" w:sz="6" w:space="0" w:color="000000"/>
              <w:right w:val="single" w:sz="6" w:space="0" w:color="000000"/>
            </w:tcBorders>
            <w:shd w:val="clear" w:color="auto" w:fill="D2D2D2"/>
          </w:tcPr>
          <w:p>
            <w:pPr/>
          </w:p>
        </w:tc>
        <w:tc>
          <w:tcPr>
            <w:tcW w:w="11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7" w:type="dxa"/>
            <w:gridSpan w:val="5"/>
            <w:vMerge/>
            <w:tcBorders>
              <w:left w:val="single" w:sz="6" w:space="0" w:color="000000"/>
              <w:bottom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6" w:space="0" w:color="000000"/>
              <w:bottom w:val="nil" w:sz="6" w:space="0" w:color="auto"/>
              <w:right w:val="single" w:sz="6" w:space="0" w:color="000000"/>
            </w:tcBorders>
            <w:shd w:val="clear" w:color="auto" w:fill="D2D2D2"/>
          </w:tcPr>
          <w:p>
            <w:pPr/>
          </w:p>
        </w:tc>
      </w:tr>
      <w:tr>
        <w:trPr>
          <w:trHeight w:val="203"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9"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579,971,704.00</w:t>
            </w:r>
          </w:p>
        </w:tc>
        <w:tc>
          <w:tcPr>
            <w:tcW w:w="119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0" w:right="0"/>
              <w:jc w:val="left"/>
              <w:rPr>
                <w:rFonts w:ascii="Times New Roman" w:hAnsi="Times New Roman" w:cs="Times New Roman" w:eastAsia="Times New Roman" w:hint="default"/>
                <w:sz w:val="18"/>
                <w:szCs w:val="18"/>
              </w:rPr>
            </w:pPr>
            <w:r>
              <w:rPr>
                <w:rFonts w:ascii="Times New Roman"/>
                <w:sz w:val="18"/>
              </w:rPr>
              <w:t>-2,065,000.00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5" w:right="0"/>
              <w:jc w:val="left"/>
              <w:rPr>
                <w:rFonts w:ascii="Times New Roman" w:hAnsi="Times New Roman" w:cs="Times New Roman" w:eastAsia="Times New Roman" w:hint="default"/>
                <w:sz w:val="18"/>
                <w:szCs w:val="18"/>
              </w:rPr>
            </w:pPr>
            <w:r>
              <w:rPr>
                <w:rFonts w:ascii="Times New Roman"/>
                <w:sz w:val="18"/>
              </w:rPr>
              <w:t>-2,065,000.00</w:t>
            </w: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577,906,704.00</w:t>
            </w:r>
          </w:p>
        </w:tc>
      </w:tr>
    </w:tbl>
    <w:p>
      <w:pPr>
        <w:pStyle w:val="BodyText"/>
        <w:spacing w:line="240" w:lineRule="auto" w:before="45"/>
        <w:ind w:right="0"/>
        <w:jc w:val="left"/>
      </w:pPr>
      <w:r>
        <w:rPr/>
        <w:t>其他说明：</w:t>
      </w:r>
    </w:p>
    <w:p>
      <w:pPr>
        <w:spacing w:line="240" w:lineRule="auto" w:before="5"/>
        <w:rPr>
          <w:rFonts w:ascii="宋体" w:hAnsi="宋体" w:cs="宋体" w:eastAsia="宋体" w:hint="default"/>
          <w:sz w:val="16"/>
          <w:szCs w:val="16"/>
        </w:rPr>
      </w:pPr>
    </w:p>
    <w:p>
      <w:pPr>
        <w:pStyle w:val="BodyText"/>
        <w:spacing w:line="297" w:lineRule="auto"/>
        <w:ind w:right="1079" w:firstLine="300"/>
        <w:jc w:val="left"/>
      </w:pPr>
      <w:r>
        <w:rPr/>
        <w:t>（</w:t>
      </w:r>
      <w:r>
        <w:rPr>
          <w:rFonts w:ascii="Times New Roman" w:hAnsi="Times New Roman" w:cs="Times New Roman" w:eastAsia="Times New Roman" w:hint="default"/>
        </w:rPr>
        <w:t>1</w:t>
      </w:r>
      <w:r>
        <w:rPr/>
        <w:t>）根据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日第四届董事会第三十三次会议，审议通过的《关于注销部分股票期权及回购注销部分限制性股 票的议案》，公司回购注销因不再符合公司股权激励条件的激励对象持有获授的限制性股票，共计</w:t>
      </w:r>
      <w:r>
        <w:rPr>
          <w:rFonts w:ascii="Times New Roman" w:hAnsi="Times New Roman" w:cs="Times New Roman" w:eastAsia="Times New Roman" w:hint="default"/>
        </w:rPr>
        <w:t>765,000.00</w:t>
      </w:r>
      <w:r>
        <w:rPr/>
        <w:t>股。限制性股</w:t>
      </w:r>
      <w:r>
        <w:rPr>
          <w:spacing w:val="-80"/>
        </w:rPr>
        <w:t> </w:t>
      </w:r>
      <w:r>
        <w:rPr/>
        <w:t>票回购注销业经亚太（集团）会计师事务所（特殊普通合伙）验证，并出具亚会</w:t>
      </w:r>
      <w:r>
        <w:rPr>
          <w:rFonts w:ascii="Times New Roman" w:hAnsi="Times New Roman" w:cs="Times New Roman" w:eastAsia="Times New Roman" w:hint="default"/>
        </w:rPr>
        <w:t>A</w:t>
      </w:r>
      <w:r>
        <w:rPr/>
        <w:t>验字（</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0003</w:t>
      </w:r>
      <w:r>
        <w:rPr/>
        <w:t>号验资报告，变更后的 累计注册资本人民币</w:t>
      </w:r>
      <w:r>
        <w:rPr>
          <w:rFonts w:ascii="Times New Roman" w:hAnsi="Times New Roman" w:cs="Times New Roman" w:eastAsia="Times New Roman" w:hint="default"/>
        </w:rPr>
        <w:t>579,206,704.00</w:t>
      </w:r>
      <w:r>
        <w:rPr/>
        <w:t>元，股本</w:t>
      </w:r>
      <w:r>
        <w:rPr>
          <w:rFonts w:ascii="Times New Roman" w:hAnsi="Times New Roman" w:cs="Times New Roman" w:eastAsia="Times New Roman" w:hint="default"/>
        </w:rPr>
        <w:t>579,206,704.00</w:t>
      </w:r>
      <w:r>
        <w:rPr/>
        <w:t>元。</w:t>
      </w:r>
    </w:p>
    <w:p>
      <w:pPr>
        <w:pStyle w:val="BodyText"/>
        <w:spacing w:line="302" w:lineRule="auto" w:before="3"/>
        <w:ind w:right="1079" w:firstLine="225"/>
        <w:jc w:val="left"/>
      </w:pPr>
      <w:r>
        <w:rPr/>
        <w:t>（</w:t>
      </w:r>
      <w:r>
        <w:rPr>
          <w:rFonts w:ascii="Times New Roman" w:hAnsi="Times New Roman" w:cs="Times New Roman" w:eastAsia="Times New Roman" w:hint="default"/>
        </w:rPr>
        <w:t>2</w:t>
      </w:r>
      <w:r>
        <w:rPr/>
        <w:t>）根据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日第四届董事会第三十七次会议，审议通过的《关于注销部分股票期权及回购注销部分限制性股 票的议案》，公司回购注销未达到</w:t>
      </w:r>
      <w:r>
        <w:rPr>
          <w:rFonts w:ascii="Times New Roman" w:hAnsi="Times New Roman" w:cs="Times New Roman" w:eastAsia="Times New Roman" w:hint="default"/>
        </w:rPr>
        <w:t>2017</w:t>
      </w:r>
      <w:r>
        <w:rPr/>
        <w:t>年限制性股票激励计划第二期解锁条件的激励对象持有获授的限制性股票，共计</w:t>
      </w:r>
      <w:r>
        <w:rPr>
          <w:spacing w:val="-87"/>
        </w:rPr>
        <w:t> </w:t>
      </w:r>
      <w:r>
        <w:rPr>
          <w:rFonts w:ascii="Times New Roman" w:hAnsi="Times New Roman" w:cs="Times New Roman" w:eastAsia="Times New Roman" w:hint="default"/>
        </w:rPr>
        <w:t>1,300,000</w:t>
      </w:r>
      <w:r>
        <w:rPr/>
        <w:t>股。限制性股票回购注销业经亚太（集团）会计师事务所（特殊普通合伙）验证，并出具亚会</w:t>
      </w:r>
      <w:r>
        <w:rPr>
          <w:rFonts w:ascii="Times New Roman" w:hAnsi="Times New Roman" w:cs="Times New Roman" w:eastAsia="Times New Roman" w:hint="default"/>
        </w:rPr>
        <w:t>A</w:t>
      </w:r>
      <w:r>
        <w:rPr/>
        <w:t>验字（</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0011 </w:t>
      </w:r>
      <w:r>
        <w:rPr/>
        <w:t>号验资报告，变更后的累计注册资本人民币</w:t>
      </w:r>
      <w:r>
        <w:rPr>
          <w:rFonts w:ascii="Times New Roman" w:hAnsi="Times New Roman" w:cs="Times New Roman" w:eastAsia="Times New Roman" w:hint="default"/>
        </w:rPr>
        <w:t>577,906,704.00</w:t>
      </w:r>
      <w:r>
        <w:rPr/>
        <w:t>元，股本</w:t>
      </w:r>
      <w:r>
        <w:rPr>
          <w:rFonts w:ascii="Times New Roman" w:hAnsi="Times New Roman" w:cs="Times New Roman" w:eastAsia="Times New Roman" w:hint="default"/>
        </w:rPr>
        <w:t>577,906,704.00</w:t>
      </w:r>
      <w:r>
        <w:rPr/>
        <w:t>元。</w:t>
      </w:r>
    </w:p>
    <w:p>
      <w:pPr>
        <w:spacing w:after="0" w:line="302" w:lineRule="auto"/>
        <w:jc w:val="left"/>
        <w:sectPr>
          <w:type w:val="continuous"/>
          <w:pgSz w:w="11910" w:h="16850"/>
          <w:pgMar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54、其他权益工具" w:id="377"/>
      <w:bookmarkEnd w:id="377"/>
      <w:r>
        <w:rPr>
          <w:b w:val="0"/>
          <w:bCs w:val="0"/>
        </w:rPr>
      </w:r>
      <w:r>
        <w:rPr>
          <w:rFonts w:ascii="Times New Roman" w:hAnsi="Times New Roman" w:cs="Times New Roman" w:eastAsia="Times New Roman" w:hint="default"/>
          <w:spacing w:val="4"/>
        </w:rPr>
        <w:t>54</w:t>
      </w:r>
      <w:r>
        <w:rPr>
          <w:spacing w:val="4"/>
        </w:rPr>
        <w:t>、其他权益工具</w:t>
      </w:r>
      <w:r>
        <w:rPr>
          <w:b w:val="0"/>
          <w:bCs w:val="0"/>
          <w:spacing w:val="4"/>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期末发行在外的优先股、永续债等其他金融工具基本情况" w:id="378"/>
      <w:bookmarkEnd w:id="378"/>
      <w:r>
        <w:rPr>
          <w:b w:val="0"/>
          <w:bCs w:val="0"/>
        </w:rPr>
      </w:r>
      <w:r>
        <w:rPr>
          <w:spacing w:val="5"/>
        </w:rPr>
        <w:t>（</w:t>
      </w:r>
      <w:r>
        <w:rPr>
          <w:rFonts w:ascii="Times New Roman" w:hAnsi="Times New Roman" w:cs="Times New Roman" w:eastAsia="Times New Roman" w:hint="default"/>
          <w:spacing w:val="5"/>
        </w:rPr>
        <w:t>1</w:t>
      </w:r>
      <w:r>
        <w:rPr>
          <w:spacing w:val="5"/>
        </w:rPr>
        <w:t>）期末发行在外的优先股、永续债等其他金融工具基本情况</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2）期末发行在外的优先股、永续债等金融工具变动情况表" w:id="379"/>
      <w:bookmarkEnd w:id="379"/>
      <w:r>
        <w:rPr>
          <w:b w:val="0"/>
          <w:bCs w:val="0"/>
        </w:rPr>
      </w:r>
      <w:r>
        <w:rPr>
          <w:spacing w:val="5"/>
        </w:rPr>
        <w:t>（</w:t>
      </w:r>
      <w:r>
        <w:rPr>
          <w:rFonts w:ascii="Times New Roman" w:hAnsi="Times New Roman" w:cs="Times New Roman" w:eastAsia="Times New Roman" w:hint="default"/>
          <w:spacing w:val="5"/>
        </w:rPr>
        <w:t>2</w:t>
      </w:r>
      <w:r>
        <w:rPr>
          <w:spacing w:val="5"/>
        </w:rPr>
        <w:t>）期末发行在外的优先股、永续债等金融工具变动情况表</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405"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150" w:right="88"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91"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7" w:lineRule="auto" w:before="44"/>
        <w:ind w:right="4629"/>
        <w:jc w:val="left"/>
      </w:pPr>
      <w:r>
        <w:rPr/>
        <w:t>其他权益工具本期增减变动情况、变动原因说明，以及相关会计处理的依据： 其他说明：</w:t>
      </w:r>
    </w:p>
    <w:p>
      <w:pPr>
        <w:spacing w:line="240" w:lineRule="auto" w:before="0"/>
        <w:rPr>
          <w:rFonts w:ascii="宋体" w:hAnsi="宋体" w:cs="宋体" w:eastAsia="宋体" w:hint="default"/>
          <w:sz w:val="22"/>
          <w:szCs w:val="22"/>
        </w:rPr>
      </w:pPr>
    </w:p>
    <w:p>
      <w:pPr>
        <w:pStyle w:val="Heading5"/>
        <w:spacing w:line="240" w:lineRule="auto"/>
        <w:ind w:right="0"/>
        <w:jc w:val="left"/>
        <w:rPr>
          <w:b w:val="0"/>
          <w:bCs w:val="0"/>
        </w:rPr>
      </w:pPr>
      <w:bookmarkStart w:name="55、资本公积" w:id="380"/>
      <w:bookmarkEnd w:id="380"/>
      <w:r>
        <w:rPr>
          <w:b w:val="0"/>
          <w:bCs w:val="0"/>
        </w:rPr>
      </w:r>
      <w:r>
        <w:rPr>
          <w:rFonts w:ascii="Times New Roman" w:hAnsi="Times New Roman" w:cs="Times New Roman" w:eastAsia="Times New Roman" w:hint="default"/>
          <w:spacing w:val="3"/>
        </w:rPr>
        <w:t>55</w:t>
      </w:r>
      <w:r>
        <w:rPr>
          <w:spacing w:val="3"/>
        </w:rPr>
        <w:t>、资本公积</w:t>
      </w:r>
      <w:r>
        <w:rPr>
          <w:b w:val="0"/>
          <w:bCs w:val="0"/>
          <w:spacing w:val="3"/>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1,292,037,292.62</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6,959,050.00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1,285,078,242.62</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10,024,112.42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3,102,033.33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7,023,166.29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6,102,979.46</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1,302,061,405.04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3,102,033.33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13,982,216.29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1,291,181,222.08</w:t>
            </w:r>
          </w:p>
        </w:tc>
      </w:tr>
    </w:tbl>
    <w:p>
      <w:pPr>
        <w:pStyle w:val="BodyText"/>
        <w:spacing w:line="240" w:lineRule="auto" w:before="45"/>
        <w:ind w:right="0"/>
        <w:jc w:val="left"/>
      </w:pPr>
      <w:r>
        <w:rPr/>
        <w:t>其他说明，包括本期增减变动情况、变动原因说明：</w:t>
      </w:r>
    </w:p>
    <w:p>
      <w:pPr>
        <w:spacing w:line="240" w:lineRule="auto" w:before="5"/>
        <w:rPr>
          <w:rFonts w:ascii="宋体" w:hAnsi="宋体" w:cs="宋体" w:eastAsia="宋体" w:hint="default"/>
          <w:sz w:val="16"/>
          <w:szCs w:val="16"/>
        </w:rPr>
      </w:pPr>
    </w:p>
    <w:p>
      <w:pPr>
        <w:pStyle w:val="BodyText"/>
        <w:spacing w:line="290" w:lineRule="auto"/>
        <w:ind w:left="786" w:right="1104" w:hanging="225"/>
        <w:jc w:val="left"/>
      </w:pPr>
      <w:r>
        <w:rPr>
          <w:rFonts w:ascii="Times New Roman" w:hAnsi="Times New Roman" w:cs="Times New Roman" w:eastAsia="Times New Roman" w:hint="default"/>
        </w:rPr>
        <w:t>1</w:t>
      </w:r>
      <w:r>
        <w:rPr/>
        <w:t>、股本溢价变动说明 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日第四届董事会第三十三次会议，审议通过的《关于注销部分股票期权及回购注销部分限制性股票</w:t>
      </w:r>
    </w:p>
    <w:p>
      <w:pPr>
        <w:pStyle w:val="BodyText"/>
        <w:spacing w:line="240" w:lineRule="auto" w:before="9"/>
        <w:ind w:right="0"/>
        <w:jc w:val="left"/>
      </w:pPr>
      <w:r>
        <w:rPr/>
        <w:t>的议案》，因原激励对象部分员工不再符合公司股权激励条件，公司决定对上述原因确认的限制性股票进行回购注销，共计</w:t>
      </w:r>
    </w:p>
    <w:p>
      <w:pPr>
        <w:pStyle w:val="BodyText"/>
        <w:spacing w:line="304" w:lineRule="auto" w:before="80"/>
        <w:ind w:left="786" w:right="0" w:hanging="646"/>
        <w:jc w:val="left"/>
      </w:pPr>
      <w:r>
        <w:rPr>
          <w:rFonts w:ascii="Times New Roman" w:hAnsi="Times New Roman" w:cs="Times New Roman" w:eastAsia="Times New Roman" w:hint="default"/>
        </w:rPr>
        <w:t>765,000</w:t>
      </w:r>
      <w:r>
        <w:rPr/>
        <w:t>股，减少资本公积</w:t>
      </w:r>
      <w:r>
        <w:rPr>
          <w:rFonts w:ascii="Times New Roman" w:hAnsi="Times New Roman" w:cs="Times New Roman" w:eastAsia="Times New Roman" w:hint="default"/>
        </w:rPr>
        <w:t>2,578,050.00</w:t>
      </w:r>
      <w:r>
        <w:rPr/>
        <w:t>元。</w:t>
      </w:r>
      <w:r>
        <w:rPr>
          <w:spacing w:val="-87"/>
        </w:rPr>
        <w:t> </w:t>
      </w:r>
      <w:r>
        <w:rPr>
          <w:spacing w:val="-2"/>
        </w:rPr>
        <w:t>根据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日第四届董事会第三十七次会议，审议通过的《关于注销部分股票期权及回购注销部分限制性股票</w:t>
      </w:r>
    </w:p>
    <w:p>
      <w:pPr>
        <w:pStyle w:val="BodyText"/>
        <w:spacing w:line="304" w:lineRule="auto" w:before="12"/>
        <w:ind w:right="0"/>
        <w:jc w:val="left"/>
      </w:pPr>
      <w:r>
        <w:rPr>
          <w:spacing w:val="-4"/>
        </w:rPr>
        <w:t>的议案》，因公司未达到</w:t>
      </w:r>
      <w:r>
        <w:rPr>
          <w:rFonts w:ascii="Times New Roman" w:hAnsi="Times New Roman" w:cs="Times New Roman" w:eastAsia="Times New Roman" w:hint="default"/>
          <w:spacing w:val="-4"/>
        </w:rPr>
        <w:t>2017</w:t>
      </w:r>
      <w:r>
        <w:rPr>
          <w:spacing w:val="-4"/>
        </w:rPr>
        <w:t>年限制性股票激励计划第二期解锁条件</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6"/>
        </w:rPr>
        <w:t> </w:t>
      </w:r>
      <w:r>
        <w:rPr/>
        <w:t>公司决定对上述原因确认的限制性股票进行回购注销， 共计</w:t>
      </w:r>
      <w:r>
        <w:rPr>
          <w:rFonts w:ascii="Times New Roman" w:hAnsi="Times New Roman" w:cs="Times New Roman" w:eastAsia="Times New Roman" w:hint="default"/>
        </w:rPr>
        <w:t>1,300,000</w:t>
      </w:r>
      <w:r>
        <w:rPr/>
        <w:t>股，减少资本公积</w:t>
      </w:r>
      <w:r>
        <w:rPr>
          <w:rFonts w:ascii="Times New Roman" w:hAnsi="Times New Roman" w:cs="Times New Roman" w:eastAsia="Times New Roman" w:hint="default"/>
        </w:rPr>
        <w:t>4,381,000.00</w:t>
      </w:r>
      <w:r>
        <w:rPr/>
        <w:t>元。</w:t>
      </w:r>
    </w:p>
    <w:p>
      <w:pPr>
        <w:pStyle w:val="BodyText"/>
        <w:spacing w:line="240" w:lineRule="auto" w:before="132"/>
        <w:ind w:left="561" w:right="0"/>
        <w:jc w:val="left"/>
      </w:pPr>
      <w:r>
        <w:rPr>
          <w:rFonts w:ascii="Times New Roman" w:hAnsi="Times New Roman" w:cs="Times New Roman" w:eastAsia="Times New Roman" w:hint="default"/>
        </w:rPr>
        <w:t>2</w:t>
      </w:r>
      <w:r>
        <w:rPr/>
        <w:t>、其他资本公积变动说明</w:t>
      </w:r>
    </w:p>
    <w:p>
      <w:pPr>
        <w:pStyle w:val="BodyText"/>
        <w:spacing w:line="240" w:lineRule="auto" w:before="51"/>
        <w:ind w:left="561" w:right="0"/>
        <w:jc w:val="left"/>
      </w:pPr>
      <w:r>
        <w:rPr/>
        <w:t>（</w:t>
      </w:r>
      <w:r>
        <w:rPr>
          <w:rFonts w:ascii="Times New Roman" w:hAnsi="Times New Roman" w:cs="Times New Roman" w:eastAsia="Times New Roman" w:hint="default"/>
        </w:rPr>
        <w:t>1</w:t>
      </w:r>
      <w:r>
        <w:rPr/>
        <w:t>）本期确认联营企业深圳市深创谷技术服务有限公司除净损益外的所有者权益其他变动</w:t>
      </w:r>
      <w:r>
        <w:rPr>
          <w:rFonts w:ascii="Times New Roman" w:hAnsi="Times New Roman" w:cs="Times New Roman" w:eastAsia="Times New Roman" w:hint="default"/>
        </w:rPr>
        <w:t>3,102,033.33</w:t>
      </w:r>
      <w:r>
        <w:rPr/>
        <w:t>元。</w:t>
      </w:r>
    </w:p>
    <w:p>
      <w:pPr>
        <w:pStyle w:val="BodyText"/>
        <w:spacing w:line="240" w:lineRule="auto" w:before="66"/>
        <w:ind w:left="561" w:right="0"/>
        <w:jc w:val="left"/>
      </w:pPr>
      <w:r>
        <w:rPr/>
        <w:t>（</w:t>
      </w:r>
      <w:r>
        <w:rPr>
          <w:rFonts w:ascii="Times New Roman" w:hAnsi="Times New Roman" w:cs="Times New Roman" w:eastAsia="Times New Roman" w:hint="default"/>
        </w:rPr>
        <w:t>2</w:t>
      </w:r>
      <w:r>
        <w:rPr/>
        <w:t>）本期减持联营企业深圳市深创谷技术服务有限公司股权转出其他资本公积</w:t>
      </w:r>
      <w:r>
        <w:rPr>
          <w:rFonts w:ascii="Times New Roman" w:hAnsi="Times New Roman" w:cs="Times New Roman" w:eastAsia="Times New Roman" w:hint="default"/>
        </w:rPr>
        <w:t>1,554,126.22</w:t>
      </w:r>
      <w:r>
        <w:rPr/>
        <w:t>元。</w:t>
      </w:r>
    </w:p>
    <w:p>
      <w:pPr>
        <w:pStyle w:val="BodyText"/>
        <w:spacing w:line="240" w:lineRule="auto" w:before="66"/>
        <w:ind w:left="561" w:right="0"/>
        <w:jc w:val="left"/>
      </w:pPr>
      <w:r>
        <w:rPr/>
        <w:t>（</w:t>
      </w:r>
      <w:r>
        <w:rPr>
          <w:rFonts w:ascii="Times New Roman" w:hAnsi="Times New Roman" w:cs="Times New Roman" w:eastAsia="Times New Roman" w:hint="default"/>
        </w:rPr>
        <w:t>3</w:t>
      </w:r>
      <w:r>
        <w:rPr/>
        <w:t>）本期因确认</w:t>
      </w:r>
      <w:r>
        <w:rPr>
          <w:rFonts w:ascii="Times New Roman" w:hAnsi="Times New Roman" w:cs="Times New Roman" w:eastAsia="Times New Roman" w:hint="default"/>
        </w:rPr>
        <w:t>2017</w:t>
      </w:r>
      <w:r>
        <w:rPr/>
        <w:t>年股票期权无法达到行权条件，冲销已确认的股权激励费用</w:t>
      </w:r>
      <w:r>
        <w:rPr>
          <w:rFonts w:ascii="Times New Roman" w:hAnsi="Times New Roman" w:cs="Times New Roman" w:eastAsia="Times New Roman" w:hint="default"/>
        </w:rPr>
        <w:t>5,469,040.07</w:t>
      </w:r>
      <w:r>
        <w:rPr/>
        <w:t>元。</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56、库存股" w:id="381"/>
      <w:bookmarkEnd w:id="381"/>
      <w:r>
        <w:rPr>
          <w:b w:val="0"/>
          <w:bCs w:val="0"/>
        </w:rPr>
      </w:r>
      <w:r>
        <w:rPr>
          <w:rFonts w:ascii="Times New Roman" w:hAnsi="Times New Roman" w:cs="Times New Roman" w:eastAsia="Times New Roman" w:hint="default"/>
          <w:spacing w:val="4"/>
        </w:rPr>
        <w:t>56</w:t>
      </w:r>
      <w:r>
        <w:rPr>
          <w:spacing w:val="4"/>
        </w:rPr>
        <w:t>、库存股</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21"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股权激励授予限制性股 票的回购义务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13,994,925.00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9,024,050.00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4,970,875.00</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回购非限售流通股</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75,252,122.95</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75,252,122.95</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13,994,925.00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75,252,122.95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9,024,050.00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80,222,997.95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其他说明，包括本期增减变动情况、变动原因说明：</w:t>
      </w:r>
    </w:p>
    <w:p>
      <w:pPr>
        <w:spacing w:line="240" w:lineRule="auto" w:before="5"/>
        <w:rPr>
          <w:rFonts w:ascii="宋体" w:hAnsi="宋体" w:cs="宋体" w:eastAsia="宋体" w:hint="default"/>
          <w:sz w:val="16"/>
          <w:szCs w:val="16"/>
        </w:rPr>
      </w:pPr>
    </w:p>
    <w:p>
      <w:pPr>
        <w:pStyle w:val="BodyText"/>
        <w:spacing w:line="240" w:lineRule="auto"/>
        <w:ind w:left="0" w:right="1096"/>
        <w:jc w:val="righ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spacing w:val="-76"/>
        </w:rPr>
        <w:t>）</w:t>
      </w:r>
      <w:r>
        <w:rPr/>
        <w:t>公司于</w:t>
      </w:r>
      <w:r>
        <w:rPr>
          <w:rFonts w:ascii="Times New Roman" w:hAnsi="Times New Roman" w:cs="Times New Roman" w:eastAsia="Times New Roman" w:hint="default"/>
        </w:rPr>
        <w:t>2018 </w:t>
      </w:r>
      <w:r>
        <w:rPr>
          <w:rFonts w:ascii="Times New Roman" w:hAnsi="Times New Roman" w:cs="Times New Roman" w:eastAsia="Times New Roman" w:hint="default"/>
          <w:spacing w:val="-15"/>
        </w:rPr>
        <w:t> </w:t>
      </w:r>
      <w:r>
        <w:rPr/>
        <w:t>年</w:t>
      </w:r>
      <w:r>
        <w:rPr>
          <w:spacing w:val="-15"/>
        </w:rPr>
        <w:t> </w:t>
      </w:r>
      <w:r>
        <w:rPr>
          <w:rFonts w:ascii="Times New Roman" w:hAnsi="Times New Roman" w:cs="Times New Roman" w:eastAsia="Times New Roman" w:hint="default"/>
        </w:rPr>
        <w:t>11 </w:t>
      </w:r>
      <w:r>
        <w:rPr>
          <w:rFonts w:ascii="Times New Roman" w:hAnsi="Times New Roman" w:cs="Times New Roman" w:eastAsia="Times New Roman" w:hint="default"/>
          <w:spacing w:val="-15"/>
        </w:rPr>
        <w:t> </w:t>
      </w:r>
      <w:r>
        <w:rPr/>
        <w:t>月</w:t>
      </w:r>
      <w:r>
        <w:rPr>
          <w:spacing w:val="-15"/>
        </w:rPr>
        <w:t> </w:t>
      </w:r>
      <w:r>
        <w:rPr>
          <w:rFonts w:ascii="Times New Roman" w:hAnsi="Times New Roman" w:cs="Times New Roman" w:eastAsia="Times New Roman" w:hint="default"/>
        </w:rPr>
        <w:t>6 </w:t>
      </w:r>
      <w:r>
        <w:rPr>
          <w:rFonts w:ascii="Times New Roman" w:hAnsi="Times New Roman" w:cs="Times New Roman" w:eastAsia="Times New Roman" w:hint="default"/>
          <w:spacing w:val="-15"/>
        </w:rPr>
        <w:t> </w:t>
      </w:r>
      <w:r>
        <w:rPr/>
        <w:t>日召开第四届董事会第三十二次会议</w:t>
      </w:r>
      <w:r>
        <w:rPr>
          <w:spacing w:val="-76"/>
        </w:rPr>
        <w:t>，</w:t>
      </w:r>
      <w:r>
        <w:rPr/>
        <w:t>审议通过</w:t>
      </w:r>
      <w:r>
        <w:rPr>
          <w:spacing w:val="-90"/>
        </w:rPr>
        <w:t>了</w:t>
      </w:r>
      <w:r>
        <w:rPr/>
        <w:t>《关于回购公司股份的预案</w:t>
      </w:r>
      <w:r>
        <w:rPr>
          <w:spacing w:val="-76"/>
        </w:rPr>
        <w:t>》，</w:t>
      </w:r>
      <w:r>
        <w:rPr/>
        <w:t>并于</w:t>
      </w:r>
      <w:r>
        <w:rPr>
          <w:spacing w:val="-7"/>
        </w:rPr>
        <w:t> </w:t>
      </w:r>
      <w:r>
        <w:rPr>
          <w:rFonts w:ascii="Times New Roman" w:hAnsi="Times New Roman" w:cs="Times New Roman" w:eastAsia="Times New Roman" w:hint="default"/>
        </w:rPr>
        <w:t>2018</w:t>
      </w:r>
    </w:p>
    <w:p>
      <w:pPr>
        <w:pStyle w:val="BodyText"/>
        <w:spacing w:line="240" w:lineRule="auto" w:before="66"/>
        <w:ind w:right="0"/>
        <w:jc w:val="left"/>
      </w:pP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23 </w:t>
      </w:r>
      <w:r>
        <w:rPr/>
        <w:t>日召开 </w:t>
      </w:r>
      <w:r>
        <w:rPr>
          <w:rFonts w:ascii="Times New Roman" w:hAnsi="Times New Roman" w:cs="Times New Roman" w:eastAsia="Times New Roman" w:hint="default"/>
        </w:rPr>
        <w:t>2018 </w:t>
      </w:r>
      <w:r>
        <w:rPr/>
        <w:t>年第七次临时股东大会审议通过上述议案。截至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23 </w:t>
      </w:r>
      <w:r>
        <w:rPr>
          <w:rFonts w:ascii="Times New Roman" w:hAnsi="Times New Roman" w:cs="Times New Roman" w:eastAsia="Times New Roman" w:hint="default"/>
          <w:spacing w:val="12"/>
        </w:rPr>
        <w:t> </w:t>
      </w:r>
      <w:r>
        <w:rPr>
          <w:spacing w:val="-3"/>
        </w:rPr>
        <w:t>日，公司通过股份回购专用账</w:t>
      </w:r>
    </w:p>
    <w:p>
      <w:pPr>
        <w:pStyle w:val="BodyText"/>
        <w:spacing w:line="240" w:lineRule="auto" w:before="51"/>
        <w:ind w:right="0"/>
        <w:jc w:val="left"/>
        <w:rPr>
          <w:rFonts w:ascii="Times New Roman" w:hAnsi="Times New Roman" w:cs="Times New Roman" w:eastAsia="Times New Roman" w:hint="default"/>
        </w:rPr>
      </w:pPr>
      <w:r>
        <w:rPr/>
        <w:t>户以集中竞价交易方式累计回购股份 </w:t>
      </w:r>
      <w:r>
        <w:rPr>
          <w:rFonts w:ascii="Times New Roman" w:hAnsi="Times New Roman" w:cs="Times New Roman" w:eastAsia="Times New Roman" w:hint="default"/>
        </w:rPr>
        <w:t>9,812,924 </w:t>
      </w:r>
      <w:r>
        <w:rPr/>
        <w:t>股，占公司总股本的 </w:t>
      </w:r>
      <w:r>
        <w:rPr>
          <w:rFonts w:ascii="Times New Roman" w:hAnsi="Times New Roman" w:cs="Times New Roman" w:eastAsia="Times New Roman" w:hint="default"/>
        </w:rPr>
        <w:t>1.70%</w:t>
      </w:r>
      <w:r>
        <w:rPr/>
        <w:t>，最高成交价为 </w:t>
      </w:r>
      <w:r>
        <w:rPr>
          <w:rFonts w:ascii="Times New Roman" w:hAnsi="Times New Roman" w:cs="Times New Roman" w:eastAsia="Times New Roman" w:hint="default"/>
        </w:rPr>
        <w:t>7.98 </w:t>
      </w:r>
      <w:r>
        <w:rPr/>
        <w:t>元</w:t>
      </w:r>
      <w:r>
        <w:rPr>
          <w:rFonts w:ascii="Times New Roman" w:hAnsi="Times New Roman" w:cs="Times New Roman" w:eastAsia="Times New Roman" w:hint="default"/>
        </w:rPr>
        <w:t>/</w:t>
      </w:r>
      <w:r>
        <w:rPr/>
        <w:t>股，最低成交价为</w:t>
      </w:r>
      <w:r>
        <w:rPr>
          <w:spacing w:val="-42"/>
        </w:rPr>
        <w:t> </w:t>
      </w:r>
      <w:r>
        <w:rPr>
          <w:rFonts w:ascii="Times New Roman" w:hAnsi="Times New Roman" w:cs="Times New Roman" w:eastAsia="Times New Roman" w:hint="default"/>
        </w:rPr>
        <w:t>6.91</w:t>
      </w:r>
    </w:p>
    <w:p>
      <w:pPr>
        <w:pStyle w:val="BodyText"/>
        <w:spacing w:line="240" w:lineRule="auto" w:before="66"/>
        <w:ind w:right="0"/>
        <w:jc w:val="left"/>
      </w:pPr>
      <w:r>
        <w:rPr/>
        <w:t>元</w:t>
      </w:r>
      <w:r>
        <w:rPr>
          <w:rFonts w:ascii="Times New Roman" w:hAnsi="Times New Roman" w:cs="Times New Roman" w:eastAsia="Times New Roman" w:hint="default"/>
        </w:rPr>
        <w:t>/</w:t>
      </w:r>
      <w:r>
        <w:rPr/>
        <w:t>股，成交总金额为 </w:t>
      </w:r>
      <w:r>
        <w:rPr>
          <w:rFonts w:ascii="Times New Roman" w:hAnsi="Times New Roman" w:cs="Times New Roman" w:eastAsia="Times New Roman" w:hint="default"/>
        </w:rPr>
        <w:t>75,252,122.95</w:t>
      </w:r>
      <w:r>
        <w:rPr>
          <w:rFonts w:ascii="Times New Roman" w:hAnsi="Times New Roman" w:cs="Times New Roman" w:eastAsia="Times New Roman" w:hint="default"/>
          <w:spacing w:val="14"/>
        </w:rPr>
        <w:t> </w:t>
      </w:r>
      <w:r>
        <w:rPr/>
        <w:t>元（不含交易费用）。</w:t>
      </w:r>
    </w:p>
    <w:p>
      <w:pPr>
        <w:spacing w:line="240" w:lineRule="auto" w:before="3"/>
        <w:rPr>
          <w:rFonts w:ascii="宋体" w:hAnsi="宋体" w:cs="宋体" w:eastAsia="宋体" w:hint="default"/>
          <w:sz w:val="14"/>
          <w:szCs w:val="14"/>
        </w:rPr>
      </w:pPr>
    </w:p>
    <w:p>
      <w:pPr>
        <w:pStyle w:val="BodyText"/>
        <w:spacing w:line="302" w:lineRule="auto"/>
        <w:ind w:right="1118" w:firstLine="420"/>
        <w:jc w:val="both"/>
      </w:pPr>
      <w:r>
        <w:rPr>
          <w:spacing w:val="-1"/>
        </w:rPr>
        <w:t>（</w:t>
      </w:r>
      <w:r>
        <w:rPr>
          <w:rFonts w:ascii="Times New Roman" w:hAnsi="Times New Roman" w:cs="Times New Roman" w:eastAsia="Times New Roman" w:hint="default"/>
          <w:spacing w:val="-1"/>
        </w:rPr>
        <w:t>2</w:t>
      </w:r>
      <w:r>
        <w:rPr>
          <w:spacing w:val="-1"/>
        </w:rPr>
        <w:t>）根据</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w:t>
      </w:r>
      <w:r>
        <w:rPr>
          <w:spacing w:val="-1"/>
        </w:rPr>
        <w:t>日第四届董事会第三十三次会议，审议通过的《关于注销部分股票期权及回购注销部分限制性股</w:t>
      </w:r>
      <w:r>
        <w:rPr/>
        <w:t> 票的议案》，公司回购注销因不再符合公司股权激励条件的激励对象持有获授的限制性股票，共计</w:t>
      </w:r>
      <w:r>
        <w:rPr>
          <w:rFonts w:ascii="Times New Roman" w:hAnsi="Times New Roman" w:cs="Times New Roman" w:eastAsia="Times New Roman" w:hint="default"/>
        </w:rPr>
        <w:t>765,000</w:t>
      </w:r>
      <w:r>
        <w:rPr/>
        <w:t>股，减少库存股</w:t>
      </w:r>
      <w:r>
        <w:rPr>
          <w:spacing w:val="-80"/>
        </w:rPr>
        <w:t> </w:t>
      </w:r>
      <w:r>
        <w:rPr>
          <w:rFonts w:ascii="Times New Roman" w:hAnsi="Times New Roman" w:cs="Times New Roman" w:eastAsia="Times New Roman" w:hint="default"/>
        </w:rPr>
        <w:t>3,343,050.00</w:t>
      </w:r>
      <w:r>
        <w:rPr/>
        <w:t>元。</w:t>
      </w:r>
    </w:p>
    <w:p>
      <w:pPr>
        <w:pStyle w:val="BodyText"/>
        <w:spacing w:line="302" w:lineRule="auto" w:before="119"/>
        <w:ind w:right="1165" w:firstLine="420"/>
        <w:jc w:val="both"/>
      </w:pPr>
      <w:r>
        <w:rPr/>
        <w:t>（</w:t>
      </w:r>
      <w:r>
        <w:rPr>
          <w:rFonts w:ascii="Times New Roman" w:hAnsi="Times New Roman" w:cs="Times New Roman" w:eastAsia="Times New Roman" w:hint="default"/>
        </w:rPr>
        <w:t>3</w:t>
      </w:r>
      <w:r>
        <w:rPr/>
        <w:t>）根据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日第四届董事会第三十七次会议，审议通过的《关于注销部分股票期权及回购注销部分限制性 股票的议案》，公司回购注销未达到</w:t>
      </w:r>
      <w:r>
        <w:rPr>
          <w:rFonts w:ascii="Times New Roman" w:hAnsi="Times New Roman" w:cs="Times New Roman" w:eastAsia="Times New Roman" w:hint="default"/>
        </w:rPr>
        <w:t>2017</w:t>
      </w:r>
      <w:r>
        <w:rPr/>
        <w:t>年限制性股票激励计划第二期解锁条件的激励对象持有获授的限制性股票，共计</w:t>
      </w:r>
      <w:r>
        <w:rPr>
          <w:spacing w:val="-87"/>
        </w:rPr>
        <w:t> </w:t>
      </w:r>
      <w:r>
        <w:rPr>
          <w:rFonts w:ascii="Times New Roman" w:hAnsi="Times New Roman" w:cs="Times New Roman" w:eastAsia="Times New Roman" w:hint="default"/>
        </w:rPr>
        <w:t>1,300,000</w:t>
      </w:r>
      <w:r>
        <w:rPr/>
        <w:t>股，减少库存股</w:t>
      </w:r>
      <w:r>
        <w:rPr>
          <w:rFonts w:ascii="Times New Roman" w:hAnsi="Times New Roman" w:cs="Times New Roman" w:eastAsia="Times New Roman" w:hint="default"/>
        </w:rPr>
        <w:t>5,681,000.00</w:t>
      </w:r>
      <w:r>
        <w:rPr/>
        <w:t>元。</w:t>
      </w:r>
    </w:p>
    <w:p>
      <w:pPr>
        <w:spacing w:line="240" w:lineRule="auto" w:before="2"/>
        <w:rPr>
          <w:rFonts w:ascii="宋体" w:hAnsi="宋体" w:cs="宋体" w:eastAsia="宋体" w:hint="default"/>
          <w:sz w:val="23"/>
          <w:szCs w:val="23"/>
        </w:rPr>
      </w:pPr>
    </w:p>
    <w:p>
      <w:pPr>
        <w:pStyle w:val="Heading5"/>
        <w:spacing w:line="240" w:lineRule="auto"/>
        <w:ind w:right="0"/>
        <w:jc w:val="left"/>
        <w:rPr>
          <w:b w:val="0"/>
          <w:bCs w:val="0"/>
        </w:rPr>
      </w:pPr>
      <w:bookmarkStart w:name="57、其他综合收益" w:id="382"/>
      <w:bookmarkEnd w:id="382"/>
      <w:r>
        <w:rPr>
          <w:b w:val="0"/>
          <w:bCs w:val="0"/>
        </w:rPr>
      </w:r>
      <w:r>
        <w:rPr>
          <w:rFonts w:ascii="Times New Roman" w:hAnsi="Times New Roman" w:cs="Times New Roman" w:eastAsia="Times New Roman" w:hint="default"/>
          <w:spacing w:val="4"/>
        </w:rPr>
        <w:t>57</w:t>
      </w:r>
      <w:r>
        <w:rPr>
          <w:spacing w:val="4"/>
        </w:rPr>
        <w:t>、其他综合收益</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546"/>
        <w:gridCol w:w="976"/>
        <w:gridCol w:w="856"/>
        <w:gridCol w:w="1051"/>
        <w:gridCol w:w="857"/>
        <w:gridCol w:w="856"/>
        <w:gridCol w:w="856"/>
        <w:gridCol w:w="841"/>
        <w:gridCol w:w="736"/>
      </w:tblGrid>
      <w:tr>
        <w:trPr>
          <w:trHeight w:val="398" w:hRule="exact"/>
        </w:trPr>
        <w:tc>
          <w:tcPr>
            <w:tcW w:w="2546" w:type="dxa"/>
            <w:vMerge w:val="restart"/>
            <w:tcBorders>
              <w:top w:val="single" w:sz="6" w:space="0" w:color="000000"/>
              <w:left w:val="single" w:sz="6" w:space="0" w:color="000000"/>
              <w:right w:val="single" w:sz="6" w:space="0" w:color="000000"/>
            </w:tcBorders>
            <w:shd w:val="clear" w:color="auto" w:fill="D2D2D2"/>
          </w:tcPr>
          <w:p>
            <w:pPr/>
          </w:p>
        </w:tc>
        <w:tc>
          <w:tcPr>
            <w:tcW w:w="976" w:type="dxa"/>
            <w:vMerge w:val="restart"/>
            <w:tcBorders>
              <w:top w:val="single" w:sz="6" w:space="0" w:color="000000"/>
              <w:left w:val="single" w:sz="6" w:space="0" w:color="000000"/>
              <w:right w:val="single" w:sz="6" w:space="0" w:color="000000"/>
            </w:tcBorders>
            <w:shd w:val="clear" w:color="auto" w:fill="D2D2D2"/>
          </w:tcPr>
          <w:p>
            <w:pPr/>
          </w:p>
        </w:tc>
        <w:tc>
          <w:tcPr>
            <w:tcW w:w="5317"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36" w:type="dxa"/>
            <w:vMerge w:val="restart"/>
            <w:tcBorders>
              <w:top w:val="single" w:sz="6" w:space="0" w:color="000000"/>
              <w:left w:val="single" w:sz="6" w:space="0" w:color="000000"/>
              <w:right w:val="single" w:sz="6" w:space="0" w:color="000000"/>
            </w:tcBorders>
            <w:shd w:val="clear" w:color="auto" w:fill="D2D2D2"/>
          </w:tcPr>
          <w:p>
            <w:pPr/>
          </w:p>
        </w:tc>
      </w:tr>
      <w:tr>
        <w:trPr>
          <w:trHeight w:val="165"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85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3"/>
              <w:ind w:left="60"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841" w:type="dxa"/>
            <w:vMerge w:val="restart"/>
            <w:tcBorders>
              <w:top w:val="single" w:sz="6" w:space="0" w:color="000000"/>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39"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5"/>
              <w:ind w:left="30" w:right="15"/>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bottom w:val="single" w:sz="18" w:space="0" w:color="FFFFFF"/>
              <w:right w:val="single" w:sz="6" w:space="0" w:color="000000"/>
            </w:tcBorders>
            <w:shd w:val="clear" w:color="auto" w:fill="D2D2D2"/>
          </w:tcPr>
          <w:p>
            <w:pPr/>
          </w:p>
        </w:tc>
        <w:tc>
          <w:tcPr>
            <w:tcW w:w="736" w:type="dxa"/>
            <w:vMerge/>
            <w:tcBorders>
              <w:left w:val="single" w:sz="6" w:space="0" w:color="000000"/>
              <w:bottom w:val="single" w:sz="18" w:space="0" w:color="FFFFFF"/>
              <w:right w:val="single" w:sz="6" w:space="0" w:color="000000"/>
            </w:tcBorders>
            <w:shd w:val="clear" w:color="auto" w:fill="D2D2D2"/>
          </w:tcPr>
          <w:p>
            <w:pPr/>
          </w:p>
        </w:tc>
      </w:tr>
      <w:tr>
        <w:trPr>
          <w:trHeight w:val="154" w:hRule="exact"/>
        </w:trPr>
        <w:tc>
          <w:tcPr>
            <w:tcW w:w="2546" w:type="dxa"/>
            <w:vMerge/>
            <w:tcBorders>
              <w:left w:val="single" w:sz="6" w:space="0" w:color="000000"/>
              <w:bottom w:val="nil" w:sz="6" w:space="0" w:color="auto"/>
              <w:right w:val="single" w:sz="6" w:space="0" w:color="000000"/>
            </w:tcBorders>
            <w:shd w:val="clear" w:color="auto" w:fill="D2D2D2"/>
          </w:tcPr>
          <w:p>
            <w:pPr/>
          </w:p>
        </w:tc>
        <w:tc>
          <w:tcPr>
            <w:tcW w:w="976" w:type="dxa"/>
            <w:vMerge/>
            <w:tcBorders>
              <w:left w:val="single" w:sz="6" w:space="0" w:color="000000"/>
              <w:bottom w:val="nil" w:sz="6" w:space="0" w:color="auto"/>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6"/>
              <w:ind w:left="60" w:right="6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41" w:type="dxa"/>
            <w:vMerge w:val="restart"/>
            <w:tcBorders>
              <w:top w:val="single" w:sz="18" w:space="0" w:color="FFFFFF"/>
              <w:left w:val="single" w:sz="6" w:space="0" w:color="000000"/>
              <w:right w:val="single" w:sz="6" w:space="0" w:color="000000"/>
            </w:tcBorders>
            <w:shd w:val="clear" w:color="auto" w:fill="D2D2D2"/>
          </w:tcPr>
          <w:p>
            <w:pPr>
              <w:pStyle w:val="TableParagraph"/>
              <w:spacing w:line="321" w:lineRule="auto" w:before="33"/>
              <w:ind w:left="45" w:right="60"/>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36" w:type="dxa"/>
            <w:vMerge w:val="restart"/>
            <w:tcBorders>
              <w:top w:val="single" w:sz="18" w:space="0" w:color="FFFFFF"/>
              <w:left w:val="single" w:sz="6" w:space="0" w:color="000000"/>
              <w:right w:val="single" w:sz="6" w:space="0" w:color="000000"/>
            </w:tcBorders>
            <w:shd w:val="clear" w:color="auto" w:fill="D2D2D2"/>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期末余</w:t>
            </w:r>
          </w:p>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68" w:hRule="exact"/>
        </w:trPr>
        <w:tc>
          <w:tcPr>
            <w:tcW w:w="254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right="1094"/>
              <w:jc w:val="right"/>
              <w:rPr>
                <w:rFonts w:ascii="宋体" w:hAnsi="宋体" w:cs="宋体" w:eastAsia="宋体" w:hint="default"/>
                <w:sz w:val="18"/>
                <w:szCs w:val="18"/>
              </w:rPr>
            </w:pPr>
            <w:r>
              <w:rPr>
                <w:rFonts w:ascii="宋体" w:hAnsi="宋体" w:cs="宋体" w:eastAsia="宋体" w:hint="default"/>
                <w:sz w:val="18"/>
                <w:szCs w:val="18"/>
              </w:rPr>
              <w:t>项目</w:t>
            </w:r>
          </w:p>
        </w:tc>
        <w:tc>
          <w:tcPr>
            <w:tcW w:w="97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67"/>
              <w:ind w:left="135" w:right="73"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67"/>
              <w:ind w:left="45" w:right="74"/>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4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50" w:hRule="exact"/>
        </w:trPr>
        <w:tc>
          <w:tcPr>
            <w:tcW w:w="2546" w:type="dxa"/>
            <w:vMerge w:val="restart"/>
            <w:tcBorders>
              <w:top w:val="nil" w:sz="6" w:space="0" w:color="auto"/>
              <w:left w:val="single" w:sz="6" w:space="0" w:color="000000"/>
              <w:right w:val="single" w:sz="6" w:space="0" w:color="000000"/>
            </w:tcBorders>
            <w:shd w:val="clear" w:color="auto" w:fill="D2D2D2"/>
          </w:tcPr>
          <w:p>
            <w:pPr/>
          </w:p>
        </w:tc>
        <w:tc>
          <w:tcPr>
            <w:tcW w:w="976" w:type="dxa"/>
            <w:vMerge w:val="restart"/>
            <w:tcBorders>
              <w:top w:val="nil" w:sz="6" w:space="0" w:color="auto"/>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bottom w:val="nil" w:sz="6" w:space="0" w:color="auto"/>
              <w:right w:val="single" w:sz="6" w:space="0" w:color="000000"/>
            </w:tcBorders>
            <w:shd w:val="clear" w:color="auto" w:fill="D2D2D2"/>
          </w:tcPr>
          <w:p>
            <w:pPr/>
          </w:p>
        </w:tc>
      </w:tr>
      <w:tr>
        <w:trPr>
          <w:trHeight w:val="210"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736" w:type="dxa"/>
            <w:vMerge w:val="restart"/>
            <w:tcBorders>
              <w:top w:val="nil" w:sz="6" w:space="0" w:color="auto"/>
              <w:left w:val="single" w:sz="6" w:space="0" w:color="000000"/>
              <w:right w:val="single" w:sz="6" w:space="0" w:color="000000"/>
            </w:tcBorders>
            <w:shd w:val="clear" w:color="auto" w:fill="D2D2D2"/>
          </w:tcPr>
          <w:p>
            <w:pPr/>
          </w:p>
        </w:tc>
      </w:tr>
      <w:tr>
        <w:trPr>
          <w:trHeight w:val="150"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
        </w:tc>
        <w:tc>
          <w:tcPr>
            <w:tcW w:w="841" w:type="dxa"/>
            <w:vMerge/>
            <w:tcBorders>
              <w:left w:val="single" w:sz="6" w:space="0" w:color="000000"/>
              <w:bottom w:val="nil" w:sz="6" w:space="0" w:color="auto"/>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65"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val="restart"/>
            <w:tcBorders>
              <w:top w:val="nil" w:sz="6" w:space="0" w:color="auto"/>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58" w:hRule="exact"/>
        </w:trPr>
        <w:tc>
          <w:tcPr>
            <w:tcW w:w="2546" w:type="dxa"/>
            <w:vMerge/>
            <w:tcBorders>
              <w:left w:val="single" w:sz="6" w:space="0" w:color="000000"/>
              <w:bottom w:val="single" w:sz="6" w:space="0" w:color="000000"/>
              <w:right w:val="single" w:sz="6" w:space="0" w:color="000000"/>
            </w:tcBorders>
            <w:shd w:val="clear" w:color="auto" w:fill="D2D2D2"/>
          </w:tcPr>
          <w:p>
            <w:pPr/>
          </w:p>
        </w:tc>
        <w:tc>
          <w:tcPr>
            <w:tcW w:w="976"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857"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4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6"/>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收益</w:t>
            </w:r>
          </w:p>
        </w:tc>
        <w:tc>
          <w:tcPr>
            <w:tcW w:w="9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-35,142.49</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-54,456.39</w:t>
            </w:r>
            <w:r>
              <w:rPr>
                <w:rFonts w:ascii="Times New Roman"/>
                <w:sz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-54,456.39</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-89,598.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88</w:t>
            </w:r>
          </w:p>
        </w:tc>
      </w:tr>
      <w:tr>
        <w:trPr>
          <w:trHeight w:val="706"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6"/>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其中：权益法下可转损益的其他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综合收益</w:t>
            </w:r>
          </w:p>
        </w:tc>
        <w:tc>
          <w:tcPr>
            <w:tcW w:w="9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-35,142.49</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-54,456.39</w:t>
            </w:r>
            <w:r>
              <w:rPr>
                <w:rFonts w:ascii="Times New Roman"/>
                <w:sz w:val="18"/>
              </w:rPr>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-54,456.39</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-89,598.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88</w:t>
            </w:r>
          </w:p>
        </w:tc>
      </w:tr>
      <w:tr>
        <w:trPr>
          <w:trHeight w:val="158" w:hRule="exact"/>
        </w:trPr>
        <w:tc>
          <w:tcPr>
            <w:tcW w:w="2546" w:type="dxa"/>
            <w:tcBorders>
              <w:top w:val="single" w:sz="6" w:space="0" w:color="000000"/>
              <w:left w:val="single" w:sz="6" w:space="0" w:color="000000"/>
              <w:bottom w:val="nil" w:sz="6" w:space="0" w:color="auto"/>
              <w:right w:val="single" w:sz="6" w:space="0" w:color="000000"/>
            </w:tcBorders>
            <w:shd w:val="clear" w:color="auto" w:fill="D2D2D2"/>
          </w:tcPr>
          <w:p>
            <w:pPr/>
          </w:p>
        </w:tc>
        <w:tc>
          <w:tcPr>
            <w:tcW w:w="976" w:type="dxa"/>
            <w:vMerge w:val="restart"/>
            <w:tcBorders>
              <w:top w:val="single" w:sz="6" w:space="0" w:color="000000"/>
              <w:left w:val="single" w:sz="12" w:space="0" w:color="D2D2D2"/>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-35,142.49</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-54,456.39</w:t>
            </w:r>
          </w:p>
        </w:tc>
        <w:tc>
          <w:tcPr>
            <w:tcW w:w="1051" w:type="dxa"/>
            <w:vMerge w:val="restart"/>
            <w:tcBorders>
              <w:top w:val="single" w:sz="6" w:space="0" w:color="000000"/>
              <w:left w:val="single" w:sz="6" w:space="0" w:color="000000"/>
              <w:right w:val="single" w:sz="6" w:space="0" w:color="000000"/>
            </w:tcBorders>
          </w:tcPr>
          <w:p>
            <w:pPr/>
          </w:p>
        </w:tc>
        <w:tc>
          <w:tcPr>
            <w:tcW w:w="857"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-54,456.39</w:t>
            </w:r>
          </w:p>
        </w:tc>
        <w:tc>
          <w:tcPr>
            <w:tcW w:w="841" w:type="dxa"/>
            <w:vMerge w:val="restart"/>
            <w:tcBorders>
              <w:top w:val="single" w:sz="6" w:space="0" w:color="000000"/>
              <w:left w:val="single" w:sz="6" w:space="0" w:color="000000"/>
              <w:right w:val="single" w:sz="6" w:space="0" w:color="000000"/>
            </w:tcBorders>
          </w:tcPr>
          <w:p>
            <w:pPr/>
          </w:p>
        </w:tc>
        <w:tc>
          <w:tcPr>
            <w:tcW w:w="736"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-89,598.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88</w:t>
            </w:r>
          </w:p>
        </w:tc>
      </w:tr>
      <w:tr>
        <w:trPr>
          <w:trHeight w:val="391" w:hRule="exact"/>
        </w:trPr>
        <w:tc>
          <w:tcPr>
            <w:tcW w:w="254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081"/>
              <w:jc w:val="righ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6" w:type="dxa"/>
            <w:vMerge/>
            <w:tcBorders>
              <w:left w:val="single" w:sz="12" w:space="0" w:color="D2D2D2"/>
              <w:right w:val="single" w:sz="6" w:space="0" w:color="000000"/>
            </w:tcBorders>
          </w:tcPr>
          <w:p>
            <w:pPr/>
          </w:p>
        </w:tc>
        <w:tc>
          <w:tcPr>
            <w:tcW w:w="856" w:type="dxa"/>
            <w:vMerge/>
            <w:tcBorders>
              <w:left w:val="single" w:sz="6" w:space="0" w:color="000000"/>
              <w:right w:val="single" w:sz="6" w:space="0" w:color="000000"/>
            </w:tcBorders>
          </w:tcPr>
          <w:p>
            <w:pPr/>
          </w:p>
        </w:tc>
        <w:tc>
          <w:tcPr>
            <w:tcW w:w="1051" w:type="dxa"/>
            <w:vMerge/>
            <w:tcBorders>
              <w:left w:val="single" w:sz="6" w:space="0" w:color="000000"/>
              <w:right w:val="single" w:sz="6" w:space="0" w:color="000000"/>
            </w:tcBorders>
          </w:tcPr>
          <w:p>
            <w:pPr/>
          </w:p>
        </w:tc>
        <w:tc>
          <w:tcPr>
            <w:tcW w:w="857"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736" w:type="dxa"/>
            <w:vMerge/>
            <w:tcBorders>
              <w:left w:val="single" w:sz="6" w:space="0" w:color="000000"/>
              <w:right w:val="single" w:sz="6" w:space="0" w:color="000000"/>
            </w:tcBorders>
          </w:tcPr>
          <w:p>
            <w:pPr/>
          </w:p>
        </w:tc>
      </w:tr>
      <w:tr>
        <w:trPr>
          <w:trHeight w:val="158" w:hRule="exact"/>
        </w:trPr>
        <w:tc>
          <w:tcPr>
            <w:tcW w:w="2546" w:type="dxa"/>
            <w:tcBorders>
              <w:top w:val="nil" w:sz="6" w:space="0" w:color="auto"/>
              <w:left w:val="single" w:sz="6" w:space="0" w:color="000000"/>
              <w:bottom w:val="single" w:sz="6" w:space="0" w:color="000000"/>
              <w:right w:val="single" w:sz="6" w:space="0" w:color="000000"/>
            </w:tcBorders>
            <w:shd w:val="clear" w:color="auto" w:fill="D2D2D2"/>
          </w:tcPr>
          <w:p>
            <w:pPr/>
          </w:p>
        </w:tc>
        <w:tc>
          <w:tcPr>
            <w:tcW w:w="976" w:type="dxa"/>
            <w:vMerge/>
            <w:tcBorders>
              <w:left w:val="single" w:sz="12" w:space="0" w:color="D2D2D2"/>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1051" w:type="dxa"/>
            <w:vMerge/>
            <w:tcBorders>
              <w:left w:val="single" w:sz="6" w:space="0" w:color="000000"/>
              <w:bottom w:val="single" w:sz="6" w:space="0" w:color="000000"/>
              <w:right w:val="single" w:sz="6" w:space="0" w:color="000000"/>
            </w:tcBorders>
          </w:tcPr>
          <w:p>
            <w:pPr/>
          </w:p>
        </w:tc>
        <w:tc>
          <w:tcPr>
            <w:tcW w:w="857"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736" w:type="dxa"/>
            <w:vMerge/>
            <w:tcBorders>
              <w:left w:val="single" w:sz="6" w:space="0" w:color="000000"/>
              <w:bottom w:val="single" w:sz="6" w:space="0" w:color="000000"/>
              <w:right w:val="single" w:sz="6" w:space="0" w:color="000000"/>
            </w:tcBorders>
          </w:tcPr>
          <w:p>
            <w:pPr/>
          </w:p>
        </w:tc>
      </w:tr>
    </w:tbl>
    <w:p>
      <w:pPr>
        <w:pStyle w:val="BodyText"/>
        <w:spacing w:line="240" w:lineRule="auto" w:before="44"/>
        <w:ind w:right="0"/>
        <w:jc w:val="left"/>
      </w:pPr>
      <w:r>
        <w:rPr/>
        <w:t>其他说明，包括对现金流量套期损益的有效部分转为被套期项目初始确认金额调整：</w:t>
      </w:r>
    </w:p>
    <w:p>
      <w:pPr>
        <w:pStyle w:val="Heading4"/>
        <w:spacing w:line="261" w:lineRule="auto" w:before="105"/>
        <w:ind w:right="1089" w:firstLine="420"/>
        <w:jc w:val="left"/>
      </w:pPr>
      <w:r>
        <w:rPr/>
        <w:t>期末确认权益法核算的联营企业深圳市深创谷技术服务有限公司其他综合收益变动，减少其他综合收 益</w:t>
      </w:r>
      <w:r>
        <w:rPr>
          <w:rFonts w:ascii="Times New Roman" w:hAnsi="Times New Roman" w:cs="Times New Roman" w:eastAsia="Times New Roman" w:hint="default"/>
        </w:rPr>
        <w:t>54,456.39</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9"/>
          <w:szCs w:val="29"/>
        </w:rPr>
      </w:pPr>
    </w:p>
    <w:p>
      <w:pPr>
        <w:pStyle w:val="Heading5"/>
        <w:spacing w:line="240" w:lineRule="auto"/>
        <w:ind w:right="0"/>
        <w:jc w:val="left"/>
        <w:rPr>
          <w:b w:val="0"/>
          <w:bCs w:val="0"/>
        </w:rPr>
      </w:pPr>
      <w:bookmarkStart w:name="58、专项储备" w:id="383"/>
      <w:bookmarkEnd w:id="383"/>
      <w:r>
        <w:rPr>
          <w:b w:val="0"/>
          <w:bCs w:val="0"/>
        </w:rPr>
      </w:r>
      <w:r>
        <w:rPr>
          <w:rFonts w:ascii="Times New Roman" w:hAnsi="Times New Roman" w:cs="Times New Roman" w:eastAsia="Times New Roman" w:hint="default"/>
          <w:spacing w:val="3"/>
        </w:rPr>
        <w:t>58</w:t>
      </w:r>
      <w:r>
        <w:rPr>
          <w:spacing w:val="3"/>
        </w:rPr>
        <w:t>、专项储备</w:t>
      </w:r>
      <w:r>
        <w:rPr>
          <w:b w:val="0"/>
          <w:bCs w:val="0"/>
          <w:spacing w:val="3"/>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5"/>
        <w:ind w:right="0"/>
        <w:jc w:val="left"/>
      </w:pPr>
      <w:r>
        <w:rPr/>
        <w:t>其他说明，包括本期增减变动情况、变动原因说明：</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7"/>
          <w:szCs w:val="27"/>
        </w:rPr>
      </w:pPr>
    </w:p>
    <w:p>
      <w:pPr>
        <w:pStyle w:val="Heading5"/>
        <w:spacing w:line="240" w:lineRule="auto" w:before="45"/>
        <w:ind w:right="0"/>
        <w:jc w:val="left"/>
        <w:rPr>
          <w:b w:val="0"/>
          <w:bCs w:val="0"/>
        </w:rPr>
      </w:pPr>
      <w:bookmarkStart w:name="59、盈余公积" w:id="384"/>
      <w:bookmarkEnd w:id="384"/>
      <w:r>
        <w:rPr>
          <w:b w:val="0"/>
          <w:bCs w:val="0"/>
        </w:rPr>
      </w:r>
      <w:r>
        <w:rPr>
          <w:rFonts w:ascii="Times New Roman" w:hAnsi="Times New Roman" w:cs="Times New Roman" w:eastAsia="Times New Roman" w:hint="default"/>
          <w:spacing w:val="3"/>
        </w:rPr>
        <w:t>59</w:t>
      </w:r>
      <w:r>
        <w:rPr>
          <w:spacing w:val="3"/>
        </w:rPr>
        <w:t>、盈余公积</w:t>
      </w:r>
      <w:r>
        <w:rPr>
          <w:b w:val="0"/>
          <w:bCs w:val="0"/>
          <w:spacing w:val="3"/>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73,608,812.41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3,274,841.76</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76,883,654.17</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73,608,812.41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3,274,841.76</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76,883,654.17</w:t>
            </w:r>
          </w:p>
        </w:tc>
      </w:tr>
    </w:tbl>
    <w:p>
      <w:pPr>
        <w:pStyle w:val="BodyText"/>
        <w:spacing w:line="381" w:lineRule="auto" w:before="45"/>
        <w:ind w:left="441" w:right="6250" w:hanging="301"/>
        <w:jc w:val="left"/>
      </w:pPr>
      <w:r>
        <w:rPr/>
        <w:t>盈余公积说明，包括本期增减变动情况、变动原因说明： 公司按母公司实现净利润的</w:t>
      </w:r>
      <w:r>
        <w:rPr>
          <w:rFonts w:ascii="Times New Roman" w:hAnsi="Times New Roman" w:cs="Times New Roman" w:eastAsia="Times New Roman" w:hint="default"/>
        </w:rPr>
        <w:t>10%</w:t>
      </w:r>
      <w:r>
        <w:rPr/>
        <w:t>计提法定盈余公积。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6"/>
        <w:ind w:right="0"/>
        <w:jc w:val="left"/>
        <w:rPr>
          <w:b w:val="0"/>
          <w:bCs w:val="0"/>
        </w:rPr>
      </w:pPr>
      <w:bookmarkStart w:name="60、未分配利润" w:id="385"/>
      <w:bookmarkEnd w:id="385"/>
      <w:r>
        <w:rPr>
          <w:b w:val="0"/>
          <w:bCs w:val="0"/>
        </w:rPr>
      </w:r>
      <w:r>
        <w:rPr>
          <w:rFonts w:ascii="Times New Roman" w:hAnsi="Times New Roman" w:cs="Times New Roman" w:eastAsia="Times New Roman" w:hint="default"/>
          <w:spacing w:val="5"/>
        </w:rPr>
        <w:t>60</w:t>
      </w:r>
      <w:r>
        <w:rPr>
          <w:spacing w:val="5"/>
        </w:rPr>
        <w:t>、未分配利润</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710"/>
        <w:gridCol w:w="2936"/>
        <w:gridCol w:w="2929"/>
      </w:tblGrid>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43,483,948.89</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184,193,290.16</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31,542,907.32</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75,026,856.21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184,193,290.16</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50,245,772.33</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-102,804,664.07</w:t>
            </w:r>
            <w:r>
              <w:rPr>
                <w:rFonts w:ascii="Times New Roman"/>
                <w:sz w:val="18"/>
              </w:rPr>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3,274,841.76</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3,042,346.09</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6" w:space="0" w:color="000000"/>
              <w:left w:val="single" w:sz="12" w:space="0" w:color="D2D2D2"/>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34,862,331.11</w:t>
            </w:r>
          </w:p>
        </w:tc>
      </w:tr>
      <w:tr>
        <w:trPr>
          <w:trHeight w:val="391"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121,997,786.78</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43,483,948.89</w:t>
            </w:r>
          </w:p>
        </w:tc>
      </w:tr>
    </w:tbl>
    <w:p>
      <w:pPr>
        <w:pStyle w:val="BodyText"/>
        <w:spacing w:line="240" w:lineRule="auto" w:before="44"/>
        <w:ind w:right="0"/>
        <w:jc w:val="left"/>
      </w:pPr>
      <w:r>
        <w:rPr/>
        <w:t>调整期初未分配利润明细：</w:t>
      </w:r>
    </w:p>
    <w:p>
      <w:pPr>
        <w:pStyle w:val="BodyText"/>
        <w:spacing w:line="240" w:lineRule="auto" w:before="140"/>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38"/>
        </w:rPr>
        <w:t> </w:t>
      </w:r>
      <w:r>
        <w:rPr>
          <w:rFonts w:ascii="Times New Roman" w:hAnsi="Times New Roman" w:cs="Times New Roman" w:eastAsia="Times New Roman" w:hint="default"/>
        </w:rPr>
        <w:t>31,542,907.32</w:t>
      </w:r>
      <w:r>
        <w:rPr>
          <w:rFonts w:ascii="Times New Roman" w:hAnsi="Times New Roman" w:cs="Times New Roman" w:eastAsia="Times New Roman" w:hint="default"/>
          <w:spacing w:val="-1"/>
        </w:rPr>
        <w:t> </w:t>
      </w:r>
      <w:r>
        <w:rPr/>
        <w:t>元。</w:t>
      </w:r>
    </w:p>
    <w:p>
      <w:pPr>
        <w:pStyle w:val="BodyText"/>
        <w:spacing w:line="240" w:lineRule="auto" w:before="96"/>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96"/>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11"/>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96"/>
        <w:ind w:right="0"/>
        <w:jc w:val="left"/>
      </w:pPr>
      <w:r>
        <w:rPr>
          <w:rFonts w:ascii="Times New Roman" w:hAnsi="Times New Roman" w:cs="Times New Roman" w:eastAsia="Times New Roman" w:hint="default"/>
        </w:rPr>
        <w:t>5)</w:t>
      </w:r>
      <w:r>
        <w:rPr/>
        <w:t>、其他调整合计影响期初未分配利润元。</w:t>
      </w: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61、营业收入和营业成本" w:id="386"/>
      <w:bookmarkEnd w:id="386"/>
      <w:r>
        <w:rPr>
          <w:b w:val="0"/>
          <w:bCs w:val="0"/>
        </w:rPr>
      </w:r>
      <w:r>
        <w:rPr>
          <w:rFonts w:ascii="Times New Roman" w:hAnsi="Times New Roman" w:cs="Times New Roman" w:eastAsia="Times New Roman" w:hint="default"/>
          <w:spacing w:val="4"/>
        </w:rPr>
        <w:t>61</w:t>
      </w:r>
      <w:r>
        <w:rPr>
          <w:spacing w:val="4"/>
        </w:rPr>
        <w:t>、营业收入和营业成本</w:t>
      </w:r>
      <w:r>
        <w:rPr>
          <w:b w:val="0"/>
          <w:bCs w:val="0"/>
          <w:spacing w:val="4"/>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202"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88"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3"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3,285,437,059.36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2,909,748,303.78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3,132,439,880.44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2,900,512,967.82</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59,294,654.66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26,077,382.19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12,176,356.67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9,529,718.98</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3,344,731,714.02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2,935,825,685.97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3,144,616,237.11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2,910,042,686.80</w:t>
            </w:r>
          </w:p>
        </w:tc>
      </w:tr>
    </w:tbl>
    <w:p>
      <w:pPr>
        <w:pStyle w:val="BodyText"/>
        <w:spacing w:line="240" w:lineRule="auto" w:before="45"/>
        <w:ind w:right="0"/>
        <w:jc w:val="left"/>
      </w:pPr>
      <w:r>
        <w:rPr/>
        <w:t>是否已执行新收入准则</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19" w:lineRule="auto" w:before="44"/>
        <w:ind w:right="98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其他说明</w:t>
      </w: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62、税金及附加" w:id="387"/>
      <w:bookmarkEnd w:id="387"/>
      <w:r>
        <w:rPr>
          <w:b w:val="0"/>
          <w:bCs w:val="0"/>
        </w:rPr>
      </w:r>
      <w:r>
        <w:rPr>
          <w:rFonts w:ascii="Times New Roman" w:hAnsi="Times New Roman" w:cs="Times New Roman" w:eastAsia="Times New Roman" w:hint="default"/>
          <w:spacing w:val="5"/>
        </w:rPr>
        <w:t>62</w:t>
      </w:r>
      <w:r>
        <w:rPr>
          <w:spacing w:val="5"/>
        </w:rPr>
        <w:t>、税金及附加</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8,891,700.20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7,052,281.22</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6,350,947.85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5,037,288.76</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5,599,056.83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5,004,660.31</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226,480.61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228,427.21</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9,917.50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2,505,391.24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1,796,599.47</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13,930.88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78,028.41</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23,588,167.61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19,207,202.88</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63、销售费用" w:id="388"/>
      <w:bookmarkEnd w:id="388"/>
      <w:r>
        <w:rPr>
          <w:b w:val="0"/>
          <w:bCs w:val="0"/>
        </w:rPr>
      </w:r>
      <w:r>
        <w:rPr>
          <w:rFonts w:ascii="Times New Roman" w:hAnsi="Times New Roman" w:cs="Times New Roman" w:eastAsia="Times New Roman" w:hint="default"/>
          <w:spacing w:val="3"/>
        </w:rPr>
        <w:t>63</w:t>
      </w:r>
      <w:r>
        <w:rPr>
          <w:spacing w:val="3"/>
        </w:rPr>
        <w:t>、销售费用</w:t>
      </w:r>
      <w:r>
        <w:rPr>
          <w:b w:val="0"/>
          <w:bCs w:val="0"/>
          <w:spacing w:val="3"/>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8,480,226.83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11,681,124.11</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12,194,880.89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10,231,648.65</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5,530,390.35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3,229,456.21</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606,854.36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894,884.57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商检报关费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387,970.22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763,551.77</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833,966.53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5,963,196.74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261,576.65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175,361.93</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-1,406,782.90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803,890.60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模具摊销费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1,211,250.64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3,515,679.08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5,424,217.43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5,305,765.19</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33,524,551.00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42,564,558.85</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0"/>
        <w:jc w:val="left"/>
        <w:rPr>
          <w:b w:val="0"/>
          <w:bCs w:val="0"/>
        </w:rPr>
      </w:pPr>
      <w:bookmarkStart w:name="64、管理费用" w:id="389"/>
      <w:bookmarkEnd w:id="389"/>
      <w:r>
        <w:rPr>
          <w:b w:val="0"/>
          <w:bCs w:val="0"/>
        </w:rPr>
      </w:r>
      <w:r>
        <w:rPr>
          <w:rFonts w:ascii="Times New Roman" w:hAnsi="Times New Roman" w:cs="Times New Roman" w:eastAsia="Times New Roman" w:hint="default"/>
          <w:spacing w:val="3"/>
        </w:rPr>
        <w:t>64</w:t>
      </w:r>
      <w:r>
        <w:rPr>
          <w:spacing w:val="3"/>
        </w:rPr>
        <w:t>、管理费用</w:t>
      </w:r>
      <w:r>
        <w:rPr>
          <w:b w:val="0"/>
          <w:bCs w:val="0"/>
          <w:spacing w:val="3"/>
        </w:rPr>
      </w:r>
    </w:p>
    <w:p>
      <w:pPr>
        <w:spacing w:after="0" w:line="240" w:lineRule="auto"/>
        <w:jc w:val="left"/>
        <w:sectPr>
          <w:footerReference w:type="default" r:id="rId27"/>
          <w:pgSz w:w="11910" w:h="16850"/>
          <w:pgMar w:footer="1576" w:header="731" w:top="1040" w:bottom="1760" w:left="1000" w:right="0"/>
          <w:pgNumType w:start="206"/>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77,196,629.29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60,348,752.04</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咨询及中介费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4,928,625.00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6,755,880.70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16,245,838.49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12,635,106.39</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34,663,565.18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28,372,520.54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991,363.65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5,612,446.37</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818,065.02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856,038.02</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1,508,235.48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372,941.05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1,444,180.21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2,315,992.38</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-3,074,210.25</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989,958.42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存货报废</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26,665,838.96</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20,768,023.32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16,474,386.43</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155,490,315.39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161,399,861.30</w:t>
            </w:r>
          </w:p>
        </w:tc>
      </w:tr>
    </w:tbl>
    <w:p>
      <w:pPr>
        <w:pStyle w:val="BodyText"/>
        <w:spacing w:line="240" w:lineRule="auto" w:before="44"/>
        <w:ind w:right="0"/>
        <w:jc w:val="left"/>
      </w:pPr>
      <w:r>
        <w:rPr/>
        <w:t>其他说明：</w:t>
      </w:r>
    </w:p>
    <w:p>
      <w:pPr>
        <w:pStyle w:val="BodyText"/>
        <w:spacing w:line="240" w:lineRule="auto" w:before="125"/>
        <w:ind w:left="501" w:right="0"/>
        <w:jc w:val="left"/>
      </w:pPr>
      <w:r>
        <w:rPr/>
        <w:t>本期扣除上期存货报废</w:t>
      </w:r>
      <w:r>
        <w:rPr>
          <w:rFonts w:ascii="Times New Roman" w:hAnsi="Times New Roman" w:cs="Times New Roman" w:eastAsia="Times New Roman" w:hint="default"/>
        </w:rPr>
        <w:t>2,666.58</w:t>
      </w:r>
      <w:r>
        <w:rPr/>
        <w:t>万后增加管理费用</w:t>
      </w:r>
      <w:r>
        <w:rPr>
          <w:rFonts w:ascii="Times New Roman" w:hAnsi="Times New Roman" w:cs="Times New Roman" w:eastAsia="Times New Roman" w:hint="default"/>
        </w:rPr>
        <w:t>15.41%</w:t>
      </w:r>
      <w:r>
        <w:rPr/>
        <w:t>，主要系本期职工薪酬、折旧与装修等摊销费用增加所致。</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65、研发费用" w:id="390"/>
      <w:bookmarkEnd w:id="390"/>
      <w:r>
        <w:rPr>
          <w:b w:val="0"/>
          <w:bCs w:val="0"/>
        </w:rPr>
      </w:r>
      <w:r>
        <w:rPr>
          <w:rFonts w:ascii="Times New Roman" w:hAnsi="Times New Roman" w:cs="Times New Roman" w:eastAsia="Times New Roman" w:hint="default"/>
          <w:spacing w:val="3"/>
        </w:rPr>
        <w:t>65</w:t>
      </w:r>
      <w:r>
        <w:rPr>
          <w:spacing w:val="3"/>
        </w:rPr>
        <w:t>、研发费用</w:t>
      </w:r>
      <w:r>
        <w:rPr>
          <w:b w:val="0"/>
          <w:bCs w:val="0"/>
          <w:spacing w:val="3"/>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80,710,144.32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58,709,017.96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咨询及中介费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153,626.69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764,344.18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4,620,117.20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4,311,857.31</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23,686,397.18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15,581,892.00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811,477.39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10,506,195.52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1,126,554.75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1,079,796.24</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283,162.65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200,437.50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-463,384.39</w:t>
            </w:r>
            <w:r>
              <w:rPr>
                <w:rFonts w:ascii="Times New Roman"/>
                <w:sz w:val="18"/>
              </w:rPr>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31,553,974.85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14,673,023.88</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142,945,455.03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105,363,180.20</w:t>
            </w:r>
          </w:p>
        </w:tc>
      </w:tr>
    </w:tbl>
    <w:p>
      <w:pPr>
        <w:pStyle w:val="BodyText"/>
        <w:spacing w:line="367" w:lineRule="auto" w:before="44"/>
        <w:ind w:left="291" w:right="2529" w:hanging="150"/>
        <w:jc w:val="left"/>
      </w:pPr>
      <w:r>
        <w:rPr/>
        <w:t>其他说明： 研发费用本期发生额较上期增长</w:t>
      </w:r>
      <w:r>
        <w:rPr>
          <w:rFonts w:ascii="Times New Roman" w:hAnsi="Times New Roman" w:cs="Times New Roman" w:eastAsia="Times New Roman" w:hint="default"/>
        </w:rPr>
        <w:t>37,582,274.83</w:t>
      </w:r>
      <w:r>
        <w:rPr/>
        <w:t>元，增长比例为</w:t>
      </w:r>
      <w:r>
        <w:rPr>
          <w:rFonts w:ascii="Times New Roman" w:hAnsi="Times New Roman" w:cs="Times New Roman" w:eastAsia="Times New Roman" w:hint="default"/>
        </w:rPr>
        <w:t>35.67%</w:t>
      </w:r>
      <w:r>
        <w:rPr/>
        <w:t>，主要系本期加大研发投入所致。</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5"/>
          <w:szCs w:val="25"/>
        </w:rPr>
      </w:pPr>
    </w:p>
    <w:p>
      <w:pPr>
        <w:pStyle w:val="Heading5"/>
        <w:spacing w:line="240" w:lineRule="auto"/>
        <w:ind w:right="0"/>
        <w:jc w:val="left"/>
        <w:rPr>
          <w:b w:val="0"/>
          <w:bCs w:val="0"/>
        </w:rPr>
      </w:pPr>
      <w:bookmarkStart w:name="66、财务费用" w:id="391"/>
      <w:bookmarkEnd w:id="391"/>
      <w:r>
        <w:rPr>
          <w:b w:val="0"/>
          <w:bCs w:val="0"/>
        </w:rPr>
      </w:r>
      <w:r>
        <w:rPr>
          <w:rFonts w:ascii="Times New Roman" w:hAnsi="Times New Roman" w:cs="Times New Roman" w:eastAsia="Times New Roman" w:hint="default"/>
          <w:spacing w:val="3"/>
        </w:rPr>
        <w:t>66</w:t>
      </w:r>
      <w:r>
        <w:rPr>
          <w:spacing w:val="3"/>
        </w:rPr>
        <w:t>、财务费用</w:t>
      </w:r>
      <w:r>
        <w:rPr>
          <w:b w:val="0"/>
          <w:bCs w:val="0"/>
          <w:spacing w:val="3"/>
        </w:rPr>
      </w:r>
    </w:p>
    <w:p>
      <w:pPr>
        <w:spacing w:after="0" w:line="240" w:lineRule="auto"/>
        <w:jc w:val="left"/>
        <w:sectPr>
          <w:pgSz w:w="11910" w:h="16850"/>
          <w:pgMar w:header="731" w:footer="1576" w:top="1040" w:bottom="176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24,044,059.67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28,877,813.98</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1,732,456.76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3,818,492.77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-1,194,348.59</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-1,486,540.12</w:t>
            </w:r>
            <w:r>
              <w:rPr>
                <w:rFonts w:ascii="Times New Roman"/>
                <w:sz w:val="18"/>
              </w:rPr>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融资租赁费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1,946,259.35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3,095,964.33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6,348,719.11</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26,159,478.00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29,921,500.20</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67、其他收益" w:id="392"/>
      <w:bookmarkEnd w:id="392"/>
      <w:r>
        <w:rPr>
          <w:b w:val="0"/>
          <w:bCs w:val="0"/>
        </w:rPr>
      </w:r>
      <w:r>
        <w:rPr>
          <w:rFonts w:ascii="Times New Roman" w:hAnsi="Times New Roman" w:cs="Times New Roman" w:eastAsia="Times New Roman" w:hint="default"/>
          <w:spacing w:val="3"/>
        </w:rPr>
        <w:t>67</w:t>
      </w:r>
      <w:r>
        <w:rPr>
          <w:spacing w:val="3"/>
        </w:rPr>
        <w:t>、其他收益</w:t>
      </w:r>
      <w:r>
        <w:rPr>
          <w:b w:val="0"/>
          <w:bCs w:val="0"/>
          <w:spacing w:val="3"/>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5,076,334.40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3,646,352.48</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与收益相关政府补助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6,723,103.36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7,790,033.48</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11,799,437.76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11,436,385.96</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68、投资收益" w:id="393"/>
      <w:bookmarkEnd w:id="393"/>
      <w:r>
        <w:rPr>
          <w:b w:val="0"/>
          <w:bCs w:val="0"/>
        </w:rPr>
      </w:r>
      <w:r>
        <w:rPr>
          <w:rFonts w:ascii="Times New Roman" w:hAnsi="Times New Roman" w:cs="Times New Roman" w:eastAsia="Times New Roman" w:hint="default"/>
          <w:spacing w:val="3"/>
        </w:rPr>
        <w:t>68</w:t>
      </w:r>
      <w:r>
        <w:rPr>
          <w:spacing w:val="3"/>
        </w:rPr>
        <w:t>、投资收益</w:t>
      </w:r>
      <w:r>
        <w:rPr>
          <w:b w:val="0"/>
          <w:bCs w:val="0"/>
          <w:spacing w:val="3"/>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454"/>
        <w:gridCol w:w="3199"/>
        <w:gridCol w:w="2929"/>
      </w:tblGrid>
      <w:tr>
        <w:trPr>
          <w:trHeight w:val="406"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-1,051,753.54</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1,668,232.94</w:t>
            </w:r>
          </w:p>
        </w:tc>
      </w:tr>
      <w:tr>
        <w:trPr>
          <w:trHeight w:val="405"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13,744,760.88</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18,819,908.77</w:t>
            </w:r>
          </w:p>
        </w:tc>
      </w:tr>
      <w:tr>
        <w:trPr>
          <w:trHeight w:val="405"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1,575,000.00</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199" w:type="dxa"/>
            <w:tcBorders>
              <w:top w:val="single" w:sz="6" w:space="0" w:color="000000"/>
              <w:left w:val="single" w:sz="6" w:space="0" w:color="000000"/>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1,256,795.67</w:t>
            </w:r>
          </w:p>
        </w:tc>
      </w:tr>
      <w:tr>
        <w:trPr>
          <w:trHeight w:val="405"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14,268,007.34</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21,744,937.38</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69、净敞口套期收益" w:id="394"/>
      <w:bookmarkEnd w:id="394"/>
      <w:r>
        <w:rPr>
          <w:b w:val="0"/>
          <w:bCs w:val="0"/>
        </w:rPr>
      </w:r>
      <w:r>
        <w:rPr>
          <w:rFonts w:ascii="Times New Roman" w:hAnsi="Times New Roman" w:cs="Times New Roman" w:eastAsia="Times New Roman" w:hint="default"/>
          <w:spacing w:val="4"/>
        </w:rPr>
        <w:t>69</w:t>
      </w:r>
      <w:r>
        <w:rPr>
          <w:spacing w:val="4"/>
        </w:rPr>
        <w:t>、净敞口套期收益</w:t>
      </w:r>
      <w:r>
        <w:rPr>
          <w:b w:val="0"/>
          <w:bCs w:val="0"/>
          <w:spacing w:val="4"/>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70、公允价值变动收益" w:id="395"/>
      <w:bookmarkEnd w:id="395"/>
      <w:r>
        <w:rPr>
          <w:b w:val="0"/>
          <w:bCs w:val="0"/>
        </w:rPr>
      </w:r>
      <w:r>
        <w:rPr>
          <w:rFonts w:ascii="Times New Roman" w:hAnsi="Times New Roman" w:cs="Times New Roman" w:eastAsia="Times New Roman" w:hint="default"/>
          <w:spacing w:val="4"/>
        </w:rPr>
        <w:t>70</w:t>
      </w:r>
      <w:r>
        <w:rPr>
          <w:spacing w:val="4"/>
        </w:rPr>
        <w:t>、公允价值变动收益</w:t>
      </w:r>
      <w:r>
        <w:rPr>
          <w:b w:val="0"/>
          <w:bCs w:val="0"/>
          <w:spacing w:val="4"/>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footerReference w:type="default" r:id="rId28"/>
          <w:pgSz w:w="11910" w:h="16850"/>
          <w:pgMar w:footer="981" w:header="731" w:top="1040" w:bottom="1180" w:left="1000" w:right="0"/>
          <w:pgNumType w:start="208"/>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16,796,133.72</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16,796,133.72</w:t>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67" w:lineRule="auto" w:before="44"/>
        <w:ind w:left="366" w:right="1149" w:hanging="225"/>
        <w:jc w:val="left"/>
      </w:pPr>
      <w:r>
        <w:rPr/>
        <w:t>其他说明： 公允价值变动收益本期发生额较上期增长</w:t>
      </w:r>
      <w:r>
        <w:rPr>
          <w:rFonts w:ascii="Times New Roman" w:hAnsi="Times New Roman" w:cs="Times New Roman" w:eastAsia="Times New Roman" w:hint="default"/>
        </w:rPr>
        <w:t>16,796,133.72</w:t>
      </w:r>
      <w:r>
        <w:rPr/>
        <w:t>元，增长比例为</w:t>
      </w:r>
      <w:r>
        <w:rPr>
          <w:rFonts w:ascii="Times New Roman" w:hAnsi="Times New Roman" w:cs="Times New Roman" w:eastAsia="Times New Roman" w:hint="default"/>
        </w:rPr>
        <w:t>100%</w:t>
      </w:r>
      <w:r>
        <w:rPr/>
        <w:t>，主要系本期执行新金融工具准则，将原以</w:t>
      </w:r>
    </w:p>
    <w:p>
      <w:pPr>
        <w:pStyle w:val="BodyText"/>
        <w:spacing w:line="181" w:lineRule="exact"/>
        <w:ind w:right="0"/>
        <w:jc w:val="left"/>
      </w:pPr>
      <w:r>
        <w:rPr/>
        <w:t>成本计量的可供出售金融资产重分类为以公允价值计量且其变动计入当期损益的金融资产，重分类日后公允价值增长所致。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7"/>
          <w:szCs w:val="17"/>
        </w:rPr>
      </w:pPr>
    </w:p>
    <w:p>
      <w:pPr>
        <w:pStyle w:val="Heading5"/>
        <w:spacing w:line="240" w:lineRule="auto"/>
        <w:ind w:right="0"/>
        <w:jc w:val="left"/>
        <w:rPr>
          <w:b w:val="0"/>
          <w:bCs w:val="0"/>
        </w:rPr>
      </w:pPr>
      <w:bookmarkStart w:name="71、信用减值损失" w:id="396"/>
      <w:bookmarkEnd w:id="396"/>
      <w:r>
        <w:rPr>
          <w:b w:val="0"/>
          <w:bCs w:val="0"/>
        </w:rPr>
      </w:r>
      <w:r>
        <w:rPr>
          <w:rFonts w:ascii="Times New Roman" w:hAnsi="Times New Roman" w:cs="Times New Roman" w:eastAsia="Times New Roman" w:hint="default"/>
          <w:spacing w:val="4"/>
        </w:rPr>
        <w:t>71</w:t>
      </w:r>
      <w:r>
        <w:rPr>
          <w:spacing w:val="4"/>
        </w:rPr>
        <w:t>、信用减值损失</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-1,295,542.97</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79,206.01</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-1,216,336.96</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pStyle w:val="BodyText"/>
        <w:spacing w:line="290" w:lineRule="auto" w:before="124"/>
        <w:ind w:right="1164" w:firstLine="300"/>
        <w:jc w:val="left"/>
      </w:pPr>
      <w:r>
        <w:rPr/>
        <w:t>信用减值损失本期发生额较上期增长</w:t>
      </w:r>
      <w:r>
        <w:rPr>
          <w:rFonts w:ascii="Times New Roman" w:hAnsi="Times New Roman" w:cs="Times New Roman" w:eastAsia="Times New Roman" w:hint="default"/>
        </w:rPr>
        <w:t>1,216,336.96</w:t>
      </w:r>
      <w:r>
        <w:rPr/>
        <w:t>元，增长比例为</w:t>
      </w:r>
      <w:r>
        <w:rPr>
          <w:rFonts w:ascii="Times New Roman" w:hAnsi="Times New Roman" w:cs="Times New Roman" w:eastAsia="Times New Roman" w:hint="default"/>
        </w:rPr>
        <w:t>100%</w:t>
      </w:r>
      <w:r>
        <w:rPr/>
        <w:t>，主要系本期执行新金融工具准则，将原计入资 产减值损失的应收款项坏账准备计入本项目列报所致。</w:t>
      </w: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bookmarkStart w:name="72、资产减值损失" w:id="397"/>
      <w:bookmarkEnd w:id="397"/>
      <w:r>
        <w:rPr>
          <w:b w:val="0"/>
          <w:bCs w:val="0"/>
        </w:rPr>
      </w:r>
      <w:r>
        <w:rPr>
          <w:rFonts w:ascii="Times New Roman" w:hAnsi="Times New Roman" w:cs="Times New Roman" w:eastAsia="Times New Roman" w:hint="default"/>
          <w:spacing w:val="4"/>
        </w:rPr>
        <w:t>72</w:t>
      </w:r>
      <w:r>
        <w:rPr>
          <w:spacing w:val="4"/>
        </w:rPr>
        <w:t>、资产减值损失</w:t>
      </w:r>
      <w:r>
        <w:rPr>
          <w:b w:val="0"/>
          <w:bCs w:val="0"/>
          <w:spacing w:val="4"/>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50"/>
          <w:pgMar w:header="731" w:footer="981" w:top="1040" w:bottom="1180" w:left="1000" w:right="0"/>
        </w:sectPr>
      </w:pPr>
    </w:p>
    <w:p>
      <w:pPr>
        <w:pStyle w:val="BodyText"/>
        <w:spacing w:line="240" w:lineRule="auto" w:before="44"/>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-181,944.71</w:t>
            </w:r>
            <w:r>
              <w:rPr>
                <w:rFonts w:ascii="Times New Roman"/>
                <w:sz w:val="18"/>
              </w:rPr>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-4,180,606.06</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-55,788,929.34</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-4,180,606.06</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-55,970,874.05</w:t>
            </w:r>
            <w:r>
              <w:rPr>
                <w:rFonts w:ascii="Times New Roman"/>
                <w:sz w:val="18"/>
              </w:rPr>
            </w:r>
          </w:p>
        </w:tc>
      </w:tr>
    </w:tbl>
    <w:p>
      <w:pPr>
        <w:pStyle w:val="BodyText"/>
        <w:spacing w:line="240" w:lineRule="auto" w:before="45"/>
        <w:ind w:right="0"/>
        <w:jc w:val="left"/>
      </w:pPr>
      <w:r>
        <w:rPr/>
        <w:t>其他说明：</w:t>
      </w:r>
    </w:p>
    <w:p>
      <w:pPr>
        <w:spacing w:line="240" w:lineRule="auto" w:before="6"/>
        <w:rPr>
          <w:rFonts w:ascii="宋体" w:hAnsi="宋体" w:cs="宋体" w:eastAsia="宋体" w:hint="default"/>
          <w:sz w:val="16"/>
          <w:szCs w:val="16"/>
        </w:rPr>
      </w:pPr>
    </w:p>
    <w:p>
      <w:pPr>
        <w:pStyle w:val="BodyText"/>
        <w:spacing w:line="297" w:lineRule="auto"/>
        <w:ind w:right="1136" w:firstLine="420"/>
        <w:jc w:val="both"/>
      </w:pPr>
      <w:r>
        <w:rPr/>
        <w:t>资产减值损失本期发生额较上期减少</w:t>
      </w:r>
      <w:r>
        <w:rPr>
          <w:rFonts w:ascii="Times New Roman" w:hAnsi="Times New Roman" w:cs="Times New Roman" w:eastAsia="Times New Roman" w:hint="default"/>
        </w:rPr>
        <w:t>51,790,267.99</w:t>
      </w:r>
      <w:r>
        <w:rPr/>
        <w:t>元，减少比例为</w:t>
      </w:r>
      <w:r>
        <w:rPr>
          <w:rFonts w:ascii="Times New Roman" w:hAnsi="Times New Roman" w:cs="Times New Roman" w:eastAsia="Times New Roman" w:hint="default"/>
        </w:rPr>
        <w:t>92.53%</w:t>
      </w:r>
      <w:r>
        <w:rPr/>
        <w:t>，主要系本期对上期已计提跌价的存货进行 </w:t>
      </w:r>
      <w:r>
        <w:rPr>
          <w:spacing w:val="-2"/>
        </w:rPr>
        <w:t>报废核销，期末呆滞物料大幅减少，使存货跌价准备减少及本期因执行新金融工具准则，将原计入本项目的应收款项坏账准</w:t>
      </w:r>
      <w:r>
        <w:rPr>
          <w:spacing w:val="-75"/>
        </w:rPr>
        <w:t> </w:t>
      </w:r>
      <w:r>
        <w:rPr>
          <w:spacing w:val="-75"/>
        </w:rPr>
      </w:r>
      <w:r>
        <w:rPr/>
        <w:t>备计入信用减值损失项目列报所致。</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bookmarkStart w:name="73、资产处置收益" w:id="398"/>
      <w:bookmarkEnd w:id="398"/>
      <w:r>
        <w:rPr>
          <w:b w:val="0"/>
          <w:bCs w:val="0"/>
        </w:rPr>
      </w:r>
      <w:r>
        <w:rPr>
          <w:rFonts w:ascii="Times New Roman" w:hAnsi="Times New Roman" w:cs="Times New Roman" w:eastAsia="Times New Roman" w:hint="default"/>
          <w:spacing w:val="4"/>
        </w:rPr>
        <w:t>73</w:t>
      </w:r>
      <w:r>
        <w:rPr>
          <w:spacing w:val="4"/>
        </w:rPr>
        <w:t>、资产处置收益</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固定资产处置利得（损失）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-9,235,777.89</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-213,668.28</w:t>
            </w:r>
            <w:r>
              <w:rPr>
                <w:rFonts w:ascii="Times New Roman"/>
                <w:sz w:val="18"/>
              </w:rPr>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-9,235,777.89</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-213,668.28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74、营业外收入" w:id="399"/>
      <w:bookmarkEnd w:id="399"/>
      <w:r>
        <w:rPr>
          <w:b w:val="0"/>
          <w:bCs w:val="0"/>
        </w:rPr>
      </w:r>
      <w:r>
        <w:rPr>
          <w:rFonts w:ascii="Times New Roman" w:hAnsi="Times New Roman" w:cs="Times New Roman" w:eastAsia="Times New Roman" w:hint="default"/>
          <w:spacing w:val="5"/>
        </w:rPr>
        <w:t>74</w:t>
      </w:r>
      <w:r>
        <w:rPr>
          <w:spacing w:val="5"/>
        </w:rPr>
        <w:t>、营业外收入</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158" w:hRule="exact"/>
        </w:trPr>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5" w:hRule="exact"/>
        </w:trPr>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vMerge/>
            <w:tcBorders>
              <w:left w:val="single" w:sz="6" w:space="0" w:color="000000"/>
              <w:right w:val="single" w:sz="6" w:space="0" w:color="000000"/>
            </w:tcBorders>
            <w:shd w:val="clear" w:color="auto" w:fill="D2D2D2"/>
          </w:tcPr>
          <w:p>
            <w:pPr/>
          </w:p>
        </w:tc>
      </w:tr>
      <w:tr>
        <w:trPr>
          <w:trHeight w:val="158" w:hRule="exact"/>
        </w:trPr>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710,498.13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1,091,715.12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710,498.13</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往来款清理</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1,613,002.57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3,557,903.79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1,613,002.57</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270.00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10,280.00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270.00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338,665.18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363,080.91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338,665.18</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2,662,435.88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5,022,979.82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2,662,435.88</w:t>
            </w:r>
          </w:p>
        </w:tc>
      </w:tr>
    </w:tbl>
    <w:p>
      <w:pPr>
        <w:pStyle w:val="BodyText"/>
        <w:spacing w:line="240" w:lineRule="auto" w:before="45"/>
        <w:ind w:right="0"/>
        <w:jc w:val="left"/>
      </w:pPr>
      <w:r>
        <w:rPr/>
        <w:t>计入当期损益的政府补助：</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66"/>
        <w:gridCol w:w="1067"/>
        <w:gridCol w:w="1066"/>
      </w:tblGrid>
      <w:tr>
        <w:trPr>
          <w:trHeight w:val="7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9"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5" w:right="74"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5" w:right="73"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6"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5" w:right="39" w:hanging="1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67"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4" w:lineRule="auto"/>
              <w:ind w:left="15" w:right="133"/>
              <w:jc w:val="both"/>
              <w:rPr>
                <w:rFonts w:ascii="宋体" w:hAnsi="宋体" w:cs="宋体" w:eastAsia="宋体" w:hint="default"/>
                <w:sz w:val="18"/>
                <w:szCs w:val="18"/>
              </w:rPr>
            </w:pPr>
            <w:r>
              <w:rPr>
                <w:rFonts w:ascii="宋体" w:hAnsi="宋体" w:cs="宋体" w:eastAsia="宋体" w:hint="default"/>
                <w:sz w:val="18"/>
                <w:szCs w:val="18"/>
              </w:rPr>
              <w:t>深圳市社保 局稳岗补贴 款</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卓翼科技</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9"/>
              <w:ind w:left="14" w:right="2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级政策规定 依法取得）</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743,084.34</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925,890.91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卓翼智造</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-32,586.21</w:t>
            </w:r>
            <w:r>
              <w:rPr>
                <w:rFonts w:ascii="Times New Roman"/>
                <w:sz w:val="18"/>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115,824.21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left="15" w:right="43"/>
              <w:jc w:val="left"/>
              <w:rPr>
                <w:rFonts w:ascii="宋体" w:hAnsi="宋体" w:cs="宋体" w:eastAsia="宋体" w:hint="default"/>
                <w:sz w:val="18"/>
                <w:szCs w:val="18"/>
              </w:rPr>
            </w:pPr>
            <w:r>
              <w:rPr>
                <w:rFonts w:ascii="宋体" w:hAnsi="宋体" w:cs="宋体" w:eastAsia="宋体" w:hint="default"/>
                <w:sz w:val="18"/>
                <w:szCs w:val="18"/>
              </w:rPr>
              <w:t>天津市人力 资源和社会 保障局</w:t>
            </w:r>
            <w:r>
              <w:rPr>
                <w:rFonts w:ascii="Times New Roman" w:hAnsi="Times New Roman" w:cs="Times New Roman" w:eastAsia="Times New Roman" w:hint="default"/>
                <w:sz w:val="18"/>
                <w:szCs w:val="18"/>
              </w:rPr>
              <w:t>“</w:t>
            </w:r>
            <w:r>
              <w:rPr>
                <w:rFonts w:ascii="宋体" w:hAnsi="宋体" w:cs="宋体" w:eastAsia="宋体" w:hint="default"/>
                <w:sz w:val="18"/>
                <w:szCs w:val="18"/>
              </w:rPr>
              <w:t>千企</w:t>
            </w:r>
            <w:r>
              <w:rPr>
                <w:rFonts w:ascii="宋体" w:hAnsi="宋体" w:cs="宋体" w:eastAsia="宋体" w:hint="default"/>
                <w:spacing w:val="-80"/>
                <w:sz w:val="18"/>
                <w:szCs w:val="18"/>
              </w:rPr>
              <w:t> </w:t>
            </w:r>
            <w:r>
              <w:rPr>
                <w:rFonts w:ascii="宋体" w:hAnsi="宋体" w:cs="宋体" w:eastAsia="宋体" w:hint="default"/>
                <w:sz w:val="18"/>
                <w:szCs w:val="18"/>
              </w:rPr>
              <w:t>万人</w:t>
            </w:r>
            <w:r>
              <w:rPr>
                <w:rFonts w:ascii="Times New Roman" w:hAnsi="Times New Roman" w:cs="Times New Roman" w:eastAsia="Times New Roman" w:hint="default"/>
                <w:sz w:val="18"/>
                <w:szCs w:val="18"/>
              </w:rPr>
              <w:t>”</w:t>
            </w:r>
            <w:r>
              <w:rPr>
                <w:rFonts w:ascii="宋体" w:hAnsi="宋体" w:cs="宋体" w:eastAsia="宋体" w:hint="default"/>
                <w:sz w:val="18"/>
                <w:szCs w:val="18"/>
              </w:rPr>
              <w:t>经费资 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34"/>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45"/>
        <w:ind w:right="0"/>
        <w:jc w:val="left"/>
      </w:pPr>
      <w:r>
        <w:rPr/>
        <w:t>其他说明：</w:t>
      </w:r>
    </w:p>
    <w:p>
      <w:pPr>
        <w:pStyle w:val="BodyText"/>
        <w:spacing w:line="288" w:lineRule="auto" w:before="125"/>
        <w:ind w:right="1134" w:firstLine="375"/>
        <w:jc w:val="left"/>
      </w:pPr>
      <w:r>
        <w:rPr/>
        <w:t>营业外收入本期发生额较上期减少</w:t>
      </w:r>
      <w:r>
        <w:rPr>
          <w:rFonts w:ascii="Times New Roman" w:hAnsi="Times New Roman" w:cs="Times New Roman" w:eastAsia="Times New Roman" w:hint="default"/>
        </w:rPr>
        <w:t>2,360,543.94</w:t>
      </w:r>
      <w:r>
        <w:rPr/>
        <w:t>元，减少比例为</w:t>
      </w:r>
      <w:r>
        <w:rPr>
          <w:rFonts w:ascii="Times New Roman" w:hAnsi="Times New Roman" w:cs="Times New Roman" w:eastAsia="Times New Roman" w:hint="default"/>
        </w:rPr>
        <w:t>46.99%</w:t>
      </w:r>
      <w:r>
        <w:rPr/>
        <w:t>，主要系本期往来款清理和非经营性的政府补助 收入减少所致。</w:t>
      </w:r>
    </w:p>
    <w:p>
      <w:pPr>
        <w:spacing w:line="240" w:lineRule="auto" w:before="7"/>
        <w:rPr>
          <w:rFonts w:ascii="宋体" w:hAnsi="宋体" w:cs="宋体" w:eastAsia="宋体" w:hint="default"/>
          <w:sz w:val="26"/>
          <w:szCs w:val="26"/>
        </w:rPr>
      </w:pPr>
    </w:p>
    <w:p>
      <w:pPr>
        <w:pStyle w:val="Heading5"/>
        <w:spacing w:line="240" w:lineRule="auto"/>
        <w:ind w:right="0"/>
        <w:jc w:val="left"/>
        <w:rPr>
          <w:b w:val="0"/>
          <w:bCs w:val="0"/>
        </w:rPr>
      </w:pPr>
      <w:bookmarkStart w:name="75、营业外支出" w:id="400"/>
      <w:bookmarkEnd w:id="400"/>
      <w:r>
        <w:rPr>
          <w:b w:val="0"/>
          <w:bCs w:val="0"/>
        </w:rPr>
      </w:r>
      <w:r>
        <w:rPr>
          <w:rFonts w:ascii="Times New Roman" w:hAnsi="Times New Roman" w:cs="Times New Roman" w:eastAsia="Times New Roman" w:hint="default"/>
          <w:spacing w:val="5"/>
        </w:rPr>
        <w:t>75</w:t>
      </w:r>
      <w:r>
        <w:rPr>
          <w:spacing w:val="5"/>
        </w:rPr>
        <w:t>、营业外支出</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bl>
    <w:p>
      <w:pPr>
        <w:spacing w:after="0" w:line="304"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9,708,743.31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692,157.44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9,708,743.31</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赔偿及罚款支出</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1,736,105.12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373,870.58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1,736,105.12</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50,000.00</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967,339.29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366,190.51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967,339.29</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12,462,187.72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1,432,218.53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12,462,187.72</w:t>
            </w:r>
          </w:p>
        </w:tc>
      </w:tr>
    </w:tbl>
    <w:p>
      <w:pPr>
        <w:pStyle w:val="BodyText"/>
        <w:spacing w:line="240" w:lineRule="auto" w:before="45"/>
        <w:ind w:right="0"/>
        <w:jc w:val="left"/>
      </w:pPr>
      <w:r>
        <w:rPr/>
        <w:t>其他说明：</w:t>
      </w:r>
    </w:p>
    <w:p>
      <w:pPr>
        <w:pStyle w:val="BodyText"/>
        <w:spacing w:line="288" w:lineRule="auto" w:before="124"/>
        <w:ind w:right="1118" w:firstLine="375"/>
        <w:jc w:val="left"/>
      </w:pPr>
      <w:r>
        <w:rPr>
          <w:spacing w:val="-1"/>
        </w:rPr>
        <w:t>营业外支出本期发生额较上期增长</w:t>
      </w:r>
      <w:r>
        <w:rPr>
          <w:rFonts w:ascii="Times New Roman" w:hAnsi="Times New Roman" w:cs="Times New Roman" w:eastAsia="Times New Roman" w:hint="default"/>
          <w:spacing w:val="-1"/>
          <w:sz w:val="19"/>
          <w:szCs w:val="19"/>
        </w:rPr>
        <w:t>11,029,969.19</w:t>
      </w:r>
      <w:r>
        <w:rPr>
          <w:spacing w:val="-1"/>
        </w:rPr>
        <w:t>元，增长比例为</w:t>
      </w:r>
      <w:r>
        <w:rPr>
          <w:rFonts w:ascii="Times New Roman" w:hAnsi="Times New Roman" w:cs="Times New Roman" w:eastAsia="Times New Roman" w:hint="default"/>
          <w:spacing w:val="-1"/>
        </w:rPr>
        <w:t>770.13%</w:t>
      </w:r>
      <w:r>
        <w:rPr>
          <w:rFonts w:ascii="Times New Roman" w:hAnsi="Times New Roman" w:cs="Times New Roman" w:eastAsia="Times New Roman" w:hint="default"/>
          <w:spacing w:val="1"/>
        </w:rPr>
        <w:t> </w:t>
      </w:r>
      <w:r>
        <w:rPr>
          <w:spacing w:val="-3"/>
        </w:rPr>
        <w:t>，主要系本期子公司卓大精密因业务调整报废</w:t>
      </w:r>
      <w:r>
        <w:rPr/>
        <w:t> 生产线所致。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2"/>
          <w:szCs w:val="22"/>
        </w:rPr>
      </w:pPr>
    </w:p>
    <w:p>
      <w:pPr>
        <w:pStyle w:val="Heading5"/>
        <w:spacing w:line="240" w:lineRule="auto"/>
        <w:ind w:right="0"/>
        <w:jc w:val="left"/>
        <w:rPr>
          <w:b w:val="0"/>
          <w:bCs w:val="0"/>
        </w:rPr>
      </w:pPr>
      <w:bookmarkStart w:name="76、所得税费用" w:id="401"/>
      <w:bookmarkEnd w:id="401"/>
      <w:r>
        <w:rPr>
          <w:b w:val="0"/>
          <w:bCs w:val="0"/>
        </w:rPr>
      </w:r>
      <w:r>
        <w:rPr>
          <w:rFonts w:ascii="Times New Roman" w:hAnsi="Times New Roman" w:cs="Times New Roman" w:eastAsia="Times New Roman" w:hint="default"/>
          <w:spacing w:val="5"/>
        </w:rPr>
        <w:t>76</w:t>
      </w:r>
      <w:r>
        <w:rPr>
          <w:spacing w:val="5"/>
        </w:rPr>
        <w:t>、所得税费用</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所得税费用表" w:id="402"/>
      <w:bookmarkEnd w:id="402"/>
      <w:r>
        <w:rPr>
          <w:b w:val="0"/>
          <w:bCs w:val="0"/>
        </w:rPr>
      </w:r>
      <w:r>
        <w:rPr>
          <w:spacing w:val="5"/>
        </w:rPr>
        <w:t>（</w:t>
      </w:r>
      <w:r>
        <w:rPr>
          <w:rFonts w:ascii="Times New Roman" w:hAnsi="Times New Roman" w:cs="Times New Roman" w:eastAsia="Times New Roman" w:hint="default"/>
          <w:spacing w:val="5"/>
        </w:rPr>
        <w:t>1</w:t>
      </w:r>
      <w:r>
        <w:rPr>
          <w:spacing w:val="5"/>
        </w:rPr>
        <w:t>）所得税费用表</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1,192,416.10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63,627.59</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-3,056,983.91</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-35,454,327.09</w:t>
            </w:r>
            <w:r>
              <w:rPr>
                <w:rFonts w:ascii="Times New Roman"/>
                <w:sz w:val="18"/>
              </w:rPr>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-1,864,567.81</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-35,390,699.50</w:t>
            </w:r>
            <w:r>
              <w:rPr>
                <w:rFonts w:ascii="Times New Roman"/>
                <w:sz w:val="18"/>
              </w:rPr>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会计利润与所得税费用调整过程" w:id="403"/>
      <w:bookmarkEnd w:id="403"/>
      <w:r>
        <w:rPr>
          <w:b w:val="0"/>
          <w:bCs w:val="0"/>
        </w:rPr>
      </w:r>
      <w:r>
        <w:rPr>
          <w:spacing w:val="5"/>
        </w:rPr>
        <w:t>（</w:t>
      </w:r>
      <w:r>
        <w:rPr>
          <w:rFonts w:ascii="Times New Roman" w:hAnsi="Times New Roman" w:cs="Times New Roman" w:eastAsia="Times New Roman" w:hint="default"/>
          <w:spacing w:val="5"/>
        </w:rPr>
        <w:t>2</w:t>
      </w:r>
      <w:r>
        <w:rPr>
          <w:spacing w:val="5"/>
        </w:rPr>
        <w:t>）会计利润与所得税费用调整过程</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45,629,167.09</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6,844,375.06</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209,479.52</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25,141.39</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-1,300,415.15</w:t>
            </w:r>
            <w:r>
              <w:rPr>
                <w:rFonts w:ascii="Times New Roman"/>
                <w:sz w:val="18"/>
              </w:rPr>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352,167.71</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199,574.83</w:t>
            </w:r>
          </w:p>
        </w:tc>
      </w:tr>
      <w:tr>
        <w:trPr>
          <w:trHeight w:val="72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5,951,836.45</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加计扣除</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-12,648,414.72</w:t>
            </w:r>
            <w:r>
              <w:rPr>
                <w:rFonts w:ascii="Times New Roman"/>
                <w:sz w:val="18"/>
              </w:rPr>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-1,498,312.90</w:t>
            </w:r>
            <w:r>
              <w:rPr>
                <w:rFonts w:ascii="Times New Roman"/>
                <w:sz w:val="18"/>
              </w:rPr>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-1,864,567.81</w:t>
            </w:r>
            <w:r>
              <w:rPr>
                <w:rFonts w:ascii="Times New Roman"/>
                <w:sz w:val="18"/>
              </w:rPr>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7"/>
          <w:szCs w:val="27"/>
        </w:rPr>
      </w:pPr>
    </w:p>
    <w:p>
      <w:pPr>
        <w:spacing w:line="571" w:lineRule="auto" w:before="45"/>
        <w:ind w:left="141" w:right="7104" w:firstLine="0"/>
        <w:jc w:val="left"/>
        <w:rPr>
          <w:rFonts w:ascii="宋体" w:hAnsi="宋体" w:cs="宋体" w:eastAsia="宋体" w:hint="default"/>
          <w:sz w:val="19"/>
          <w:szCs w:val="19"/>
        </w:rPr>
      </w:pPr>
      <w:bookmarkStart w:name="77、其他综合收益" w:id="404"/>
      <w:bookmarkEnd w:id="404"/>
      <w:r>
        <w:rPr/>
      </w:r>
      <w:r>
        <w:rPr>
          <w:rFonts w:ascii="Times New Roman" w:hAnsi="Times New Roman" w:cs="Times New Roman" w:eastAsia="Times New Roman" w:hint="default"/>
          <w:b/>
          <w:bCs/>
          <w:spacing w:val="4"/>
          <w:sz w:val="19"/>
          <w:szCs w:val="19"/>
        </w:rPr>
        <w:t>77</w:t>
      </w:r>
      <w:r>
        <w:rPr>
          <w:rFonts w:ascii="宋体" w:hAnsi="宋体" w:cs="宋体" w:eastAsia="宋体" w:hint="default"/>
          <w:b/>
          <w:bCs/>
          <w:spacing w:val="4"/>
          <w:sz w:val="19"/>
          <w:szCs w:val="19"/>
        </w:rPr>
        <w:t>、其他综合收益</w:t>
      </w:r>
      <w:r>
        <w:rPr>
          <w:rFonts w:ascii="宋体" w:hAnsi="宋体" w:cs="宋体" w:eastAsia="宋体" w:hint="default"/>
          <w:b/>
          <w:bCs/>
          <w:spacing w:val="-52"/>
          <w:sz w:val="19"/>
          <w:szCs w:val="19"/>
        </w:rPr>
        <w:t> </w:t>
      </w:r>
      <w:r>
        <w:rPr>
          <w:rFonts w:ascii="宋体" w:hAnsi="宋体" w:cs="宋体" w:eastAsia="宋体" w:hint="default"/>
          <w:b/>
          <w:bCs/>
          <w:spacing w:val="-52"/>
          <w:sz w:val="19"/>
          <w:szCs w:val="19"/>
        </w:rPr>
      </w:r>
      <w:r>
        <w:rPr>
          <w:rFonts w:ascii="宋体" w:hAnsi="宋体" w:cs="宋体" w:eastAsia="宋体" w:hint="default"/>
          <w:sz w:val="18"/>
          <w:szCs w:val="18"/>
        </w:rPr>
        <w:t>详见附注第十二节、七、</w:t>
      </w:r>
      <w:r>
        <w:rPr>
          <w:rFonts w:ascii="Times New Roman" w:hAnsi="Times New Roman" w:cs="Times New Roman" w:eastAsia="Times New Roman" w:hint="default"/>
          <w:sz w:val="18"/>
          <w:szCs w:val="18"/>
        </w:rPr>
        <w:t>57.</w:t>
      </w:r>
      <w:r>
        <w:rPr>
          <w:rFonts w:ascii="宋体" w:hAnsi="宋体" w:cs="宋体" w:eastAsia="宋体" w:hint="default"/>
          <w:sz w:val="18"/>
          <w:szCs w:val="18"/>
        </w:rPr>
        <w:t>其他综合收益。。 </w:t>
      </w:r>
      <w:bookmarkStart w:name="78、现金流量表项目" w:id="405"/>
      <w:bookmarkEnd w:id="405"/>
      <w:r>
        <w:rPr>
          <w:rFonts w:ascii="宋体" w:hAnsi="宋体" w:cs="宋体" w:eastAsia="宋体" w:hint="default"/>
          <w:sz w:val="18"/>
          <w:szCs w:val="18"/>
        </w:rPr>
      </w:r>
      <w:r>
        <w:rPr>
          <w:rFonts w:ascii="Times New Roman" w:hAnsi="Times New Roman" w:cs="Times New Roman" w:eastAsia="Times New Roman" w:hint="default"/>
          <w:b/>
          <w:bCs/>
          <w:spacing w:val="4"/>
          <w:sz w:val="19"/>
          <w:szCs w:val="19"/>
        </w:rPr>
        <w:t>78</w:t>
      </w:r>
      <w:r>
        <w:rPr>
          <w:rFonts w:ascii="宋体" w:hAnsi="宋体" w:cs="宋体" w:eastAsia="宋体" w:hint="default"/>
          <w:b/>
          <w:bCs/>
          <w:spacing w:val="4"/>
          <w:sz w:val="19"/>
          <w:szCs w:val="19"/>
        </w:rPr>
        <w:t>、现金流量表项目</w:t>
      </w:r>
      <w:r>
        <w:rPr>
          <w:rFonts w:ascii="宋体" w:hAnsi="宋体" w:cs="宋体" w:eastAsia="宋体" w:hint="default"/>
          <w:spacing w:val="4"/>
          <w:sz w:val="19"/>
          <w:szCs w:val="19"/>
        </w:rPr>
      </w:r>
    </w:p>
    <w:p>
      <w:pPr>
        <w:pStyle w:val="Heading5"/>
        <w:spacing w:line="240" w:lineRule="auto" w:before="62"/>
        <w:ind w:right="0"/>
        <w:jc w:val="left"/>
        <w:rPr>
          <w:b w:val="0"/>
          <w:bCs w:val="0"/>
        </w:rPr>
      </w:pPr>
      <w:bookmarkStart w:name="（1）收到的其他与经营活动有关的现金" w:id="406"/>
      <w:bookmarkEnd w:id="406"/>
      <w:r>
        <w:rPr>
          <w:b w:val="0"/>
          <w:bCs w:val="0"/>
        </w:rPr>
      </w:r>
      <w:r>
        <w:rPr>
          <w:spacing w:val="5"/>
        </w:rPr>
        <w:t>（</w:t>
      </w:r>
      <w:r>
        <w:rPr>
          <w:rFonts w:ascii="Times New Roman" w:hAnsi="Times New Roman" w:cs="Times New Roman" w:eastAsia="Times New Roman" w:hint="default"/>
          <w:spacing w:val="5"/>
        </w:rPr>
        <w:t>1</w:t>
      </w:r>
      <w:r>
        <w:rPr>
          <w:spacing w:val="5"/>
        </w:rPr>
        <w:t>）收到的其他与经营活动有关的现金</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往来及保证金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25,827,025.29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40,515,644.04</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25,522,029.11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15,074,531.12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1,501,956.53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2,853,474.60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5,385,571.97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4,736,032.75</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58,236,582.90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63,179,682.51</w:t>
            </w:r>
          </w:p>
        </w:tc>
      </w:tr>
    </w:tbl>
    <w:p>
      <w:pPr>
        <w:pStyle w:val="BodyText"/>
        <w:spacing w:line="240" w:lineRule="auto" w:before="44"/>
        <w:ind w:right="0"/>
        <w:jc w:val="left"/>
      </w:pPr>
      <w:r>
        <w:rPr/>
        <w:t>收到的其他与经营活动有关的现金说明：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0"/>
        <w:jc w:val="left"/>
        <w:rPr>
          <w:b w:val="0"/>
          <w:bCs w:val="0"/>
        </w:rPr>
      </w:pPr>
      <w:bookmarkStart w:name="（2）支付的其他与经营活动有关的现金" w:id="407"/>
      <w:bookmarkEnd w:id="407"/>
      <w:r>
        <w:rPr>
          <w:b w:val="0"/>
          <w:bCs w:val="0"/>
        </w:rPr>
      </w:r>
      <w:r>
        <w:rPr>
          <w:spacing w:val="5"/>
        </w:rPr>
        <w:t>（</w:t>
      </w:r>
      <w:r>
        <w:rPr>
          <w:rFonts w:ascii="Times New Roman" w:hAnsi="Times New Roman" w:cs="Times New Roman" w:eastAsia="Times New Roman" w:hint="default"/>
          <w:spacing w:val="5"/>
        </w:rPr>
        <w:t>2</w:t>
      </w:r>
      <w:r>
        <w:rPr>
          <w:spacing w:val="5"/>
        </w:rPr>
        <w:t>）支付的其他与经营活动有关的现金</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往来及保证金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6,645,010.65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21,442,945.60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162,558,244.52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108,901,349.80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诉讼冻结资金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129,986.80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7,402,112.93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1,297,800.57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5,800,578.00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170,631,042.54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143,546,986.33</w:t>
            </w:r>
          </w:p>
        </w:tc>
      </w:tr>
    </w:tbl>
    <w:p>
      <w:pPr>
        <w:pStyle w:val="BodyText"/>
        <w:spacing w:line="240" w:lineRule="auto" w:before="44"/>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3）收到的其他与投资活动有关的现金" w:id="408"/>
      <w:bookmarkEnd w:id="408"/>
      <w:r>
        <w:rPr>
          <w:b w:val="0"/>
          <w:bCs w:val="0"/>
        </w:rPr>
      </w:r>
      <w:r>
        <w:rPr>
          <w:spacing w:val="5"/>
        </w:rPr>
        <w:t>（</w:t>
      </w:r>
      <w:r>
        <w:rPr>
          <w:rFonts w:ascii="Times New Roman" w:hAnsi="Times New Roman" w:cs="Times New Roman" w:eastAsia="Times New Roman" w:hint="default"/>
          <w:spacing w:val="5"/>
        </w:rPr>
        <w:t>3</w:t>
      </w:r>
      <w:r>
        <w:rPr>
          <w:spacing w:val="5"/>
        </w:rPr>
        <w:t>）收到的其他与投资活动有关的现金</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赎回理财产品</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375,248,547.95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375,248,547.95</w:t>
            </w:r>
          </w:p>
        </w:tc>
      </w:tr>
    </w:tbl>
    <w:p>
      <w:pPr>
        <w:pStyle w:val="BodyText"/>
        <w:spacing w:line="240" w:lineRule="auto" w:before="44"/>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4）支付的其他与投资活动有关的现金" w:id="409"/>
      <w:bookmarkEnd w:id="409"/>
      <w:r>
        <w:rPr>
          <w:b w:val="0"/>
          <w:bCs w:val="0"/>
        </w:rPr>
      </w:r>
      <w:r>
        <w:rPr>
          <w:spacing w:val="5"/>
        </w:rPr>
        <w:t>（</w:t>
      </w:r>
      <w:r>
        <w:rPr>
          <w:rFonts w:ascii="Times New Roman" w:hAnsi="Times New Roman" w:cs="Times New Roman" w:eastAsia="Times New Roman" w:hint="default"/>
          <w:spacing w:val="5"/>
        </w:rPr>
        <w:t>4</w:t>
      </w:r>
      <w:r>
        <w:rPr>
          <w:spacing w:val="5"/>
        </w:rPr>
        <w:t>）支付的其他与投资活动有关的现金</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140,000,000.00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投资保证金</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155,000,000.00</w:t>
            </w:r>
          </w:p>
        </w:tc>
      </w:tr>
    </w:tbl>
    <w:p>
      <w:pPr>
        <w:pStyle w:val="BodyText"/>
        <w:spacing w:line="240" w:lineRule="auto" w:before="45"/>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5）收到的其他与筹资活动有关的现金" w:id="410"/>
      <w:bookmarkEnd w:id="410"/>
      <w:r>
        <w:rPr>
          <w:b w:val="0"/>
          <w:bCs w:val="0"/>
        </w:rPr>
      </w:r>
      <w:r>
        <w:rPr>
          <w:spacing w:val="5"/>
        </w:rPr>
        <w:t>（</w:t>
      </w:r>
      <w:r>
        <w:rPr>
          <w:rFonts w:ascii="Times New Roman" w:hAnsi="Times New Roman" w:cs="Times New Roman" w:eastAsia="Times New Roman" w:hint="default"/>
          <w:spacing w:val="5"/>
        </w:rPr>
        <w:t>5</w:t>
      </w:r>
      <w:r>
        <w:rPr>
          <w:spacing w:val="5"/>
        </w:rPr>
        <w:t>）收到的其他与筹资活动有关的现金</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75,588,741.48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102,293,704.71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回购股票款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18,239,807.95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应收账款保理融资款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111,904,746.98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307,733,296.41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102,293,704.71</w:t>
            </w:r>
          </w:p>
        </w:tc>
      </w:tr>
    </w:tbl>
    <w:p>
      <w:pPr>
        <w:pStyle w:val="BodyText"/>
        <w:spacing w:line="240" w:lineRule="auto" w:before="45"/>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6）支付的其他与筹资活动有关的现金" w:id="411"/>
      <w:bookmarkEnd w:id="411"/>
      <w:r>
        <w:rPr>
          <w:b w:val="0"/>
          <w:bCs w:val="0"/>
        </w:rPr>
      </w:r>
      <w:r>
        <w:rPr>
          <w:spacing w:val="5"/>
        </w:rPr>
        <w:t>（</w:t>
      </w:r>
      <w:r>
        <w:rPr>
          <w:rFonts w:ascii="Times New Roman" w:hAnsi="Times New Roman" w:cs="Times New Roman" w:eastAsia="Times New Roman" w:hint="default"/>
          <w:spacing w:val="5"/>
        </w:rPr>
        <w:t>6</w:t>
      </w:r>
      <w:r>
        <w:rPr>
          <w:spacing w:val="5"/>
        </w:rPr>
        <w:t>）支付的其他与筹资活动有关的现金</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借款融资费用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6,889,033.34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1,490,265.90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回购注销限制性股票款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9,031,562.30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4,729,025.00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银行保证金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65,560,000.00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145,695,117.71</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回购社会公众股票款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应收账款保理融资款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70,783,458.05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141,606.48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245,405,660.17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151,914,408.61</w:t>
            </w:r>
          </w:p>
        </w:tc>
      </w:tr>
    </w:tbl>
    <w:p>
      <w:pPr>
        <w:pStyle w:val="BodyText"/>
        <w:spacing w:line="240" w:lineRule="auto" w:before="44"/>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79、现金流量表补充资料" w:id="412"/>
      <w:bookmarkEnd w:id="412"/>
      <w:r>
        <w:rPr>
          <w:b w:val="0"/>
          <w:bCs w:val="0"/>
        </w:rPr>
      </w:r>
      <w:r>
        <w:rPr>
          <w:rFonts w:ascii="Times New Roman" w:hAnsi="Times New Roman" w:cs="Times New Roman" w:eastAsia="Times New Roman" w:hint="default"/>
          <w:spacing w:val="4"/>
        </w:rPr>
        <w:t>79</w:t>
      </w:r>
      <w:r>
        <w:rPr>
          <w:spacing w:val="4"/>
        </w:rPr>
        <w:t>、现金流量表补充资料</w:t>
      </w:r>
      <w:r>
        <w:rPr>
          <w:b w:val="0"/>
          <w:bCs w:val="0"/>
          <w:spacing w:val="4"/>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现金流量表补充资料" w:id="413"/>
      <w:bookmarkEnd w:id="413"/>
      <w:r>
        <w:rPr>
          <w:b w:val="0"/>
          <w:bCs w:val="0"/>
        </w:rPr>
      </w:r>
      <w:r>
        <w:rPr>
          <w:spacing w:val="5"/>
        </w:rPr>
        <w:t>（</w:t>
      </w:r>
      <w:r>
        <w:rPr>
          <w:rFonts w:ascii="Times New Roman" w:hAnsi="Times New Roman" w:cs="Times New Roman" w:eastAsia="Times New Roman" w:hint="default"/>
          <w:spacing w:val="5"/>
        </w:rPr>
        <w:t>1</w:t>
      </w:r>
      <w:r>
        <w:rPr>
          <w:spacing w:val="5"/>
        </w:rPr>
        <w:t>）现金流量表补充资料</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27"/>
        <w:gridCol w:w="3057"/>
        <w:gridCol w:w="3184"/>
      </w:tblGrid>
      <w:tr>
        <w:trPr>
          <w:trHeight w:val="406"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0"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1974" w:right="0"/>
              <w:jc w:val="left"/>
              <w:rPr>
                <w:rFonts w:ascii="Times New Roman" w:hAnsi="Times New Roman" w:cs="Times New Roman" w:eastAsia="Times New Roman" w:hint="default"/>
                <w:sz w:val="18"/>
                <w:szCs w:val="18"/>
              </w:rPr>
            </w:pPr>
            <w:r>
              <w:rPr>
                <w:rFonts w:ascii="Times New Roman"/>
                <w:sz w:val="18"/>
              </w:rPr>
              <w:t>47,493,734.90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74" w:right="0"/>
              <w:jc w:val="left"/>
              <w:rPr>
                <w:rFonts w:ascii="Times New Roman" w:hAnsi="Times New Roman" w:cs="Times New Roman" w:eastAsia="Times New Roman" w:hint="default"/>
                <w:sz w:val="18"/>
                <w:szCs w:val="18"/>
              </w:rPr>
            </w:pPr>
            <w:r>
              <w:rPr>
                <w:rFonts w:ascii="Times New Roman"/>
                <w:sz w:val="18"/>
              </w:rPr>
              <w:t>-107,904,511.32</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r>
        <w:rPr/>
        <w:pict>
          <v:group style="position:absolute;margin-left:224.529999pt;margin-top:387.350006pt;width:150.2pt;height:19.5pt;mso-position-horizontal-relative:page;mso-position-vertical-relative:page;z-index:-1268680" coordorigin="4491,7747" coordsize="3004,390">
            <v:shape style="position:absolute;left:4491;top:7747;width:3004;height:390" coordorigin="4491,7747" coordsize="3004,390" path="m4491,8137l7495,8137,7495,7747,4491,7747,4491,8137xe" filled="true" fillcolor="#ffffff" stroked="false">
              <v:path arrowok="t"/>
              <v:fill type="solid"/>
            </v:shape>
            <w10:wrap type="none"/>
          </v:group>
        </w:pict>
      </w: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5,396,943.02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55,970,874.05</w:t>
            </w: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721"/>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148,651,916.52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126,822,472.42</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11,327,679.23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9,123,683.28</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29,329,935.34</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24,715,480.63</w:t>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53" w:firstLine="721"/>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9,235,777.89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213,668.28</w:t>
            </w: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9,708,743.31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692,157.44</w:t>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-16,796,133.72</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6"/>
              <w:jc w:val="righ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25,014,762.51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29,561,273.56</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6"/>
              <w:jc w:val="righ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-14,268,007.34</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-21,744,937.38</w:t>
            </w:r>
            <w:r>
              <w:rPr>
                <w:rFonts w:ascii="Times New Roman"/>
                <w:sz w:val="18"/>
              </w:rPr>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-7,868,449.48</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-35,454,327.09</w:t>
            </w:r>
            <w:r>
              <w:rPr>
                <w:rFonts w:ascii="Times New Roman"/>
                <w:sz w:val="18"/>
              </w:rPr>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12,663,074.03</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1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tabs>
                <w:tab w:pos="1892" w:val="left" w:leader="none"/>
              </w:tabs>
              <w:spacing w:line="240" w:lineRule="auto" w:before="44"/>
              <w:ind w:left="-136"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130,371,505.39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228,654,704.74</w:t>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-421,302,881.77</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115,101,137.36</w:t>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304,584,974.55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-341,255,220.41</w:t>
            </w:r>
            <w:r>
              <w:rPr>
                <w:rFonts w:ascii="Times New Roman"/>
                <w:sz w:val="18"/>
              </w:rPr>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33"/>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273,543,574.38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84,496,455.56</w:t>
            </w:r>
          </w:p>
        </w:tc>
      </w:tr>
      <w:tr>
        <w:trPr>
          <w:trHeight w:val="158" w:hRule="exact"/>
        </w:trPr>
        <w:tc>
          <w:tcPr>
            <w:tcW w:w="3319"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59"/>
              <w:ind w:left="7"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406" w:hRule="exact"/>
        </w:trPr>
        <w:tc>
          <w:tcPr>
            <w:tcW w:w="3319" w:type="dxa"/>
            <w:vMerge/>
            <w:tcBorders>
              <w:left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3319" w:type="dxa"/>
            <w:vMerge/>
            <w:tcBorders>
              <w:left w:val="single" w:sz="6" w:space="0" w:color="000000"/>
              <w:bottom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488,236,883.75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354,797,979.42</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354,797,979.42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446,841,974.12</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133,438,904.33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-92,043,994.70</w:t>
            </w:r>
            <w:r>
              <w:rPr>
                <w:rFonts w:ascii="Times New Roman"/>
                <w:sz w:val="18"/>
              </w:rPr>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本期支付的取得子公司的现金净额" w:id="414"/>
      <w:bookmarkEnd w:id="414"/>
      <w:r>
        <w:rPr>
          <w:b w:val="0"/>
          <w:bCs w:val="0"/>
        </w:rPr>
      </w:r>
      <w:r>
        <w:rPr>
          <w:spacing w:val="5"/>
        </w:rPr>
        <w:t>（</w:t>
      </w:r>
      <w:r>
        <w:rPr>
          <w:rFonts w:ascii="Times New Roman" w:hAnsi="Times New Roman" w:cs="Times New Roman" w:eastAsia="Times New Roman" w:hint="default"/>
          <w:spacing w:val="5"/>
        </w:rPr>
        <w:t>2</w:t>
      </w:r>
      <w:r>
        <w:rPr>
          <w:spacing w:val="5"/>
        </w:rPr>
        <w:t>）本期支付的取得子公司的现金净额</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406"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3）本期收到的处置子公司的现金净额" w:id="415"/>
      <w:bookmarkEnd w:id="415"/>
      <w:r>
        <w:rPr>
          <w:b w:val="0"/>
          <w:bCs w:val="0"/>
        </w:rPr>
      </w:r>
      <w:r>
        <w:rPr>
          <w:spacing w:val="5"/>
        </w:rPr>
        <w:t>（</w:t>
      </w:r>
      <w:r>
        <w:rPr>
          <w:rFonts w:ascii="Times New Roman" w:hAnsi="Times New Roman" w:cs="Times New Roman" w:eastAsia="Times New Roman" w:hint="default"/>
          <w:spacing w:val="5"/>
        </w:rPr>
        <w:t>3</w:t>
      </w:r>
      <w:r>
        <w:rPr>
          <w:spacing w:val="5"/>
        </w:rPr>
        <w:t>）本期收到的处置子公司的现金净额</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406"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4）现金和现金等价物的构成" w:id="416"/>
      <w:bookmarkEnd w:id="416"/>
      <w:r>
        <w:rPr>
          <w:b w:val="0"/>
          <w:bCs w:val="0"/>
        </w:rPr>
      </w:r>
      <w:r>
        <w:rPr>
          <w:spacing w:val="5"/>
        </w:rPr>
        <w:t>（</w:t>
      </w:r>
      <w:r>
        <w:rPr>
          <w:rFonts w:ascii="Times New Roman" w:hAnsi="Times New Roman" w:cs="Times New Roman" w:eastAsia="Times New Roman" w:hint="default"/>
          <w:spacing w:val="5"/>
        </w:rPr>
        <w:t>4</w:t>
      </w:r>
      <w:r>
        <w:rPr>
          <w:spacing w:val="5"/>
        </w:rPr>
        <w:t>）现金和现金等价物的构成</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488,236,883.75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354,797,979.42</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63,149.88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70,476.83</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488,173,706.68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354,727,502.59</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27.19</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488,236,883.75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354,797,979.42</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80、所有者权益变动表项目注释" w:id="417"/>
      <w:bookmarkEnd w:id="417"/>
      <w:r>
        <w:rPr>
          <w:b w:val="0"/>
          <w:bCs w:val="0"/>
        </w:rPr>
      </w:r>
      <w:r>
        <w:rPr>
          <w:rFonts w:ascii="Times New Roman" w:hAnsi="Times New Roman" w:cs="Times New Roman" w:eastAsia="Times New Roman" w:hint="default"/>
          <w:spacing w:val="4"/>
        </w:rPr>
        <w:t>80</w:t>
      </w:r>
      <w:r>
        <w:rPr>
          <w:spacing w:val="4"/>
        </w:rPr>
        <w:t>、所有者权益变动表项目注释</w:t>
      </w:r>
      <w:r>
        <w:rPr>
          <w:b w:val="0"/>
          <w:bCs w:val="0"/>
          <w:spacing w:val="4"/>
        </w:rPr>
      </w:r>
    </w:p>
    <w:p>
      <w:pPr>
        <w:spacing w:line="240" w:lineRule="auto" w:before="11"/>
        <w:rPr>
          <w:rFonts w:ascii="宋体" w:hAnsi="宋体" w:cs="宋体" w:eastAsia="宋体" w:hint="default"/>
          <w:b/>
          <w:bCs/>
          <w:sz w:val="27"/>
          <w:szCs w:val="27"/>
        </w:rPr>
      </w:pPr>
    </w:p>
    <w:p>
      <w:pPr>
        <w:pStyle w:val="BodyText"/>
        <w:spacing w:line="316" w:lineRule="auto"/>
        <w:ind w:right="5369"/>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r>
        <w:rPr>
          <w:spacing w:val="-82"/>
        </w:rPr>
        <w:t> </w:t>
      </w:r>
      <w:r>
        <w:rPr/>
        <w:t>无</w:t>
      </w:r>
    </w:p>
    <w:p>
      <w:pPr>
        <w:spacing w:line="240" w:lineRule="auto" w:before="12"/>
        <w:rPr>
          <w:rFonts w:ascii="宋体" w:hAnsi="宋体" w:cs="宋体" w:eastAsia="宋体" w:hint="default"/>
          <w:sz w:val="24"/>
          <w:szCs w:val="24"/>
        </w:rPr>
      </w:pPr>
    </w:p>
    <w:p>
      <w:pPr>
        <w:pStyle w:val="Heading5"/>
        <w:spacing w:line="240" w:lineRule="auto"/>
        <w:ind w:right="0"/>
        <w:jc w:val="left"/>
        <w:rPr>
          <w:b w:val="0"/>
          <w:bCs w:val="0"/>
        </w:rPr>
      </w:pPr>
      <w:bookmarkStart w:name="81、所有权或使用权受到限制的资产" w:id="418"/>
      <w:bookmarkEnd w:id="418"/>
      <w:r>
        <w:rPr>
          <w:b w:val="0"/>
          <w:bCs w:val="0"/>
        </w:rPr>
      </w:r>
      <w:r>
        <w:rPr>
          <w:rFonts w:ascii="Times New Roman" w:hAnsi="Times New Roman" w:cs="Times New Roman" w:eastAsia="Times New Roman" w:hint="default"/>
          <w:spacing w:val="4"/>
        </w:rPr>
        <w:t>81</w:t>
      </w:r>
      <w:r>
        <w:rPr>
          <w:spacing w:val="4"/>
        </w:rPr>
        <w:t>、所有权或使用权受到限制的资产</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27"/>
        <w:gridCol w:w="3064"/>
        <w:gridCol w:w="3184"/>
      </w:tblGrid>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7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5"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52,954,679.25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银行保证金及冻结资金</w:t>
            </w:r>
          </w:p>
        </w:tc>
      </w:tr>
      <w:tr>
        <w:trPr>
          <w:trHeight w:val="391" w:hRule="exact"/>
        </w:trPr>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52,954,679.25</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82、外币货币性项目" w:id="419"/>
      <w:bookmarkEnd w:id="419"/>
      <w:r>
        <w:rPr>
          <w:b w:val="0"/>
          <w:bCs w:val="0"/>
        </w:rPr>
      </w:r>
      <w:r>
        <w:rPr>
          <w:rFonts w:ascii="Times New Roman" w:hAnsi="Times New Roman" w:cs="Times New Roman" w:eastAsia="Times New Roman" w:hint="default"/>
          <w:spacing w:val="4"/>
        </w:rPr>
        <w:t>82</w:t>
      </w:r>
      <w:r>
        <w:rPr>
          <w:spacing w:val="4"/>
        </w:rPr>
        <w:t>、外币货币性项目</w:t>
      </w:r>
      <w:r>
        <w:rPr>
          <w:b w:val="0"/>
          <w:bCs w:val="0"/>
          <w:spacing w:val="4"/>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外币货币性项目" w:id="420"/>
      <w:bookmarkEnd w:id="420"/>
      <w:r>
        <w:rPr>
          <w:b w:val="0"/>
          <w:bCs w:val="0"/>
        </w:rPr>
      </w:r>
      <w:r>
        <w:rPr>
          <w:spacing w:val="4"/>
        </w:rPr>
        <w:t>（</w:t>
      </w:r>
      <w:r>
        <w:rPr>
          <w:rFonts w:ascii="Times New Roman" w:hAnsi="Times New Roman" w:cs="Times New Roman" w:eastAsia="Times New Roman" w:hint="default"/>
          <w:spacing w:val="4"/>
        </w:rPr>
        <w:t>1</w:t>
      </w:r>
      <w:r>
        <w:rPr>
          <w:spacing w:val="4"/>
        </w:rPr>
        <w:t>）外币货币性项目</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501"/>
        <w:gridCol w:w="2291"/>
        <w:gridCol w:w="2403"/>
        <w:gridCol w:w="2388"/>
      </w:tblGrid>
      <w:tr>
        <w:trPr>
          <w:trHeight w:val="405"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9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5"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390"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13,235,346.73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92,332,425.86</w:t>
            </w:r>
          </w:p>
        </w:tc>
      </w:tr>
      <w:tr>
        <w:trPr>
          <w:trHeight w:val="405"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207.94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1,625.16</w:t>
            </w:r>
          </w:p>
        </w:tc>
      </w:tr>
      <w:tr>
        <w:trPr>
          <w:trHeight w:val="406"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5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541,853.08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0.89578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485,381.15</w:t>
            </w:r>
          </w:p>
        </w:tc>
      </w:tr>
      <w:tr>
        <w:trPr>
          <w:trHeight w:val="405" w:hRule="exact"/>
        </w:trPr>
        <w:tc>
          <w:tcPr>
            <w:tcW w:w="250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390"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24,385,054.91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170,115,020.06</w:t>
            </w:r>
          </w:p>
        </w:tc>
      </w:tr>
      <w:tr>
        <w:trPr>
          <w:trHeight w:val="405"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5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89,638.33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700,568.37</w:t>
            </w:r>
          </w:p>
        </w:tc>
      </w:tr>
      <w:tr>
        <w:trPr>
          <w:trHeight w:val="406"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7,737,015.04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53,974,964.32</w:t>
            </w:r>
          </w:p>
        </w:tc>
      </w:tr>
      <w:tr>
        <w:trPr>
          <w:trHeight w:val="390" w:hRule="exact"/>
        </w:trPr>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26,475.17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206,916.69</w:t>
            </w:r>
          </w:p>
        </w:tc>
      </w:tr>
      <w:tr>
        <w:trPr>
          <w:trHeight w:val="405" w:hRule="exact"/>
        </w:trPr>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357,849.05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0.89578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320,554.02</w:t>
            </w:r>
          </w:p>
        </w:tc>
      </w:tr>
      <w:tr>
        <w:trPr>
          <w:trHeight w:val="406" w:hRule="exact"/>
        </w:trPr>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17,928,216.45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125,070,823.61</w:t>
            </w:r>
          </w:p>
        </w:tc>
      </w:tr>
      <w:tr>
        <w:trPr>
          <w:trHeight w:val="405" w:hRule="exact"/>
        </w:trPr>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11,948,090.21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83,352,266.91</w:t>
            </w:r>
          </w:p>
        </w:tc>
      </w:tr>
      <w:tr>
        <w:trPr>
          <w:trHeight w:val="405" w:hRule="exact"/>
        </w:trPr>
        <w:tc>
          <w:tcPr>
            <w:tcW w:w="2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490,199.84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3,831,156.85</w:t>
            </w:r>
          </w:p>
        </w:tc>
      </w:tr>
      <w:tr>
        <w:trPr>
          <w:trHeight w:val="405"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391"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5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5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1"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501" w:type="dxa"/>
            <w:tcBorders>
              <w:top w:val="single" w:sz="6" w:space="0" w:color="000000"/>
              <w:left w:val="single" w:sz="6" w:space="0" w:color="000000"/>
              <w:bottom w:val="single" w:sz="6" w:space="0" w:color="000000"/>
              <w:right w:val="single" w:sz="6" w:space="0" w:color="000000"/>
            </w:tcBorders>
          </w:tcPr>
          <w:p>
            <w:pPr/>
          </w:p>
        </w:tc>
        <w:tc>
          <w:tcPr>
            <w:tcW w:w="2291"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73" w:lineRule="auto"/>
        <w:ind w:right="0"/>
        <w:jc w:val="left"/>
        <w:rPr>
          <w:b w:val="0"/>
          <w:bCs w:val="0"/>
        </w:rPr>
      </w:pPr>
      <w:bookmarkStart w:name="（2）境外经营实体说明，包括对于重要的境外经营实体，应披露其境外主要经营地、记账" w:id="421"/>
      <w:bookmarkEnd w:id="421"/>
      <w:r>
        <w:rPr>
          <w:b w:val="0"/>
          <w:bCs w:val="0"/>
        </w:rPr>
      </w:r>
      <w:r>
        <w:rPr>
          <w:spacing w:val="5"/>
        </w:rPr>
        <w:t>（</w:t>
      </w:r>
      <w:r>
        <w:rPr>
          <w:rFonts w:ascii="Times New Roman" w:hAnsi="Times New Roman" w:cs="Times New Roman" w:eastAsia="Times New Roman" w:hint="default"/>
          <w:spacing w:val="5"/>
        </w:rPr>
        <w:t>2</w:t>
      </w:r>
      <w:r>
        <w:rPr>
          <w:spacing w:val="5"/>
        </w:rPr>
        <w:t>）境外经营实体说明，包括对于重要的境外经营实体，应披露其境外主要经营地、记账本位币及选择依据，</w:t>
      </w:r>
      <w:r>
        <w:rPr>
          <w:spacing w:val="58"/>
        </w:rPr>
        <w:t> </w:t>
      </w:r>
      <w:r>
        <w:rPr>
          <w:spacing w:val="58"/>
        </w:rPr>
      </w:r>
      <w:r>
        <w:rPr>
          <w:spacing w:val="5"/>
        </w:rPr>
        <w:t>记账本位币发生变化的还应披露原因。</w:t>
      </w:r>
      <w:r>
        <w:rPr>
          <w:b w:val="0"/>
          <w:bCs w:val="0"/>
          <w:spacing w:val="5"/>
        </w:rPr>
      </w:r>
    </w:p>
    <w:p>
      <w:pPr>
        <w:spacing w:line="240" w:lineRule="auto" w:before="12"/>
        <w:rPr>
          <w:rFonts w:ascii="宋体" w:hAnsi="宋体" w:cs="宋体" w:eastAsia="宋体" w:hint="default"/>
          <w:b/>
          <w:bCs/>
          <w:sz w:val="26"/>
          <w:szCs w:val="26"/>
        </w:rPr>
      </w:pPr>
    </w:p>
    <w:p>
      <w:pPr>
        <w:pStyle w:val="BodyText"/>
        <w:spacing w:line="319" w:lineRule="auto"/>
        <w:ind w:left="441" w:right="1089" w:hanging="30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本公司之境外全资子公司卓翼香港、全资子（孙）公司卓翼营销有限公司记账本位币为人民币，不存在期末将外币折算</w:t>
      </w:r>
    </w:p>
    <w:p>
      <w:pPr>
        <w:pStyle w:val="BodyText"/>
        <w:spacing w:line="240" w:lineRule="auto" w:before="20"/>
        <w:ind w:right="0"/>
        <w:jc w:val="left"/>
      </w:pPr>
      <w:r>
        <w:rPr/>
        <w:t>为人民币的情况。</w:t>
      </w:r>
    </w:p>
    <w:p>
      <w:pPr>
        <w:spacing w:after="0" w:line="240" w:lineRule="auto"/>
        <w:jc w:val="left"/>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83、套期" w:id="422"/>
      <w:bookmarkEnd w:id="422"/>
      <w:r>
        <w:rPr>
          <w:b w:val="0"/>
          <w:bCs w:val="0"/>
        </w:rPr>
      </w:r>
      <w:r>
        <w:rPr>
          <w:rFonts w:ascii="Times New Roman" w:hAnsi="Times New Roman" w:cs="Times New Roman" w:eastAsia="Times New Roman" w:hint="default"/>
          <w:spacing w:val="5"/>
        </w:rPr>
        <w:t>83</w:t>
      </w:r>
      <w:r>
        <w:rPr>
          <w:spacing w:val="5"/>
        </w:rPr>
        <w:t>、套期</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84、政府补助" w:id="423"/>
      <w:bookmarkEnd w:id="423"/>
      <w:r>
        <w:rPr>
          <w:b w:val="0"/>
          <w:bCs w:val="0"/>
        </w:rPr>
      </w:r>
      <w:r>
        <w:rPr>
          <w:rFonts w:ascii="Times New Roman" w:hAnsi="Times New Roman" w:cs="Times New Roman" w:eastAsia="Times New Roman" w:hint="default"/>
          <w:spacing w:val="3"/>
        </w:rPr>
        <w:t>84</w:t>
      </w:r>
      <w:r>
        <w:rPr>
          <w:spacing w:val="3"/>
        </w:rPr>
        <w:t>、政府补助</w:t>
      </w:r>
      <w:r>
        <w:rPr>
          <w:b w:val="0"/>
          <w:bCs w:val="0"/>
          <w:spacing w:val="3"/>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政府补助基本情况" w:id="424"/>
      <w:bookmarkEnd w:id="424"/>
      <w:r>
        <w:rPr>
          <w:b w:val="0"/>
          <w:bCs w:val="0"/>
        </w:rPr>
      </w:r>
      <w:r>
        <w:rPr>
          <w:spacing w:val="5"/>
        </w:rPr>
        <w:t>（</w:t>
      </w:r>
      <w:r>
        <w:rPr>
          <w:rFonts w:ascii="Times New Roman" w:hAnsi="Times New Roman" w:cs="Times New Roman" w:eastAsia="Times New Roman" w:hint="default"/>
          <w:spacing w:val="5"/>
        </w:rPr>
        <w:t>1</w:t>
      </w:r>
      <w:r>
        <w:rPr>
          <w:spacing w:val="5"/>
        </w:rPr>
        <w:t>）政府补助基本情况</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软土地基补贴专用款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6,275,021.63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209,167.44</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战略新兴产业发展资金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500,000.00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国家进口设备资助款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6,544,630.00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654,463.00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国家进口贴息资助项目</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10,007,220.00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1,043,059.25</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深圳市产业技术进步资金资 助项目</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910,000.00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15,166.66</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6"/>
              <w:jc w:val="left"/>
              <w:rPr>
                <w:rFonts w:ascii="宋体" w:hAnsi="宋体" w:cs="宋体" w:eastAsia="宋体" w:hint="default"/>
                <w:sz w:val="18"/>
                <w:szCs w:val="18"/>
              </w:rPr>
            </w:pPr>
            <w:r>
              <w:rPr>
                <w:rFonts w:ascii="宋体" w:hAnsi="宋体" w:cs="宋体" w:eastAsia="宋体" w:hint="default"/>
                <w:sz w:val="18"/>
                <w:szCs w:val="18"/>
              </w:rPr>
              <w:t>天津市工业企业技术改造项 目</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国家机器人设备资助款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572,000.00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年技术改造投资补贴项 目</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7,740,000.00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774,000.00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深圳市工业和信息化局</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进口贴息资金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1,474,641.00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61,443.38</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技术装备及管理智能化提升 项目</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17,120,000.00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998,666.67</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年专项资金进口贴息资 助款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2,360,832.00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98,368.00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Delta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高速并联机器人视觉控 制技术及视觉标定技术研究</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450,000.00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研发经费补助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392,000.00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392,000.00</w:t>
            </w:r>
          </w:p>
        </w:tc>
      </w:tr>
      <w:tr>
        <w:trPr>
          <w:trHeight w:val="10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6"/>
              <w:jc w:val="both"/>
              <w:rPr>
                <w:rFonts w:ascii="宋体" w:hAnsi="宋体" w:cs="宋体" w:eastAsia="宋体" w:hint="default"/>
                <w:sz w:val="18"/>
                <w:szCs w:val="18"/>
              </w:rPr>
            </w:pPr>
            <w:r>
              <w:rPr>
                <w:rFonts w:ascii="宋体" w:hAnsi="宋体" w:cs="宋体" w:eastAsia="宋体" w:hint="default"/>
                <w:sz w:val="18"/>
                <w:szCs w:val="18"/>
              </w:rPr>
              <w:t>深圳市南山区科学技术局国 家高新技术企业倍增支持计 划项目款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工商业用电降成本</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3,051,829.42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3,051,829.42</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税收手续费返还</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91,286.46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91,286.46</w:t>
            </w:r>
          </w:p>
        </w:tc>
      </w:tr>
      <w:tr>
        <w:trPr>
          <w:trHeight w:val="10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6"/>
              <w:jc w:val="both"/>
              <w:rPr>
                <w:rFonts w:ascii="宋体" w:hAnsi="宋体" w:cs="宋体" w:eastAsia="宋体" w:hint="default"/>
                <w:sz w:val="18"/>
                <w:szCs w:val="18"/>
              </w:rPr>
            </w:pPr>
            <w:r>
              <w:rPr>
                <w:rFonts w:ascii="宋体" w:hAnsi="宋体" w:cs="宋体" w:eastAsia="宋体" w:hint="default"/>
                <w:sz w:val="18"/>
                <w:szCs w:val="18"/>
              </w:rPr>
              <w:t>深圳市南山区科学技术局大 型工业创新能力培育提升支 持计划款项</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深圳市市场和质量监督管理</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27,000.00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27,000.00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6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委员会专利资助</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深圳市南山区工业和信息化 局稳增长资助项目</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200,400.00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200,400.00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6"/>
              <w:jc w:val="left"/>
              <w:rPr>
                <w:rFonts w:ascii="宋体" w:hAnsi="宋体" w:cs="宋体" w:eastAsia="宋体" w:hint="default"/>
                <w:sz w:val="18"/>
                <w:szCs w:val="18"/>
              </w:rPr>
            </w:pPr>
            <w:r>
              <w:rPr>
                <w:rFonts w:ascii="宋体" w:hAnsi="宋体" w:cs="宋体" w:eastAsia="宋体" w:hint="default"/>
                <w:sz w:val="18"/>
                <w:szCs w:val="18"/>
              </w:rPr>
              <w:t>深圳市经济贸易和信息化委 员会出口信用保险保费资助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305,643.00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305,643.00</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深圳市市场和质量监督管理 委员会知识产权类资助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494,700.00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494,700.00</w:t>
            </w:r>
          </w:p>
        </w:tc>
      </w:tr>
      <w:tr>
        <w:trPr>
          <w:trHeight w:val="10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6"/>
              <w:jc w:val="left"/>
              <w:rPr>
                <w:rFonts w:ascii="宋体" w:hAnsi="宋体" w:cs="宋体" w:eastAsia="宋体" w:hint="default"/>
                <w:sz w:val="18"/>
                <w:szCs w:val="18"/>
              </w:rPr>
            </w:pPr>
            <w:r>
              <w:rPr>
                <w:rFonts w:ascii="宋体" w:hAnsi="宋体" w:cs="宋体" w:eastAsia="宋体" w:hint="default"/>
                <w:sz w:val="18"/>
                <w:szCs w:val="18"/>
              </w:rPr>
              <w:t>深圳市南山区科学技术局国 内外发明专利支持计划款（科 技创新分项）</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18,000.00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4"/>
              <w:jc w:val="left"/>
              <w:rPr>
                <w:rFonts w:ascii="宋体" w:hAnsi="宋体" w:cs="宋体" w:eastAsia="宋体" w:hint="default"/>
                <w:sz w:val="18"/>
                <w:szCs w:val="18"/>
              </w:rPr>
            </w:pPr>
            <w:r>
              <w:rPr>
                <w:rFonts w:ascii="宋体" w:hAnsi="宋体" w:cs="宋体" w:eastAsia="宋体" w:hint="default"/>
                <w:sz w:val="18"/>
                <w:szCs w:val="18"/>
              </w:rPr>
              <w:t>深圳市南山区经济促进局稳 增长资助项目款项</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537,800.00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537,800.00</w:t>
            </w:r>
          </w:p>
        </w:tc>
      </w:tr>
      <w:tr>
        <w:trPr>
          <w:trHeight w:val="10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96"/>
              <w:jc w:val="both"/>
              <w:rPr>
                <w:rFonts w:ascii="宋体" w:hAnsi="宋体" w:cs="宋体" w:eastAsia="宋体" w:hint="default"/>
                <w:sz w:val="18"/>
                <w:szCs w:val="18"/>
              </w:rPr>
            </w:pPr>
            <w:r>
              <w:rPr>
                <w:rFonts w:ascii="宋体" w:hAnsi="宋体" w:cs="宋体" w:eastAsia="宋体" w:hint="default"/>
                <w:sz w:val="18"/>
                <w:szCs w:val="18"/>
              </w:rPr>
              <w:t>深圳市南山区工业和信息化 局短期出口信用保险资助项 目</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143,200.00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143,200.00</w:t>
            </w:r>
          </w:p>
        </w:tc>
      </w:tr>
      <w:tr>
        <w:trPr>
          <w:trHeight w:val="103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5" w:right="105"/>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年度中央支持外贸 中小企业开拓市场资助事项 拟资助项目的通知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62,732.48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62,732.48</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96"/>
              <w:jc w:val="left"/>
              <w:rPr>
                <w:rFonts w:ascii="宋体" w:hAnsi="宋体" w:cs="宋体" w:eastAsia="宋体" w:hint="default"/>
                <w:sz w:val="18"/>
                <w:szCs w:val="18"/>
              </w:rPr>
            </w:pPr>
            <w:r>
              <w:rPr>
                <w:rFonts w:ascii="宋体" w:hAnsi="宋体" w:cs="宋体" w:eastAsia="宋体" w:hint="default"/>
                <w:sz w:val="18"/>
                <w:szCs w:val="18"/>
              </w:rPr>
              <w:t>收厦门火炬高技术产业开发 区管理委员会政策补贴款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394,512.00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394,512.00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社保局稳岗补贴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743,084.34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743,084.34</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-32,586.21</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-32,586.21</w:t>
            </w:r>
            <w:r>
              <w:rPr>
                <w:rFonts w:ascii="Times New Roman"/>
                <w:sz w:val="18"/>
              </w:rPr>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政府补助退回情况" w:id="425"/>
      <w:bookmarkEnd w:id="425"/>
      <w:r>
        <w:rPr>
          <w:b w:val="0"/>
          <w:bCs w:val="0"/>
        </w:rPr>
      </w:r>
      <w:r>
        <w:rPr>
          <w:spacing w:val="5"/>
        </w:rPr>
        <w:t>（</w:t>
      </w:r>
      <w:r>
        <w:rPr>
          <w:rFonts w:ascii="Times New Roman" w:hAnsi="Times New Roman" w:cs="Times New Roman" w:eastAsia="Times New Roman" w:hint="default"/>
          <w:spacing w:val="5"/>
        </w:rPr>
        <w:t>2</w:t>
      </w:r>
      <w:r>
        <w:rPr>
          <w:spacing w:val="5"/>
        </w:rPr>
        <w:t>）政府补助退回情况</w:t>
      </w:r>
      <w:r>
        <w:rPr>
          <w:b w:val="0"/>
          <w:bCs w:val="0"/>
          <w:spacing w:val="5"/>
        </w:rPr>
      </w:r>
    </w:p>
    <w:p>
      <w:pPr>
        <w:spacing w:line="240" w:lineRule="auto" w:before="9"/>
        <w:rPr>
          <w:rFonts w:ascii="宋体" w:hAnsi="宋体" w:cs="宋体" w:eastAsia="宋体" w:hint="default"/>
          <w:b/>
          <w:bCs/>
          <w:sz w:val="26"/>
          <w:szCs w:val="26"/>
        </w:rPr>
      </w:pPr>
    </w:p>
    <w:p>
      <w:pPr>
        <w:pStyle w:val="BodyText"/>
        <w:spacing w:line="333"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12"/>
        <w:rPr>
          <w:rFonts w:ascii="宋体" w:hAnsi="宋体" w:cs="宋体" w:eastAsia="宋体" w:hint="default"/>
          <w:sz w:val="23"/>
          <w:szCs w:val="23"/>
        </w:rPr>
      </w:pPr>
    </w:p>
    <w:p>
      <w:pPr>
        <w:pStyle w:val="Heading5"/>
        <w:spacing w:line="240" w:lineRule="auto"/>
        <w:ind w:right="0"/>
        <w:jc w:val="left"/>
        <w:rPr>
          <w:b w:val="0"/>
          <w:bCs w:val="0"/>
        </w:rPr>
      </w:pPr>
      <w:bookmarkStart w:name="85、其他" w:id="426"/>
      <w:bookmarkEnd w:id="426"/>
      <w:r>
        <w:rPr>
          <w:b w:val="0"/>
          <w:bCs w:val="0"/>
        </w:rPr>
      </w:r>
      <w:r>
        <w:rPr>
          <w:rFonts w:ascii="Times New Roman" w:hAnsi="Times New Roman" w:cs="Times New Roman" w:eastAsia="Times New Roman" w:hint="default"/>
          <w:spacing w:val="5"/>
        </w:rPr>
        <w:t>85</w:t>
      </w:r>
      <w:r>
        <w:rPr>
          <w:spacing w:val="5"/>
        </w:rPr>
        <w:t>、其他</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4"/>
          <w:szCs w:val="24"/>
        </w:rPr>
      </w:pPr>
    </w:p>
    <w:p>
      <w:pPr>
        <w:pStyle w:val="Heading2"/>
        <w:spacing w:line="240" w:lineRule="auto"/>
        <w:ind w:right="0"/>
        <w:jc w:val="left"/>
        <w:rPr>
          <w:b w:val="0"/>
          <w:bCs w:val="0"/>
        </w:rPr>
      </w:pPr>
      <w:bookmarkStart w:name="八、合并范围的变更" w:id="427"/>
      <w:bookmarkEnd w:id="427"/>
      <w:r>
        <w:rPr>
          <w:b w:val="0"/>
          <w:bCs w:val="0"/>
        </w:rPr>
      </w:r>
      <w:r>
        <w:rPr/>
        <w:t>八、合并范围的变更</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非同一控制下企业合并" w:id="428"/>
      <w:bookmarkEnd w:id="428"/>
      <w:r>
        <w:rPr>
          <w:b w:val="0"/>
          <w:bCs w:val="0"/>
        </w:rPr>
      </w:r>
      <w:r>
        <w:rPr>
          <w:rFonts w:ascii="Times New Roman" w:hAnsi="Times New Roman" w:cs="Times New Roman" w:eastAsia="Times New Roman" w:hint="default"/>
          <w:spacing w:val="5"/>
        </w:rPr>
        <w:t>1</w:t>
      </w:r>
      <w:r>
        <w:rPr>
          <w:spacing w:val="5"/>
        </w:rPr>
        <w:t>、非同一控制下企业合并</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本期发生的非同一控制下企业合并" w:id="429"/>
      <w:bookmarkEnd w:id="429"/>
      <w:r>
        <w:rPr>
          <w:b w:val="0"/>
          <w:bCs w:val="0"/>
        </w:rPr>
      </w:r>
      <w:r>
        <w:rPr>
          <w:spacing w:val="5"/>
        </w:rPr>
        <w:t>（</w:t>
      </w:r>
      <w:r>
        <w:rPr>
          <w:rFonts w:ascii="Times New Roman" w:hAnsi="Times New Roman" w:cs="Times New Roman" w:eastAsia="Times New Roman" w:hint="default"/>
          <w:spacing w:val="5"/>
        </w:rPr>
        <w:t>1</w:t>
      </w:r>
      <w:r>
        <w:rPr>
          <w:spacing w:val="5"/>
        </w:rPr>
        <w:t>）本期发生的非同一控制下企业合并</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52"/>
        <w:gridCol w:w="1081"/>
        <w:gridCol w:w="1066"/>
        <w:gridCol w:w="1067"/>
        <w:gridCol w:w="1051"/>
        <w:gridCol w:w="1067"/>
        <w:gridCol w:w="1066"/>
      </w:tblGrid>
      <w:tr>
        <w:trPr>
          <w:trHeight w:val="705"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20" w:right="88"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20" w:right="74"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35" w:right="89" w:hanging="361"/>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40"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59"/>
              <w:ind w:left="75" w:right="75"/>
              <w:jc w:val="left"/>
              <w:rPr>
                <w:rFonts w:ascii="宋体" w:hAnsi="宋体" w:cs="宋体" w:eastAsia="宋体" w:hint="default"/>
                <w:sz w:val="18"/>
                <w:szCs w:val="18"/>
              </w:rPr>
            </w:pPr>
            <w:r>
              <w:rPr>
                <w:rFonts w:ascii="宋体" w:hAnsi="宋体" w:cs="宋体" w:eastAsia="宋体" w:hint="default"/>
                <w:sz w:val="18"/>
                <w:szCs w:val="18"/>
              </w:rPr>
              <w:t>购买日至期 末被购买方</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59"/>
              <w:ind w:left="75" w:right="74"/>
              <w:jc w:val="left"/>
              <w:rPr>
                <w:rFonts w:ascii="宋体" w:hAnsi="宋体" w:cs="宋体" w:eastAsia="宋体" w:hint="default"/>
                <w:sz w:val="18"/>
                <w:szCs w:val="18"/>
              </w:rPr>
            </w:pPr>
            <w:r>
              <w:rPr>
                <w:rFonts w:ascii="宋体" w:hAnsi="宋体" w:cs="宋体" w:eastAsia="宋体" w:hint="default"/>
                <w:sz w:val="18"/>
                <w:szCs w:val="18"/>
              </w:rPr>
              <w:t>购买日至期 末被购买方</w:t>
            </w:r>
          </w:p>
        </w:tc>
      </w:tr>
    </w:tbl>
    <w:p>
      <w:pPr>
        <w:spacing w:after="0" w:line="307"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36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255" w:right="0"/>
              <w:jc w:val="left"/>
              <w:rPr>
                <w:rFonts w:ascii="宋体" w:hAnsi="宋体" w:cs="宋体" w:eastAsia="宋体" w:hint="default"/>
                <w:sz w:val="18"/>
                <w:szCs w:val="18"/>
              </w:rPr>
            </w:pPr>
            <w:r>
              <w:rPr>
                <w:rFonts w:ascii="宋体" w:hAnsi="宋体" w:cs="宋体" w:eastAsia="宋体" w:hint="default"/>
                <w:sz w:val="18"/>
                <w:szCs w:val="18"/>
              </w:rPr>
              <w:t>的收入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65" w:right="0"/>
              <w:jc w:val="left"/>
              <w:rPr>
                <w:rFonts w:ascii="宋体" w:hAnsi="宋体" w:cs="宋体" w:eastAsia="宋体" w:hint="default"/>
                <w:sz w:val="18"/>
                <w:szCs w:val="18"/>
              </w:rPr>
            </w:pPr>
            <w:r>
              <w:rPr>
                <w:rFonts w:ascii="宋体" w:hAnsi="宋体" w:cs="宋体" w:eastAsia="宋体" w:hint="default"/>
                <w:sz w:val="18"/>
                <w:szCs w:val="18"/>
              </w:rPr>
              <w:t>的净利润</w:t>
            </w:r>
          </w:p>
        </w:tc>
      </w:tr>
      <w:tr>
        <w:trPr>
          <w:trHeight w:val="405"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2" w:lineRule="auto" w:before="44"/>
        <w:ind w:right="9849"/>
        <w:jc w:val="left"/>
      </w:pPr>
      <w:r>
        <w:rPr/>
        <w:t>其他说明： 无</w:t>
      </w:r>
    </w:p>
    <w:p>
      <w:pPr>
        <w:spacing w:line="240" w:lineRule="auto" w:before="11"/>
        <w:rPr>
          <w:rFonts w:ascii="宋体" w:hAnsi="宋体" w:cs="宋体" w:eastAsia="宋体" w:hint="default"/>
          <w:sz w:val="22"/>
          <w:szCs w:val="22"/>
        </w:rPr>
      </w:pPr>
    </w:p>
    <w:p>
      <w:pPr>
        <w:pStyle w:val="Heading5"/>
        <w:spacing w:line="240" w:lineRule="auto"/>
        <w:ind w:right="0"/>
        <w:jc w:val="left"/>
        <w:rPr>
          <w:b w:val="0"/>
          <w:bCs w:val="0"/>
        </w:rPr>
      </w:pPr>
      <w:bookmarkStart w:name="（2）合并成本及商誉" w:id="430"/>
      <w:bookmarkEnd w:id="430"/>
      <w:r>
        <w:rPr>
          <w:b w:val="0"/>
          <w:bCs w:val="0"/>
        </w:rPr>
      </w:r>
      <w:r>
        <w:rPr>
          <w:spacing w:val="4"/>
        </w:rPr>
        <w:t>（</w:t>
      </w:r>
      <w:r>
        <w:rPr>
          <w:rFonts w:ascii="Times New Roman" w:hAnsi="Times New Roman" w:cs="Times New Roman" w:eastAsia="Times New Roman" w:hint="default"/>
          <w:spacing w:val="4"/>
        </w:rPr>
        <w:t>2</w:t>
      </w:r>
      <w:r>
        <w:rPr>
          <w:spacing w:val="4"/>
        </w:rPr>
        <w:t>）合并成本及商誉</w:t>
      </w:r>
      <w:r>
        <w:rPr>
          <w:b w:val="0"/>
          <w:bCs w:val="0"/>
          <w:spacing w:val="4"/>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13"/>
        <w:rPr>
          <w:rFonts w:ascii="宋体" w:hAnsi="宋体" w:cs="宋体" w:eastAsia="宋体" w:hint="default"/>
          <w:sz w:val="8"/>
          <w:szCs w:val="8"/>
        </w:rPr>
      </w:pPr>
    </w:p>
    <w:p>
      <w:pPr>
        <w:spacing w:line="420"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85pt;height:21.05pt;mso-position-horizontal-relative:char;mso-position-vertical-relative:line" coordorigin="0,0" coordsize="9597,421">
            <v:group style="position:absolute;left:23;top:23;width:2;height:391" coordorigin="23,23" coordsize="2,391">
              <v:shape style="position:absolute;left:23;top:23;width:2;height:391" coordorigin="23,23" coordsize="0,391" path="m23,23l23,413e" filled="false" stroked="true" strokeweight=".75pt" strokecolor="#d2d2d2">
                <v:path arrowok="t"/>
              </v:shape>
            </v:group>
            <v:group style="position:absolute;left:4784;top:23;width:2;height:391" coordorigin="4784,23" coordsize="2,391">
              <v:shape style="position:absolute;left:4784;top:23;width:2;height:391" coordorigin="4784,23" coordsize="0,391" path="m4784,23l4784,413e" filled="false" stroked="true" strokeweight=".75pt" strokecolor="#d2d2d2">
                <v:path arrowok="t"/>
              </v:shape>
            </v:group>
            <v:group style="position:absolute;left:30;top:23;width:4746;height:391" coordorigin="30,23" coordsize="4746,391">
              <v:shape style="position:absolute;left:30;top:23;width:4746;height:391" coordorigin="30,23" coordsize="4746,391" path="m30,413l4776,413,4776,23,30,23,30,413xe" filled="true" fillcolor="#d2d2d2" stroked="false">
                <v:path arrowok="t"/>
                <v:fill type="solid"/>
              </v:shape>
            </v:group>
            <v:group style="position:absolute;left:4814;top:23;width:2;height:391" coordorigin="4814,23" coordsize="2,391">
              <v:shape style="position:absolute;left:4814;top:23;width:2;height:391" coordorigin="4814,23" coordsize="0,391" path="m4814,23l4814,413e" filled="false" stroked="true" strokeweight=".75pt" strokecolor="#d2d2d2">
                <v:path arrowok="t"/>
              </v:shape>
            </v:group>
            <v:group style="position:absolute;left:9574;top:23;width:2;height:391" coordorigin="9574,23" coordsize="2,391">
              <v:shape style="position:absolute;left:9574;top:23;width:2;height:391" coordorigin="9574,23" coordsize="0,391" path="m9574,23l9574,413e" filled="false" stroked="true" strokeweight=".75pt" strokecolor="#d2d2d2">
                <v:path arrowok="t"/>
              </v:shape>
            </v:group>
            <v:group style="position:absolute;left:4821;top:23;width:4746;height:391" coordorigin="4821,23" coordsize="4746,391">
              <v:shape style="position:absolute;left:4821;top:23;width:4746;height:391" coordorigin="4821,23" coordsize="4746,391" path="m4821,413l9567,413,9567,23,4821,23,4821,413xe" filled="true" fillcolor="#d2d2d2"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5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5pt" strokecolor="#000000">
                <v:path arrowok="t"/>
              </v:shape>
            </v:group>
            <v:group style="position:absolute;left:8;top:8;width:2;height:406" coordorigin="8,8" coordsize="2,406">
              <v:shape style="position:absolute;left:8;top:8;width:2;height:406" coordorigin="8,8" coordsize="0,406" path="m8,8l8,413e" filled="false" stroked="true" strokeweight=".75pt" strokecolor="#000000">
                <v:path arrowok="t"/>
              </v:shape>
            </v:group>
            <v:group style="position:absolute;left:15;top:406;width:4776;height:2" coordorigin="15,406" coordsize="4776,2">
              <v:shape style="position:absolute;left:15;top:406;width:4776;height:2" coordorigin="15,406" coordsize="4776,0" path="m15,406l4791,406e" filled="false" stroked="true" strokeweight=".75pt" strokecolor="#000000">
                <v:path arrowok="t"/>
              </v:shape>
            </v:group>
            <v:group style="position:absolute;left:4799;top:8;width:2;height:406" coordorigin="4799,8" coordsize="2,406">
              <v:shape style="position:absolute;left:4799;top:8;width:2;height:406" coordorigin="4799,8" coordsize="0,406" path="m4799,8l4799,413e" filled="false" stroked="true" strokeweight=".75pt" strokecolor="#000000">
                <v:path arrowok="t"/>
              </v:shape>
            </v:group>
            <v:group style="position:absolute;left:4806;top:406;width:4776;height:2" coordorigin="4806,406" coordsize="4776,2">
              <v:shape style="position:absolute;left:4806;top:406;width:4776;height:2" coordorigin="4806,406" coordsize="4776,0" path="m4806,406l9582,406e" filled="false" stroked="true" strokeweight=".75pt" strokecolor="#000000">
                <v:path arrowok="t"/>
              </v:shape>
            </v:group>
            <v:group style="position:absolute;left:9589;top:8;width:2;height:406" coordorigin="9589,8" coordsize="2,406">
              <v:shape style="position:absolute;left:9589;top:8;width:2;height:406" coordorigin="9589,8" coordsize="0,406" path="m9589,8l9589,413e" filled="false" stroked="true" strokeweight=".75pt" strokecolor="#000000">
                <v:path arrowok="t"/>
              </v:shape>
              <v:shape style="position:absolute;left:8;top:15;width:4792;height:391" type="#_x0000_t202" filled="false" stroked="false">
                <v:textbox inset="0,0,0,0">
                  <w:txbxContent>
                    <w:p>
                      <w:pPr>
                        <w:spacing w:before="53"/>
                        <w:ind w:left="0" w:right="29"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0" w:lineRule="auto" w:before="38"/>
        <w:ind w:right="6069"/>
        <w:jc w:val="left"/>
      </w:pPr>
      <w:r>
        <w:rPr/>
        <w:t>合并成本公允价值的确定方法、或有对价及其变动的说明： 无</w:t>
      </w:r>
    </w:p>
    <w:p>
      <w:pPr>
        <w:pStyle w:val="BodyText"/>
        <w:spacing w:line="350" w:lineRule="auto" w:before="42"/>
        <w:ind w:right="8589"/>
        <w:jc w:val="left"/>
      </w:pPr>
      <w:r>
        <w:rPr/>
        <w:t>大额商誉形成的主要原因： 无</w:t>
      </w:r>
    </w:p>
    <w:p>
      <w:pPr>
        <w:pStyle w:val="BodyText"/>
        <w:spacing w:line="352" w:lineRule="auto" w:before="42"/>
        <w:ind w:right="9849"/>
        <w:jc w:val="left"/>
      </w:pPr>
      <w:r>
        <w:rPr/>
        <w:t>其他说明： 无</w:t>
      </w:r>
    </w:p>
    <w:p>
      <w:pPr>
        <w:spacing w:line="240" w:lineRule="auto" w:before="11"/>
        <w:rPr>
          <w:rFonts w:ascii="宋体" w:hAnsi="宋体" w:cs="宋体" w:eastAsia="宋体" w:hint="default"/>
          <w:sz w:val="22"/>
          <w:szCs w:val="22"/>
        </w:rPr>
      </w:pPr>
    </w:p>
    <w:p>
      <w:pPr>
        <w:pStyle w:val="Heading5"/>
        <w:spacing w:line="240" w:lineRule="auto"/>
        <w:ind w:right="0"/>
        <w:jc w:val="left"/>
        <w:rPr>
          <w:b w:val="0"/>
          <w:bCs w:val="0"/>
        </w:rPr>
      </w:pPr>
      <w:bookmarkStart w:name="（3）被购买方于购买日可辨认资产、负债" w:id="431"/>
      <w:bookmarkEnd w:id="431"/>
      <w:r>
        <w:rPr>
          <w:b w:val="0"/>
          <w:bCs w:val="0"/>
        </w:rPr>
      </w:r>
      <w:r>
        <w:rPr>
          <w:spacing w:val="5"/>
        </w:rPr>
        <w:t>（</w:t>
      </w:r>
      <w:r>
        <w:rPr>
          <w:rFonts w:ascii="Times New Roman" w:hAnsi="Times New Roman" w:cs="Times New Roman" w:eastAsia="Times New Roman" w:hint="default"/>
          <w:spacing w:val="5"/>
        </w:rPr>
        <w:t>3</w:t>
      </w:r>
      <w:r>
        <w:rPr>
          <w:spacing w:val="5"/>
        </w:rPr>
        <w:t>）被购买方于购买日可辨认资产、负债</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398" w:type="dxa"/>
            <w:gridSpan w:val="2"/>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7" w:lineRule="auto" w:before="45"/>
        <w:ind w:right="7509"/>
        <w:jc w:val="left"/>
      </w:pPr>
      <w:r>
        <w:rPr/>
        <w:t>可辨认资产、负债公允价值的确定方法： 无 企业合并中承担的被购买方的或有负债： 无</w:t>
      </w:r>
    </w:p>
    <w:p>
      <w:pPr>
        <w:pStyle w:val="BodyText"/>
        <w:spacing w:line="352" w:lineRule="auto" w:before="36"/>
        <w:ind w:right="9849"/>
        <w:jc w:val="left"/>
      </w:pPr>
      <w:r>
        <w:rPr/>
        <w:t>其他说明： 无</w:t>
      </w:r>
    </w:p>
    <w:p>
      <w:pPr>
        <w:spacing w:line="240" w:lineRule="auto" w:before="11"/>
        <w:rPr>
          <w:rFonts w:ascii="宋体" w:hAnsi="宋体" w:cs="宋体" w:eastAsia="宋体" w:hint="default"/>
          <w:sz w:val="22"/>
          <w:szCs w:val="22"/>
        </w:rPr>
      </w:pPr>
    </w:p>
    <w:p>
      <w:pPr>
        <w:pStyle w:val="Heading5"/>
        <w:spacing w:line="240" w:lineRule="auto"/>
        <w:ind w:right="0"/>
        <w:jc w:val="left"/>
        <w:rPr>
          <w:b w:val="0"/>
          <w:bCs w:val="0"/>
        </w:rPr>
      </w:pPr>
      <w:bookmarkStart w:name="（4）购买日之前持有的股权按照公允价值重新计量产生的利得或损失" w:id="432"/>
      <w:bookmarkEnd w:id="432"/>
      <w:r>
        <w:rPr>
          <w:b w:val="0"/>
          <w:bCs w:val="0"/>
        </w:rPr>
      </w:r>
      <w:r>
        <w:rPr>
          <w:spacing w:val="5"/>
        </w:rPr>
        <w:t>（</w:t>
      </w:r>
      <w:r>
        <w:rPr>
          <w:rFonts w:ascii="Times New Roman" w:hAnsi="Times New Roman" w:cs="Times New Roman" w:eastAsia="Times New Roman" w:hint="default"/>
          <w:spacing w:val="5"/>
        </w:rPr>
        <w:t>4</w:t>
      </w:r>
      <w:r>
        <w:rPr>
          <w:spacing w:val="5"/>
        </w:rPr>
        <w:t>）购买日之前持有的股权按照公允价值重新计量产生的利得或损失</w:t>
      </w:r>
      <w:r>
        <w:rPr>
          <w:b w:val="0"/>
          <w:bCs w:val="0"/>
          <w:spacing w:val="5"/>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5）购买日或合并当期期末无法合理确定合并对价或被购买方可辨认资产、负债公允价值" w:id="433"/>
      <w:bookmarkEnd w:id="433"/>
      <w:r>
        <w:rPr>
          <w:b w:val="0"/>
          <w:bCs w:val="0"/>
        </w:rPr>
      </w:r>
      <w:r>
        <w:rPr>
          <w:spacing w:val="5"/>
        </w:rPr>
        <w:t>（</w:t>
      </w:r>
      <w:r>
        <w:rPr>
          <w:rFonts w:ascii="Times New Roman" w:hAnsi="Times New Roman" w:cs="Times New Roman" w:eastAsia="Times New Roman" w:hint="default"/>
          <w:spacing w:val="5"/>
        </w:rPr>
        <w:t>5</w:t>
      </w:r>
      <w:r>
        <w:rPr>
          <w:spacing w:val="5"/>
        </w:rPr>
        <w:t>）购买日或合并当期期末无法合理确定合并对价或被购买方可辨认资产、负债公允价值的相关说明</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2"/>
        <w:ind w:right="0"/>
        <w:jc w:val="left"/>
        <w:rPr>
          <w:b w:val="0"/>
          <w:bCs w:val="0"/>
        </w:rPr>
      </w:pPr>
      <w:bookmarkStart w:name="（6）其他说明" w:id="434"/>
      <w:bookmarkEnd w:id="434"/>
      <w:r>
        <w:rPr>
          <w:b w:val="0"/>
          <w:bCs w:val="0"/>
        </w:rPr>
      </w:r>
      <w:r>
        <w:rPr>
          <w:spacing w:val="5"/>
        </w:rPr>
        <w:t>（</w:t>
      </w:r>
      <w:r>
        <w:rPr>
          <w:rFonts w:ascii="Times New Roman" w:hAnsi="Times New Roman" w:cs="Times New Roman" w:eastAsia="Times New Roman" w:hint="default"/>
          <w:spacing w:val="5"/>
        </w:rPr>
        <w:t>6</w:t>
      </w:r>
      <w:r>
        <w:rPr>
          <w:spacing w:val="5"/>
        </w:rPr>
        <w:t>）其他说明</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2、同一控制下企业合并" w:id="435"/>
      <w:bookmarkEnd w:id="435"/>
      <w:r>
        <w:rPr>
          <w:b w:val="0"/>
          <w:bCs w:val="0"/>
        </w:rPr>
      </w:r>
      <w:r>
        <w:rPr>
          <w:rFonts w:ascii="Times New Roman" w:hAnsi="Times New Roman" w:cs="Times New Roman" w:eastAsia="Times New Roman" w:hint="default"/>
          <w:spacing w:val="5"/>
        </w:rPr>
        <w:t>2</w:t>
      </w:r>
      <w:r>
        <w:rPr>
          <w:spacing w:val="5"/>
        </w:rPr>
        <w:t>、同一控制下企业合并</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本期发生的同一控制下企业合并" w:id="436"/>
      <w:bookmarkEnd w:id="436"/>
      <w:r>
        <w:rPr>
          <w:b w:val="0"/>
          <w:bCs w:val="0"/>
        </w:rPr>
      </w:r>
      <w:r>
        <w:rPr>
          <w:spacing w:val="5"/>
        </w:rPr>
        <w:t>（</w:t>
      </w:r>
      <w:r>
        <w:rPr>
          <w:rFonts w:ascii="Times New Roman" w:hAnsi="Times New Roman" w:cs="Times New Roman" w:eastAsia="Times New Roman" w:hint="default"/>
          <w:spacing w:val="5"/>
        </w:rPr>
        <w:t>1</w:t>
      </w:r>
      <w:r>
        <w:rPr>
          <w:spacing w:val="5"/>
        </w:rPr>
        <w:t>）本期发生的同一控制下企业合并</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1337"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420" w:right="88"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60" w:right="75"/>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5"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55"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75" w:right="73"/>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5"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60" w:right="89"/>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r>
        <w:trPr>
          <w:trHeight w:val="405"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0" w:lineRule="auto" w:before="45"/>
        <w:ind w:right="9849"/>
        <w:jc w:val="left"/>
      </w:pPr>
      <w:r>
        <w:rPr/>
        <w:t>其他说明： 无</w:t>
      </w:r>
    </w:p>
    <w:p>
      <w:pPr>
        <w:spacing w:line="240" w:lineRule="auto" w:before="0"/>
        <w:rPr>
          <w:rFonts w:ascii="宋体" w:hAnsi="宋体" w:cs="宋体" w:eastAsia="宋体" w:hint="default"/>
          <w:sz w:val="23"/>
          <w:szCs w:val="23"/>
        </w:rPr>
      </w:pPr>
    </w:p>
    <w:p>
      <w:pPr>
        <w:pStyle w:val="Heading5"/>
        <w:spacing w:line="240" w:lineRule="auto"/>
        <w:ind w:right="0"/>
        <w:jc w:val="left"/>
        <w:rPr>
          <w:b w:val="0"/>
          <w:bCs w:val="0"/>
        </w:rPr>
      </w:pPr>
      <w:bookmarkStart w:name="（2）合并成本" w:id="437"/>
      <w:bookmarkEnd w:id="437"/>
      <w:r>
        <w:rPr>
          <w:b w:val="0"/>
          <w:bCs w:val="0"/>
        </w:rPr>
      </w:r>
      <w:r>
        <w:rPr>
          <w:spacing w:val="5"/>
        </w:rPr>
        <w:t>（</w:t>
      </w:r>
      <w:r>
        <w:rPr>
          <w:rFonts w:ascii="Times New Roman" w:hAnsi="Times New Roman" w:cs="Times New Roman" w:eastAsia="Times New Roman" w:hint="default"/>
          <w:spacing w:val="5"/>
        </w:rPr>
        <w:t>2</w:t>
      </w:r>
      <w:r>
        <w:rPr>
          <w:spacing w:val="5"/>
        </w:rPr>
        <w:t>）合并成本</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11"/>
        <w:rPr>
          <w:rFonts w:ascii="宋体" w:hAnsi="宋体" w:cs="宋体" w:eastAsia="宋体" w:hint="default"/>
          <w:sz w:val="7"/>
          <w:szCs w:val="7"/>
        </w:rPr>
      </w:pPr>
    </w:p>
    <w:p>
      <w:pPr>
        <w:spacing w:line="435" w:lineRule="exact"/>
        <w:ind w:left="126"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79.85pt;height:21.8pt;mso-position-horizontal-relative:char;mso-position-vertical-relative:line" coordorigin="0,0" coordsize="9597,436">
            <v:group style="position:absolute;left:23;top:23;width:2;height:391" coordorigin="23,23" coordsize="2,391">
              <v:shape style="position:absolute;left:23;top:23;width:2;height:391" coordorigin="23,23" coordsize="0,391" path="m23,23l23,413e" filled="false" stroked="true" strokeweight=".75pt" strokecolor="#d2d2d2">
                <v:path arrowok="t"/>
              </v:shape>
            </v:group>
            <v:group style="position:absolute;left:4784;top:23;width:2;height:391" coordorigin="4784,23" coordsize="2,391">
              <v:shape style="position:absolute;left:4784;top:23;width:2;height:391" coordorigin="4784,23" coordsize="0,391" path="m4784,23l4784,413e" filled="false" stroked="true" strokeweight=".75pt" strokecolor="#d2d2d2">
                <v:path arrowok="t"/>
              </v:shape>
            </v:group>
            <v:group style="position:absolute;left:30;top:23;width:4746;height:391" coordorigin="30,23" coordsize="4746,391">
              <v:shape style="position:absolute;left:30;top:23;width:4746;height:391" coordorigin="30,23" coordsize="4746,391" path="m30,413l4776,413,4776,23,30,23,30,413xe" filled="true" fillcolor="#d2d2d2" stroked="false">
                <v:path arrowok="t"/>
                <v:fill type="solid"/>
              </v:shape>
            </v:group>
            <v:group style="position:absolute;left:4814;top:23;width:2;height:391" coordorigin="4814,23" coordsize="2,391">
              <v:shape style="position:absolute;left:4814;top:23;width:2;height:391" coordorigin="4814,23" coordsize="0,391" path="m4814,23l4814,413e" filled="false" stroked="true" strokeweight=".75pt" strokecolor="#d2d2d2">
                <v:path arrowok="t"/>
              </v:shape>
            </v:group>
            <v:group style="position:absolute;left:9574;top:23;width:2;height:391" coordorigin="9574,23" coordsize="2,391">
              <v:shape style="position:absolute;left:9574;top:23;width:2;height:391" coordorigin="9574,23" coordsize="0,391" path="m9574,23l9574,413e" filled="false" stroked="true" strokeweight=".75pt" strokecolor="#d2d2d2">
                <v:path arrowok="t"/>
              </v:shape>
            </v:group>
            <v:group style="position:absolute;left:4821;top:23;width:4746;height:391" coordorigin="4821,23" coordsize="4746,391">
              <v:shape style="position:absolute;left:4821;top:23;width:4746;height:391" coordorigin="4821,23" coordsize="4746,391" path="m4821,413l9567,413,9567,23,4821,23,4821,413xe" filled="true" fillcolor="#d2d2d2"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5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5pt" strokecolor="#000000">
                <v:path arrowok="t"/>
              </v:shape>
            </v:group>
            <v:group style="position:absolute;left:8;top:8;width:2;height:421" coordorigin="8,8" coordsize="2,421">
              <v:shape style="position:absolute;left:8;top:8;width:2;height:421" coordorigin="8,8" coordsize="0,421" path="m8,8l8,428e" filled="false" stroked="true" strokeweight=".75pt" strokecolor="#000000">
                <v:path arrowok="t"/>
              </v:shape>
            </v:group>
            <v:group style="position:absolute;left:15;top:421;width:4776;height:2" coordorigin="15,421" coordsize="4776,2">
              <v:shape style="position:absolute;left:15;top:421;width:4776;height:2" coordorigin="15,421" coordsize="4776,0" path="m15,421l4791,421e" filled="false" stroked="true" strokeweight=".75pt" strokecolor="#000000">
                <v:path arrowok="t"/>
              </v:shape>
            </v:group>
            <v:group style="position:absolute;left:4799;top:8;width:2;height:421" coordorigin="4799,8" coordsize="2,421">
              <v:shape style="position:absolute;left:4799;top:8;width:2;height:421" coordorigin="4799,8" coordsize="0,421" path="m4799,8l4799,428e" filled="false" stroked="true" strokeweight=".75pt" strokecolor="#000000">
                <v:path arrowok="t"/>
              </v:shape>
            </v:group>
            <v:group style="position:absolute;left:4806;top:421;width:4776;height:2" coordorigin="4806,421" coordsize="4776,2">
              <v:shape style="position:absolute;left:4806;top:421;width:4776;height:2" coordorigin="4806,421" coordsize="4776,0" path="m4806,421l9582,421e" filled="false" stroked="true" strokeweight=".75pt" strokecolor="#000000">
                <v:path arrowok="t"/>
              </v:shape>
            </v:group>
            <v:group style="position:absolute;left:9589;top:8;width:2;height:421" coordorigin="9589,8" coordsize="2,421">
              <v:shape style="position:absolute;left:9589;top:8;width:2;height:421" coordorigin="9589,8" coordsize="0,421" path="m9589,8l9589,428e" filled="false" stroked="true" strokeweight=".75pt" strokecolor="#000000">
                <v:path arrowok="t"/>
              </v:shape>
              <v:shape style="position:absolute;left:8;top:15;width:4792;height:406" type="#_x0000_t202" filled="false" stroked="false">
                <v:textbox inset="0,0,0,0">
                  <w:txbxContent>
                    <w:p>
                      <w:pPr>
                        <w:spacing w:before="52"/>
                        <w:ind w:left="0" w:right="29"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8"/>
          <w:sz w:val="20"/>
          <w:szCs w:val="20"/>
        </w:rPr>
      </w:r>
    </w:p>
    <w:p>
      <w:pPr>
        <w:pStyle w:val="BodyText"/>
        <w:spacing w:line="352" w:lineRule="auto" w:before="38"/>
        <w:ind w:right="8589"/>
        <w:jc w:val="left"/>
      </w:pPr>
      <w:r>
        <w:rPr/>
        <w:t>或有对价及其变动的说明： 无</w:t>
      </w:r>
    </w:p>
    <w:p>
      <w:pPr>
        <w:pStyle w:val="BodyText"/>
        <w:spacing w:line="352" w:lineRule="auto" w:before="40"/>
        <w:ind w:right="9849"/>
        <w:jc w:val="left"/>
      </w:pPr>
      <w:r>
        <w:rPr/>
        <w:t>其他说明： 无</w:t>
      </w:r>
    </w:p>
    <w:p>
      <w:pPr>
        <w:spacing w:line="240" w:lineRule="auto" w:before="11"/>
        <w:rPr>
          <w:rFonts w:ascii="宋体" w:hAnsi="宋体" w:cs="宋体" w:eastAsia="宋体" w:hint="default"/>
          <w:sz w:val="22"/>
          <w:szCs w:val="22"/>
        </w:rPr>
      </w:pPr>
    </w:p>
    <w:p>
      <w:pPr>
        <w:pStyle w:val="Heading5"/>
        <w:spacing w:line="240" w:lineRule="auto"/>
        <w:ind w:right="0"/>
        <w:jc w:val="left"/>
        <w:rPr>
          <w:b w:val="0"/>
          <w:bCs w:val="0"/>
        </w:rPr>
      </w:pPr>
      <w:bookmarkStart w:name="（3）合并日被合并方资产、负债的账面价值" w:id="438"/>
      <w:bookmarkEnd w:id="438"/>
      <w:r>
        <w:rPr>
          <w:b w:val="0"/>
          <w:bCs w:val="0"/>
        </w:rPr>
      </w:r>
      <w:r>
        <w:rPr>
          <w:spacing w:val="5"/>
        </w:rPr>
        <w:t>（</w:t>
      </w:r>
      <w:r>
        <w:rPr>
          <w:rFonts w:ascii="Times New Roman" w:hAnsi="Times New Roman" w:cs="Times New Roman" w:eastAsia="Times New Roman" w:hint="default"/>
          <w:spacing w:val="5"/>
        </w:rPr>
        <w:t>3</w:t>
      </w:r>
      <w:r>
        <w:rPr>
          <w:spacing w:val="5"/>
        </w:rPr>
        <w:t>）合并日被合并方资产、负债的账面价值</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13"/>
        <w:rPr>
          <w:rFonts w:ascii="宋体" w:hAnsi="宋体" w:cs="宋体" w:eastAsia="宋体" w:hint="default"/>
          <w:sz w:val="8"/>
          <w:szCs w:val="8"/>
        </w:rPr>
      </w:pPr>
    </w:p>
    <w:p>
      <w:pPr>
        <w:spacing w:line="826" w:lineRule="exact"/>
        <w:ind w:left="126"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85pt;height:41.3pt;mso-position-horizontal-relative:char;mso-position-vertical-relative:line" coordorigin="0,0" coordsize="9597,826">
            <v:group style="position:absolute;left:23;top:22;width:2;height:391" coordorigin="23,22" coordsize="2,391">
              <v:shape style="position:absolute;left:23;top:22;width:2;height:391" coordorigin="23,22" coordsize="0,391" path="m23,22l23,413e" filled="false" stroked="true" strokeweight=".75pt" strokecolor="#d2d2d2">
                <v:path arrowok="t"/>
              </v:shape>
            </v:group>
            <v:group style="position:absolute;left:3184;top:22;width:2;height:391" coordorigin="3184,22" coordsize="2,391">
              <v:shape style="position:absolute;left:3184;top:22;width:2;height:391" coordorigin="3184,22" coordsize="0,391" path="m3184,22l3184,413e" filled="false" stroked="true" strokeweight="1.5pt" strokecolor="#d2d2d2">
                <v:path arrowok="t"/>
              </v:shape>
            </v:group>
            <v:group style="position:absolute;left:30;top:22;width:3139;height:391" coordorigin="30,22" coordsize="3139,391">
              <v:shape style="position:absolute;left:30;top:22;width:3139;height:391" coordorigin="30,22" coordsize="3139,391" path="m30,413l3169,413,3169,22,30,22,30,413xe" filled="true" fillcolor="#d2d2d2" stroked="false">
                <v:path arrowok="t"/>
                <v:fill type="solid"/>
              </v:shape>
            </v:group>
            <v:group style="position:absolute;left:3222;top:22;width:2;height:391" coordorigin="3222,22" coordsize="2,391">
              <v:shape style="position:absolute;left:3222;top:22;width:2;height:391" coordorigin="3222,22" coordsize="0,391" path="m3222,22l3222,413e" filled="false" stroked="true" strokeweight=".75pt" strokecolor="#d2d2d2">
                <v:path arrowok="t"/>
              </v:shape>
            </v:group>
            <v:group style="position:absolute;left:9574;top:22;width:2;height:391" coordorigin="9574,22" coordsize="2,391">
              <v:shape style="position:absolute;left:9574;top:22;width:2;height:391" coordorigin="9574,22" coordsize="0,391" path="m9574,22l9574,413e" filled="false" stroked="true" strokeweight=".75pt" strokecolor="#d2d2d2">
                <v:path arrowok="t"/>
              </v:shape>
            </v:group>
            <v:group style="position:absolute;left:3229;top:22;width:6338;height:391" coordorigin="3229,22" coordsize="6338,391">
              <v:shape style="position:absolute;left:3229;top:22;width:6338;height:391" coordorigin="3229,22" coordsize="6338,391" path="m3229,413l9567,413,9567,22,3229,22,3229,413xe" filled="true" fillcolor="#d2d2d2" stroked="false">
                <v:path arrowok="t"/>
                <v:fill type="solid"/>
              </v:shape>
            </v:group>
            <v:group style="position:absolute;left:15;top:15;width:3184;height:2" coordorigin="15,15" coordsize="3184,2">
              <v:shape style="position:absolute;left:15;top:15;width:3184;height:2" coordorigin="15,15" coordsize="3184,0" path="m15,15l3199,15e" filled="false" stroked="true" strokeweight=".75pt" strokecolor="#000000">
                <v:path arrowok="t"/>
              </v:shape>
            </v:group>
            <v:group style="position:absolute;left:3214;top:15;width:6368;height:2" coordorigin="3214,15" coordsize="6368,2">
              <v:shape style="position:absolute;left:3214;top:15;width:6368;height:2" coordorigin="3214,15" coordsize="6368,0" path="m3214,15l9582,15e" filled="false" stroked="true" strokeweight=".75pt" strokecolor="#000000">
                <v:path arrowok="t"/>
              </v:shape>
            </v:group>
            <v:group style="position:absolute;left:23;top:413;width:2;height:391" coordorigin="23,413" coordsize="2,391">
              <v:shape style="position:absolute;left:23;top:413;width:2;height:391" coordorigin="23,413" coordsize="0,391" path="m23,413l23,803e" filled="false" stroked="true" strokeweight=".75pt" strokecolor="#d2d2d2">
                <v:path arrowok="t"/>
              </v:shape>
            </v:group>
            <v:group style="position:absolute;left:3184;top:413;width:2;height:391" coordorigin="3184,413" coordsize="2,391">
              <v:shape style="position:absolute;left:3184;top:413;width:2;height:391" coordorigin="3184,413" coordsize="0,391" path="m3184,413l3184,803e" filled="false" stroked="true" strokeweight="1.5pt" strokecolor="#d2d2d2">
                <v:path arrowok="t"/>
              </v:shape>
            </v:group>
            <v:group style="position:absolute;left:30;top:413;width:3139;height:391" coordorigin="30,413" coordsize="3139,391">
              <v:shape style="position:absolute;left:30;top:413;width:3139;height:391" coordorigin="30,413" coordsize="3139,391" path="m30,803l3169,803,3169,413,30,413,30,803xe" filled="true" fillcolor="#d2d2d2" stroked="false">
                <v:path arrowok="t"/>
                <v:fill type="solid"/>
              </v:shape>
            </v:group>
            <v:group style="position:absolute;left:3222;top:413;width:2;height:391" coordorigin="3222,413" coordsize="2,391">
              <v:shape style="position:absolute;left:3222;top:413;width:2;height:391" coordorigin="3222,413" coordsize="0,391" path="m3222,413l3222,803e" filled="false" stroked="true" strokeweight=".75pt" strokecolor="#d2d2d2">
                <v:path arrowok="t"/>
              </v:shape>
            </v:group>
            <v:group style="position:absolute;left:6368;top:413;width:30;height:391" coordorigin="6368,413" coordsize="30,391">
              <v:shape style="position:absolute;left:6368;top:413;width:30;height:391" coordorigin="6368,413" coordsize="30,391" path="m6368,803l6398,803,6398,413,6368,413,6368,803xe" filled="true" fillcolor="#d2d2d2" stroked="false">
                <v:path arrowok="t"/>
                <v:fill type="solid"/>
              </v:shape>
            </v:group>
            <v:group style="position:absolute;left:3229;top:413;width:3139;height:391" coordorigin="3229,413" coordsize="3139,391">
              <v:shape style="position:absolute;left:3229;top:413;width:3139;height:391" coordorigin="3229,413" coordsize="3139,391" path="m3229,803l6368,803,6368,413,3229,413,3229,803xe" filled="true" fillcolor="#d2d2d2" stroked="false">
                <v:path arrowok="t"/>
                <v:fill type="solid"/>
              </v:shape>
            </v:group>
            <v:group style="position:absolute;left:6398;top:413;width:30;height:391" coordorigin="6398,413" coordsize="30,391">
              <v:shape style="position:absolute;left:6398;top:413;width:30;height:391" coordorigin="6398,413" coordsize="30,391" path="m6398,803l6428,803,6428,413,6398,413,6398,803xe" filled="true" fillcolor="#d2d2d2" stroked="false">
                <v:path arrowok="t"/>
                <v:fill type="solid"/>
              </v:shape>
            </v:group>
            <v:group style="position:absolute;left:9574;top:413;width:2;height:391" coordorigin="9574,413" coordsize="2,391">
              <v:shape style="position:absolute;left:9574;top:413;width:2;height:391" coordorigin="9574,413" coordsize="0,391" path="m9574,413l9574,803e" filled="false" stroked="true" strokeweight=".75pt" strokecolor="#d2d2d2">
                <v:path arrowok="t"/>
              </v:shape>
            </v:group>
            <v:group style="position:absolute;left:6428;top:413;width:3139;height:391" coordorigin="6428,413" coordsize="3139,391">
              <v:shape style="position:absolute;left:6428;top:413;width:3139;height:391" coordorigin="6428,413" coordsize="3139,391" path="m6428,803l9567,803,9567,413,6428,413,6428,803xe" filled="true" fillcolor="#d2d2d2" stroked="false">
                <v:path arrowok="t"/>
                <v:fill type="solid"/>
              </v:shape>
            </v:group>
            <v:group style="position:absolute;left:15;top:420;width:3184;height:2" coordorigin="15,420" coordsize="3184,2">
              <v:shape style="position:absolute;left:15;top:420;width:3184;height:2" coordorigin="15,420" coordsize="3184,0" path="m15,420l3199,420e" filled="false" stroked="true" strokeweight=".75pt" strokecolor="#000000">
                <v:path arrowok="t"/>
              </v:shape>
            </v:group>
            <v:group style="position:absolute;left:3214;top:420;width:3169;height:2" coordorigin="3214,420" coordsize="3169,2">
              <v:shape style="position:absolute;left:3214;top:420;width:3169;height:2" coordorigin="3214,420" coordsize="3169,0" path="m3214,420l6383,420e" filled="false" stroked="true" strokeweight=".75pt" strokecolor="#000000">
                <v:path arrowok="t"/>
              </v:shape>
            </v:group>
            <v:group style="position:absolute;left:6398;top:420;width:3184;height:2" coordorigin="6398,420" coordsize="3184,2">
              <v:shape style="position:absolute;left:6398;top:420;width:3184;height:2" coordorigin="6398,420" coordsize="3184,0" path="m6398,420l9582,420e" filled="false" stroked="true" strokeweight=".75pt" strokecolor="#000000">
                <v:path arrowok="t"/>
              </v:shape>
            </v:group>
            <v:group style="position:absolute;left:8;top:8;width:2;height:811" coordorigin="8,8" coordsize="2,811">
              <v:shape style="position:absolute;left:8;top:8;width:2;height:811" coordorigin="8,8" coordsize="0,811" path="m8,8l8,819e" filled="false" stroked="true" strokeweight=".75pt" strokecolor="#000000">
                <v:path arrowok="t"/>
              </v:shape>
            </v:group>
            <v:group style="position:absolute;left:15;top:811;width:3184;height:2" coordorigin="15,811" coordsize="3184,2">
              <v:shape style="position:absolute;left:15;top:811;width:3184;height:2" coordorigin="15,811" coordsize="3184,0" path="m15,811l3199,811e" filled="false" stroked="true" strokeweight=".75pt" strokecolor="#000000">
                <v:path arrowok="t"/>
              </v:shape>
            </v:group>
            <v:group style="position:absolute;left:3207;top:8;width:2;height:811" coordorigin="3207,8" coordsize="2,811">
              <v:shape style="position:absolute;left:3207;top:8;width:2;height:811" coordorigin="3207,8" coordsize="0,811" path="m3207,8l3207,819e" filled="false" stroked="true" strokeweight=".75pt" strokecolor="#000000">
                <v:path arrowok="t"/>
              </v:shape>
            </v:group>
            <v:group style="position:absolute;left:3214;top:811;width:3169;height:2" coordorigin="3214,811" coordsize="3169,2">
              <v:shape style="position:absolute;left:3214;top:811;width:3169;height:2" coordorigin="3214,811" coordsize="3169,0" path="m3214,811l6383,811e" filled="false" stroked="true" strokeweight=".75pt" strokecolor="#000000">
                <v:path arrowok="t"/>
              </v:shape>
            </v:group>
            <v:group style="position:absolute;left:6391;top:413;width:2;height:406" coordorigin="6391,413" coordsize="2,406">
              <v:shape style="position:absolute;left:6391;top:413;width:2;height:406" coordorigin="6391,413" coordsize="0,406" path="m6391,413l6391,819e" filled="false" stroked="true" strokeweight=".75pt" strokecolor="#000000">
                <v:path arrowok="t"/>
              </v:shape>
            </v:group>
            <v:group style="position:absolute;left:6398;top:811;width:3184;height:2" coordorigin="6398,811" coordsize="3184,2">
              <v:shape style="position:absolute;left:6398;top:811;width:3184;height:2" coordorigin="6398,811" coordsize="3184,0" path="m6398,811l9582,811e" filled="false" stroked="true" strokeweight=".75pt" strokecolor="#000000">
                <v:path arrowok="t"/>
              </v:shape>
            </v:group>
            <v:group style="position:absolute;left:9589;top:8;width:2;height:811" coordorigin="9589,8" coordsize="2,811">
              <v:shape style="position:absolute;left:9589;top:8;width:2;height:811" coordorigin="9589,8" coordsize="0,811" path="m9589,8l9589,819e" filled="false" stroked="true" strokeweight=".75pt" strokecolor="#000000">
                <v:path arrowok="t"/>
              </v:shape>
              <v:shape style="position:absolute;left:3192;top:420;width:3200;height:391" type="#_x0000_t202" filled="false" stroked="false">
                <v:textbox inset="0,0,0,0">
                  <w:txbxContent>
                    <w:p>
                      <w:pPr>
                        <w:spacing w:before="37"/>
                        <w:ind w:left="0" w:right="1"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1;top:420;width:3199;height:391" type="#_x0000_t202" filled="false" stroked="false">
                <v:textbox inset="0,0,0,0">
                  <w:txbxContent>
                    <w:p>
                      <w:pPr>
                        <w:spacing w:before="37"/>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pStyle w:val="BodyText"/>
        <w:spacing w:line="352" w:lineRule="auto" w:before="37"/>
        <w:ind w:right="7509"/>
        <w:jc w:val="left"/>
      </w:pPr>
      <w:r>
        <w:rPr/>
        <w:t>企业合并中承担的被合并方的或有负债： 无</w:t>
      </w:r>
    </w:p>
    <w:p>
      <w:pPr>
        <w:pStyle w:val="BodyText"/>
        <w:spacing w:line="352" w:lineRule="auto" w:before="40"/>
        <w:ind w:right="9849"/>
        <w:jc w:val="left"/>
      </w:pPr>
      <w:r>
        <w:rPr/>
        <w:t>其他说明： 无</w:t>
      </w:r>
    </w:p>
    <w:p>
      <w:pPr>
        <w:spacing w:line="240" w:lineRule="auto" w:before="11"/>
        <w:rPr>
          <w:rFonts w:ascii="宋体" w:hAnsi="宋体" w:cs="宋体" w:eastAsia="宋体" w:hint="default"/>
          <w:sz w:val="22"/>
          <w:szCs w:val="22"/>
        </w:rPr>
      </w:pPr>
    </w:p>
    <w:p>
      <w:pPr>
        <w:pStyle w:val="Heading5"/>
        <w:spacing w:line="240" w:lineRule="auto"/>
        <w:ind w:right="0"/>
        <w:jc w:val="left"/>
        <w:rPr>
          <w:b w:val="0"/>
          <w:bCs w:val="0"/>
        </w:rPr>
      </w:pPr>
      <w:bookmarkStart w:name="3、反向购买" w:id="439"/>
      <w:bookmarkEnd w:id="439"/>
      <w:r>
        <w:rPr>
          <w:b w:val="0"/>
          <w:bCs w:val="0"/>
        </w:rPr>
      </w:r>
      <w:r>
        <w:rPr>
          <w:rFonts w:ascii="Times New Roman" w:hAnsi="Times New Roman" w:cs="Times New Roman" w:eastAsia="Times New Roman" w:hint="default"/>
          <w:spacing w:val="5"/>
        </w:rPr>
        <w:t>3</w:t>
      </w:r>
      <w:r>
        <w:rPr>
          <w:spacing w:val="5"/>
        </w:rPr>
        <w:t>、反向购买</w:t>
      </w:r>
      <w:r>
        <w:rPr>
          <w:b w:val="0"/>
          <w:bCs w:val="0"/>
          <w:spacing w:val="5"/>
        </w:rPr>
      </w:r>
    </w:p>
    <w:p>
      <w:pPr>
        <w:spacing w:line="240" w:lineRule="auto" w:before="9"/>
        <w:rPr>
          <w:rFonts w:ascii="宋体" w:hAnsi="宋体" w:cs="宋体" w:eastAsia="宋体" w:hint="default"/>
          <w:b/>
          <w:bCs/>
          <w:sz w:val="26"/>
          <w:szCs w:val="26"/>
        </w:rPr>
      </w:pPr>
    </w:p>
    <w:p>
      <w:pPr>
        <w:pStyle w:val="BodyText"/>
        <w:spacing w:line="321" w:lineRule="auto"/>
        <w:ind w:right="0"/>
        <w:jc w:val="left"/>
      </w:pPr>
      <w:r>
        <w:rPr>
          <w:spacing w:val="-2"/>
        </w:rPr>
        <w:t>交易基本信息、交易构成反向购买的依据、上市公司保留的资产、负债是否构成业务及其依据、合并成本的确定、按照权益</w:t>
      </w:r>
      <w:r>
        <w:rPr>
          <w:spacing w:val="-57"/>
        </w:rPr>
        <w:t> </w:t>
      </w:r>
      <w:r>
        <w:rPr>
          <w:spacing w:val="-57"/>
        </w:rPr>
      </w:r>
      <w:r>
        <w:rPr/>
        <w:t>性交易处理时调整权益的金额及其计算：</w:t>
      </w:r>
    </w:p>
    <w:p>
      <w:pPr>
        <w:pStyle w:val="BodyText"/>
        <w:spacing w:line="240" w:lineRule="auto" w:before="48"/>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4、处置子公司" w:id="440"/>
      <w:bookmarkEnd w:id="440"/>
      <w:r>
        <w:rPr>
          <w:b w:val="0"/>
          <w:bCs w:val="0"/>
        </w:rPr>
      </w:r>
      <w:r>
        <w:rPr>
          <w:rFonts w:ascii="Times New Roman" w:hAnsi="Times New Roman" w:cs="Times New Roman" w:eastAsia="Times New Roman" w:hint="default"/>
          <w:spacing w:val="4"/>
        </w:rPr>
        <w:t>4</w:t>
      </w:r>
      <w:r>
        <w:rPr>
          <w:spacing w:val="4"/>
        </w:rPr>
        <w:t>、处置子公司</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r>
        <w:rPr/>
        <w:pict>
          <v:group style="position:absolute;margin-left:331.179993pt;margin-top:611.049988pt;width:67.6pt;height:28.15pt;mso-position-horizontal-relative:page;mso-position-vertical-relative:page;z-index:-1268464" coordorigin="6624,12221" coordsize="1352,563">
            <v:group style="position:absolute;left:6624;top:12221;width:1352;height:165" coordorigin="6624,12221" coordsize="1352,165">
              <v:shape style="position:absolute;left:6624;top:12221;width:1352;height:165" coordorigin="6624,12221" coordsize="1352,165" path="m6624,12386l7975,12386,7975,12221,6624,12221,6624,12386xe" filled="true" fillcolor="#ffffff" stroked="false">
                <v:path arrowok="t"/>
                <v:fill type="solid"/>
              </v:shape>
            </v:group>
            <v:group style="position:absolute;left:6631;top:12386;width:2;height:390" coordorigin="6631,12386" coordsize="2,390">
              <v:shape style="position:absolute;left:6631;top:12386;width:2;height:390" coordorigin="6631,12386" coordsize="0,390" path="m6631,12386l6631,12776e" filled="false" stroked="true" strokeweight=".75pt" strokecolor="#ffffff">
                <v:path arrowok="t"/>
              </v:shape>
            </v:group>
            <v:group style="position:absolute;left:6639;top:12386;width:1322;height:390" coordorigin="6639,12386" coordsize="1322,390">
              <v:shape style="position:absolute;left:6639;top:12386;width:1322;height:390" coordorigin="6639,12386" coordsize="1322,390" path="m6639,12776l7960,12776,7960,12386,6639,12386,6639,12776xe" filled="true" fillcolor="#ffffff" stroked="false">
                <v:path arrowok="t"/>
                <v:fill type="solid"/>
              </v:shape>
            </v:group>
            <w10:wrap type="none"/>
          </v:group>
        </w:pict>
      </w:r>
    </w:p>
    <w:p>
      <w:pPr>
        <w:pStyle w:val="BodyText"/>
        <w:spacing w:line="319" w:lineRule="auto" w:before="44"/>
        <w:ind w:right="49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是否存在通过多次交易分步处置对子公司投资且在本期丧失控制权的情形</w:t>
      </w:r>
    </w:p>
    <w:p>
      <w:pPr>
        <w:pStyle w:val="BodyText"/>
        <w:spacing w:line="240" w:lineRule="auto" w:before="8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5、其他原因的合并范围变动" w:id="441"/>
      <w:bookmarkEnd w:id="441"/>
      <w:r>
        <w:rPr>
          <w:b w:val="0"/>
          <w:bCs w:val="0"/>
        </w:rPr>
      </w:r>
      <w:r>
        <w:rPr>
          <w:rFonts w:ascii="Times New Roman" w:hAnsi="Times New Roman" w:cs="Times New Roman" w:eastAsia="Times New Roman" w:hint="default"/>
          <w:spacing w:val="4"/>
        </w:rPr>
        <w:t>5</w:t>
      </w:r>
      <w:r>
        <w:rPr>
          <w:spacing w:val="4"/>
        </w:rPr>
        <w:t>、其他原因的合并范围变动</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719"/>
        <w:gridCol w:w="1217"/>
        <w:gridCol w:w="1321"/>
        <w:gridCol w:w="1157"/>
        <w:gridCol w:w="1366"/>
        <w:gridCol w:w="1532"/>
      </w:tblGrid>
      <w:tr>
        <w:trPr>
          <w:trHeight w:val="345" w:hRule="exact"/>
        </w:trPr>
        <w:tc>
          <w:tcPr>
            <w:tcW w:w="2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841" w:right="0"/>
              <w:jc w:val="left"/>
              <w:rPr>
                <w:rFonts w:ascii="宋体" w:hAnsi="宋体" w:cs="宋体" w:eastAsia="宋体" w:hint="default"/>
                <w:sz w:val="19"/>
                <w:szCs w:val="19"/>
              </w:rPr>
            </w:pPr>
            <w:r>
              <w:rPr>
                <w:rFonts w:ascii="宋体" w:hAnsi="宋体" w:cs="宋体" w:eastAsia="宋体" w:hint="default"/>
                <w:spacing w:val="2"/>
                <w:w w:val="105"/>
                <w:sz w:val="19"/>
                <w:szCs w:val="19"/>
              </w:rPr>
              <w:t>子公司名称</w:t>
            </w:r>
            <w:r>
              <w:rPr>
                <w:rFonts w:ascii="宋体" w:hAnsi="宋体" w:cs="宋体" w:eastAsia="宋体" w:hint="default"/>
                <w:spacing w:val="2"/>
                <w:sz w:val="19"/>
                <w:szCs w:val="19"/>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5" w:right="0"/>
              <w:jc w:val="left"/>
              <w:rPr>
                <w:rFonts w:ascii="宋体" w:hAnsi="宋体" w:cs="宋体" w:eastAsia="宋体" w:hint="default"/>
                <w:sz w:val="19"/>
                <w:szCs w:val="19"/>
              </w:rPr>
            </w:pPr>
            <w:r>
              <w:rPr>
                <w:rFonts w:ascii="宋体" w:hAnsi="宋体" w:cs="宋体" w:eastAsia="宋体" w:hint="default"/>
                <w:spacing w:val="2"/>
                <w:w w:val="105"/>
                <w:sz w:val="19"/>
                <w:szCs w:val="19"/>
              </w:rPr>
              <w:t>子公司类型</w:t>
            </w:r>
            <w:r>
              <w:rPr>
                <w:rFonts w:ascii="宋体" w:hAnsi="宋体" w:cs="宋体" w:eastAsia="宋体" w:hint="default"/>
                <w:spacing w:val="2"/>
                <w:sz w:val="19"/>
                <w:szCs w:val="19"/>
              </w:rPr>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3"/>
              <w:jc w:val="center"/>
              <w:rPr>
                <w:rFonts w:ascii="宋体" w:hAnsi="宋体" w:cs="宋体" w:eastAsia="宋体" w:hint="default"/>
                <w:sz w:val="19"/>
                <w:szCs w:val="19"/>
              </w:rPr>
            </w:pPr>
            <w:r>
              <w:rPr>
                <w:rFonts w:ascii="宋体" w:hAnsi="宋体" w:cs="宋体" w:eastAsia="宋体" w:hint="default"/>
                <w:w w:val="105"/>
                <w:sz w:val="19"/>
                <w:szCs w:val="19"/>
              </w:rPr>
              <w:t>级次</w:t>
            </w:r>
            <w:r>
              <w:rPr>
                <w:rFonts w:ascii="宋体" w:hAnsi="宋体" w:cs="宋体" w:eastAsia="宋体" w:hint="default"/>
                <w:sz w:val="19"/>
                <w:szCs w:val="19"/>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65" w:right="0"/>
              <w:jc w:val="left"/>
              <w:rPr>
                <w:rFonts w:ascii="宋体" w:hAnsi="宋体" w:cs="宋体" w:eastAsia="宋体" w:hint="default"/>
                <w:sz w:val="19"/>
                <w:szCs w:val="19"/>
              </w:rPr>
            </w:pPr>
            <w:r>
              <w:rPr>
                <w:rFonts w:ascii="宋体" w:hAnsi="宋体" w:cs="宋体" w:eastAsia="宋体" w:hint="default"/>
                <w:w w:val="105"/>
                <w:sz w:val="19"/>
                <w:szCs w:val="19"/>
              </w:rPr>
              <w:t>持股比例</w:t>
            </w:r>
            <w:r>
              <w:rPr>
                <w:rFonts w:ascii="宋体" w:hAnsi="宋体" w:cs="宋体" w:eastAsia="宋体" w:hint="default"/>
                <w:sz w:val="19"/>
                <w:szCs w:val="19"/>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65" w:right="0"/>
              <w:jc w:val="left"/>
              <w:rPr>
                <w:rFonts w:ascii="宋体" w:hAnsi="宋体" w:cs="宋体" w:eastAsia="宋体" w:hint="default"/>
                <w:sz w:val="19"/>
                <w:szCs w:val="19"/>
              </w:rPr>
            </w:pPr>
            <w:r>
              <w:rPr>
                <w:rFonts w:ascii="宋体" w:hAnsi="宋体" w:cs="宋体" w:eastAsia="宋体" w:hint="default"/>
                <w:spacing w:val="2"/>
                <w:w w:val="105"/>
                <w:sz w:val="19"/>
                <w:szCs w:val="19"/>
              </w:rPr>
              <w:t>表决权比例</w:t>
            </w:r>
            <w:r>
              <w:rPr>
                <w:rFonts w:ascii="宋体" w:hAnsi="宋体" w:cs="宋体" w:eastAsia="宋体" w:hint="default"/>
                <w:spacing w:val="2"/>
                <w:sz w:val="19"/>
                <w:szCs w:val="19"/>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60" w:right="0"/>
              <w:jc w:val="left"/>
              <w:rPr>
                <w:rFonts w:ascii="宋体" w:hAnsi="宋体" w:cs="宋体" w:eastAsia="宋体" w:hint="default"/>
                <w:sz w:val="19"/>
                <w:szCs w:val="19"/>
              </w:rPr>
            </w:pPr>
            <w:r>
              <w:rPr>
                <w:rFonts w:ascii="宋体" w:hAnsi="宋体" w:cs="宋体" w:eastAsia="宋体" w:hint="default"/>
                <w:w w:val="105"/>
                <w:sz w:val="19"/>
                <w:szCs w:val="19"/>
              </w:rPr>
              <w:t>变更原因</w:t>
            </w:r>
            <w:r>
              <w:rPr>
                <w:rFonts w:ascii="宋体" w:hAnsi="宋体" w:cs="宋体" w:eastAsia="宋体" w:hint="default"/>
                <w:sz w:val="19"/>
                <w:szCs w:val="19"/>
              </w:rPr>
            </w:r>
          </w:p>
        </w:tc>
      </w:tr>
      <w:tr>
        <w:trPr>
          <w:trHeight w:val="346" w:hRule="exact"/>
        </w:trPr>
        <w:tc>
          <w:tcPr>
            <w:tcW w:w="2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3"/>
                <w:w w:val="105"/>
                <w:sz w:val="19"/>
                <w:szCs w:val="19"/>
              </w:rPr>
              <w:t>西安卓华联盛科技有限公司</w:t>
            </w:r>
            <w:r>
              <w:rPr>
                <w:rFonts w:ascii="宋体" w:hAnsi="宋体" w:cs="宋体" w:eastAsia="宋体" w:hint="default"/>
                <w:spacing w:val="3"/>
                <w:sz w:val="19"/>
                <w:szCs w:val="19"/>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5" w:right="0"/>
              <w:jc w:val="left"/>
              <w:rPr>
                <w:rFonts w:ascii="宋体" w:hAnsi="宋体" w:cs="宋体" w:eastAsia="宋体" w:hint="default"/>
                <w:sz w:val="19"/>
                <w:szCs w:val="19"/>
              </w:rPr>
            </w:pPr>
            <w:r>
              <w:rPr>
                <w:rFonts w:ascii="宋体" w:hAnsi="宋体" w:cs="宋体" w:eastAsia="宋体" w:hint="default"/>
                <w:spacing w:val="2"/>
                <w:w w:val="105"/>
                <w:sz w:val="19"/>
                <w:szCs w:val="19"/>
              </w:rPr>
              <w:t>全资子公司</w:t>
            </w:r>
            <w:r>
              <w:rPr>
                <w:rFonts w:ascii="宋体" w:hAnsi="宋体" w:cs="宋体" w:eastAsia="宋体" w:hint="default"/>
                <w:spacing w:val="2"/>
                <w:sz w:val="19"/>
                <w:szCs w:val="19"/>
              </w:rPr>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3"/>
              <w:jc w:val="center"/>
              <w:rPr>
                <w:rFonts w:ascii="宋体" w:hAnsi="宋体" w:cs="宋体" w:eastAsia="宋体" w:hint="default"/>
                <w:sz w:val="19"/>
                <w:szCs w:val="19"/>
              </w:rPr>
            </w:pPr>
            <w:r>
              <w:rPr>
                <w:rFonts w:ascii="宋体" w:hAnsi="宋体" w:cs="宋体" w:eastAsia="宋体" w:hint="default"/>
                <w:w w:val="105"/>
                <w:sz w:val="19"/>
                <w:szCs w:val="19"/>
              </w:rPr>
              <w:t>二级</w:t>
            </w:r>
            <w:r>
              <w:rPr>
                <w:rFonts w:ascii="宋体" w:hAnsi="宋体" w:cs="宋体" w:eastAsia="宋体" w:hint="default"/>
                <w:sz w:val="19"/>
                <w:szCs w:val="19"/>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6"/>
              <w:jc w:val="right"/>
              <w:rPr>
                <w:rFonts w:ascii="Times New Roman" w:hAnsi="Times New Roman" w:cs="Times New Roman" w:eastAsia="Times New Roman" w:hint="default"/>
                <w:sz w:val="19"/>
                <w:szCs w:val="19"/>
              </w:rPr>
            </w:pPr>
            <w:r>
              <w:rPr>
                <w:rFonts w:ascii="Times New Roman"/>
                <w:spacing w:val="-3"/>
                <w:sz w:val="19"/>
              </w:rPr>
              <w:t>100%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6"/>
              <w:jc w:val="right"/>
              <w:rPr>
                <w:rFonts w:ascii="Times New Roman" w:hAnsi="Times New Roman" w:cs="Times New Roman" w:eastAsia="Times New Roman" w:hint="default"/>
                <w:sz w:val="19"/>
                <w:szCs w:val="19"/>
              </w:rPr>
            </w:pPr>
            <w:r>
              <w:rPr>
                <w:rFonts w:ascii="Times New Roman"/>
                <w:spacing w:val="-3"/>
                <w:sz w:val="19"/>
              </w:rPr>
              <w:t>100%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投资新设</w:t>
            </w:r>
            <w:r>
              <w:rPr>
                <w:rFonts w:ascii="宋体" w:hAnsi="宋体" w:cs="宋体" w:eastAsia="宋体" w:hint="default"/>
                <w:sz w:val="19"/>
                <w:szCs w:val="19"/>
              </w:rPr>
            </w:r>
          </w:p>
        </w:tc>
      </w:tr>
      <w:tr>
        <w:trPr>
          <w:trHeight w:val="345" w:hRule="exact"/>
        </w:trPr>
        <w:tc>
          <w:tcPr>
            <w:tcW w:w="2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3"/>
                <w:w w:val="105"/>
                <w:sz w:val="19"/>
                <w:szCs w:val="19"/>
              </w:rPr>
              <w:t>武汉市卓翼智造科技有限公司</w:t>
            </w:r>
            <w:r>
              <w:rPr>
                <w:rFonts w:ascii="宋体" w:hAnsi="宋体" w:cs="宋体" w:eastAsia="宋体" w:hint="default"/>
                <w:spacing w:val="3"/>
                <w:sz w:val="19"/>
                <w:szCs w:val="19"/>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5" w:right="0"/>
              <w:jc w:val="left"/>
              <w:rPr>
                <w:rFonts w:ascii="宋体" w:hAnsi="宋体" w:cs="宋体" w:eastAsia="宋体" w:hint="default"/>
                <w:sz w:val="19"/>
                <w:szCs w:val="19"/>
              </w:rPr>
            </w:pPr>
            <w:r>
              <w:rPr>
                <w:rFonts w:ascii="宋体" w:hAnsi="宋体" w:cs="宋体" w:eastAsia="宋体" w:hint="default"/>
                <w:spacing w:val="2"/>
                <w:w w:val="105"/>
                <w:sz w:val="19"/>
                <w:szCs w:val="19"/>
              </w:rPr>
              <w:t>全资子公司</w:t>
            </w:r>
            <w:r>
              <w:rPr>
                <w:rFonts w:ascii="宋体" w:hAnsi="宋体" w:cs="宋体" w:eastAsia="宋体" w:hint="default"/>
                <w:spacing w:val="2"/>
                <w:sz w:val="19"/>
                <w:szCs w:val="19"/>
              </w:rPr>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3"/>
              <w:jc w:val="center"/>
              <w:rPr>
                <w:rFonts w:ascii="宋体" w:hAnsi="宋体" w:cs="宋体" w:eastAsia="宋体" w:hint="default"/>
                <w:sz w:val="19"/>
                <w:szCs w:val="19"/>
              </w:rPr>
            </w:pPr>
            <w:r>
              <w:rPr>
                <w:rFonts w:ascii="宋体" w:hAnsi="宋体" w:cs="宋体" w:eastAsia="宋体" w:hint="default"/>
                <w:w w:val="105"/>
                <w:sz w:val="19"/>
                <w:szCs w:val="19"/>
              </w:rPr>
              <w:t>一级</w:t>
            </w:r>
            <w:r>
              <w:rPr>
                <w:rFonts w:ascii="宋体" w:hAnsi="宋体" w:cs="宋体" w:eastAsia="宋体" w:hint="default"/>
                <w:sz w:val="19"/>
                <w:szCs w:val="19"/>
              </w:rPr>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
              <w:jc w:val="right"/>
              <w:rPr>
                <w:rFonts w:ascii="Times New Roman" w:hAnsi="Times New Roman" w:cs="Times New Roman" w:eastAsia="Times New Roman" w:hint="default"/>
                <w:sz w:val="19"/>
                <w:szCs w:val="19"/>
              </w:rPr>
            </w:pPr>
            <w:r>
              <w:rPr>
                <w:rFonts w:ascii="Times New Roman"/>
                <w:spacing w:val="-3"/>
                <w:sz w:val="19"/>
              </w:rPr>
              <w:t>100%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
              <w:jc w:val="right"/>
              <w:rPr>
                <w:rFonts w:ascii="Times New Roman" w:hAnsi="Times New Roman" w:cs="Times New Roman" w:eastAsia="Times New Roman" w:hint="default"/>
                <w:sz w:val="19"/>
                <w:szCs w:val="19"/>
              </w:rPr>
            </w:pPr>
            <w:r>
              <w:rPr>
                <w:rFonts w:ascii="Times New Roman"/>
                <w:spacing w:val="-3"/>
                <w:sz w:val="19"/>
              </w:rPr>
              <w:t>100%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投资新设</w:t>
            </w:r>
            <w:r>
              <w:rPr>
                <w:rFonts w:ascii="宋体" w:hAnsi="宋体" w:cs="宋体" w:eastAsia="宋体" w:hint="default"/>
                <w:sz w:val="19"/>
                <w:szCs w:val="19"/>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5"/>
        <w:spacing w:line="240" w:lineRule="auto" w:before="45"/>
        <w:ind w:right="0"/>
        <w:jc w:val="left"/>
        <w:rPr>
          <w:b w:val="0"/>
          <w:bCs w:val="0"/>
        </w:rPr>
      </w:pPr>
      <w:bookmarkStart w:name="6、其他" w:id="442"/>
      <w:bookmarkEnd w:id="442"/>
      <w:r>
        <w:rPr>
          <w:b w:val="0"/>
          <w:bCs w:val="0"/>
        </w:rPr>
      </w:r>
      <w:r>
        <w:rPr>
          <w:rFonts w:ascii="Times New Roman" w:hAnsi="Times New Roman" w:cs="Times New Roman" w:eastAsia="Times New Roman" w:hint="default"/>
          <w:spacing w:val="5"/>
        </w:rPr>
        <w:t>6</w:t>
      </w:r>
      <w:r>
        <w:rPr>
          <w:spacing w:val="5"/>
        </w:rPr>
        <w:t>、其他</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九、在其他主体中的权益" w:id="443"/>
      <w:bookmarkEnd w:id="443"/>
      <w:r>
        <w:rPr>
          <w:b w:val="0"/>
          <w:bCs w:val="0"/>
        </w:rPr>
      </w:r>
      <w:r>
        <w:rPr/>
        <w:t>九、在其他主体中的权益</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在子公司中的权益" w:id="444"/>
      <w:bookmarkEnd w:id="444"/>
      <w:r>
        <w:rPr>
          <w:b w:val="0"/>
          <w:bCs w:val="0"/>
        </w:rPr>
      </w:r>
      <w:r>
        <w:rPr>
          <w:rFonts w:ascii="Times New Roman" w:hAnsi="Times New Roman" w:cs="Times New Roman" w:eastAsia="Times New Roman" w:hint="default"/>
          <w:spacing w:val="4"/>
        </w:rPr>
        <w:t>1</w:t>
      </w:r>
      <w:r>
        <w:rPr>
          <w:spacing w:val="4"/>
        </w:rPr>
        <w:t>、在子公司中的权益</w:t>
      </w:r>
      <w:r>
        <w:rPr>
          <w:b w:val="0"/>
          <w:bCs w:val="0"/>
          <w:spacing w:val="4"/>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r>
        <w:rPr/>
        <w:pict>
          <v:group style="position:absolute;margin-left:331.179993pt;margin-top:91.4207pt;width:67.6pt;height:43.2pt;mso-position-horizontal-relative:page;mso-position-vertical-relative:paragraph;z-index:-1268488" coordorigin="6624,1828" coordsize="1352,864">
            <v:group style="position:absolute;left:6624;top:1828;width:1352;height:466" coordorigin="6624,1828" coordsize="1352,466">
              <v:shape style="position:absolute;left:6624;top:1828;width:1352;height:466" coordorigin="6624,1828" coordsize="1352,466" path="m6624,2294l7975,2294,7975,1828,6624,1828,6624,2294xe" filled="true" fillcolor="#ffffff" stroked="false">
                <v:path arrowok="t"/>
                <v:fill type="solid"/>
              </v:shape>
            </v:group>
            <v:group style="position:absolute;left:6631;top:2294;width:2;height:391" coordorigin="6631,2294" coordsize="2,391">
              <v:shape style="position:absolute;left:6631;top:2294;width:2;height:391" coordorigin="6631,2294" coordsize="0,391" path="m6631,2294l6631,2685e" filled="false" stroked="true" strokeweight=".75pt" strokecolor="#ffffff">
                <v:path arrowok="t"/>
              </v:shape>
            </v:group>
            <v:group style="position:absolute;left:6639;top:2294;width:1322;height:391" coordorigin="6639,2294" coordsize="1322,391">
              <v:shape style="position:absolute;left:6639;top:2294;width:1322;height:391" coordorigin="6639,2294" coordsize="1322,391" path="m6639,2685l7960,2685,7960,2294,6639,2294,6639,2685xe" filled="true" fillcolor="#ffffff" stroked="false">
                <v:path arrowok="t"/>
                <v:fill type="solid"/>
              </v:shape>
            </v:group>
            <w10:wrap type="none"/>
          </v:group>
        </w:pict>
      </w:r>
      <w:bookmarkStart w:name="（1）企业集团的构成" w:id="445"/>
      <w:bookmarkEnd w:id="445"/>
      <w:r>
        <w:rPr>
          <w:b w:val="0"/>
          <w:bCs w:val="0"/>
        </w:rPr>
      </w:r>
      <w:r>
        <w:rPr>
          <w:spacing w:val="4"/>
        </w:rPr>
        <w:t>（</w:t>
      </w:r>
      <w:r>
        <w:rPr>
          <w:rFonts w:ascii="Times New Roman" w:hAnsi="Times New Roman" w:cs="Times New Roman" w:eastAsia="Times New Roman" w:hint="default"/>
          <w:spacing w:val="4"/>
        </w:rPr>
        <w:t>1</w:t>
      </w:r>
      <w:r>
        <w:rPr>
          <w:spacing w:val="4"/>
        </w:rPr>
        <w:t>）企业集团的构成</w:t>
      </w:r>
      <w:r>
        <w:rPr>
          <w:b w:val="0"/>
          <w:bCs w:val="0"/>
          <w:spacing w:val="4"/>
        </w:rPr>
      </w: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391"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卓翼香港</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一般商务贸易</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13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卓大精密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6"/>
              <w:jc w:val="both"/>
              <w:rPr>
                <w:rFonts w:ascii="宋体" w:hAnsi="宋体" w:cs="宋体" w:eastAsia="宋体" w:hint="default"/>
                <w:sz w:val="18"/>
                <w:szCs w:val="18"/>
              </w:rPr>
            </w:pPr>
            <w:r>
              <w:rPr>
                <w:rFonts w:ascii="宋体" w:hAnsi="宋体" w:cs="宋体" w:eastAsia="宋体" w:hint="default"/>
                <w:sz w:val="18"/>
                <w:szCs w:val="18"/>
              </w:rPr>
              <w:t>生产、销售塑胶 </w:t>
            </w:r>
            <w:r>
              <w:rPr>
                <w:rFonts w:ascii="宋体" w:hAnsi="宋体" w:cs="宋体" w:eastAsia="宋体" w:hint="default"/>
                <w:spacing w:val="-7"/>
                <w:sz w:val="18"/>
                <w:szCs w:val="18"/>
              </w:rPr>
              <w:t>五金制品、模具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自动化产品及设 备</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29"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675"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中广物联</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中广互联</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卓翼营销</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一般商务贸易</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天津卓达</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21"/>
              <w:jc w:val="left"/>
              <w:rPr>
                <w:rFonts w:ascii="宋体" w:hAnsi="宋体" w:cs="宋体" w:eastAsia="宋体" w:hint="default"/>
                <w:sz w:val="18"/>
                <w:szCs w:val="18"/>
              </w:rPr>
            </w:pPr>
            <w:r>
              <w:rPr>
                <w:rFonts w:ascii="宋体" w:hAnsi="宋体" w:cs="宋体" w:eastAsia="宋体" w:hint="default"/>
                <w:spacing w:val="-7"/>
                <w:sz w:val="18"/>
                <w:szCs w:val="18"/>
              </w:rPr>
              <w:t>生产、销售网通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移动终端产品</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before="29"/>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675"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卓翼智造</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6"/>
              <w:jc w:val="both"/>
              <w:rPr>
                <w:rFonts w:ascii="宋体" w:hAnsi="宋体" w:cs="宋体" w:eastAsia="宋体" w:hint="default"/>
                <w:sz w:val="18"/>
                <w:szCs w:val="18"/>
              </w:rPr>
            </w:pPr>
            <w:r>
              <w:rPr>
                <w:rFonts w:ascii="宋体" w:hAnsi="宋体" w:cs="宋体" w:eastAsia="宋体" w:hint="default"/>
                <w:sz w:val="18"/>
                <w:szCs w:val="18"/>
              </w:rPr>
              <w:t>组装生产、销售 网通、移动终端 产品</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翼飞投资</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战略投资</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卓博机器</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机器人</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江西卓翼</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光电子器件</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新设成立</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西安卓华</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电子产品研发</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武汉卓翼</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6"/>
              <w:jc w:val="left"/>
              <w:rPr>
                <w:rFonts w:ascii="宋体" w:hAnsi="宋体" w:cs="宋体" w:eastAsia="宋体" w:hint="default"/>
                <w:sz w:val="18"/>
                <w:szCs w:val="18"/>
              </w:rPr>
            </w:pPr>
            <w:r>
              <w:rPr>
                <w:rFonts w:ascii="宋体" w:hAnsi="宋体" w:cs="宋体" w:eastAsia="宋体" w:hint="default"/>
                <w:sz w:val="18"/>
                <w:szCs w:val="18"/>
              </w:rPr>
              <w:t>电子产品生产与 销售</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75"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新设成立</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翼丰盛</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塑胶五金制品</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新设成立</w:t>
            </w:r>
          </w:p>
        </w:tc>
      </w:tr>
    </w:tbl>
    <w:p>
      <w:pPr>
        <w:pStyle w:val="BodyText"/>
        <w:spacing w:line="352" w:lineRule="auto" w:before="45"/>
        <w:ind w:right="2829"/>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0" w:lineRule="auto" w:before="40"/>
        <w:ind w:right="7689"/>
        <w:jc w:val="left"/>
      </w:pPr>
      <w:r>
        <w:rPr/>
        <w:t>确定公司是代理人还是委托人的依据： 其他说明：</w:t>
      </w:r>
    </w:p>
    <w:p>
      <w:pPr>
        <w:spacing w:line="240" w:lineRule="auto" w:before="1"/>
        <w:rPr>
          <w:rFonts w:ascii="宋体" w:hAnsi="宋体" w:cs="宋体" w:eastAsia="宋体" w:hint="default"/>
          <w:sz w:val="24"/>
          <w:szCs w:val="24"/>
        </w:rPr>
      </w:pPr>
    </w:p>
    <w:p>
      <w:pPr>
        <w:pStyle w:val="Heading5"/>
        <w:spacing w:line="240" w:lineRule="auto"/>
        <w:ind w:right="0"/>
        <w:jc w:val="left"/>
        <w:rPr>
          <w:b w:val="0"/>
          <w:bCs w:val="0"/>
        </w:rPr>
      </w:pPr>
      <w:bookmarkStart w:name="（2）重要的非全资子公司" w:id="446"/>
      <w:bookmarkEnd w:id="446"/>
      <w:r>
        <w:rPr>
          <w:b w:val="0"/>
          <w:bCs w:val="0"/>
        </w:rPr>
      </w:r>
      <w:r>
        <w:rPr>
          <w:spacing w:val="5"/>
        </w:rPr>
        <w:t>（</w:t>
      </w:r>
      <w:r>
        <w:rPr>
          <w:rFonts w:ascii="Times New Roman" w:hAnsi="Times New Roman" w:cs="Times New Roman" w:eastAsia="Times New Roman" w:hint="default"/>
          <w:spacing w:val="5"/>
        </w:rPr>
        <w:t>2</w:t>
      </w:r>
      <w:r>
        <w:rPr>
          <w:spacing w:val="5"/>
        </w:rPr>
        <w:t>）重要的非全资子公司</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5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59"/>
              <w:ind w:left="781" w:right="46"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59"/>
              <w:ind w:left="586" w:right="45" w:hanging="542"/>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2" w:lineRule="auto" w:before="44"/>
        <w:ind w:right="6429"/>
        <w:jc w:val="left"/>
      </w:pPr>
      <w:r>
        <w:rPr/>
        <w:t>子公司少数股东的持股比例不同于表决权比例的说明： 其他说明：</w:t>
      </w:r>
    </w:p>
    <w:p>
      <w:pPr>
        <w:spacing w:line="240" w:lineRule="auto" w:before="13"/>
        <w:rPr>
          <w:rFonts w:ascii="宋体" w:hAnsi="宋体" w:cs="宋体" w:eastAsia="宋体" w:hint="default"/>
          <w:sz w:val="23"/>
          <w:szCs w:val="23"/>
        </w:rPr>
      </w:pPr>
    </w:p>
    <w:p>
      <w:pPr>
        <w:pStyle w:val="Heading5"/>
        <w:spacing w:line="240" w:lineRule="auto"/>
        <w:ind w:right="0"/>
        <w:jc w:val="left"/>
        <w:rPr>
          <w:b w:val="0"/>
          <w:bCs w:val="0"/>
        </w:rPr>
      </w:pPr>
      <w:bookmarkStart w:name="（3）重要非全资子公司的主要财务信息" w:id="447"/>
      <w:bookmarkEnd w:id="447"/>
      <w:r>
        <w:rPr>
          <w:b w:val="0"/>
          <w:bCs w:val="0"/>
        </w:rPr>
      </w:r>
      <w:r>
        <w:rPr>
          <w:spacing w:val="5"/>
        </w:rPr>
        <w:t>（</w:t>
      </w:r>
      <w:r>
        <w:rPr>
          <w:rFonts w:ascii="Times New Roman" w:hAnsi="Times New Roman" w:cs="Times New Roman" w:eastAsia="Times New Roman" w:hint="default"/>
          <w:spacing w:val="5"/>
        </w:rPr>
        <w:t>3</w:t>
      </w:r>
      <w:r>
        <w:rPr>
          <w:spacing w:val="5"/>
        </w:rPr>
        <w:t>）重要非全资子公司的主要财务信息</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406" w:hRule="exact"/>
        </w:trPr>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7" w:lineRule="auto"/>
              <w:ind w:left="165" w:right="10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6"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0"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21" w:hRule="exact"/>
        </w:trPr>
        <w:tc>
          <w:tcPr>
            <w:tcW w:w="736" w:type="dxa"/>
            <w:vMerge/>
            <w:tcBorders>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69" w:right="88"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90"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80"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90" w:hanging="181"/>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89"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80" w:right="105" w:hanging="91"/>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55" w:right="103" w:hanging="181"/>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4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391"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6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0"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435"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255"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421" w:right="90"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240" w:right="89"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4）使用企业集团资产和清偿企业集团债务的重大限制" w:id="448"/>
      <w:bookmarkEnd w:id="448"/>
      <w:r>
        <w:rPr>
          <w:b w:val="0"/>
          <w:bCs w:val="0"/>
        </w:rPr>
      </w:r>
      <w:r>
        <w:rPr>
          <w:spacing w:val="5"/>
        </w:rPr>
        <w:t>（</w:t>
      </w:r>
      <w:r>
        <w:rPr>
          <w:rFonts w:ascii="Times New Roman" w:hAnsi="Times New Roman" w:cs="Times New Roman" w:eastAsia="Times New Roman" w:hint="default"/>
          <w:spacing w:val="5"/>
        </w:rPr>
        <w:t>4</w:t>
      </w:r>
      <w:r>
        <w:rPr>
          <w:spacing w:val="5"/>
        </w:rPr>
        <w:t>）使用企业集团资产和清偿企业集团债务的重大限制</w:t>
      </w:r>
      <w:r>
        <w:rPr>
          <w:b w:val="0"/>
          <w:bCs w:val="0"/>
          <w:spacing w:val="5"/>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5）向纳入合并财务报表范围的结构化主体提供的财务支持或其他支持" w:id="449"/>
      <w:bookmarkEnd w:id="449"/>
      <w:r>
        <w:rPr>
          <w:b w:val="0"/>
          <w:bCs w:val="0"/>
        </w:rPr>
      </w:r>
      <w:r>
        <w:rPr>
          <w:spacing w:val="5"/>
        </w:rPr>
        <w:t>（</w:t>
      </w:r>
      <w:r>
        <w:rPr>
          <w:rFonts w:ascii="Times New Roman" w:hAnsi="Times New Roman" w:cs="Times New Roman" w:eastAsia="Times New Roman" w:hint="default"/>
          <w:spacing w:val="5"/>
        </w:rPr>
        <w:t>5</w:t>
      </w:r>
      <w:r>
        <w:rPr>
          <w:spacing w:val="5"/>
        </w:rPr>
        <w:t>）向纳入合并财务报表范围的结构化主体提供的财务支持或其他支持</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7"/>
          <w:szCs w:val="27"/>
        </w:rPr>
      </w:pPr>
    </w:p>
    <w:p>
      <w:pPr>
        <w:pStyle w:val="Heading5"/>
        <w:spacing w:line="240" w:lineRule="auto" w:before="45"/>
        <w:ind w:right="0"/>
        <w:jc w:val="left"/>
        <w:rPr>
          <w:b w:val="0"/>
          <w:bCs w:val="0"/>
        </w:rPr>
      </w:pPr>
      <w:bookmarkStart w:name="2、在子公司的所有者权益份额发生变化且仍控制子公司的交易" w:id="450"/>
      <w:bookmarkEnd w:id="450"/>
      <w:r>
        <w:rPr>
          <w:b w:val="0"/>
          <w:bCs w:val="0"/>
        </w:rPr>
      </w:r>
      <w:r>
        <w:rPr>
          <w:rFonts w:ascii="Times New Roman" w:hAnsi="Times New Roman" w:cs="Times New Roman" w:eastAsia="Times New Roman" w:hint="default"/>
          <w:spacing w:val="5"/>
        </w:rPr>
        <w:t>2</w:t>
      </w:r>
      <w:r>
        <w:rPr>
          <w:spacing w:val="5"/>
        </w:rPr>
        <w:t>、在子公司的所有者权益份额发生变化且仍控制子公司的交易</w:t>
      </w:r>
      <w:r>
        <w:rPr>
          <w:b w:val="0"/>
          <w:bCs w:val="0"/>
          <w:spacing w:val="5"/>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在子公司所有者权益份额发生变化的情况说明" w:id="451"/>
      <w:bookmarkEnd w:id="451"/>
      <w:r>
        <w:rPr>
          <w:b w:val="0"/>
          <w:bCs w:val="0"/>
        </w:rPr>
      </w:r>
      <w:r>
        <w:rPr>
          <w:spacing w:val="5"/>
        </w:rPr>
        <w:t>（</w:t>
      </w:r>
      <w:r>
        <w:rPr>
          <w:rFonts w:ascii="Times New Roman" w:hAnsi="Times New Roman" w:cs="Times New Roman" w:eastAsia="Times New Roman" w:hint="default"/>
          <w:spacing w:val="5"/>
        </w:rPr>
        <w:t>1</w:t>
      </w:r>
      <w:r>
        <w:rPr>
          <w:spacing w:val="5"/>
        </w:rPr>
        <w:t>）在子公司所有者权益份额发生变化的情况说明</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2）交易对于少数股东权益及归属于母公司所有者权益的影响" w:id="452"/>
      <w:bookmarkEnd w:id="452"/>
      <w:r>
        <w:rPr>
          <w:b w:val="0"/>
          <w:bCs w:val="0"/>
        </w:rPr>
      </w:r>
      <w:r>
        <w:rPr>
          <w:spacing w:val="5"/>
        </w:rPr>
        <w:t>（</w:t>
      </w:r>
      <w:r>
        <w:rPr>
          <w:rFonts w:ascii="Times New Roman" w:hAnsi="Times New Roman" w:cs="Times New Roman" w:eastAsia="Times New Roman" w:hint="default"/>
          <w:spacing w:val="5"/>
        </w:rPr>
        <w:t>2</w:t>
      </w:r>
      <w:r>
        <w:rPr>
          <w:spacing w:val="5"/>
        </w:rPr>
        <w:t>）交易对于少数股东权益及归属于母公司所有者权益的影响</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11"/>
        <w:rPr>
          <w:rFonts w:ascii="宋体" w:hAnsi="宋体" w:cs="宋体" w:eastAsia="宋体" w:hint="default"/>
          <w:sz w:val="7"/>
          <w:szCs w:val="7"/>
        </w:rPr>
      </w:pPr>
    </w:p>
    <w:p>
      <w:pPr>
        <w:spacing w:line="435" w:lineRule="exact"/>
        <w:ind w:left="126"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79.85pt;height:21.8pt;mso-position-horizontal-relative:char;mso-position-vertical-relative:line" coordorigin="0,0" coordsize="9597,436">
            <v:group style="position:absolute;left:23;top:23;width:2;height:391" coordorigin="23,23" coordsize="2,391">
              <v:shape style="position:absolute;left:23;top:23;width:2;height:391" coordorigin="23,23" coordsize="0,391" path="m23,23l23,413e" filled="false" stroked="true" strokeweight=".75pt" strokecolor="#d2d2d2">
                <v:path arrowok="t"/>
              </v:shape>
            </v:group>
            <v:group style="position:absolute;left:4784;top:23;width:2;height:391" coordorigin="4784,23" coordsize="2,391">
              <v:shape style="position:absolute;left:4784;top:23;width:2;height:391" coordorigin="4784,23" coordsize="0,391" path="m4784,23l4784,413e" filled="false" stroked="true" strokeweight=".75pt" strokecolor="#d2d2d2">
                <v:path arrowok="t"/>
              </v:shape>
            </v:group>
            <v:group style="position:absolute;left:30;top:23;width:4746;height:391" coordorigin="30,23" coordsize="4746,391">
              <v:shape style="position:absolute;left:30;top:23;width:4746;height:391" coordorigin="30,23" coordsize="4746,391" path="m30,413l4776,413,4776,23,30,23,30,413xe" filled="true" fillcolor="#d2d2d2" stroked="false">
                <v:path arrowok="t"/>
                <v:fill type="solid"/>
              </v:shape>
            </v:group>
            <v:group style="position:absolute;left:4814;top:23;width:2;height:391" coordorigin="4814,23" coordsize="2,391">
              <v:shape style="position:absolute;left:4814;top:23;width:2;height:391" coordorigin="4814,23" coordsize="0,391" path="m4814,23l4814,413e" filled="false" stroked="true" strokeweight=".75pt" strokecolor="#d2d2d2">
                <v:path arrowok="t"/>
              </v:shape>
            </v:group>
            <v:group style="position:absolute;left:9574;top:23;width:2;height:391" coordorigin="9574,23" coordsize="2,391">
              <v:shape style="position:absolute;left:9574;top:23;width:2;height:391" coordorigin="9574,23" coordsize="0,391" path="m9574,23l9574,413e" filled="false" stroked="true" strokeweight=".75pt" strokecolor="#d2d2d2">
                <v:path arrowok="t"/>
              </v:shape>
            </v:group>
            <v:group style="position:absolute;left:4821;top:23;width:4746;height:391" coordorigin="4821,23" coordsize="4746,391">
              <v:shape style="position:absolute;left:4821;top:23;width:4746;height:391" coordorigin="4821,23" coordsize="4746,391" path="m4821,413l9567,413,9567,23,4821,23,4821,413xe" filled="true" fillcolor="#d2d2d2"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5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5pt" strokecolor="#000000">
                <v:path arrowok="t"/>
              </v:shape>
            </v:group>
            <v:group style="position:absolute;left:8;top:8;width:2;height:421" coordorigin="8,8" coordsize="2,421">
              <v:shape style="position:absolute;left:8;top:8;width:2;height:421" coordorigin="8,8" coordsize="0,421" path="m8,8l8,428e" filled="false" stroked="true" strokeweight=".75pt" strokecolor="#000000">
                <v:path arrowok="t"/>
              </v:shape>
            </v:group>
            <v:group style="position:absolute;left:15;top:420;width:4776;height:2" coordorigin="15,420" coordsize="4776,2">
              <v:shape style="position:absolute;left:15;top:420;width:4776;height:2" coordorigin="15,420" coordsize="4776,0" path="m15,420l4791,420e" filled="false" stroked="true" strokeweight=".75pt" strokecolor="#000000">
                <v:path arrowok="t"/>
              </v:shape>
            </v:group>
            <v:group style="position:absolute;left:4799;top:8;width:2;height:421" coordorigin="4799,8" coordsize="2,421">
              <v:shape style="position:absolute;left:4799;top:8;width:2;height:421" coordorigin="4799,8" coordsize="0,421" path="m4799,8l4799,428e" filled="false" stroked="true" strokeweight=".75pt" strokecolor="#000000">
                <v:path arrowok="t"/>
              </v:shape>
            </v:group>
            <v:group style="position:absolute;left:4806;top:420;width:4776;height:2" coordorigin="4806,420" coordsize="4776,2">
              <v:shape style="position:absolute;left:4806;top:420;width:4776;height:2" coordorigin="4806,420" coordsize="4776,0" path="m4806,420l9582,420e" filled="false" stroked="true" strokeweight=".75pt" strokecolor="#000000">
                <v:path arrowok="t"/>
              </v:shape>
            </v:group>
            <v:group style="position:absolute;left:9589;top:8;width:2;height:421" coordorigin="9589,8" coordsize="2,421">
              <v:shape style="position:absolute;left:9589;top:8;width:2;height:421" coordorigin="9589,8" coordsize="0,421" path="m9589,8l9589,428e" filled="false" stroked="true" strokeweight=".75pt" strokecolor="#000000">
                <v:path arrowok="t"/>
              </v:shape>
            </v:group>
          </v:group>
        </w:pict>
      </w:r>
      <w:r>
        <w:rPr>
          <w:rFonts w:ascii="宋体" w:hAnsi="宋体" w:cs="宋体" w:eastAsia="宋体" w:hint="default"/>
          <w:position w:val="-8"/>
          <w:sz w:val="20"/>
          <w:szCs w:val="20"/>
        </w:rPr>
      </w:r>
    </w:p>
    <w:p>
      <w:pPr>
        <w:pStyle w:val="BodyText"/>
        <w:spacing w:line="240" w:lineRule="auto" w:before="38"/>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3、在合营安排或联营企业中的权益" w:id="453"/>
      <w:bookmarkEnd w:id="453"/>
      <w:r>
        <w:rPr>
          <w:b w:val="0"/>
          <w:bCs w:val="0"/>
        </w:rPr>
      </w:r>
      <w:r>
        <w:rPr>
          <w:rFonts w:ascii="Times New Roman" w:hAnsi="Times New Roman" w:cs="Times New Roman" w:eastAsia="Times New Roman" w:hint="default"/>
          <w:spacing w:val="5"/>
        </w:rPr>
        <w:t>3</w:t>
      </w:r>
      <w:r>
        <w:rPr>
          <w:spacing w:val="5"/>
        </w:rPr>
        <w:t>、在合营安排或联营企业中的权益</w:t>
      </w:r>
      <w:r>
        <w:rPr>
          <w:b w:val="0"/>
          <w:bCs w:val="0"/>
          <w:spacing w:val="5"/>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重要的合营企业或联营企业" w:id="454"/>
      <w:bookmarkEnd w:id="454"/>
      <w:r>
        <w:rPr>
          <w:b w:val="0"/>
          <w:bCs w:val="0"/>
        </w:rPr>
      </w:r>
      <w:r>
        <w:rPr>
          <w:spacing w:val="5"/>
        </w:rPr>
        <w:t>（</w:t>
      </w:r>
      <w:r>
        <w:rPr>
          <w:rFonts w:ascii="Times New Roman" w:hAnsi="Times New Roman" w:cs="Times New Roman" w:eastAsia="Times New Roman" w:hint="default"/>
          <w:spacing w:val="5"/>
        </w:rPr>
        <w:t>1</w:t>
      </w:r>
      <w:r>
        <w:rPr>
          <w:spacing w:val="5"/>
        </w:rPr>
        <w:t>）重要的合营企业或联营企业</w:t>
      </w:r>
      <w:r>
        <w:rPr>
          <w:b w:val="0"/>
          <w:bCs w:val="0"/>
          <w:spacing w:val="5"/>
        </w:rPr>
      </w: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315" w:right="44" w:hanging="271"/>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30" w:right="59"/>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1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165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深圳市深创谷技 术服务有限公司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76"/>
              <w:jc w:val="both"/>
              <w:rPr>
                <w:rFonts w:ascii="宋体" w:hAnsi="宋体" w:cs="宋体" w:eastAsia="宋体" w:hint="default"/>
                <w:sz w:val="18"/>
                <w:szCs w:val="18"/>
              </w:rPr>
            </w:pPr>
            <w:r>
              <w:rPr>
                <w:rFonts w:ascii="宋体" w:hAnsi="宋体" w:cs="宋体" w:eastAsia="宋体" w:hint="default"/>
                <w:sz w:val="18"/>
                <w:szCs w:val="18"/>
              </w:rPr>
              <w:t>提供互联网智能 设备的软件及硬 件的技术设计、 技术服务及技术 咨询</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23.50%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5"/>
        <w:ind w:right="0"/>
        <w:jc w:val="left"/>
      </w:pPr>
      <w:r>
        <w:rPr/>
        <w:t>在合营企业或联营企业的持股比例不同于表决权比例的说明：</w:t>
      </w:r>
    </w:p>
    <w:p>
      <w:pPr>
        <w:pStyle w:val="BodyText"/>
        <w:spacing w:line="240" w:lineRule="auto" w:before="124"/>
        <w:ind w:right="0"/>
        <w:jc w:val="left"/>
      </w:pPr>
      <w:r>
        <w:rPr/>
        <w:t>持有</w:t>
      </w:r>
      <w:r>
        <w:rPr>
          <w:spacing w:val="-45"/>
        </w:rPr>
        <w:t> </w:t>
      </w:r>
      <w:r>
        <w:rPr>
          <w:rFonts w:ascii="Times New Roman" w:hAnsi="Times New Roman" w:cs="Times New Roman" w:eastAsia="Times New Roman" w:hint="default"/>
        </w:rPr>
        <w:t>20%</w:t>
      </w:r>
      <w:r>
        <w:rPr/>
        <w:t>以下表决权但具有重大影响，或者持有</w:t>
      </w:r>
      <w:r>
        <w:rPr>
          <w:spacing w:val="-42"/>
        </w:rPr>
        <w:t> </w:t>
      </w:r>
      <w:r>
        <w:rPr>
          <w:rFonts w:ascii="Times New Roman" w:hAnsi="Times New Roman" w:cs="Times New Roman" w:eastAsia="Times New Roman" w:hint="default"/>
        </w:rPr>
        <w:t>20%</w:t>
      </w:r>
      <w:r>
        <w:rPr/>
        <w:t>或以上表决权但不具有重大影响的依据：</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2）重要合营企业的主要财务信息" w:id="455"/>
      <w:bookmarkEnd w:id="455"/>
      <w:r>
        <w:rPr>
          <w:b w:val="0"/>
          <w:bCs w:val="0"/>
        </w:rPr>
      </w:r>
      <w:r>
        <w:rPr>
          <w:spacing w:val="5"/>
        </w:rPr>
        <w:t>（</w:t>
      </w:r>
      <w:r>
        <w:rPr>
          <w:rFonts w:ascii="Times New Roman" w:hAnsi="Times New Roman" w:cs="Times New Roman" w:eastAsia="Times New Roman" w:hint="default"/>
          <w:spacing w:val="5"/>
        </w:rPr>
        <w:t>2</w:t>
      </w:r>
      <w:r>
        <w:rPr>
          <w:spacing w:val="5"/>
        </w:rPr>
        <w:t>）重要合营企业的主要财务信息</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0"/>
        <w:jc w:val="left"/>
        <w:rPr>
          <w:b w:val="0"/>
          <w:bCs w:val="0"/>
        </w:rPr>
      </w:pPr>
      <w:bookmarkStart w:name="（3）重要联营企业的主要财务信息" w:id="456"/>
      <w:bookmarkEnd w:id="456"/>
      <w:r>
        <w:rPr>
          <w:b w:val="0"/>
          <w:bCs w:val="0"/>
        </w:rPr>
      </w:r>
      <w:r>
        <w:rPr>
          <w:spacing w:val="5"/>
        </w:rPr>
        <w:t>（</w:t>
      </w:r>
      <w:r>
        <w:rPr>
          <w:rFonts w:ascii="Times New Roman" w:hAnsi="Times New Roman" w:cs="Times New Roman" w:eastAsia="Times New Roman" w:hint="default"/>
          <w:spacing w:val="5"/>
        </w:rPr>
        <w:t>3</w:t>
      </w:r>
      <w:r>
        <w:rPr>
          <w:spacing w:val="5"/>
        </w:rPr>
        <w:t>）重要联营企业的主要财务信息</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4）不重要的合营企业和联营企业的汇总财务信息" w:id="457"/>
      <w:bookmarkEnd w:id="457"/>
      <w:r>
        <w:rPr>
          <w:b w:val="0"/>
          <w:bCs w:val="0"/>
        </w:rPr>
      </w:r>
      <w:r>
        <w:rPr>
          <w:spacing w:val="5"/>
        </w:rPr>
        <w:t>（</w:t>
      </w:r>
      <w:r>
        <w:rPr>
          <w:rFonts w:ascii="Times New Roman" w:hAnsi="Times New Roman" w:cs="Times New Roman" w:eastAsia="Times New Roman" w:hint="default"/>
          <w:spacing w:val="5"/>
        </w:rPr>
        <w:t>4</w:t>
      </w:r>
      <w:r>
        <w:rPr>
          <w:spacing w:val="5"/>
        </w:rPr>
        <w:t>）不重要的合营企业和联营企业的汇总财务信息</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5）合营企业或联营企业向本公司转移资金的能力存在重大限制的说明" w:id="458"/>
      <w:bookmarkEnd w:id="458"/>
      <w:r>
        <w:rPr>
          <w:b w:val="0"/>
          <w:bCs w:val="0"/>
        </w:rPr>
      </w:r>
      <w:r>
        <w:rPr>
          <w:spacing w:val="5"/>
        </w:rPr>
        <w:t>（</w:t>
      </w:r>
      <w:r>
        <w:rPr>
          <w:rFonts w:ascii="Times New Roman" w:hAnsi="Times New Roman" w:cs="Times New Roman" w:eastAsia="Times New Roman" w:hint="default"/>
          <w:spacing w:val="5"/>
        </w:rPr>
        <w:t>5</w:t>
      </w:r>
      <w:r>
        <w:rPr>
          <w:spacing w:val="5"/>
        </w:rPr>
        <w:t>）合营企业或联营企业向本公司转移资金的能力存在重大限制的说明</w:t>
      </w:r>
      <w:r>
        <w:rPr>
          <w:b w:val="0"/>
          <w:bCs w:val="0"/>
          <w:spacing w:val="5"/>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6）合营企业或联营企业发生的超额亏损" w:id="459"/>
      <w:bookmarkEnd w:id="459"/>
      <w:r>
        <w:rPr>
          <w:b w:val="0"/>
          <w:bCs w:val="0"/>
        </w:rPr>
      </w:r>
      <w:r>
        <w:rPr>
          <w:spacing w:val="5"/>
        </w:rPr>
        <w:t>（</w:t>
      </w:r>
      <w:r>
        <w:rPr>
          <w:rFonts w:ascii="Times New Roman" w:hAnsi="Times New Roman" w:cs="Times New Roman" w:eastAsia="Times New Roman" w:hint="default"/>
          <w:spacing w:val="5"/>
        </w:rPr>
        <w:t>6</w:t>
      </w:r>
      <w:r>
        <w:rPr>
          <w:spacing w:val="5"/>
        </w:rPr>
        <w:t>）合营企业或联营企业发生的超额亏损</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111" w:right="107"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645" w:right="15" w:hanging="631"/>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7）与合营企业投资相关的未确认承诺" w:id="460"/>
      <w:bookmarkEnd w:id="460"/>
      <w:r>
        <w:rPr>
          <w:b w:val="0"/>
          <w:bCs w:val="0"/>
        </w:rPr>
      </w:r>
      <w:r>
        <w:rPr>
          <w:spacing w:val="5"/>
        </w:rPr>
        <w:t>（</w:t>
      </w:r>
      <w:r>
        <w:rPr>
          <w:rFonts w:ascii="Times New Roman" w:hAnsi="Times New Roman" w:cs="Times New Roman" w:eastAsia="Times New Roman" w:hint="default"/>
          <w:spacing w:val="5"/>
        </w:rPr>
        <w:t>7</w:t>
      </w:r>
      <w:r>
        <w:rPr>
          <w:spacing w:val="5"/>
        </w:rPr>
        <w:t>）与合营企业投资相关的未确认承诺</w:t>
      </w:r>
      <w:r>
        <w:rPr>
          <w:b w:val="0"/>
          <w:bCs w:val="0"/>
          <w:spacing w:val="5"/>
        </w:rPr>
      </w:r>
    </w:p>
    <w:p>
      <w:pPr>
        <w:spacing w:line="240" w:lineRule="auto" w:before="10"/>
        <w:rPr>
          <w:rFonts w:ascii="宋体" w:hAnsi="宋体" w:cs="宋体" w:eastAsia="宋体" w:hint="default"/>
          <w:b/>
          <w:bCs/>
          <w:sz w:val="25"/>
          <w:szCs w:val="25"/>
        </w:rPr>
      </w:pPr>
    </w:p>
    <w:p>
      <w:pPr>
        <w:pStyle w:val="Heading5"/>
        <w:spacing w:line="561" w:lineRule="auto"/>
        <w:ind w:right="5349"/>
        <w:jc w:val="left"/>
        <w:rPr>
          <w:b w:val="0"/>
          <w:bCs w:val="0"/>
        </w:rPr>
      </w:pPr>
      <w:bookmarkStart w:name="（8）与合营企业或联营企业投资相关的或有负债" w:id="461"/>
      <w:bookmarkEnd w:id="461"/>
      <w:r>
        <w:rPr>
          <w:b w:val="0"/>
          <w:bCs w:val="0"/>
        </w:rPr>
      </w:r>
      <w:r>
        <w:rPr>
          <w:spacing w:val="5"/>
        </w:rPr>
        <w:t>（</w:t>
      </w:r>
      <w:r>
        <w:rPr>
          <w:rFonts w:ascii="Times New Roman" w:hAnsi="Times New Roman" w:cs="Times New Roman" w:eastAsia="Times New Roman" w:hint="default"/>
          <w:spacing w:val="5"/>
        </w:rPr>
        <w:t>8</w:t>
      </w:r>
      <w:r>
        <w:rPr>
          <w:spacing w:val="5"/>
        </w:rPr>
        <w:t>）与合营企业或联营企业投资相关的或有负债</w:t>
      </w:r>
      <w:r>
        <w:rPr>
          <w:spacing w:val="14"/>
        </w:rPr>
        <w:t> </w:t>
      </w:r>
      <w:r>
        <w:rPr>
          <w:spacing w:val="14"/>
        </w:rPr>
      </w:r>
      <w:bookmarkStart w:name="4、重要的共同经营" w:id="462"/>
      <w:bookmarkEnd w:id="462"/>
      <w:r>
        <w:rPr>
          <w:spacing w:val="14"/>
        </w:rPr>
      </w:r>
      <w:r>
        <w:rPr>
          <w:rFonts w:ascii="Times New Roman" w:hAnsi="Times New Roman" w:cs="Times New Roman" w:eastAsia="Times New Roman" w:hint="default"/>
          <w:spacing w:val="5"/>
        </w:rPr>
        <w:t>4</w:t>
      </w:r>
      <w:r>
        <w:rPr>
          <w:spacing w:val="5"/>
        </w:rPr>
        <w:t>、重要的共同经营</w:t>
      </w:r>
      <w:r>
        <w:rPr>
          <w:b w:val="0"/>
          <w:bCs w:val="0"/>
          <w:spacing w:val="5"/>
        </w:rPr>
      </w:r>
    </w:p>
    <w:p>
      <w:pPr>
        <w:spacing w:line="240" w:lineRule="auto" w:before="2"/>
        <w:rPr>
          <w:rFonts w:ascii="宋体" w:hAnsi="宋体" w:cs="宋体" w:eastAsia="宋体" w:hint="default"/>
          <w:b/>
          <w:bCs/>
          <w:sz w:val="5"/>
          <w:szCs w:val="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607"/>
        <w:gridCol w:w="1592"/>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391"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0" w:lineRule="auto" w:before="45"/>
        <w:ind w:right="5529"/>
        <w:jc w:val="left"/>
      </w:pPr>
      <w:r>
        <w:rPr/>
        <w:t>在共同经营中的持股比例或享有的份额不同于表决权比例的说明： 共同经营为单独主体的，分类为共同经营的依据：</w:t>
      </w:r>
    </w:p>
    <w:p>
      <w:pPr>
        <w:pStyle w:val="BodyText"/>
        <w:spacing w:line="240" w:lineRule="auto" w:before="42"/>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5、在未纳入合并财务报表范围的结构化主体中的权益" w:id="463"/>
      <w:bookmarkEnd w:id="463"/>
      <w:r>
        <w:rPr>
          <w:b w:val="0"/>
          <w:bCs w:val="0"/>
        </w:rPr>
      </w:r>
      <w:r>
        <w:rPr>
          <w:rFonts w:ascii="Times New Roman" w:hAnsi="Times New Roman" w:cs="Times New Roman" w:eastAsia="Times New Roman" w:hint="default"/>
          <w:spacing w:val="5"/>
        </w:rPr>
        <w:t>5</w:t>
      </w:r>
      <w:r>
        <w:rPr>
          <w:spacing w:val="5"/>
        </w:rPr>
        <w:t>、在未纳入合并财务报表范围的结构化主体中的权益</w:t>
      </w:r>
      <w:r>
        <w:rPr>
          <w:b w:val="0"/>
          <w:bCs w:val="0"/>
          <w:spacing w:val="5"/>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未纳入合并财务报表范围的结构化主体的相关说明：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2"/>
        <w:spacing w:line="489" w:lineRule="auto"/>
        <w:ind w:right="7857"/>
        <w:jc w:val="left"/>
        <w:rPr>
          <w:b w:val="0"/>
          <w:bCs w:val="0"/>
        </w:rPr>
      </w:pPr>
      <w:bookmarkStart w:name="6、其他" w:id="464"/>
      <w:bookmarkEnd w:id="464"/>
      <w:r>
        <w:rPr>
          <w:b w:val="0"/>
          <w:bCs w:val="0"/>
        </w:rPr>
      </w:r>
      <w:r>
        <w:rPr>
          <w:rFonts w:ascii="Times New Roman" w:hAnsi="Times New Roman" w:cs="Times New Roman" w:eastAsia="Times New Roman" w:hint="default"/>
          <w:spacing w:val="5"/>
          <w:sz w:val="19"/>
          <w:szCs w:val="19"/>
        </w:rPr>
        <w:t>6</w:t>
      </w:r>
      <w:r>
        <w:rPr>
          <w:spacing w:val="5"/>
          <w:sz w:val="19"/>
          <w:szCs w:val="19"/>
        </w:rPr>
        <w:t>、其他</w:t>
      </w:r>
      <w:r>
        <w:rPr>
          <w:spacing w:val="-79"/>
          <w:sz w:val="19"/>
          <w:szCs w:val="19"/>
        </w:rPr>
        <w:t> </w:t>
      </w:r>
      <w:r>
        <w:rPr>
          <w:spacing w:val="-79"/>
          <w:sz w:val="19"/>
          <w:szCs w:val="19"/>
        </w:rPr>
      </w:r>
      <w:bookmarkStart w:name="十、与金融工具相关的风险" w:id="465"/>
      <w:bookmarkEnd w:id="465"/>
      <w:r>
        <w:rPr>
          <w:spacing w:val="-79"/>
          <w:sz w:val="19"/>
          <w:szCs w:val="19"/>
        </w:rPr>
      </w:r>
      <w:r>
        <w:rPr/>
        <w:t>十、与金融工具相关的风险</w:t>
      </w:r>
      <w:r>
        <w:rPr>
          <w:spacing w:val="-118"/>
        </w:rPr>
        <w:t> </w:t>
      </w:r>
      <w:r>
        <w:rPr>
          <w:spacing w:val="-118"/>
        </w:rPr>
      </w:r>
      <w:bookmarkStart w:name="十一、公允价值的披露" w:id="466"/>
      <w:bookmarkEnd w:id="466"/>
      <w:r>
        <w:rPr/>
        <w:t>十一、公允价</w:t>
      </w:r>
      <w:r>
        <w:rPr/>
        <w:t>值的披露</w:t>
      </w:r>
      <w:r>
        <w:rPr>
          <w:b w:val="0"/>
          <w:bCs w:val="0"/>
        </w:rPr>
      </w:r>
    </w:p>
    <w:p>
      <w:pPr>
        <w:pStyle w:val="Heading5"/>
        <w:spacing w:line="240" w:lineRule="auto" w:before="95"/>
        <w:ind w:right="0"/>
        <w:jc w:val="left"/>
        <w:rPr>
          <w:b w:val="0"/>
          <w:bCs w:val="0"/>
        </w:rPr>
      </w:pPr>
      <w:bookmarkStart w:name="1、以公允价值计量的资产和负债的期末公允价值" w:id="467"/>
      <w:bookmarkEnd w:id="467"/>
      <w:r>
        <w:rPr>
          <w:b w:val="0"/>
          <w:bCs w:val="0"/>
        </w:rPr>
      </w:r>
      <w:r>
        <w:rPr>
          <w:rFonts w:ascii="Times New Roman" w:hAnsi="Times New Roman" w:cs="Times New Roman" w:eastAsia="Times New Roman" w:hint="default"/>
          <w:spacing w:val="5"/>
        </w:rPr>
        <w:t>1</w:t>
      </w:r>
      <w:r>
        <w:rPr>
          <w:spacing w:val="5"/>
        </w:rPr>
        <w:t>、以公允价值计量的资产和负债的期末公允价值</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1990"/>
        <w:gridCol w:w="1832"/>
        <w:gridCol w:w="1923"/>
        <w:gridCol w:w="1907"/>
        <w:gridCol w:w="1922"/>
      </w:tblGrid>
      <w:tr>
        <w:trPr>
          <w:trHeight w:val="405" w:hRule="exact"/>
        </w:trPr>
        <w:tc>
          <w:tcPr>
            <w:tcW w:w="19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758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58" w:hRule="exact"/>
        </w:trPr>
        <w:tc>
          <w:tcPr>
            <w:tcW w:w="1990" w:type="dxa"/>
            <w:vMerge/>
            <w:tcBorders>
              <w:left w:val="single" w:sz="6" w:space="0" w:color="000000"/>
              <w:right w:val="single" w:sz="6" w:space="0" w:color="000000"/>
            </w:tcBorders>
            <w:shd w:val="clear" w:color="auto" w:fill="D2D2D2"/>
          </w:tcPr>
          <w:p>
            <w:pPr/>
          </w:p>
        </w:tc>
        <w:tc>
          <w:tcPr>
            <w:tcW w:w="183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811" w:right="106"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23"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90" w:type="dxa"/>
            <w:vMerge/>
            <w:tcBorders>
              <w:left w:val="single" w:sz="6" w:space="0" w:color="000000"/>
              <w:right w:val="single" w:sz="6" w:space="0" w:color="000000"/>
            </w:tcBorders>
            <w:shd w:val="clear" w:color="auto" w:fill="D2D2D2"/>
          </w:tcPr>
          <w:p>
            <w:pPr/>
          </w:p>
        </w:tc>
        <w:tc>
          <w:tcPr>
            <w:tcW w:w="1832" w:type="dxa"/>
            <w:vMerge/>
            <w:tcBorders>
              <w:left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46"/>
              <w:jc w:val="righ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45"/>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8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158" w:hRule="exact"/>
        </w:trPr>
        <w:tc>
          <w:tcPr>
            <w:tcW w:w="1990" w:type="dxa"/>
            <w:vMerge/>
            <w:tcBorders>
              <w:left w:val="single" w:sz="6" w:space="0" w:color="000000"/>
              <w:bottom w:val="single" w:sz="6" w:space="0" w:color="000000"/>
              <w:right w:val="single" w:sz="6" w:space="0" w:color="000000"/>
            </w:tcBorders>
            <w:shd w:val="clear" w:color="auto" w:fill="D2D2D2"/>
          </w:tcPr>
          <w:p>
            <w:pPr/>
          </w:p>
        </w:tc>
        <w:tc>
          <w:tcPr>
            <w:tcW w:w="1832" w:type="dxa"/>
            <w:vMerge/>
            <w:tcBorders>
              <w:left w:val="single" w:sz="6" w:space="0" w:color="000000"/>
              <w:bottom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pacing w:val="-5"/>
                <w:sz w:val="18"/>
                <w:szCs w:val="18"/>
              </w:rPr>
              <w:t>一、持续的公允价值计量</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1036"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62,193,274.50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43,709,400.00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49,244,870.82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155,147,545.32</w:t>
            </w:r>
          </w:p>
        </w:tc>
      </w:tr>
      <w:tr>
        <w:trPr>
          <w:trHeight w:val="391"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62,193,274.50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43,709,400.00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49,244,870.82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66" w:right="0"/>
              <w:jc w:val="left"/>
              <w:rPr>
                <w:rFonts w:ascii="Times New Roman" w:hAnsi="Times New Roman" w:cs="Times New Roman" w:eastAsia="Times New Roman" w:hint="default"/>
                <w:sz w:val="18"/>
                <w:szCs w:val="18"/>
              </w:rPr>
            </w:pPr>
            <w:r>
              <w:rPr>
                <w:rFonts w:ascii="Times New Roman"/>
                <w:sz w:val="18"/>
              </w:rPr>
              <w:t>155,147,545.32</w:t>
            </w:r>
          </w:p>
        </w:tc>
      </w:tr>
      <w:tr>
        <w:trPr>
          <w:trHeight w:val="720"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166"/>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62,193,274.50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43,709,400.00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49,244,870.82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155,147,545.32</w:t>
            </w:r>
          </w:p>
        </w:tc>
      </w:tr>
      <w:tr>
        <w:trPr>
          <w:trHeight w:val="158" w:hRule="exact"/>
        </w:trPr>
        <w:tc>
          <w:tcPr>
            <w:tcW w:w="1990"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7" w:right="30"/>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量</w:t>
            </w:r>
          </w:p>
        </w:tc>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3"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1990" w:type="dxa"/>
            <w:vMerge/>
            <w:tcBorders>
              <w:left w:val="single" w:sz="6" w:space="0" w:color="000000"/>
              <w:right w:val="single" w:sz="6" w:space="0" w:color="000000"/>
            </w:tcBorders>
            <w:shd w:val="clear" w:color="auto" w:fill="D2D2D2"/>
          </w:tcPr>
          <w:p>
            <w:pPr/>
          </w:p>
        </w:tc>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4"/>
              <w:jc w:val="center"/>
              <w:rPr>
                <w:rFonts w:ascii="Times New Roman" w:hAnsi="Times New Roman" w:cs="Times New Roman" w:eastAsia="Times New Roman" w:hint="default"/>
                <w:sz w:val="18"/>
                <w:szCs w:val="18"/>
              </w:rPr>
            </w:pPr>
            <w:r>
              <w:rPr>
                <w:rFonts w:ascii="Times New Roman"/>
                <w:sz w:val="18"/>
              </w:rPr>
              <w:t>--</w:t>
            </w:r>
          </w:p>
        </w:tc>
        <w:tc>
          <w:tcPr>
            <w:tcW w:w="192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1990"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持续和非持续第一层次公允价值计量项目市价的确定依据" w:id="468"/>
      <w:bookmarkEnd w:id="468"/>
      <w:r>
        <w:rPr>
          <w:b w:val="0"/>
          <w:bCs w:val="0"/>
        </w:rPr>
      </w:r>
      <w:r>
        <w:rPr>
          <w:rFonts w:ascii="Times New Roman" w:hAnsi="Times New Roman" w:cs="Times New Roman" w:eastAsia="Times New Roman" w:hint="default"/>
          <w:spacing w:val="5"/>
        </w:rPr>
        <w:t>2</w:t>
      </w:r>
      <w:r>
        <w:rPr>
          <w:spacing w:val="5"/>
        </w:rPr>
        <w:t>、持续和非持续第一层次公允价值计量项目市价的确定依据</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left="561" w:right="0"/>
        <w:jc w:val="left"/>
      </w:pPr>
      <w:r>
        <w:rPr/>
        <w:t>以公允价值计量且其变动计入当期损益的交易性权益工具投资公允价值是根据上海证券交易所公开市场上市股票</w:t>
      </w:r>
    </w:p>
    <w:p>
      <w:pPr>
        <w:pStyle w:val="BodyText"/>
        <w:spacing w:line="240" w:lineRule="auto" w:before="95"/>
        <w:ind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9"/>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日收盘价作为市价依据。</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3、持续和非持续第二层次公允价值计量项目，采用的估值技术和重要参数的定性及定量信" w:id="469"/>
      <w:bookmarkEnd w:id="469"/>
      <w:r>
        <w:rPr>
          <w:b w:val="0"/>
          <w:bCs w:val="0"/>
        </w:rPr>
      </w:r>
      <w:r>
        <w:rPr>
          <w:rFonts w:ascii="Times New Roman" w:hAnsi="Times New Roman" w:cs="Times New Roman" w:eastAsia="Times New Roman" w:hint="default"/>
          <w:spacing w:val="5"/>
        </w:rPr>
        <w:t>3</w:t>
      </w:r>
      <w:r>
        <w:rPr>
          <w:spacing w:val="5"/>
        </w:rPr>
        <w:t>、持续和非持续第二层次公允价值计量项目，采用的估值技术和重要参数的定性及定量信息</w:t>
      </w:r>
      <w:r>
        <w:rPr>
          <w:b w:val="0"/>
          <w:bCs w:val="0"/>
          <w:spacing w:val="5"/>
        </w:rPr>
      </w:r>
    </w:p>
    <w:p>
      <w:pPr>
        <w:spacing w:line="240" w:lineRule="auto" w:before="9"/>
        <w:rPr>
          <w:rFonts w:ascii="宋体" w:hAnsi="宋体" w:cs="宋体" w:eastAsia="宋体" w:hint="default"/>
          <w:b/>
          <w:bCs/>
          <w:sz w:val="26"/>
          <w:szCs w:val="26"/>
        </w:rPr>
      </w:pPr>
    </w:p>
    <w:p>
      <w:pPr>
        <w:pStyle w:val="BodyText"/>
        <w:spacing w:line="304" w:lineRule="auto"/>
        <w:ind w:right="1149" w:firstLine="420"/>
        <w:jc w:val="left"/>
      </w:pPr>
      <w:r>
        <w:rPr/>
        <w:t>以公允价值计量且变动计入当期损益的权益工具投资，是基于直接交易市场的近期交易价格等可观察的输入值为基础 经调整后，确定权益工具投资的公允价值。</w:t>
      </w:r>
    </w:p>
    <w:p>
      <w:pPr>
        <w:spacing w:line="240" w:lineRule="auto" w:before="8"/>
        <w:rPr>
          <w:rFonts w:ascii="宋体" w:hAnsi="宋体" w:cs="宋体" w:eastAsia="宋体" w:hint="default"/>
          <w:sz w:val="25"/>
          <w:szCs w:val="25"/>
        </w:rPr>
      </w:pPr>
    </w:p>
    <w:p>
      <w:pPr>
        <w:pStyle w:val="Heading5"/>
        <w:spacing w:line="240" w:lineRule="auto"/>
        <w:ind w:right="0"/>
        <w:jc w:val="left"/>
        <w:rPr>
          <w:b w:val="0"/>
          <w:bCs w:val="0"/>
        </w:rPr>
      </w:pPr>
      <w:bookmarkStart w:name="4、持续和非持续第三层次公允价值计量项目，采用的估值技术和重要参数的定性及定量信" w:id="470"/>
      <w:bookmarkEnd w:id="470"/>
      <w:r>
        <w:rPr>
          <w:b w:val="0"/>
          <w:bCs w:val="0"/>
        </w:rPr>
      </w:r>
      <w:r>
        <w:rPr>
          <w:rFonts w:ascii="Times New Roman" w:hAnsi="Times New Roman" w:cs="Times New Roman" w:eastAsia="Times New Roman" w:hint="default"/>
          <w:spacing w:val="5"/>
        </w:rPr>
        <w:t>4</w:t>
      </w:r>
      <w:r>
        <w:rPr>
          <w:spacing w:val="5"/>
        </w:rPr>
        <w:t>、持续和非持续第三层次公允价值计量项目，采用的估值技术和重要参数的定性及定量信息</w:t>
      </w:r>
      <w:r>
        <w:rPr>
          <w:b w:val="0"/>
          <w:bCs w:val="0"/>
          <w:spacing w:val="5"/>
        </w:rPr>
      </w:r>
    </w:p>
    <w:p>
      <w:pPr>
        <w:spacing w:line="240" w:lineRule="auto" w:before="9"/>
        <w:rPr>
          <w:rFonts w:ascii="宋体" w:hAnsi="宋体" w:cs="宋体" w:eastAsia="宋体" w:hint="default"/>
          <w:b/>
          <w:bCs/>
          <w:sz w:val="26"/>
          <w:szCs w:val="26"/>
        </w:rPr>
      </w:pPr>
    </w:p>
    <w:p>
      <w:pPr>
        <w:pStyle w:val="BodyText"/>
        <w:spacing w:line="321" w:lineRule="auto"/>
        <w:ind w:right="1149" w:firstLine="420"/>
        <w:jc w:val="left"/>
      </w:pPr>
      <w:r>
        <w:rPr/>
        <w:t>以公允价值计量且变动计入当期损益的权益工具投资，是基于获取的被投资单位的审计报告或评估报告，结合公司投 资成本为基础经调整后，确定权益工具投资的公允价值。</w:t>
      </w:r>
    </w:p>
    <w:p>
      <w:pPr>
        <w:spacing w:after="0" w:line="321" w:lineRule="auto"/>
        <w:jc w:val="left"/>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5、持续的第三层次公允价值计量项目，期初与期末账面价值间的调节信息及不可观察参数" w:id="471"/>
      <w:bookmarkEnd w:id="471"/>
      <w:r>
        <w:rPr>
          <w:b w:val="0"/>
          <w:bCs w:val="0"/>
        </w:rPr>
      </w:r>
      <w:r>
        <w:rPr>
          <w:rFonts w:ascii="Times New Roman" w:hAnsi="Times New Roman" w:cs="Times New Roman" w:eastAsia="Times New Roman" w:hint="default"/>
          <w:spacing w:val="5"/>
        </w:rPr>
        <w:t>5</w:t>
      </w:r>
      <w:r>
        <w:rPr>
          <w:spacing w:val="5"/>
        </w:rPr>
        <w:t>、持续的第三层次公允价值计量项目，期初与期末账面价值间的调节信息及不可观察参数敏感性分析</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6、持续的公允价值计量项目，本期内发生各层级之间转换的，转换的原因及确定转换时点" w:id="472"/>
      <w:bookmarkEnd w:id="472"/>
      <w:r>
        <w:rPr>
          <w:b w:val="0"/>
          <w:bCs w:val="0"/>
        </w:rPr>
      </w:r>
      <w:r>
        <w:rPr>
          <w:rFonts w:ascii="Times New Roman" w:hAnsi="Times New Roman" w:cs="Times New Roman" w:eastAsia="Times New Roman" w:hint="default"/>
          <w:spacing w:val="5"/>
        </w:rPr>
        <w:t>6</w:t>
      </w:r>
      <w:r>
        <w:rPr>
          <w:spacing w:val="5"/>
        </w:rPr>
        <w:t>、持续的公允价值计量项目，本期内发生各层级之间转换的，转换的原因及确定转换时点的政策</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7、本期内发生的估值技术变更及变更原因" w:id="473"/>
      <w:bookmarkEnd w:id="473"/>
      <w:r>
        <w:rPr>
          <w:b w:val="0"/>
          <w:bCs w:val="0"/>
        </w:rPr>
      </w:r>
      <w:r>
        <w:rPr>
          <w:rFonts w:ascii="Times New Roman" w:hAnsi="Times New Roman" w:cs="Times New Roman" w:eastAsia="Times New Roman" w:hint="default"/>
          <w:spacing w:val="5"/>
        </w:rPr>
        <w:t>7</w:t>
      </w:r>
      <w:r>
        <w:rPr>
          <w:spacing w:val="5"/>
        </w:rPr>
        <w:t>、本期内发生的估值技术变更及变更原因</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8、不以公允价值计量的金融资产和金融负债的公允价值情况" w:id="474"/>
      <w:bookmarkEnd w:id="474"/>
      <w:r>
        <w:rPr>
          <w:b w:val="0"/>
          <w:bCs w:val="0"/>
        </w:rPr>
      </w:r>
      <w:r>
        <w:rPr>
          <w:rFonts w:ascii="Times New Roman" w:hAnsi="Times New Roman" w:cs="Times New Roman" w:eastAsia="Times New Roman" w:hint="default"/>
          <w:spacing w:val="5"/>
        </w:rPr>
        <w:t>8</w:t>
      </w:r>
      <w:r>
        <w:rPr>
          <w:spacing w:val="5"/>
        </w:rPr>
        <w:t>、不以公允价值计量的金融资产和金融负债的公允价值情况</w:t>
      </w:r>
      <w:r>
        <w:rPr>
          <w:b w:val="0"/>
          <w:bCs w:val="0"/>
          <w:spacing w:val="5"/>
        </w:rPr>
      </w:r>
    </w:p>
    <w:p>
      <w:pPr>
        <w:spacing w:line="240" w:lineRule="auto" w:before="12"/>
        <w:rPr>
          <w:rFonts w:ascii="宋体" w:hAnsi="宋体" w:cs="宋体" w:eastAsia="宋体" w:hint="default"/>
          <w:b/>
          <w:bCs/>
          <w:sz w:val="26"/>
          <w:szCs w:val="26"/>
        </w:rPr>
      </w:pPr>
    </w:p>
    <w:p>
      <w:pPr>
        <w:spacing w:line="506" w:lineRule="auto" w:before="0"/>
        <w:ind w:left="141" w:right="8098" w:firstLine="0"/>
        <w:jc w:val="left"/>
        <w:rPr>
          <w:rFonts w:ascii="宋体" w:hAnsi="宋体" w:cs="宋体" w:eastAsia="宋体" w:hint="default"/>
          <w:sz w:val="19"/>
          <w:szCs w:val="19"/>
        </w:rPr>
      </w:pPr>
      <w:bookmarkStart w:name="9、其他" w:id="475"/>
      <w:bookmarkEnd w:id="475"/>
      <w:r>
        <w:rPr/>
      </w:r>
      <w:r>
        <w:rPr>
          <w:rFonts w:ascii="Times New Roman" w:hAnsi="Times New Roman" w:cs="Times New Roman" w:eastAsia="Times New Roman" w:hint="default"/>
          <w:b/>
          <w:bCs/>
          <w:spacing w:val="5"/>
          <w:sz w:val="19"/>
          <w:szCs w:val="19"/>
        </w:rPr>
        <w:t>9</w:t>
      </w:r>
      <w:r>
        <w:rPr>
          <w:rFonts w:ascii="宋体" w:hAnsi="宋体" w:cs="宋体" w:eastAsia="宋体" w:hint="default"/>
          <w:b/>
          <w:bCs/>
          <w:spacing w:val="5"/>
          <w:sz w:val="19"/>
          <w:szCs w:val="19"/>
        </w:rPr>
        <w:t>、其他</w:t>
      </w:r>
      <w:r>
        <w:rPr>
          <w:rFonts w:ascii="宋体" w:hAnsi="宋体" w:cs="宋体" w:eastAsia="宋体" w:hint="default"/>
          <w:b/>
          <w:bCs/>
          <w:spacing w:val="-79"/>
          <w:sz w:val="19"/>
          <w:szCs w:val="19"/>
        </w:rPr>
        <w:t> </w:t>
      </w:r>
      <w:r>
        <w:rPr>
          <w:rFonts w:ascii="宋体" w:hAnsi="宋体" w:cs="宋体" w:eastAsia="宋体" w:hint="default"/>
          <w:b/>
          <w:bCs/>
          <w:spacing w:val="-79"/>
          <w:sz w:val="19"/>
          <w:szCs w:val="19"/>
        </w:rPr>
      </w:r>
      <w:bookmarkStart w:name="十二、关联方及关联交易" w:id="476"/>
      <w:bookmarkEnd w:id="476"/>
      <w:r>
        <w:rPr>
          <w:rFonts w:ascii="宋体" w:hAnsi="宋体" w:cs="宋体" w:eastAsia="宋体" w:hint="default"/>
          <w:b/>
          <w:bCs/>
          <w:spacing w:val="-79"/>
          <w:sz w:val="19"/>
          <w:szCs w:val="19"/>
        </w:rPr>
      </w:r>
      <w:r>
        <w:rPr>
          <w:rFonts w:ascii="宋体" w:hAnsi="宋体" w:cs="宋体" w:eastAsia="宋体" w:hint="default"/>
          <w:b/>
          <w:bCs/>
          <w:sz w:val="24"/>
          <w:szCs w:val="24"/>
        </w:rPr>
        <w:t>十二、关联方及关联交易</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本企业的母公司情况" w:id="477"/>
      <w:bookmarkEnd w:id="477"/>
      <w:r>
        <w:rPr>
          <w:rFonts w:ascii="宋体" w:hAnsi="宋体" w:cs="宋体" w:eastAsia="宋体" w:hint="default"/>
          <w:b/>
          <w:bCs/>
          <w:spacing w:val="-117"/>
          <w:sz w:val="24"/>
          <w:szCs w:val="24"/>
        </w:rPr>
      </w:r>
      <w:r>
        <w:rPr>
          <w:rFonts w:ascii="Times New Roman" w:hAnsi="Times New Roman" w:cs="Times New Roman" w:eastAsia="Times New Roman" w:hint="default"/>
          <w:b/>
          <w:bCs/>
          <w:spacing w:val="5"/>
          <w:sz w:val="19"/>
          <w:szCs w:val="19"/>
        </w:rPr>
        <w:t>1</w:t>
      </w:r>
      <w:r>
        <w:rPr>
          <w:rFonts w:ascii="宋体" w:hAnsi="宋体" w:cs="宋体" w:eastAsia="宋体" w:hint="default"/>
          <w:b/>
          <w:bCs/>
          <w:spacing w:val="5"/>
          <w:sz w:val="19"/>
          <w:szCs w:val="19"/>
        </w:rPr>
        <w:t>、本企业的母公司情况</w:t>
      </w:r>
      <w:r>
        <w:rPr>
          <w:rFonts w:ascii="宋体" w:hAnsi="宋体" w:cs="宋体" w:eastAsia="宋体" w:hint="default"/>
          <w:spacing w:val="5"/>
          <w:sz w:val="19"/>
          <w:szCs w:val="19"/>
        </w:rPr>
      </w:r>
    </w:p>
    <w:p>
      <w:pPr>
        <w:spacing w:line="240" w:lineRule="auto" w:before="11"/>
        <w:rPr>
          <w:rFonts w:ascii="宋体" w:hAnsi="宋体" w:cs="宋体" w:eastAsia="宋体" w:hint="default"/>
          <w:b/>
          <w:bCs/>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435" w:right="61"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45" w:right="74" w:hanging="271"/>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45"/>
        <w:ind w:right="8409"/>
        <w:jc w:val="left"/>
      </w:pPr>
      <w:r>
        <w:rPr/>
        <w:t>本企业的母公司情况的说明 本企业最终控制方是夏传武。 其他说明：</w:t>
      </w:r>
    </w:p>
    <w:p>
      <w:pPr>
        <w:spacing w:line="578" w:lineRule="auto" w:before="50"/>
        <w:ind w:left="141" w:right="5259" w:firstLine="0"/>
        <w:jc w:val="left"/>
        <w:rPr>
          <w:rFonts w:ascii="宋体" w:hAnsi="宋体" w:cs="宋体" w:eastAsia="宋体" w:hint="default"/>
          <w:sz w:val="19"/>
          <w:szCs w:val="19"/>
        </w:rPr>
      </w:pPr>
      <w:r>
        <w:rPr>
          <w:rFonts w:ascii="宋体" w:hAnsi="宋体" w:cs="宋体" w:eastAsia="宋体" w:hint="default"/>
          <w:sz w:val="18"/>
          <w:szCs w:val="18"/>
        </w:rPr>
        <w:t>截止报告期末，夏传武先生直接持有公司</w:t>
      </w:r>
      <w:r>
        <w:rPr>
          <w:rFonts w:ascii="Times New Roman" w:hAnsi="Times New Roman" w:cs="Times New Roman" w:eastAsia="Times New Roman" w:hint="default"/>
          <w:sz w:val="18"/>
          <w:szCs w:val="18"/>
        </w:rPr>
        <w:t>16.84%</w:t>
      </w:r>
      <w:r>
        <w:rPr>
          <w:rFonts w:ascii="MS Gothic" w:hAnsi="MS Gothic" w:cs="MS Gothic" w:eastAsia="MS Gothic" w:hint="default"/>
          <w:sz w:val="18"/>
          <w:szCs w:val="18"/>
        </w:rPr>
        <w:t>｡</w:t>
      </w:r>
      <w:r>
        <w:rPr>
          <w:rFonts w:ascii="MS Gothic" w:hAnsi="MS Gothic" w:cs="MS Gothic" w:eastAsia="MS Gothic" w:hint="default"/>
          <w:spacing w:val="-87"/>
          <w:sz w:val="18"/>
          <w:szCs w:val="18"/>
        </w:rPr>
        <w:t> </w:t>
      </w:r>
      <w:bookmarkStart w:name="2、本企业的子公司情况" w:id="478"/>
      <w:bookmarkEnd w:id="478"/>
      <w:r>
        <w:rPr>
          <w:rFonts w:ascii="MS Gothic" w:hAnsi="MS Gothic" w:cs="MS Gothic" w:eastAsia="MS Gothic" w:hint="default"/>
          <w:spacing w:val="-87"/>
          <w:sz w:val="18"/>
          <w:szCs w:val="18"/>
        </w:rPr>
      </w:r>
      <w:r>
        <w:rPr>
          <w:rFonts w:ascii="Times New Roman" w:hAnsi="Times New Roman" w:cs="Times New Roman" w:eastAsia="Times New Roman" w:hint="default"/>
          <w:b/>
          <w:bCs/>
          <w:spacing w:val="5"/>
          <w:sz w:val="19"/>
          <w:szCs w:val="19"/>
        </w:rPr>
        <w:t>2</w:t>
      </w:r>
      <w:r>
        <w:rPr>
          <w:rFonts w:ascii="宋体" w:hAnsi="宋体" w:cs="宋体" w:eastAsia="宋体" w:hint="default"/>
          <w:b/>
          <w:bCs/>
          <w:spacing w:val="5"/>
          <w:sz w:val="19"/>
          <w:szCs w:val="19"/>
        </w:rPr>
        <w:t>、本企业的子公司情况</w:t>
      </w:r>
      <w:r>
        <w:rPr>
          <w:rFonts w:ascii="宋体" w:hAnsi="宋体" w:cs="宋体" w:eastAsia="宋体" w:hint="default"/>
          <w:b/>
          <w:bCs/>
          <w:spacing w:val="-39"/>
          <w:sz w:val="19"/>
          <w:szCs w:val="19"/>
        </w:rPr>
        <w:t> </w:t>
      </w:r>
      <w:r>
        <w:rPr>
          <w:rFonts w:ascii="宋体" w:hAnsi="宋体" w:cs="宋体" w:eastAsia="宋体" w:hint="default"/>
          <w:b/>
          <w:bCs/>
          <w:spacing w:val="-39"/>
          <w:sz w:val="19"/>
          <w:szCs w:val="19"/>
        </w:rPr>
      </w:r>
      <w:r>
        <w:rPr>
          <w:rFonts w:ascii="宋体" w:hAnsi="宋体" w:cs="宋体" w:eastAsia="宋体" w:hint="default"/>
          <w:sz w:val="18"/>
          <w:szCs w:val="18"/>
        </w:rPr>
        <w:t>本企业子公司的情况详见附注第十二节、九、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w:t>
      </w:r>
      <w:r>
        <w:rPr>
          <w:rFonts w:ascii="宋体" w:hAnsi="宋体" w:cs="宋体" w:eastAsia="宋体" w:hint="default"/>
          <w:spacing w:val="-86"/>
          <w:sz w:val="18"/>
          <w:szCs w:val="18"/>
        </w:rPr>
        <w:t> </w:t>
      </w:r>
      <w:bookmarkStart w:name="3、本企业合营和联营企业情况" w:id="479"/>
      <w:bookmarkEnd w:id="479"/>
      <w:r>
        <w:rPr>
          <w:rFonts w:ascii="宋体" w:hAnsi="宋体" w:cs="宋体" w:eastAsia="宋体" w:hint="default"/>
          <w:spacing w:val="-86"/>
          <w:sz w:val="18"/>
          <w:szCs w:val="18"/>
        </w:rPr>
      </w:r>
      <w:r>
        <w:rPr>
          <w:rFonts w:ascii="Times New Roman" w:hAnsi="Times New Roman" w:cs="Times New Roman" w:eastAsia="Times New Roman" w:hint="default"/>
          <w:b/>
          <w:bCs/>
          <w:spacing w:val="5"/>
          <w:sz w:val="19"/>
          <w:szCs w:val="19"/>
        </w:rPr>
        <w:t>3</w:t>
      </w:r>
      <w:r>
        <w:rPr>
          <w:rFonts w:ascii="宋体" w:hAnsi="宋体" w:cs="宋体" w:eastAsia="宋体" w:hint="default"/>
          <w:b/>
          <w:bCs/>
          <w:spacing w:val="5"/>
          <w:sz w:val="19"/>
          <w:szCs w:val="19"/>
        </w:rPr>
        <w:t>、本企业合营和联营企业情况</w:t>
      </w:r>
      <w:r>
        <w:rPr>
          <w:rFonts w:ascii="宋体" w:hAnsi="宋体" w:cs="宋体" w:eastAsia="宋体" w:hint="default"/>
          <w:spacing w:val="5"/>
          <w:sz w:val="19"/>
          <w:szCs w:val="19"/>
        </w:rPr>
      </w:r>
    </w:p>
    <w:p>
      <w:pPr>
        <w:pStyle w:val="BodyText"/>
        <w:spacing w:line="319" w:lineRule="auto" w:before="52"/>
        <w:ind w:right="2289"/>
        <w:jc w:val="left"/>
      </w:pPr>
      <w:r>
        <w:rPr/>
        <w:t>本企业重要的合营或联营企业详见附注第十二节、九、</w:t>
      </w:r>
      <w:r>
        <w:rPr>
          <w:rFonts w:ascii="Times New Roman" w:hAnsi="Times New Roman" w:cs="Times New Roman" w:eastAsia="Times New Roman" w:hint="default"/>
        </w:rPr>
        <w:t>3</w:t>
      </w:r>
      <w:r>
        <w:rPr/>
        <w:t>、（</w:t>
      </w:r>
      <w:r>
        <w:rPr>
          <w:rFonts w:ascii="Times New Roman" w:hAnsi="Times New Roman" w:cs="Times New Roman" w:eastAsia="Times New Roman" w:hint="default"/>
        </w:rPr>
        <w:t>3</w:t>
      </w:r>
      <w:r>
        <w:rPr/>
        <w:t>）、重要联营企业的主要财务信息。</w:t>
      </w:r>
      <w:r>
        <w:rPr>
          <w:spacing w:val="-86"/>
        </w:rPr>
        <w:t> </w:t>
      </w:r>
      <w:r>
        <w:rPr/>
        <w:t>本期与本公司发生关联方交易，或前期与本公司发生关联方交易形成余额的其他合营或联营企业情况如下：</w:t>
      </w:r>
    </w:p>
    <w:p>
      <w:pPr>
        <w:spacing w:line="240" w:lineRule="auto" w:before="0"/>
        <w:rPr>
          <w:rFonts w:ascii="宋体" w:hAnsi="宋体" w:cs="宋体" w:eastAsia="宋体" w:hint="default"/>
          <w:sz w:val="5"/>
          <w:szCs w:val="5"/>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62"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深圳市深创谷技术服务有限公司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23.5016%</w:t>
            </w:r>
            <w:r>
              <w:rPr>
                <w:rFonts w:ascii="宋体" w:hAnsi="宋体" w:cs="宋体" w:eastAsia="宋体" w:hint="default"/>
                <w:sz w:val="18"/>
                <w:szCs w:val="18"/>
              </w:rPr>
              <w:t>的股权</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翼智（厦门）信息科技有限公司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的股权</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4、其他关联方情况" w:id="480"/>
      <w:bookmarkEnd w:id="480"/>
      <w:r>
        <w:rPr>
          <w:b w:val="0"/>
          <w:bCs w:val="0"/>
        </w:rPr>
      </w:r>
      <w:r>
        <w:rPr>
          <w:rFonts w:ascii="Times New Roman" w:hAnsi="Times New Roman" w:cs="Times New Roman" w:eastAsia="Times New Roman" w:hint="default"/>
          <w:spacing w:val="5"/>
        </w:rPr>
        <w:t>4</w:t>
      </w:r>
      <w:r>
        <w:rPr>
          <w:spacing w:val="5"/>
        </w:rPr>
        <w:t>、其他关联方情况</w:t>
      </w:r>
      <w:r>
        <w:rPr>
          <w:b w:val="0"/>
          <w:bCs w:val="0"/>
          <w:spacing w:val="5"/>
        </w:rPr>
      </w:r>
    </w:p>
    <w:p>
      <w:pPr>
        <w:spacing w:line="240" w:lineRule="auto" w:before="7"/>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8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北京朝歌数码科技股份有限公司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4.50%</w:t>
            </w:r>
            <w:r>
              <w:rPr>
                <w:rFonts w:ascii="宋体" w:hAnsi="宋体" w:cs="宋体" w:eastAsia="宋体" w:hint="default"/>
                <w:sz w:val="18"/>
                <w:szCs w:val="18"/>
              </w:rPr>
              <w:t>的股权</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Itasca </w:t>
            </w:r>
            <w:r>
              <w:rPr>
                <w:rFonts w:ascii="Times New Roman"/>
                <w:spacing w:val="-3"/>
                <w:sz w:val="18"/>
              </w:rPr>
              <w:t>Holdings</w:t>
            </w:r>
            <w:r>
              <w:rPr>
                <w:rFonts w:ascii="Times New Roman"/>
                <w:spacing w:val="8"/>
                <w:sz w:val="18"/>
              </w:rPr>
              <w:t> </w:t>
            </w:r>
            <w:r>
              <w:rPr>
                <w:rFonts w:ascii="Times New Roman"/>
                <w:sz w:val="18"/>
              </w:rPr>
              <w:t>Ltd</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联营公司之子公司</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Haxis</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Labs(</w:t>
            </w:r>
            <w:r>
              <w:rPr>
                <w:rFonts w:ascii="宋体" w:hAnsi="宋体" w:cs="宋体" w:eastAsia="宋体" w:hint="default"/>
                <w:sz w:val="18"/>
                <w:szCs w:val="18"/>
              </w:rPr>
              <w:t>美国</w:t>
            </w:r>
            <w:r>
              <w:rPr>
                <w:rFonts w:ascii="Times New Roman" w:hAnsi="Times New Roman" w:cs="Times New Roman" w:eastAsia="Times New Roman" w:hint="default"/>
                <w:sz w:val="18"/>
                <w:szCs w:val="18"/>
              </w:rPr>
              <w:t>)</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联营公司之子公司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深创谷技术（香港）有限公司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联营公司之子公司</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1"/>
        <w:rPr>
          <w:rFonts w:ascii="宋体" w:hAnsi="宋体" w:cs="宋体" w:eastAsia="宋体" w:hint="default"/>
          <w:b/>
          <w:bCs/>
          <w:sz w:val="26"/>
          <w:szCs w:val="26"/>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5、关联交易情况" w:id="481"/>
      <w:bookmarkEnd w:id="481"/>
      <w:r>
        <w:rPr>
          <w:b w:val="0"/>
          <w:bCs w:val="0"/>
        </w:rPr>
      </w:r>
      <w:r>
        <w:rPr>
          <w:rFonts w:ascii="Times New Roman" w:hAnsi="Times New Roman" w:cs="Times New Roman" w:eastAsia="Times New Roman" w:hint="default"/>
          <w:spacing w:val="4"/>
        </w:rPr>
        <w:t>5</w:t>
      </w:r>
      <w:r>
        <w:rPr>
          <w:spacing w:val="4"/>
        </w:rPr>
        <w:t>、关联交易情况</w:t>
      </w:r>
      <w:r>
        <w:rPr>
          <w:b w:val="0"/>
          <w:bCs w:val="0"/>
          <w:spacing w:val="4"/>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购销商品、提供和接受劳务的关联交易" w:id="482"/>
      <w:bookmarkEnd w:id="482"/>
      <w:r>
        <w:rPr>
          <w:b w:val="0"/>
          <w:bCs w:val="0"/>
        </w:rPr>
      </w:r>
      <w:r>
        <w:rPr>
          <w:spacing w:val="5"/>
        </w:rPr>
        <w:t>（</w:t>
      </w:r>
      <w:r>
        <w:rPr>
          <w:rFonts w:ascii="Times New Roman" w:hAnsi="Times New Roman" w:cs="Times New Roman" w:eastAsia="Times New Roman" w:hint="default"/>
          <w:spacing w:val="5"/>
        </w:rPr>
        <w:t>1</w:t>
      </w:r>
      <w:r>
        <w:rPr>
          <w:spacing w:val="5"/>
        </w:rPr>
        <w:t>）购销商品、提供和接受劳务的关联交易</w:t>
      </w:r>
      <w:r>
        <w:rPr>
          <w:b w:val="0"/>
          <w:bCs w:val="0"/>
          <w:spacing w:val="5"/>
        </w:rPr>
      </w:r>
    </w:p>
    <w:p>
      <w:pPr>
        <w:spacing w:line="240" w:lineRule="auto" w:before="6"/>
        <w:rPr>
          <w:rFonts w:ascii="宋体" w:hAnsi="宋体" w:cs="宋体" w:eastAsia="宋体" w:hint="default"/>
          <w:b/>
          <w:bCs/>
          <w:sz w:val="24"/>
          <w:szCs w:val="24"/>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47"/>
        <w:gridCol w:w="1456"/>
        <w:gridCol w:w="1457"/>
        <w:gridCol w:w="1697"/>
        <w:gridCol w:w="1712"/>
        <w:gridCol w:w="1712"/>
      </w:tblGrid>
      <w:tr>
        <w:trPr>
          <w:trHeight w:val="391"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8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深圳市深创谷技术 服务有限公司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14,190.71</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46,099.06</w:t>
            </w:r>
          </w:p>
        </w:tc>
      </w:tr>
      <w:tr>
        <w:trPr>
          <w:trHeight w:val="39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14,190.71</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46,099.06</w:t>
            </w:r>
          </w:p>
        </w:tc>
      </w:tr>
    </w:tbl>
    <w:p>
      <w:pPr>
        <w:pStyle w:val="BodyText"/>
        <w:spacing w:line="240" w:lineRule="auto" w:before="59"/>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03"/>
        <w:gridCol w:w="2252"/>
        <w:gridCol w:w="2268"/>
        <w:gridCol w:w="2658"/>
      </w:tblGrid>
      <w:tr>
        <w:trPr>
          <w:trHeight w:val="405"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1"/>
              <w:jc w:val="left"/>
              <w:rPr>
                <w:rFonts w:ascii="宋体" w:hAnsi="宋体" w:cs="宋体" w:eastAsia="宋体" w:hint="default"/>
                <w:sz w:val="18"/>
                <w:szCs w:val="18"/>
              </w:rPr>
            </w:pPr>
            <w:r>
              <w:rPr>
                <w:rFonts w:ascii="宋体" w:hAnsi="宋体" w:cs="宋体" w:eastAsia="宋体" w:hint="default"/>
                <w:sz w:val="18"/>
                <w:szCs w:val="18"/>
              </w:rPr>
              <w:t>深圳市深创谷技术服务有限公 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1,063,526.07</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2,845,552.06</w:t>
            </w:r>
          </w:p>
        </w:tc>
      </w:tr>
      <w:tr>
        <w:trPr>
          <w:trHeight w:val="72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31"/>
              <w:jc w:val="left"/>
              <w:rPr>
                <w:rFonts w:ascii="宋体" w:hAnsi="宋体" w:cs="宋体" w:eastAsia="宋体" w:hint="default"/>
                <w:sz w:val="18"/>
                <w:szCs w:val="18"/>
              </w:rPr>
            </w:pPr>
            <w:r>
              <w:rPr>
                <w:rFonts w:ascii="宋体" w:hAnsi="宋体" w:cs="宋体" w:eastAsia="宋体" w:hint="default"/>
                <w:sz w:val="18"/>
                <w:szCs w:val="18"/>
              </w:rPr>
              <w:t>北京朝歌数码科技股份有限公 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1,405,945.50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911.38</w:t>
            </w: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1"/>
              <w:jc w:val="left"/>
              <w:rPr>
                <w:rFonts w:ascii="宋体" w:hAnsi="宋体" w:cs="宋体" w:eastAsia="宋体" w:hint="default"/>
                <w:sz w:val="18"/>
                <w:szCs w:val="18"/>
              </w:rPr>
            </w:pPr>
            <w:r>
              <w:rPr>
                <w:rFonts w:ascii="宋体" w:hAnsi="宋体" w:cs="宋体" w:eastAsia="宋体" w:hint="default"/>
                <w:sz w:val="18"/>
                <w:szCs w:val="18"/>
              </w:rPr>
              <w:t>翼智（厦门）信息科技有限公 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927,147.22</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2"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3,396,618.79</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2,846,463.44</w:t>
            </w:r>
          </w:p>
        </w:tc>
      </w:tr>
    </w:tbl>
    <w:p>
      <w:pPr>
        <w:pStyle w:val="BodyText"/>
        <w:spacing w:line="240" w:lineRule="auto" w:before="45"/>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2）关联受托管理/承包及委托管理/出包情况" w:id="483"/>
      <w:bookmarkEnd w:id="483"/>
      <w:r>
        <w:rPr>
          <w:b w:val="0"/>
          <w:bCs w:val="0"/>
        </w:rPr>
      </w:r>
      <w:r>
        <w:rPr>
          <w:spacing w:val="5"/>
        </w:rPr>
        <w:t>（</w:t>
      </w:r>
      <w:r>
        <w:rPr>
          <w:rFonts w:ascii="Times New Roman" w:hAnsi="Times New Roman" w:cs="Times New Roman" w:eastAsia="Times New Roman" w:hint="default"/>
          <w:spacing w:val="5"/>
        </w:rPr>
        <w:t>2</w:t>
      </w:r>
      <w:r>
        <w:rPr>
          <w:spacing w:val="5"/>
        </w:rPr>
        <w:t>）关联受托管理</w:t>
      </w:r>
      <w:r>
        <w:rPr>
          <w:rFonts w:ascii="Times New Roman" w:hAnsi="Times New Roman" w:cs="Times New Roman" w:eastAsia="Times New Roman" w:hint="default"/>
          <w:spacing w:val="5"/>
        </w:rPr>
        <w:t>/</w:t>
      </w:r>
      <w:r>
        <w:rPr>
          <w:spacing w:val="5"/>
        </w:rPr>
        <w:t>承包及委托管理</w:t>
      </w:r>
      <w:r>
        <w:rPr>
          <w:rFonts w:ascii="Times New Roman" w:hAnsi="Times New Roman" w:cs="Times New Roman" w:eastAsia="Times New Roman" w:hint="default"/>
          <w:spacing w:val="5"/>
        </w:rPr>
        <w:t>/</w:t>
      </w:r>
      <w:r>
        <w:rPr>
          <w:spacing w:val="5"/>
        </w:rPr>
        <w:t>出包情况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96"/>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70" w:right="30" w:hanging="55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85" w:right="13" w:hanging="55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85" w:right="29" w:hanging="55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210" w:right="28" w:hanging="195"/>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05" w:right="59" w:hanging="76"/>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pStyle w:val="BodyText"/>
        <w:spacing w:line="333" w:lineRule="auto" w:before="59"/>
        <w:ind w:right="-9"/>
        <w:jc w:val="left"/>
      </w:pPr>
      <w:r>
        <w:rPr/>
        <w:t>关联托管</w:t>
      </w:r>
      <w:r>
        <w:rPr>
          <w:rFonts w:ascii="Times New Roman" w:hAnsi="Times New Roman" w:cs="Times New Roman" w:eastAsia="Times New Roman" w:hint="default"/>
        </w:rPr>
        <w:t>/</w:t>
      </w:r>
      <w:r>
        <w:rPr/>
        <w:t>承包情况说明 </w:t>
      </w:r>
      <w:r>
        <w:rPr>
          <w:spacing w:val="-1"/>
        </w:rPr>
        <w:t>本公司委托管理</w:t>
      </w:r>
      <w:r>
        <w:rPr>
          <w:rFonts w:ascii="Times New Roman" w:hAnsi="Times New Roman" w:cs="Times New Roman" w:eastAsia="Times New Roman" w:hint="default"/>
          <w:spacing w:val="-1"/>
        </w:rPr>
        <w:t>/</w:t>
      </w:r>
      <w:r>
        <w:rPr>
          <w:spacing w:val="-1"/>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2529" w:space="6318"/>
            <w:col w:w="2063"/>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5"/>
              <w:ind w:left="570" w:right="30" w:hanging="55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5"/>
              <w:ind w:left="585" w:right="15" w:hanging="55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5"/>
              <w:ind w:left="585" w:right="29" w:hanging="55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5"/>
              <w:ind w:left="390" w:right="29" w:hanging="37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285" w:right="59" w:hanging="25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60"/>
        <w:ind w:right="0"/>
        <w:jc w:val="left"/>
      </w:pPr>
      <w:r>
        <w:rPr/>
        <w:t>关联管理</w:t>
      </w:r>
      <w:r>
        <w:rPr>
          <w:rFonts w:ascii="Times New Roman" w:hAnsi="Times New Roman" w:cs="Times New Roman" w:eastAsia="Times New Roman" w:hint="default"/>
        </w:rPr>
        <w:t>/</w:t>
      </w:r>
      <w:r>
        <w:rPr/>
        <w:t>出包情况说明</w:t>
      </w:r>
    </w:p>
    <w:p>
      <w:pPr>
        <w:spacing w:line="240" w:lineRule="auto" w:before="0"/>
        <w:rPr>
          <w:rFonts w:ascii="宋体" w:hAnsi="宋体" w:cs="宋体" w:eastAsia="宋体" w:hint="default"/>
          <w:sz w:val="18"/>
          <w:szCs w:val="18"/>
        </w:rPr>
      </w:pPr>
    </w:p>
    <w:p>
      <w:pPr>
        <w:pStyle w:val="Heading5"/>
        <w:spacing w:line="240" w:lineRule="auto" w:before="119"/>
        <w:ind w:right="0"/>
        <w:jc w:val="left"/>
        <w:rPr>
          <w:b w:val="0"/>
          <w:bCs w:val="0"/>
        </w:rPr>
      </w:pPr>
      <w:bookmarkStart w:name="（3）关联租赁情况" w:id="484"/>
      <w:bookmarkEnd w:id="484"/>
      <w:r>
        <w:rPr>
          <w:b w:val="0"/>
          <w:bCs w:val="0"/>
        </w:rPr>
      </w:r>
      <w:r>
        <w:rPr>
          <w:spacing w:val="5"/>
        </w:rPr>
        <w:t>（</w:t>
      </w:r>
      <w:r>
        <w:rPr>
          <w:rFonts w:ascii="Times New Roman" w:hAnsi="Times New Roman" w:cs="Times New Roman" w:eastAsia="Times New Roman" w:hint="default"/>
          <w:spacing w:val="5"/>
        </w:rPr>
        <w:t>3</w:t>
      </w:r>
      <w:r>
        <w:rPr>
          <w:spacing w:val="5"/>
        </w:rPr>
        <w:t>）关联租赁情况</w:t>
      </w:r>
      <w:r>
        <w:rPr>
          <w:b w:val="0"/>
          <w:bCs w:val="0"/>
          <w:spacing w:val="5"/>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本公司作为出租方：</w:t>
      </w:r>
    </w:p>
    <w:p>
      <w:pPr>
        <w:spacing w:after="0" w:line="240" w:lineRule="auto"/>
        <w:jc w:val="left"/>
        <w:sectPr>
          <w:type w:val="continuous"/>
          <w:pgSz w:w="11910" w:h="16850"/>
          <w:pgMar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深圳市深创谷技术服务有限 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47" w:right="0"/>
              <w:jc w:val="left"/>
              <w:rPr>
                <w:rFonts w:ascii="Times New Roman" w:hAnsi="Times New Roman" w:cs="Times New Roman" w:eastAsia="Times New Roman" w:hint="default"/>
                <w:sz w:val="18"/>
                <w:szCs w:val="18"/>
              </w:rPr>
            </w:pPr>
            <w:r>
              <w:rPr>
                <w:rFonts w:ascii="Times New Roman"/>
                <w:sz w:val="18"/>
              </w:rPr>
              <w:t>695,485.30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62" w:right="0"/>
              <w:jc w:val="left"/>
              <w:rPr>
                <w:rFonts w:ascii="Times New Roman" w:hAnsi="Times New Roman" w:cs="Times New Roman" w:eastAsia="Times New Roman" w:hint="default"/>
                <w:sz w:val="18"/>
                <w:szCs w:val="18"/>
              </w:rPr>
            </w:pPr>
            <w:r>
              <w:rPr>
                <w:rFonts w:ascii="Times New Roman"/>
                <w:sz w:val="18"/>
              </w:rPr>
              <w:t>606,840.00</w:t>
            </w:r>
          </w:p>
        </w:tc>
      </w:tr>
    </w:tbl>
    <w:p>
      <w:pPr>
        <w:pStyle w:val="BodyText"/>
        <w:spacing w:line="240" w:lineRule="auto" w:before="45"/>
        <w:ind w:right="0"/>
        <w:jc w:val="left"/>
      </w:pPr>
      <w:r>
        <w:rPr/>
        <w:t>本公司作为承租方：</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5"/>
        <w:ind w:right="0"/>
        <w:jc w:val="left"/>
      </w:pPr>
      <w:r>
        <w:rPr/>
        <w:t>关联租赁情况说明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4）关联担保情况" w:id="485"/>
      <w:bookmarkEnd w:id="485"/>
      <w:r>
        <w:rPr>
          <w:b w:val="0"/>
          <w:bCs w:val="0"/>
        </w:rPr>
      </w:r>
      <w:r>
        <w:rPr>
          <w:spacing w:val="5"/>
        </w:rPr>
        <w:t>（</w:t>
      </w:r>
      <w:r>
        <w:rPr>
          <w:rFonts w:ascii="Times New Roman" w:hAnsi="Times New Roman" w:cs="Times New Roman" w:eastAsia="Times New Roman" w:hint="default"/>
          <w:spacing w:val="5"/>
        </w:rPr>
        <w:t>4</w:t>
      </w:r>
      <w:r>
        <w:rPr>
          <w:spacing w:val="5"/>
        </w:rPr>
        <w:t>）关联担保情况</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right="0"/>
        <w:jc w:val="left"/>
      </w:pPr>
      <w:r>
        <w:rPr/>
        <w:t>本公司作为担保方</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30"/>
              <w:ind w:left="15" w:right="90"/>
              <w:jc w:val="left"/>
              <w:rPr>
                <w:rFonts w:ascii="宋体" w:hAnsi="宋体" w:cs="宋体" w:eastAsia="宋体" w:hint="default"/>
                <w:sz w:val="18"/>
                <w:szCs w:val="18"/>
              </w:rPr>
            </w:pPr>
            <w:r>
              <w:rPr>
                <w:rFonts w:ascii="宋体" w:hAnsi="宋体" w:cs="宋体" w:eastAsia="宋体" w:hint="default"/>
                <w:sz w:val="18"/>
                <w:szCs w:val="18"/>
              </w:rPr>
              <w:t>深圳市卓翼智造有限公 司（注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深圳市卓翼智造有限公 司（注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天津卓达科技发展有限 公司（注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深圳市卓翼智造有限公 司（注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深圳市卓翼智造有限公 司（注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深圳市卓翼智造有限公 司（注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天津卓达科技发展有限 公司（注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天津卓达科技发展有限 公司（注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深圳市卓翼智造有限公 司（注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90"/>
              <w:jc w:val="left"/>
              <w:rPr>
                <w:rFonts w:ascii="宋体" w:hAnsi="宋体" w:cs="宋体" w:eastAsia="宋体" w:hint="default"/>
                <w:sz w:val="18"/>
                <w:szCs w:val="18"/>
              </w:rPr>
            </w:pPr>
            <w:r>
              <w:rPr>
                <w:rFonts w:ascii="宋体" w:hAnsi="宋体" w:cs="宋体" w:eastAsia="宋体" w:hint="default"/>
                <w:sz w:val="18"/>
                <w:szCs w:val="18"/>
              </w:rPr>
              <w:t>深圳市卓翼智造有限公 司（注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29"/>
              <w:ind w:left="15" w:right="90"/>
              <w:jc w:val="left"/>
              <w:rPr>
                <w:rFonts w:ascii="宋体" w:hAnsi="宋体" w:cs="宋体" w:eastAsia="宋体" w:hint="default"/>
                <w:sz w:val="18"/>
                <w:szCs w:val="18"/>
              </w:rPr>
            </w:pPr>
            <w:r>
              <w:rPr>
                <w:rFonts w:ascii="宋体" w:hAnsi="宋体" w:cs="宋体" w:eastAsia="宋体" w:hint="default"/>
                <w:sz w:val="18"/>
                <w:szCs w:val="18"/>
              </w:rPr>
              <w:t>深圳市卓翼智造有限公 司（注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90"/>
              <w:jc w:val="left"/>
              <w:rPr>
                <w:rFonts w:ascii="宋体" w:hAnsi="宋体" w:cs="宋体" w:eastAsia="宋体" w:hint="default"/>
                <w:sz w:val="18"/>
                <w:szCs w:val="18"/>
              </w:rPr>
            </w:pPr>
            <w:r>
              <w:rPr>
                <w:rFonts w:ascii="宋体" w:hAnsi="宋体" w:cs="宋体" w:eastAsia="宋体" w:hint="default"/>
                <w:sz w:val="18"/>
                <w:szCs w:val="18"/>
              </w:rPr>
              <w:t>深圳市卓翼智造有限公 司（注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5"/>
        <w:ind w:right="0"/>
        <w:jc w:val="left"/>
      </w:pPr>
      <w:r>
        <w:rPr/>
        <w:t>本公司作为被担保方</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4"/>
        <w:ind w:right="0"/>
        <w:jc w:val="left"/>
      </w:pPr>
      <w:r>
        <w:rPr/>
        <w:t>关联担保情况说明</w:t>
      </w:r>
    </w:p>
    <w:p>
      <w:pPr>
        <w:pStyle w:val="BodyText"/>
        <w:spacing w:line="312" w:lineRule="auto" w:before="125"/>
        <w:ind w:right="1136" w:firstLine="420"/>
        <w:jc w:val="both"/>
      </w:pPr>
      <w:r>
        <w:rPr/>
        <w:t>注</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w:t>
      </w:r>
      <w:r>
        <w:rPr/>
        <w:t>日与中国建设银行股份有限公司深圳市分行签订合同编号为</w:t>
      </w:r>
      <w:r>
        <w:rPr>
          <w:spacing w:val="-10"/>
        </w:rPr>
        <w:t> </w:t>
      </w:r>
      <w:r>
        <w:rPr/>
        <w:t>保借</w:t>
      </w:r>
      <w:r>
        <w:rPr>
          <w:rFonts w:ascii="Times New Roman" w:hAnsi="Times New Roman" w:cs="Times New Roman" w:eastAsia="Times New Roman" w:hint="default"/>
        </w:rPr>
        <w:t>2017</w:t>
      </w:r>
      <w:r>
        <w:rPr/>
        <w:t>综</w:t>
      </w:r>
      <w:r>
        <w:rPr>
          <w:rFonts w:ascii="Times New Roman" w:hAnsi="Times New Roman" w:cs="Times New Roman" w:eastAsia="Times New Roman" w:hint="default"/>
        </w:rPr>
        <w:t>0937</w:t>
      </w:r>
      <w:r>
        <w:rPr/>
        <w:t>中心区的额度 </w:t>
      </w:r>
      <w:r>
        <w:rPr>
          <w:spacing w:val="-2"/>
        </w:rPr>
        <w:t>保证合同，为全资子公司卓翼智造提供最高不超过人民币贰亿元的债权担保。担保期间为贷款之日起至债务履行期届满之日</w:t>
      </w:r>
      <w:r>
        <w:rPr>
          <w:spacing w:val="-72"/>
        </w:rPr>
        <w:t> </w:t>
      </w:r>
      <w:r>
        <w:rPr>
          <w:spacing w:val="-72"/>
        </w:rPr>
      </w:r>
      <w:r>
        <w:rPr/>
        <w:t>起</w:t>
      </w:r>
      <w:r>
        <w:rPr>
          <w:rFonts w:ascii="Times New Roman" w:hAnsi="Times New Roman" w:cs="Times New Roman" w:eastAsia="Times New Roman" w:hint="default"/>
        </w:rPr>
        <w:t>2</w:t>
      </w:r>
      <w:r>
        <w:rPr/>
        <w:t>年。</w:t>
      </w:r>
    </w:p>
    <w:p>
      <w:pPr>
        <w:pStyle w:val="BodyText"/>
        <w:spacing w:line="304" w:lineRule="auto"/>
        <w:ind w:right="0" w:firstLine="420"/>
        <w:jc w:val="left"/>
      </w:pPr>
      <w:r>
        <w:rPr/>
        <w:t>注</w:t>
      </w:r>
      <w:r>
        <w:rPr>
          <w:rFonts w:ascii="Times New Roman" w:hAnsi="Times New Roman" w:cs="Times New Roman" w:eastAsia="Times New Roman" w:hint="default"/>
        </w:rPr>
        <w:t>2</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日与中国建设银行股份有限公司深圳高新区支行签订合同编号为</w:t>
      </w:r>
      <w:r>
        <w:rPr>
          <w:rFonts w:ascii="Times New Roman" w:hAnsi="Times New Roman" w:cs="Times New Roman" w:eastAsia="Times New Roman" w:hint="default"/>
        </w:rPr>
        <w:t>2017</w:t>
      </w:r>
      <w:r>
        <w:rPr/>
        <w:t>圳中银高司保字第 </w:t>
      </w:r>
      <w:r>
        <w:rPr>
          <w:rFonts w:ascii="Times New Roman" w:hAnsi="Times New Roman" w:cs="Times New Roman" w:eastAsia="Times New Roman" w:hint="default"/>
          <w:spacing w:val="-2"/>
        </w:rPr>
        <w:t>0103</w:t>
      </w:r>
      <w:r>
        <w:rPr>
          <w:spacing w:val="-2"/>
        </w:rPr>
        <w:t>号最高额保证合同，为全资子公司卓翼智造提供最高不超过人民币伍仟万元的债权担保。担保期间为贷款之日起至主债</w:t>
      </w:r>
      <w:r>
        <w:rPr>
          <w:spacing w:val="-68"/>
        </w:rPr>
        <w:t> </w:t>
      </w:r>
      <w:r>
        <w:rPr>
          <w:spacing w:val="-68"/>
        </w:rPr>
      </w:r>
      <w:r>
        <w:rPr/>
        <w:t>权发生期间届满之日起</w:t>
      </w:r>
      <w:r>
        <w:rPr>
          <w:rFonts w:ascii="Times New Roman" w:hAnsi="Times New Roman" w:cs="Times New Roman" w:eastAsia="Times New Roman" w:hint="default"/>
        </w:rPr>
        <w:t>2</w:t>
      </w:r>
      <w:r>
        <w:rPr/>
        <w:t>年。</w:t>
      </w:r>
    </w:p>
    <w:p>
      <w:pPr>
        <w:pStyle w:val="BodyText"/>
        <w:spacing w:line="288" w:lineRule="auto" w:before="12"/>
        <w:ind w:right="1099" w:firstLine="420"/>
        <w:jc w:val="left"/>
      </w:pPr>
      <w:r>
        <w:rPr/>
        <w:t>注</w:t>
      </w:r>
      <w:r>
        <w:rPr>
          <w:rFonts w:ascii="Times New Roman" w:hAnsi="Times New Roman" w:cs="Times New Roman" w:eastAsia="Times New Roman" w:hint="default"/>
        </w:rPr>
        <w:t>3</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日与上海浦东发展银行股份有限公司天津分行签订合同编号为</w:t>
      </w:r>
      <w:r>
        <w:rPr>
          <w:rFonts w:ascii="Times New Roman" w:hAnsi="Times New Roman" w:cs="Times New Roman" w:eastAsia="Times New Roman" w:hint="default"/>
        </w:rPr>
        <w:t>ZB7705201900000017</w:t>
      </w:r>
      <w:r>
        <w:rPr/>
        <w:t>的最高 额保证合同，为全资子公司天津卓达提供最高不超过人民币捌仟万元的债权担保。担保期间为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rFonts w:ascii="Times New Roman" w:hAnsi="Times New Roman" w:cs="Times New Roman" w:eastAsia="Times New Roman" w:hint="default"/>
          <w:spacing w:val="-37"/>
        </w:rPr>
        <w:t> </w:t>
      </w:r>
      <w:r>
        <w:rPr/>
        <w:t>日。</w:t>
      </w:r>
    </w:p>
    <w:p>
      <w:pPr>
        <w:pStyle w:val="BodyText"/>
        <w:spacing w:line="312" w:lineRule="auto" w:before="59"/>
        <w:ind w:right="1112" w:firstLine="420"/>
        <w:jc w:val="both"/>
      </w:pPr>
      <w:r>
        <w:rPr>
          <w:spacing w:val="-1"/>
        </w:rPr>
        <w:t>注</w:t>
      </w:r>
      <w:r>
        <w:rPr>
          <w:rFonts w:ascii="Times New Roman" w:hAnsi="Times New Roman" w:cs="Times New Roman" w:eastAsia="Times New Roman" w:hint="default"/>
          <w:spacing w:val="-1"/>
        </w:rPr>
        <w:t>4</w:t>
      </w:r>
      <w:r>
        <w:rPr>
          <w:spacing w:val="-1"/>
        </w:rPr>
        <w:t>：本公司于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05</w:t>
      </w:r>
      <w:r>
        <w:rPr>
          <w:spacing w:val="-1"/>
        </w:rPr>
        <w:t>月</w:t>
      </w:r>
      <w:r>
        <w:rPr>
          <w:rFonts w:ascii="Times New Roman" w:hAnsi="Times New Roman" w:cs="Times New Roman" w:eastAsia="Times New Roman" w:hint="default"/>
          <w:spacing w:val="-1"/>
        </w:rPr>
        <w:t>23</w:t>
      </w:r>
      <w:r>
        <w:rPr>
          <w:spacing w:val="-1"/>
        </w:rPr>
        <w:t>日与中国建设银行股份有限公司深圳市分行签订合同编号为保借</w:t>
      </w:r>
      <w:r>
        <w:rPr>
          <w:rFonts w:ascii="Times New Roman" w:hAnsi="Times New Roman" w:cs="Times New Roman" w:eastAsia="Times New Roman" w:hint="default"/>
          <w:spacing w:val="-1"/>
        </w:rPr>
        <w:t>2018</w:t>
      </w:r>
      <w:r>
        <w:rPr>
          <w:spacing w:val="-1"/>
        </w:rPr>
        <w:t>综</w:t>
      </w:r>
      <w:r>
        <w:rPr>
          <w:rFonts w:ascii="Times New Roman" w:hAnsi="Times New Roman" w:cs="Times New Roman" w:eastAsia="Times New Roman" w:hint="default"/>
          <w:spacing w:val="-1"/>
        </w:rPr>
        <w:t>5209</w:t>
      </w:r>
      <w:r>
        <w:rPr>
          <w:spacing w:val="-1"/>
        </w:rPr>
        <w:t>中心区的额度</w:t>
      </w:r>
      <w:r>
        <w:rPr/>
        <w:t> </w:t>
      </w:r>
      <w:r>
        <w:rPr>
          <w:spacing w:val="-2"/>
        </w:rPr>
        <w:t>保证合同，为全资子公司卓翼智造提供最高不超过人民币壹亿伍仟万元的债权担保。担保期间为贷款之日起至该笔债务履行</w:t>
      </w:r>
      <w:r>
        <w:rPr>
          <w:spacing w:val="-72"/>
        </w:rPr>
        <w:t> </w:t>
      </w:r>
      <w:r>
        <w:rPr>
          <w:spacing w:val="-72"/>
        </w:rPr>
      </w:r>
      <w:r>
        <w:rPr/>
        <w:t>期限届满之日后</w:t>
      </w:r>
      <w:r>
        <w:rPr>
          <w:rFonts w:ascii="Times New Roman" w:hAnsi="Times New Roman" w:cs="Times New Roman" w:eastAsia="Times New Roman" w:hint="default"/>
        </w:rPr>
        <w:t>3</w:t>
      </w:r>
      <w:r>
        <w:rPr/>
        <w:t>年止。</w:t>
      </w:r>
    </w:p>
    <w:p>
      <w:pPr>
        <w:pStyle w:val="BodyText"/>
        <w:spacing w:line="273" w:lineRule="auto" w:before="6"/>
        <w:ind w:right="1136" w:firstLine="420"/>
        <w:jc w:val="both"/>
      </w:pPr>
      <w:r>
        <w:rPr/>
        <w:t>注</w:t>
      </w:r>
      <w:r>
        <w:rPr>
          <w:rFonts w:ascii="Times New Roman" w:hAnsi="Times New Roman" w:cs="Times New Roman" w:eastAsia="Times New Roman" w:hint="default"/>
        </w:rPr>
        <w:t>5</w:t>
      </w: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02</w:t>
      </w:r>
      <w:r>
        <w:rPr/>
        <w:t>日与华夏银行股份有限公司深圳蔡屋围支行签订合同编号为</w:t>
      </w:r>
      <w:r>
        <w:rPr>
          <w:rFonts w:ascii="Times New Roman" w:hAnsi="Times New Roman" w:cs="Times New Roman" w:eastAsia="Times New Roman" w:hint="default"/>
        </w:rPr>
        <w:t>SZ32</w:t>
      </w:r>
      <w:r>
        <w:rPr/>
        <w:t>（高保）</w:t>
      </w:r>
      <w:r>
        <w:rPr>
          <w:rFonts w:ascii="Times New Roman" w:hAnsi="Times New Roman" w:cs="Times New Roman" w:eastAsia="Times New Roman" w:hint="default"/>
        </w:rPr>
        <w:t>20180006-11</w:t>
      </w:r>
      <w:r>
        <w:rPr/>
        <w:t>的 </w:t>
      </w:r>
      <w:r>
        <w:rPr>
          <w:spacing w:val="-2"/>
        </w:rPr>
        <w:t>最高额保证合同，为全资子公司卓翼智造提供最高不超过人民币壹亿元的债权担保。担保期间为贷款之日起至债务履行期届</w:t>
      </w:r>
    </w:p>
    <w:p>
      <w:pPr>
        <w:pStyle w:val="BodyText"/>
        <w:spacing w:line="240" w:lineRule="auto" w:before="70"/>
        <w:ind w:right="0"/>
        <w:jc w:val="left"/>
      </w:pPr>
      <w:r>
        <w:rPr/>
        <w:t>满之日起</w:t>
      </w:r>
      <w:r>
        <w:rPr>
          <w:rFonts w:ascii="Times New Roman" w:hAnsi="Times New Roman" w:cs="Times New Roman" w:eastAsia="Times New Roman" w:hint="default"/>
        </w:rPr>
        <w:t>2</w:t>
      </w:r>
      <w:r>
        <w:rPr/>
        <w:t>年。</w:t>
      </w:r>
    </w:p>
    <w:p>
      <w:pPr>
        <w:pStyle w:val="BodyText"/>
        <w:spacing w:line="290" w:lineRule="auto" w:before="66"/>
        <w:ind w:right="1046" w:firstLine="420"/>
        <w:jc w:val="both"/>
      </w:pPr>
      <w:r>
        <w:rPr/>
        <w:t>注</w:t>
      </w:r>
      <w:r>
        <w:rPr>
          <w:rFonts w:ascii="Times New Roman" w:hAnsi="Times New Roman" w:cs="Times New Roman" w:eastAsia="Times New Roman" w:hint="default"/>
        </w:rPr>
        <w:t>6</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日与中国工商银行股份有限公司厦门软件园支行签订合同编号为</w:t>
      </w:r>
      <w:r>
        <w:rPr>
          <w:rFonts w:ascii="Times New Roman" w:hAnsi="Times New Roman" w:cs="Times New Roman" w:eastAsia="Times New Roman" w:hint="default"/>
        </w:rPr>
        <w:t>2017</w:t>
      </w:r>
      <w:r>
        <w:rPr/>
        <w:t>年软件园保字</w:t>
      </w:r>
      <w:r>
        <w:rPr>
          <w:rFonts w:ascii="Times New Roman" w:hAnsi="Times New Roman" w:cs="Times New Roman" w:eastAsia="Times New Roman" w:hint="default"/>
        </w:rPr>
        <w:t>120</w:t>
      </w:r>
      <w:r>
        <w:rPr/>
        <w:t>号 </w:t>
      </w:r>
      <w:r>
        <w:rPr>
          <w:spacing w:val="-4"/>
        </w:rPr>
        <w:t>的最高额保证合同，为全资子公司中广互联提供最高不超过人民币贰亿元的债权担保。担保期限系借款期限届满之日起两年。</w:t>
      </w:r>
    </w:p>
    <w:p>
      <w:pPr>
        <w:pStyle w:val="BodyText"/>
        <w:spacing w:line="276" w:lineRule="auto" w:before="56"/>
        <w:ind w:right="1046" w:firstLine="420"/>
        <w:jc w:val="both"/>
      </w:pPr>
      <w:r>
        <w:rPr/>
        <w:t>注</w:t>
      </w:r>
      <w:r>
        <w:rPr>
          <w:rFonts w:ascii="Times New Roman" w:hAnsi="Times New Roman" w:cs="Times New Roman" w:eastAsia="Times New Roman" w:hint="default"/>
        </w:rPr>
        <w:t>7</w:t>
      </w: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日与上海浦东发展银行股份有限公司天津分行签订合同编号为</w:t>
      </w:r>
      <w:r>
        <w:rPr>
          <w:rFonts w:ascii="Times New Roman" w:hAnsi="Times New Roman" w:cs="Times New Roman" w:eastAsia="Times New Roman" w:hint="default"/>
        </w:rPr>
        <w:t>ZB7705201800000019</w:t>
      </w:r>
      <w:r>
        <w:rPr/>
        <w:t>的最高 </w:t>
      </w:r>
      <w:r>
        <w:rPr>
          <w:spacing w:val="-4"/>
        </w:rPr>
        <w:t>额保证合同，为全资子公司天津卓达提供最高不超过人民币捌仟万元的债权担保。担保期限系债务履行期届满之日后两年止。</w:t>
      </w:r>
    </w:p>
    <w:p>
      <w:pPr>
        <w:pStyle w:val="BodyText"/>
        <w:spacing w:line="304" w:lineRule="auto" w:before="67"/>
        <w:ind w:right="1111" w:firstLine="420"/>
        <w:jc w:val="both"/>
      </w:pPr>
      <w:r>
        <w:rPr/>
        <w:t>注</w:t>
      </w:r>
      <w:r>
        <w:rPr>
          <w:rFonts w:ascii="Times New Roman" w:hAnsi="Times New Roman" w:cs="Times New Roman" w:eastAsia="Times New Roman" w:hint="default"/>
        </w:rPr>
        <w:t>8</w:t>
      </w: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日与上海浦东发展银行股份有限公司天津分行签订合同编号为</w:t>
      </w:r>
      <w:r>
        <w:rPr>
          <w:rFonts w:ascii="Times New Roman" w:hAnsi="Times New Roman" w:cs="Times New Roman" w:eastAsia="Times New Roman" w:hint="default"/>
        </w:rPr>
        <w:t>ZB7705201800000116</w:t>
      </w:r>
      <w:r>
        <w:rPr/>
        <w:t>的最高 </w:t>
      </w:r>
      <w:r>
        <w:rPr>
          <w:spacing w:val="-2"/>
        </w:rPr>
        <w:t>额保证合同，为全资子公司天津卓达提供最高不超过人民币捌仟万元的债权担保。保证期限系担保期限系债务履行期届满之</w:t>
      </w:r>
      <w:r>
        <w:rPr>
          <w:spacing w:val="-72"/>
        </w:rPr>
        <w:t> </w:t>
      </w:r>
      <w:r>
        <w:rPr>
          <w:spacing w:val="-72"/>
        </w:rPr>
      </w:r>
      <w:r>
        <w:rPr/>
        <w:t>日后两年止。</w:t>
      </w:r>
    </w:p>
    <w:p>
      <w:pPr>
        <w:pStyle w:val="BodyText"/>
        <w:spacing w:line="276" w:lineRule="auto" w:before="46"/>
        <w:ind w:right="1111" w:firstLine="420"/>
        <w:jc w:val="both"/>
      </w:pPr>
      <w:r>
        <w:rPr/>
        <w:t>注</w:t>
      </w:r>
      <w:r>
        <w:rPr>
          <w:rFonts w:ascii="Times New Roman" w:hAnsi="Times New Roman" w:cs="Times New Roman" w:eastAsia="Times New Roman" w:hint="default"/>
        </w:rPr>
        <w:t>9</w:t>
      </w: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w:t>
      </w:r>
      <w:r>
        <w:rPr/>
        <w:t>日与上海浦东发展银行股份有限公司深圳分行签订合同编号为</w:t>
      </w:r>
      <w:r>
        <w:rPr>
          <w:rFonts w:ascii="Times New Roman" w:hAnsi="Times New Roman" w:cs="Times New Roman" w:eastAsia="Times New Roman" w:hint="default"/>
        </w:rPr>
        <w:t>ZB7932201900000003</w:t>
      </w:r>
      <w:r>
        <w:rPr/>
        <w:t>的最高 </w:t>
      </w:r>
      <w:r>
        <w:rPr>
          <w:spacing w:val="-2"/>
        </w:rPr>
        <w:t>额保证合同，为全资子公司卓翼智造提供最高不超过人民币捌仟万元的债权担保。担保期间为贷款之日起至债务履行期届满</w:t>
      </w:r>
    </w:p>
    <w:p>
      <w:pPr>
        <w:pStyle w:val="BodyText"/>
        <w:spacing w:line="240" w:lineRule="auto" w:before="67"/>
        <w:ind w:right="0"/>
        <w:jc w:val="left"/>
      </w:pPr>
      <w:r>
        <w:rPr/>
        <w:t>之日起</w:t>
      </w:r>
      <w:r>
        <w:rPr>
          <w:rFonts w:ascii="Times New Roman" w:hAnsi="Times New Roman" w:cs="Times New Roman" w:eastAsia="Times New Roman" w:hint="default"/>
        </w:rPr>
        <w:t>2</w:t>
      </w:r>
      <w:r>
        <w:rPr/>
        <w:t>年。</w:t>
      </w:r>
    </w:p>
    <w:p>
      <w:pPr>
        <w:pStyle w:val="BodyText"/>
        <w:spacing w:line="312" w:lineRule="auto" w:before="66"/>
        <w:ind w:right="1136" w:firstLine="420"/>
        <w:jc w:val="both"/>
      </w:pPr>
      <w:r>
        <w:rPr/>
        <w:t>注</w:t>
      </w:r>
      <w:r>
        <w:rPr>
          <w:rFonts w:ascii="Times New Roman" w:hAnsi="Times New Roman" w:cs="Times New Roman" w:eastAsia="Times New Roman" w:hint="default"/>
        </w:rPr>
        <w:t>10</w:t>
      </w: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日与中国银行股份有限公司深圳高新区支行签订合同编号为</w:t>
      </w:r>
      <w:r>
        <w:rPr>
          <w:rFonts w:ascii="Times New Roman" w:hAnsi="Times New Roman" w:cs="Times New Roman" w:eastAsia="Times New Roman" w:hint="default"/>
        </w:rPr>
        <w:t>2018</w:t>
      </w:r>
      <w:r>
        <w:rPr/>
        <w:t>圳中银高司保字第</w:t>
      </w:r>
      <w:r>
        <w:rPr>
          <w:rFonts w:ascii="Times New Roman" w:hAnsi="Times New Roman" w:cs="Times New Roman" w:eastAsia="Times New Roman" w:hint="default"/>
        </w:rPr>
        <w:t>0095 </w:t>
      </w:r>
      <w:r>
        <w:rPr>
          <w:spacing w:val="-2"/>
        </w:rPr>
        <w:t>号的最高额保证合同，为全资子公司卓翼智造提供最高不超过人民币伍仟万元的债权担保。担保期间为贷款之日起至债务履</w:t>
      </w:r>
      <w:r>
        <w:rPr>
          <w:spacing w:val="-72"/>
        </w:rPr>
        <w:t> </w:t>
      </w:r>
      <w:r>
        <w:rPr>
          <w:spacing w:val="-72"/>
        </w:rPr>
      </w:r>
      <w:r>
        <w:rPr/>
        <w:t>行期届满之日起</w:t>
      </w:r>
      <w:r>
        <w:rPr>
          <w:rFonts w:ascii="Times New Roman" w:hAnsi="Times New Roman" w:cs="Times New Roman" w:eastAsia="Times New Roman" w:hint="default"/>
        </w:rPr>
        <w:t>2</w:t>
      </w:r>
      <w:r>
        <w:rPr/>
        <w:t>年。</w:t>
      </w:r>
    </w:p>
    <w:p>
      <w:pPr>
        <w:pStyle w:val="BodyText"/>
        <w:spacing w:line="290" w:lineRule="auto"/>
        <w:ind w:right="1133" w:firstLine="420"/>
        <w:jc w:val="both"/>
      </w:pPr>
      <w:r>
        <w:rPr>
          <w:spacing w:val="-2"/>
        </w:rPr>
        <w:t>注</w:t>
      </w:r>
      <w:r>
        <w:rPr>
          <w:rFonts w:ascii="Times New Roman" w:hAnsi="Times New Roman" w:cs="Times New Roman" w:eastAsia="Times New Roman" w:hint="default"/>
          <w:spacing w:val="-2"/>
        </w:rPr>
        <w:t>11</w:t>
      </w:r>
      <w:r>
        <w:rPr>
          <w:spacing w:val="-2"/>
        </w:rPr>
        <w:t>：本公司于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日与小米通讯技术有限公司签订最高额保证协议，为全资子公司卓翼智造提供最高不超过</w:t>
      </w:r>
      <w:r>
        <w:rPr/>
        <w:t> 人民币壹拾亿元的债权担保。担保期间为主合同子公司卓翼智造债务履行期届满之日起三年。</w:t>
      </w:r>
    </w:p>
    <w:p>
      <w:pPr>
        <w:pStyle w:val="BodyText"/>
        <w:spacing w:line="304" w:lineRule="auto" w:before="56"/>
        <w:ind w:right="1121" w:firstLine="420"/>
        <w:jc w:val="left"/>
      </w:pPr>
      <w:r>
        <w:rPr/>
        <w:t>注</w:t>
      </w:r>
      <w:r>
        <w:rPr>
          <w:rFonts w:ascii="Times New Roman" w:hAnsi="Times New Roman" w:cs="Times New Roman" w:eastAsia="Times New Roman" w:hint="default"/>
        </w:rPr>
        <w:t>12</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日与远东国际租赁有限公司签订保证合同，为全资子公司卓翼智造提供合同编号为 </w:t>
      </w:r>
      <w:r>
        <w:rPr>
          <w:rFonts w:ascii="Times New Roman" w:hAnsi="Times New Roman" w:cs="Times New Roman" w:eastAsia="Times New Roman" w:hint="default"/>
        </w:rPr>
        <w:t>IFELC19DG2KSV1-L-01</w:t>
      </w:r>
      <w:r>
        <w:rPr/>
        <w:t>的《售后回租赁合同》项下偿付租金及其他款项义务的保证，保证范围为《售后回租赁合同》相关 </w:t>
      </w:r>
      <w:r>
        <w:rPr>
          <w:spacing w:val="-2"/>
        </w:rPr>
        <w:t>租金、利息、违约金、损害赔偿金、租赁物件留购价款及其他应付款项。担保期间为保证合同签署之日起至租赁合同项下主</w:t>
      </w:r>
      <w:r>
        <w:rPr>
          <w:spacing w:val="-57"/>
        </w:rPr>
        <w:t> </w:t>
      </w:r>
      <w:r>
        <w:rPr>
          <w:spacing w:val="-57"/>
        </w:rPr>
      </w:r>
      <w:r>
        <w:rPr/>
        <w:t>债务履行期届满之日起满</w:t>
      </w:r>
      <w:r>
        <w:rPr>
          <w:rFonts w:ascii="Times New Roman" w:hAnsi="Times New Roman" w:cs="Times New Roman" w:eastAsia="Times New Roman" w:hint="default"/>
        </w:rPr>
        <w:t>2</w:t>
      </w:r>
      <w:r>
        <w:rPr/>
        <w:t>年的期间。</w:t>
      </w:r>
    </w:p>
    <w:p>
      <w:pPr>
        <w:spacing w:line="240" w:lineRule="auto" w:before="13"/>
        <w:rPr>
          <w:rFonts w:ascii="宋体" w:hAnsi="宋体" w:cs="宋体" w:eastAsia="宋体" w:hint="default"/>
          <w:sz w:val="22"/>
          <w:szCs w:val="22"/>
        </w:rPr>
      </w:pPr>
    </w:p>
    <w:p>
      <w:pPr>
        <w:pStyle w:val="Heading5"/>
        <w:spacing w:line="240" w:lineRule="auto"/>
        <w:ind w:right="0"/>
        <w:jc w:val="left"/>
        <w:rPr>
          <w:b w:val="0"/>
          <w:bCs w:val="0"/>
        </w:rPr>
      </w:pPr>
      <w:bookmarkStart w:name="（5）关联方资金拆借" w:id="486"/>
      <w:bookmarkEnd w:id="486"/>
      <w:r>
        <w:rPr>
          <w:b w:val="0"/>
          <w:bCs w:val="0"/>
        </w:rPr>
      </w:r>
      <w:r>
        <w:rPr>
          <w:spacing w:val="4"/>
        </w:rPr>
        <w:t>（</w:t>
      </w:r>
      <w:r>
        <w:rPr>
          <w:rFonts w:ascii="Times New Roman" w:hAnsi="Times New Roman" w:cs="Times New Roman" w:eastAsia="Times New Roman" w:hint="default"/>
          <w:spacing w:val="4"/>
        </w:rPr>
        <w:t>5</w:t>
      </w:r>
      <w:r>
        <w:rPr>
          <w:spacing w:val="4"/>
        </w:rPr>
        <w:t>）关联方资金拆借</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拆入</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0"/>
          <w:szCs w:val="10"/>
        </w:rPr>
      </w:pPr>
    </w:p>
    <w:p>
      <w:pPr>
        <w:spacing w:line="390" w:lineRule="exact"/>
        <w:ind w:left="13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9.1pt;height:19.5pt;mso-position-horizontal-relative:char;mso-position-vertical-relative:line" type="#_x0000_t202" filled="true" fillcolor="#d2d2d2" stroked="true" strokeweight=".75pt" strokecolor="#000000">
            <w10:anchorlock/>
            <v:textbox inset="0,0,0,0">
              <w:txbxContent>
                <w:p>
                  <w:pPr>
                    <w:pStyle w:val="BodyText"/>
                    <w:spacing w:line="240" w:lineRule="auto" w:before="44"/>
                    <w:ind w:left="15" w:right="0"/>
                    <w:jc w:val="left"/>
                  </w:pPr>
                  <w:r>
                    <w:rPr/>
                    <w:t>拆出</w:t>
                  </w:r>
                </w:p>
              </w:txbxContent>
            </v:textbox>
            <v:fill type="solid"/>
          </v:shape>
        </w:pict>
      </w:r>
      <w:r>
        <w:rPr>
          <w:rFonts w:ascii="宋体" w:hAnsi="宋体" w:cs="宋体" w:eastAsia="宋体" w:hint="default"/>
          <w:position w:val="-7"/>
          <w:sz w:val="20"/>
          <w:szCs w:val="20"/>
        </w:rPr>
      </w:r>
    </w:p>
    <w:p>
      <w:pPr>
        <w:spacing w:line="240" w:lineRule="auto" w:before="4"/>
        <w:rPr>
          <w:rFonts w:ascii="宋体" w:hAnsi="宋体" w:cs="宋体" w:eastAsia="宋体" w:hint="default"/>
          <w:sz w:val="20"/>
          <w:szCs w:val="20"/>
        </w:rPr>
      </w:pPr>
    </w:p>
    <w:p>
      <w:pPr>
        <w:pStyle w:val="Heading5"/>
        <w:spacing w:line="240" w:lineRule="auto" w:before="45"/>
        <w:ind w:right="0"/>
        <w:jc w:val="left"/>
        <w:rPr>
          <w:b w:val="0"/>
          <w:bCs w:val="0"/>
        </w:rPr>
      </w:pPr>
      <w:bookmarkStart w:name="（6）关联方资产转让、债务重组情况" w:id="487"/>
      <w:bookmarkEnd w:id="487"/>
      <w:r>
        <w:rPr>
          <w:b w:val="0"/>
          <w:bCs w:val="0"/>
        </w:rPr>
      </w:r>
      <w:r>
        <w:rPr>
          <w:spacing w:val="5"/>
        </w:rPr>
        <w:t>（</w:t>
      </w:r>
      <w:r>
        <w:rPr>
          <w:rFonts w:ascii="Times New Roman" w:hAnsi="Times New Roman" w:cs="Times New Roman" w:eastAsia="Times New Roman" w:hint="default"/>
          <w:spacing w:val="5"/>
        </w:rPr>
        <w:t>6</w:t>
      </w:r>
      <w:r>
        <w:rPr>
          <w:spacing w:val="5"/>
        </w:rPr>
        <w:t>）关联方资产转让、债务重组情况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6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7）关键管理人员报酬" w:id="488"/>
      <w:bookmarkEnd w:id="488"/>
      <w:r>
        <w:rPr>
          <w:b w:val="0"/>
          <w:bCs w:val="0"/>
        </w:rPr>
      </w:r>
      <w:r>
        <w:rPr>
          <w:spacing w:val="5"/>
        </w:rPr>
        <w:t>（</w:t>
      </w:r>
      <w:r>
        <w:rPr>
          <w:rFonts w:ascii="Times New Roman" w:hAnsi="Times New Roman" w:cs="Times New Roman" w:eastAsia="Times New Roman" w:hint="default"/>
          <w:spacing w:val="5"/>
        </w:rPr>
        <w:t>7</w:t>
      </w:r>
      <w:r>
        <w:rPr>
          <w:spacing w:val="5"/>
        </w:rPr>
        <w:t>）关键管理人员报酬</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9"/>
        <w:rPr>
          <w:rFonts w:ascii="宋体" w:hAnsi="宋体" w:cs="宋体" w:eastAsia="宋体" w:hint="default"/>
          <w:sz w:val="19"/>
          <w:szCs w:val="19"/>
        </w:rPr>
      </w:pPr>
    </w:p>
    <w:p>
      <w:pPr>
        <w:pStyle w:val="Heading5"/>
        <w:spacing w:line="561" w:lineRule="auto" w:before="45"/>
        <w:ind w:right="8409"/>
        <w:jc w:val="left"/>
        <w:rPr>
          <w:b w:val="0"/>
          <w:bCs w:val="0"/>
        </w:rPr>
      </w:pPr>
      <w:bookmarkStart w:name="（8）其他关联交易" w:id="489"/>
      <w:bookmarkEnd w:id="489"/>
      <w:r>
        <w:rPr>
          <w:b w:val="0"/>
          <w:bCs w:val="0"/>
        </w:rPr>
      </w:r>
      <w:r>
        <w:rPr>
          <w:spacing w:val="5"/>
        </w:rPr>
        <w:t>（</w:t>
      </w:r>
      <w:r>
        <w:rPr>
          <w:rFonts w:ascii="Times New Roman" w:hAnsi="Times New Roman" w:cs="Times New Roman" w:eastAsia="Times New Roman" w:hint="default"/>
          <w:spacing w:val="5"/>
        </w:rPr>
        <w:t>8</w:t>
      </w:r>
      <w:r>
        <w:rPr>
          <w:spacing w:val="5"/>
        </w:rPr>
        <w:t>）其他关联交易</w:t>
      </w:r>
      <w:r>
        <w:rPr>
          <w:spacing w:val="-52"/>
        </w:rPr>
        <w:t> </w:t>
      </w:r>
      <w:r>
        <w:rPr>
          <w:spacing w:val="-52"/>
        </w:rPr>
      </w:r>
      <w:bookmarkStart w:name="6、关联方应收应付款项" w:id="490"/>
      <w:bookmarkEnd w:id="490"/>
      <w:r>
        <w:rPr>
          <w:spacing w:val="-52"/>
        </w:rPr>
      </w:r>
      <w:r>
        <w:rPr>
          <w:rFonts w:ascii="Times New Roman" w:hAnsi="Times New Roman" w:cs="Times New Roman" w:eastAsia="Times New Roman" w:hint="default"/>
          <w:spacing w:val="5"/>
        </w:rPr>
        <w:t>6</w:t>
      </w:r>
      <w:r>
        <w:rPr>
          <w:spacing w:val="5"/>
        </w:rPr>
        <w:t>、关联方应收应付款项</w:t>
      </w:r>
      <w:r>
        <w:rPr>
          <w:b w:val="0"/>
          <w:bCs w:val="0"/>
          <w:spacing w:val="5"/>
        </w:rPr>
      </w:r>
    </w:p>
    <w:p>
      <w:pPr>
        <w:pStyle w:val="Heading5"/>
        <w:spacing w:line="240" w:lineRule="auto" w:before="70"/>
        <w:ind w:right="0"/>
        <w:jc w:val="left"/>
        <w:rPr>
          <w:b w:val="0"/>
          <w:bCs w:val="0"/>
        </w:rPr>
      </w:pPr>
      <w:bookmarkStart w:name="（1）应收项目" w:id="491"/>
      <w:bookmarkEnd w:id="491"/>
      <w:r>
        <w:rPr>
          <w:b w:val="0"/>
          <w:bCs w:val="0"/>
        </w:rPr>
      </w:r>
      <w:r>
        <w:rPr>
          <w:spacing w:val="5"/>
        </w:rPr>
        <w:t>（</w:t>
      </w:r>
      <w:r>
        <w:rPr>
          <w:rFonts w:ascii="Times New Roman" w:hAnsi="Times New Roman" w:cs="Times New Roman" w:eastAsia="Times New Roman" w:hint="default"/>
          <w:spacing w:val="5"/>
        </w:rPr>
        <w:t>1</w:t>
      </w:r>
      <w:r>
        <w:rPr>
          <w:spacing w:val="5"/>
        </w:rPr>
        <w:t>）应收项目</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1"/>
              <w:jc w:val="left"/>
              <w:rPr>
                <w:rFonts w:ascii="宋体" w:hAnsi="宋体" w:cs="宋体" w:eastAsia="宋体" w:hint="default"/>
                <w:sz w:val="18"/>
                <w:szCs w:val="18"/>
              </w:rPr>
            </w:pPr>
            <w:r>
              <w:rPr>
                <w:rFonts w:ascii="宋体" w:hAnsi="宋体" w:cs="宋体" w:eastAsia="宋体" w:hint="default"/>
                <w:sz w:val="18"/>
                <w:szCs w:val="18"/>
              </w:rPr>
              <w:t>北京朝歌数码科技 股份有限公司</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1,057.20</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深圳市深创谷技术 服务有限公司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900,490.22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54,264.15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2,562,827.61</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Itasca </w:t>
            </w:r>
            <w:r>
              <w:rPr>
                <w:rFonts w:ascii="Times New Roman"/>
                <w:spacing w:val="-3"/>
                <w:sz w:val="18"/>
              </w:rPr>
              <w:t>Holdings</w:t>
            </w:r>
            <w:r>
              <w:rPr>
                <w:rFonts w:ascii="Times New Roman"/>
                <w:spacing w:val="8"/>
                <w:sz w:val="18"/>
              </w:rPr>
              <w:t> </w:t>
            </w:r>
            <w:r>
              <w:rPr>
                <w:rFonts w:ascii="Times New Roman"/>
                <w:sz w:val="18"/>
              </w:rPr>
              <w:t>Ltd</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1,557,611.69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1,409,950.36</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2,562,229.34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1,831,595.47</w:t>
            </w: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21"/>
              <w:jc w:val="left"/>
              <w:rPr>
                <w:rFonts w:ascii="宋体" w:hAnsi="宋体" w:cs="宋体" w:eastAsia="宋体" w:hint="default"/>
                <w:sz w:val="18"/>
                <w:szCs w:val="18"/>
              </w:rPr>
            </w:pPr>
            <w:r>
              <w:rPr>
                <w:rFonts w:ascii="宋体" w:hAnsi="宋体" w:cs="宋体" w:eastAsia="宋体" w:hint="default"/>
                <w:sz w:val="18"/>
                <w:szCs w:val="18"/>
              </w:rPr>
              <w:t>深圳市深创谷技术 服务有限公司</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1,808,927.99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975,848.13</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深创谷技术（香港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before="45"/>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3" w:lineRule="exact"/>
              <w:ind w:left="751" w:right="0"/>
              <w:jc w:val="left"/>
              <w:rPr>
                <w:rFonts w:ascii="Times New Roman" w:hAnsi="Times New Roman" w:cs="Times New Roman" w:eastAsia="Times New Roman" w:hint="default"/>
                <w:sz w:val="18"/>
                <w:szCs w:val="18"/>
              </w:rPr>
            </w:pPr>
            <w:r>
              <w:rPr>
                <w:rFonts w:ascii="Times New Roman"/>
                <w:sz w:val="18"/>
              </w:rPr>
              <w:t>209,286.00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104,643.00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205,896.00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51,474.00</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r>
        <w:rPr/>
        <w:pict>
          <v:group style="position:absolute;margin-left:217.029999pt;margin-top:-48.979301pt;width:78.850pt;height:28.15pt;mso-position-horizontal-relative:page;mso-position-vertical-relative:paragraph;z-index:-1268392" coordorigin="4341,-980" coordsize="1577,563">
            <v:group style="position:absolute;left:4341;top:-980;width:1577;height:151" coordorigin="4341,-980" coordsize="1577,151">
              <v:shape style="position:absolute;left:4341;top:-980;width:1577;height:151" coordorigin="4341,-980" coordsize="1577,151" path="m4341,-829l5918,-829,5918,-980,4341,-980,4341,-829xe" filled="true" fillcolor="#ffffff" stroked="false">
                <v:path arrowok="t"/>
                <v:fill type="solid"/>
              </v:shape>
            </v:group>
            <v:group style="position:absolute;left:4348;top:-829;width:2;height:405" coordorigin="4348,-829" coordsize="2,405">
              <v:shape style="position:absolute;left:4348;top:-829;width:2;height:405" coordorigin="4348,-829" coordsize="0,405" path="m4348,-829l4348,-424e" filled="false" stroked="true" strokeweight=".75pt" strokecolor="#ffffff">
                <v:path arrowok="t"/>
              </v:shape>
            </v:group>
            <v:group style="position:absolute;left:4356;top:-829;width:1547;height:405" coordorigin="4356,-829" coordsize="1547,405">
              <v:shape style="position:absolute;left:4356;top:-829;width:1547;height:405" coordorigin="4356,-829" coordsize="1547,405" path="m4356,-424l5903,-424,5903,-829,4356,-829,4356,-424xe" filled="true" fillcolor="#ffffff" stroked="false">
                <v:path arrowok="t"/>
                <v:fill type="solid"/>
              </v:shape>
            </v:group>
            <w10:wrap type="none"/>
          </v:group>
        </w:pict>
      </w:r>
      <w:bookmarkStart w:name="（2）应付项目" w:id="492"/>
      <w:bookmarkEnd w:id="492"/>
      <w:r>
        <w:rPr>
          <w:b w:val="0"/>
          <w:bCs w:val="0"/>
        </w:rPr>
      </w:r>
      <w:r>
        <w:rPr>
          <w:spacing w:val="5"/>
        </w:rPr>
        <w:t>（</w:t>
      </w:r>
      <w:r>
        <w:rPr>
          <w:rFonts w:ascii="Times New Roman" w:hAnsi="Times New Roman" w:cs="Times New Roman" w:eastAsia="Times New Roman" w:hint="default"/>
          <w:spacing w:val="5"/>
        </w:rPr>
        <w:t>2</w:t>
      </w:r>
      <w:r>
        <w:rPr>
          <w:spacing w:val="5"/>
        </w:rPr>
        <w:t>）应付项目</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7"/>
              <w:jc w:val="left"/>
              <w:rPr>
                <w:rFonts w:ascii="宋体" w:hAnsi="宋体" w:cs="宋体" w:eastAsia="宋体" w:hint="default"/>
                <w:sz w:val="18"/>
                <w:szCs w:val="18"/>
              </w:rPr>
            </w:pPr>
            <w:r>
              <w:rPr>
                <w:rFonts w:ascii="宋体" w:hAnsi="宋体" w:cs="宋体" w:eastAsia="宋体" w:hint="default"/>
                <w:sz w:val="18"/>
                <w:szCs w:val="18"/>
              </w:rPr>
              <w:t>翼智（厦门）信息科技有限公 司</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1,170,000.00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97"/>
              <w:jc w:val="left"/>
              <w:rPr>
                <w:rFonts w:ascii="宋体" w:hAnsi="宋体" w:cs="宋体" w:eastAsia="宋体" w:hint="default"/>
                <w:sz w:val="18"/>
                <w:szCs w:val="18"/>
              </w:rPr>
            </w:pPr>
            <w:r>
              <w:rPr>
                <w:rFonts w:ascii="宋体" w:hAnsi="宋体" w:cs="宋体" w:eastAsia="宋体" w:hint="default"/>
                <w:sz w:val="18"/>
                <w:szCs w:val="18"/>
              </w:rPr>
              <w:t>深圳市深创谷技术服务有限 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57,271.76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深圳市深创谷技术服务有限</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48,800.71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34,610.00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60"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7、关联方承诺" w:id="493"/>
      <w:bookmarkEnd w:id="493"/>
      <w:r>
        <w:rPr>
          <w:b w:val="0"/>
          <w:bCs w:val="0"/>
        </w:rPr>
      </w:r>
      <w:r>
        <w:rPr>
          <w:rFonts w:ascii="Times New Roman" w:hAnsi="Times New Roman" w:cs="Times New Roman" w:eastAsia="Times New Roman" w:hint="default"/>
          <w:spacing w:val="4"/>
        </w:rPr>
        <w:t>7</w:t>
      </w:r>
      <w:r>
        <w:rPr>
          <w:spacing w:val="4"/>
        </w:rPr>
        <w:t>、关联方承诺</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3"/>
        <w:ind w:right="0"/>
        <w:jc w:val="left"/>
        <w:rPr>
          <w:b w:val="0"/>
          <w:bCs w:val="0"/>
        </w:rPr>
      </w:pPr>
      <w:bookmarkStart w:name="8、其他" w:id="494"/>
      <w:bookmarkEnd w:id="494"/>
      <w:r>
        <w:rPr>
          <w:b w:val="0"/>
          <w:bCs w:val="0"/>
        </w:rPr>
      </w:r>
      <w:r>
        <w:rPr>
          <w:rFonts w:ascii="Times New Roman" w:hAnsi="Times New Roman" w:cs="Times New Roman" w:eastAsia="Times New Roman" w:hint="default"/>
          <w:spacing w:val="5"/>
        </w:rPr>
        <w:t>8</w:t>
      </w:r>
      <w:r>
        <w:rPr>
          <w:spacing w:val="5"/>
        </w:rPr>
        <w:t>、其他</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三、股份支付" w:id="495"/>
      <w:bookmarkEnd w:id="495"/>
      <w:r>
        <w:rPr>
          <w:b w:val="0"/>
          <w:bCs w:val="0"/>
        </w:rPr>
      </w:r>
      <w:r>
        <w:rPr/>
        <w:t>十三、股份支付</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股份支付总体情况" w:id="496"/>
      <w:bookmarkEnd w:id="496"/>
      <w:r>
        <w:rPr>
          <w:b w:val="0"/>
          <w:bCs w:val="0"/>
        </w:rPr>
      </w:r>
      <w:r>
        <w:rPr>
          <w:rFonts w:ascii="Times New Roman" w:hAnsi="Times New Roman" w:cs="Times New Roman" w:eastAsia="Times New Roman" w:hint="default"/>
          <w:spacing w:val="4"/>
        </w:rPr>
        <w:t>1</w:t>
      </w:r>
      <w:r>
        <w:rPr>
          <w:spacing w:val="4"/>
        </w:rPr>
        <w:t>、股份支付总体情况</w:t>
      </w:r>
      <w:r>
        <w:rPr>
          <w:b w:val="0"/>
          <w:bCs w:val="0"/>
          <w:spacing w:val="4"/>
        </w:rPr>
      </w:r>
    </w:p>
    <w:p>
      <w:pPr>
        <w:spacing w:line="240" w:lineRule="auto" w:before="6"/>
        <w:rPr>
          <w:rFonts w:ascii="宋体" w:hAnsi="宋体" w:cs="宋体" w:eastAsia="宋体" w:hint="default"/>
          <w:b/>
          <w:bCs/>
          <w:sz w:val="24"/>
          <w:szCs w:val="24"/>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5452"/>
        <w:gridCol w:w="4130"/>
      </w:tblGrid>
      <w:tr>
        <w:trPr>
          <w:trHeight w:val="405" w:hRule="exact"/>
        </w:trPr>
        <w:tc>
          <w:tcPr>
            <w:tcW w:w="54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3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54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3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54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3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2,065,000.00</w:t>
            </w:r>
          </w:p>
        </w:tc>
      </w:tr>
      <w:tr>
        <w:trPr>
          <w:trHeight w:val="405" w:hRule="exact"/>
        </w:trPr>
        <w:tc>
          <w:tcPr>
            <w:tcW w:w="54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3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8.79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p>
        </w:tc>
      </w:tr>
      <w:tr>
        <w:trPr>
          <w:trHeight w:val="405" w:hRule="exact"/>
        </w:trPr>
        <w:tc>
          <w:tcPr>
            <w:tcW w:w="54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3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4.37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2、以权益结算的股份支付情况" w:id="497"/>
      <w:bookmarkEnd w:id="497"/>
      <w:r>
        <w:rPr>
          <w:b w:val="0"/>
          <w:bCs w:val="0"/>
        </w:rPr>
      </w:r>
      <w:r>
        <w:rPr>
          <w:rFonts w:ascii="Times New Roman" w:hAnsi="Times New Roman" w:cs="Times New Roman" w:eastAsia="Times New Roman" w:hint="default"/>
          <w:spacing w:val="5"/>
        </w:rPr>
        <w:t>2</w:t>
      </w:r>
      <w:r>
        <w:rPr>
          <w:spacing w:val="5"/>
        </w:rPr>
        <w:t>、以权益结算的股份支付情况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986"/>
        <w:gridCol w:w="4596"/>
      </w:tblGrid>
      <w:tr>
        <w:trPr>
          <w:trHeight w:val="706"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46"/>
              <w:jc w:val="left"/>
              <w:rPr>
                <w:rFonts w:ascii="宋体" w:hAnsi="宋体" w:cs="宋体" w:eastAsia="宋体" w:hint="default"/>
                <w:sz w:val="18"/>
                <w:szCs w:val="18"/>
              </w:rPr>
            </w:pPr>
            <w:r>
              <w:rPr>
                <w:rFonts w:ascii="宋体" w:hAnsi="宋体" w:cs="宋体" w:eastAsia="宋体" w:hint="default"/>
                <w:sz w:val="18"/>
                <w:szCs w:val="18"/>
              </w:rPr>
              <w:t>本公司授予的股份期权采用授予日限制性股票的公允价值 定价</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预计可行权人数</w:t>
            </w:r>
          </w:p>
        </w:tc>
      </w:tr>
      <w:tr>
        <w:trPr>
          <w:trHeight w:val="406"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N/A</w:t>
            </w:r>
          </w:p>
        </w:tc>
      </w:tr>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5,469,040.11</w:t>
            </w:r>
          </w:p>
        </w:tc>
      </w:tr>
      <w:tr>
        <w:trPr>
          <w:trHeight w:val="391"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-5,469,040.11</w:t>
            </w:r>
            <w:r>
              <w:rPr>
                <w:rFonts w:ascii="Times New Roman"/>
                <w:sz w:val="18"/>
              </w:rPr>
            </w:r>
          </w:p>
        </w:tc>
      </w:tr>
    </w:tbl>
    <w:p>
      <w:pPr>
        <w:pStyle w:val="BodyText"/>
        <w:spacing w:line="240" w:lineRule="auto" w:before="44"/>
        <w:ind w:right="0"/>
        <w:jc w:val="both"/>
      </w:pPr>
      <w:r>
        <w:rPr/>
        <w:t>其他说明</w:t>
      </w:r>
    </w:p>
    <w:p>
      <w:pPr>
        <w:spacing w:line="240" w:lineRule="auto" w:before="6"/>
        <w:rPr>
          <w:rFonts w:ascii="宋体" w:hAnsi="宋体" w:cs="宋体" w:eastAsia="宋体" w:hint="default"/>
          <w:sz w:val="24"/>
          <w:szCs w:val="24"/>
        </w:rPr>
      </w:pPr>
    </w:p>
    <w:p>
      <w:pPr>
        <w:pStyle w:val="BodyText"/>
        <w:spacing w:line="336" w:lineRule="auto"/>
        <w:ind w:left="561" w:right="1239"/>
        <w:jc w:val="left"/>
      </w:pPr>
      <w:r>
        <w:rPr/>
        <w:t>以权益结算的股份支付的说明 根据卓翼科技公司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日召开的公司第四届董事会第十二次会议以及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2017</w:t>
      </w:r>
      <w:r>
        <w:rPr/>
        <w:t>年第二次临</w:t>
      </w:r>
    </w:p>
    <w:p>
      <w:pPr>
        <w:pStyle w:val="BodyText"/>
        <w:spacing w:line="220" w:lineRule="exact"/>
        <w:ind w:right="0"/>
        <w:jc w:val="both"/>
      </w:pPr>
      <w:r>
        <w:rPr/>
        <w:t>时股东大会审议通过的</w:t>
      </w:r>
      <w:r>
        <w:rPr>
          <w:spacing w:val="-3"/>
        </w:rPr>
        <w:t> </w:t>
      </w:r>
      <w:r>
        <w:rPr>
          <w:spacing w:val="-2"/>
        </w:rPr>
        <w:t>《深圳市卓翼科技股份有限公司</w:t>
      </w:r>
      <w:r>
        <w:rPr>
          <w:rFonts w:ascii="Times New Roman" w:hAnsi="Times New Roman" w:cs="Times New Roman" w:eastAsia="Times New Roman" w:hint="default"/>
          <w:spacing w:val="-2"/>
        </w:rPr>
        <w:t>2017</w:t>
      </w:r>
      <w:r>
        <w:rPr>
          <w:spacing w:val="-2"/>
        </w:rPr>
        <w:t>年股票期权与限制性股票激励计划（草案）</w:t>
      </w:r>
      <w:r>
        <w:rPr>
          <w:rFonts w:ascii="Times New Roman" w:hAnsi="Times New Roman" w:cs="Times New Roman" w:eastAsia="Times New Roman" w:hint="default"/>
          <w:spacing w:val="-2"/>
        </w:rPr>
        <w:t>&gt;</w:t>
      </w:r>
      <w:r>
        <w:rPr>
          <w:spacing w:val="-2"/>
        </w:rPr>
        <w:t>及其摘要》，《深</w:t>
      </w:r>
    </w:p>
    <w:p>
      <w:pPr>
        <w:pStyle w:val="BodyText"/>
        <w:spacing w:line="297" w:lineRule="auto" w:before="66"/>
        <w:ind w:right="1133"/>
        <w:jc w:val="both"/>
      </w:pPr>
      <w:r>
        <w:rPr>
          <w:spacing w:val="-2"/>
        </w:rPr>
        <w:t>圳市卓翼科技股份有限公司</w:t>
      </w:r>
      <w:r>
        <w:rPr>
          <w:rFonts w:ascii="Times New Roman" w:hAnsi="Times New Roman" w:cs="Times New Roman" w:eastAsia="Times New Roman" w:hint="default"/>
          <w:spacing w:val="-2"/>
        </w:rPr>
        <w:t>2017</w:t>
      </w:r>
      <w:r>
        <w:rPr>
          <w:spacing w:val="-2"/>
        </w:rPr>
        <w:t>年股票期权与限制性股票激励计划实施考核方案管理办法》、《关于提请股东大会授权董事</w:t>
      </w:r>
      <w:r>
        <w:rPr>
          <w:spacing w:val="-67"/>
        </w:rPr>
        <w:t> </w:t>
      </w:r>
      <w:r>
        <w:rPr>
          <w:spacing w:val="-67"/>
        </w:rPr>
      </w:r>
      <w:r>
        <w:rPr>
          <w:spacing w:val="-2"/>
        </w:rPr>
        <w:t>会办理公司</w:t>
      </w:r>
      <w:r>
        <w:rPr>
          <w:rFonts w:ascii="Times New Roman" w:hAnsi="Times New Roman" w:cs="Times New Roman" w:eastAsia="Times New Roman" w:hint="default"/>
          <w:spacing w:val="-2"/>
        </w:rPr>
        <w:t>2017</w:t>
      </w:r>
      <w:r>
        <w:rPr>
          <w:spacing w:val="-2"/>
        </w:rPr>
        <w:t>年股票期权与限制性股票激励计划有关事项的议案》，激励计划的具体内容、实施情况以及成本费用的确认</w:t>
      </w:r>
      <w:r>
        <w:rPr>
          <w:spacing w:val="-71"/>
        </w:rPr>
        <w:t> </w:t>
      </w:r>
      <w:r>
        <w:rPr>
          <w:spacing w:val="-71"/>
        </w:rPr>
      </w:r>
      <w:r>
        <w:rPr/>
        <w:t>情况如下：</w:t>
      </w:r>
    </w:p>
    <w:p>
      <w:pPr>
        <w:spacing w:after="0" w:line="297" w:lineRule="auto"/>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88" w:lineRule="auto" w:before="44"/>
        <w:ind w:left="561" w:right="1149"/>
        <w:jc w:val="left"/>
      </w:pPr>
      <w:r>
        <w:rPr>
          <w:rFonts w:ascii="Times New Roman" w:hAnsi="Times New Roman" w:cs="Times New Roman" w:eastAsia="Times New Roman" w:hint="default"/>
        </w:rPr>
        <w:t>1</w:t>
      </w:r>
      <w:r>
        <w:rPr/>
        <w:t>、计划具体内容 计划采用的激励形式为股票期权激励计划和限制性股票激励计划，股票来源为本公司向激励对象定向发行新股。激励</w:t>
      </w:r>
    </w:p>
    <w:p>
      <w:pPr>
        <w:pStyle w:val="BodyText"/>
        <w:spacing w:line="290" w:lineRule="auto" w:before="59"/>
        <w:ind w:right="1119"/>
        <w:jc w:val="left"/>
      </w:pPr>
      <w:r>
        <w:rPr/>
        <w:t>对象包括公司董事、高级管理人员、中层管理人员以及公司认定的核心技术（业务）人员共</w:t>
      </w:r>
      <w:r>
        <w:rPr>
          <w:rFonts w:ascii="Times New Roman" w:hAnsi="Times New Roman" w:cs="Times New Roman" w:eastAsia="Times New Roman" w:hint="default"/>
        </w:rPr>
        <w:t>165</w:t>
      </w:r>
      <w:r>
        <w:rPr/>
        <w:t>人（不包括独立董事、监事</w:t>
      </w:r>
      <w:r>
        <w:rPr>
          <w:spacing w:val="-82"/>
        </w:rPr>
        <w:t> </w:t>
      </w:r>
      <w:r>
        <w:rPr/>
        <w:t>及单独或合计持有公司</w:t>
      </w:r>
      <w:r>
        <w:rPr>
          <w:rFonts w:ascii="Times New Roman" w:hAnsi="Times New Roman" w:cs="Times New Roman" w:eastAsia="Times New Roman" w:hint="default"/>
        </w:rPr>
        <w:t>5%</w:t>
      </w:r>
      <w:r>
        <w:rPr/>
        <w:t>以上股份的股东或实际控制人及其配偶、父母、子女）。</w:t>
      </w:r>
    </w:p>
    <w:p>
      <w:pPr>
        <w:pStyle w:val="BodyText"/>
        <w:spacing w:line="240" w:lineRule="auto" w:before="24"/>
        <w:ind w:left="561" w:right="0"/>
        <w:jc w:val="left"/>
      </w:pPr>
      <w:r>
        <w:rPr>
          <w:rFonts w:ascii="Times New Roman" w:hAnsi="Times New Roman" w:cs="Times New Roman" w:eastAsia="Times New Roman" w:hint="default"/>
        </w:rPr>
        <w:t>1.1</w:t>
      </w:r>
      <w:r>
        <w:rPr/>
        <w:t>股票期权激励计划</w:t>
      </w:r>
    </w:p>
    <w:p>
      <w:pPr>
        <w:pStyle w:val="BodyText"/>
        <w:spacing w:line="302" w:lineRule="auto" w:before="66"/>
        <w:ind w:right="1194" w:firstLine="420"/>
        <w:jc w:val="left"/>
      </w:pPr>
      <w:r>
        <w:rPr/>
        <w:t>（</w:t>
      </w:r>
      <w:r>
        <w:rPr>
          <w:rFonts w:ascii="Times New Roman" w:hAnsi="Times New Roman" w:cs="Times New Roman" w:eastAsia="Times New Roman" w:hint="default"/>
        </w:rPr>
        <w:t>1</w:t>
      </w:r>
      <w:r>
        <w:rPr/>
        <w:t>）计划拟授予的股票期权总数为</w:t>
      </w:r>
      <w:r>
        <w:rPr>
          <w:rFonts w:ascii="Times New Roman" w:hAnsi="Times New Roman" w:cs="Times New Roman" w:eastAsia="Times New Roman" w:hint="default"/>
        </w:rPr>
        <w:t>1,180</w:t>
      </w:r>
      <w:r>
        <w:rPr/>
        <w:t>万股，每份股票期权在满足行权条件的情况下，拥有在有效期内以获授价格 获授</w:t>
      </w:r>
      <w:r>
        <w:rPr>
          <w:rFonts w:ascii="Times New Roman" w:hAnsi="Times New Roman" w:cs="Times New Roman" w:eastAsia="Times New Roman" w:hint="default"/>
        </w:rPr>
        <w:t>1</w:t>
      </w:r>
      <w:r>
        <w:rPr/>
        <w:t>股公司股票的权利。</w:t>
      </w:r>
    </w:p>
    <w:p>
      <w:pPr>
        <w:pStyle w:val="BodyText"/>
        <w:spacing w:line="288" w:lineRule="auto" w:before="14"/>
        <w:ind w:right="0" w:firstLine="420"/>
        <w:jc w:val="left"/>
      </w:pPr>
      <w:r>
        <w:rPr>
          <w:spacing w:val="-2"/>
        </w:rPr>
        <w:t>（</w:t>
      </w:r>
      <w:r>
        <w:rPr>
          <w:rFonts w:ascii="Times New Roman" w:hAnsi="Times New Roman" w:cs="Times New Roman" w:eastAsia="Times New Roman" w:hint="default"/>
          <w:spacing w:val="-2"/>
        </w:rPr>
        <w:t>2</w:t>
      </w:r>
      <w:r>
        <w:rPr>
          <w:spacing w:val="-2"/>
        </w:rPr>
        <w:t>）激励计划授予的股票期权的行权价格为</w:t>
      </w:r>
      <w:r>
        <w:rPr>
          <w:rFonts w:ascii="Times New Roman" w:hAnsi="Times New Roman" w:cs="Times New Roman" w:eastAsia="Times New Roman" w:hint="default"/>
          <w:spacing w:val="-2"/>
        </w:rPr>
        <w:t>8.85</w:t>
      </w:r>
      <w:r>
        <w:rPr>
          <w:spacing w:val="-2"/>
        </w:rPr>
        <w:t>元</w:t>
      </w:r>
      <w:r>
        <w:rPr>
          <w:rFonts w:ascii="Times New Roman" w:hAnsi="Times New Roman" w:cs="Times New Roman" w:eastAsia="Times New Roman" w:hint="default"/>
          <w:spacing w:val="-2"/>
        </w:rPr>
        <w:t>/</w:t>
      </w:r>
      <w:r>
        <w:rPr>
          <w:spacing w:val="-2"/>
        </w:rPr>
        <w:t>股。股票期权激励计划有效期为授予登记完成之日至激励对象获授</w:t>
      </w:r>
      <w:r>
        <w:rPr/>
        <w:t> 的股票期权全部行权或注销之日止，最长不超过</w:t>
      </w:r>
      <w:r>
        <w:rPr>
          <w:rFonts w:ascii="Times New Roman" w:hAnsi="Times New Roman" w:cs="Times New Roman" w:eastAsia="Times New Roman" w:hint="default"/>
        </w:rPr>
        <w:t>48</w:t>
      </w:r>
      <w:r>
        <w:rPr/>
        <w:t>月。</w:t>
      </w:r>
    </w:p>
    <w:p>
      <w:pPr>
        <w:pStyle w:val="BodyText"/>
        <w:spacing w:line="240" w:lineRule="auto" w:before="26"/>
        <w:ind w:left="561" w:right="0"/>
        <w:jc w:val="left"/>
      </w:pPr>
      <w:r>
        <w:rPr/>
        <w:t>（</w:t>
      </w:r>
      <w:r>
        <w:rPr>
          <w:rFonts w:ascii="Times New Roman" w:hAnsi="Times New Roman" w:cs="Times New Roman" w:eastAsia="Times New Roman" w:hint="default"/>
        </w:rPr>
        <w:t>3</w:t>
      </w:r>
      <w:r>
        <w:rPr/>
        <w:t>）股票期权激励计划首次授予激励对象的股票期权分三期行权。</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382"/>
        <w:gridCol w:w="5677"/>
        <w:gridCol w:w="1472"/>
      </w:tblGrid>
      <w:tr>
        <w:trPr>
          <w:trHeight w:val="961"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b/>
                <w:bCs/>
                <w:sz w:val="18"/>
                <w:szCs w:val="18"/>
              </w:rPr>
              <w:t>行权期</w:t>
            </w:r>
            <w:r>
              <w:rPr>
                <w:rFonts w:ascii="宋体" w:hAnsi="宋体" w:cs="宋体" w:eastAsia="宋体" w:hint="default"/>
                <w:sz w:val="18"/>
                <w:szCs w:val="18"/>
              </w:rPr>
            </w:r>
          </w:p>
        </w:tc>
        <w:tc>
          <w:tcPr>
            <w:tcW w:w="56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center"/>
              <w:rPr>
                <w:rFonts w:ascii="宋体" w:hAnsi="宋体" w:cs="宋体" w:eastAsia="宋体" w:hint="default"/>
                <w:sz w:val="18"/>
                <w:szCs w:val="18"/>
              </w:rPr>
            </w:pPr>
            <w:r>
              <w:rPr>
                <w:rFonts w:ascii="宋体" w:hAnsi="宋体" w:cs="宋体" w:eastAsia="宋体" w:hint="default"/>
                <w:b/>
                <w:bCs/>
                <w:sz w:val="18"/>
                <w:szCs w:val="18"/>
              </w:rPr>
              <w:t>行权时间</w:t>
            </w:r>
            <w:r>
              <w:rPr>
                <w:rFonts w:ascii="宋体" w:hAnsi="宋体" w:cs="宋体" w:eastAsia="宋体" w:hint="default"/>
                <w:sz w:val="18"/>
                <w:szCs w:val="18"/>
              </w:rPr>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 w:right="0"/>
              <w:jc w:val="center"/>
              <w:rPr>
                <w:rFonts w:ascii="宋体" w:hAnsi="宋体" w:cs="宋体" w:eastAsia="宋体" w:hint="default"/>
                <w:sz w:val="18"/>
                <w:szCs w:val="18"/>
              </w:rPr>
            </w:pPr>
            <w:r>
              <w:rPr>
                <w:rFonts w:ascii="宋体" w:hAnsi="宋体" w:cs="宋体" w:eastAsia="宋体" w:hint="default"/>
                <w:b/>
                <w:bCs/>
                <w:sz w:val="18"/>
                <w:szCs w:val="18"/>
              </w:rPr>
              <w:t>行权比例</w:t>
            </w:r>
            <w:r>
              <w:rPr>
                <w:rFonts w:ascii="宋体" w:hAnsi="宋体" w:cs="宋体" w:eastAsia="宋体" w:hint="default"/>
                <w:sz w:val="18"/>
                <w:szCs w:val="18"/>
              </w:rPr>
            </w:r>
          </w:p>
        </w:tc>
      </w:tr>
      <w:tr>
        <w:trPr>
          <w:trHeight w:val="661"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567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29"/>
              <w:ind w:left="15" w:right="58"/>
              <w:jc w:val="left"/>
              <w:rPr>
                <w:rFonts w:ascii="宋体" w:hAnsi="宋体" w:cs="宋体" w:eastAsia="宋体" w:hint="default"/>
                <w:sz w:val="18"/>
                <w:szCs w:val="18"/>
              </w:rPr>
            </w:pPr>
            <w:r>
              <w:rPr>
                <w:rFonts w:ascii="宋体" w:hAnsi="宋体" w:cs="宋体" w:eastAsia="宋体" w:hint="default"/>
                <w:sz w:val="18"/>
                <w:szCs w:val="18"/>
              </w:rPr>
              <w:t>自首次授予日起满</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w:t>
            </w:r>
            <w:r>
              <w:rPr>
                <w:rFonts w:ascii="宋体" w:hAnsi="宋体" w:cs="宋体" w:eastAsia="宋体" w:hint="default"/>
                <w:spacing w:val="-85"/>
                <w:sz w:val="18"/>
                <w:szCs w:val="18"/>
              </w:rPr>
              <w:t> </w:t>
            </w:r>
            <w:r>
              <w:rPr>
                <w:rFonts w:ascii="宋体" w:hAnsi="宋体" w:cs="宋体" w:eastAsia="宋体" w:hint="default"/>
                <w:sz w:val="18"/>
                <w:szCs w:val="18"/>
              </w:rPr>
              <w:t>最后一个交易日止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4" w:right="0"/>
              <w:jc w:val="center"/>
              <w:rPr>
                <w:rFonts w:ascii="Times New Roman" w:hAnsi="Times New Roman" w:cs="Times New Roman" w:eastAsia="Times New Roman" w:hint="default"/>
                <w:sz w:val="18"/>
                <w:szCs w:val="18"/>
              </w:rPr>
            </w:pPr>
            <w:r>
              <w:rPr>
                <w:rFonts w:ascii="Times New Roman"/>
                <w:sz w:val="18"/>
              </w:rPr>
              <w:t>25%</w:t>
            </w:r>
          </w:p>
        </w:tc>
      </w:tr>
      <w:tr>
        <w:trPr>
          <w:trHeight w:val="660"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5677"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14"/>
              <w:ind w:left="15" w:right="58"/>
              <w:jc w:val="left"/>
              <w:rPr>
                <w:rFonts w:ascii="宋体" w:hAnsi="宋体" w:cs="宋体" w:eastAsia="宋体" w:hint="default"/>
                <w:sz w:val="18"/>
                <w:szCs w:val="18"/>
              </w:rPr>
            </w:pPr>
            <w:r>
              <w:rPr>
                <w:rFonts w:ascii="宋体" w:hAnsi="宋体" w:cs="宋体" w:eastAsia="宋体" w:hint="default"/>
                <w:sz w:val="18"/>
                <w:szCs w:val="18"/>
              </w:rPr>
              <w:t>自首次授予日起满</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w:t>
            </w:r>
            <w:r>
              <w:rPr>
                <w:rFonts w:ascii="宋体" w:hAnsi="宋体" w:cs="宋体" w:eastAsia="宋体" w:hint="default"/>
                <w:spacing w:val="-85"/>
                <w:sz w:val="18"/>
                <w:szCs w:val="18"/>
              </w:rPr>
              <w:t> </w:t>
            </w:r>
            <w:r>
              <w:rPr>
                <w:rFonts w:ascii="宋体" w:hAnsi="宋体" w:cs="宋体" w:eastAsia="宋体" w:hint="default"/>
                <w:sz w:val="18"/>
                <w:szCs w:val="18"/>
              </w:rPr>
              <w:t>最后一个交易日止；</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4" w:right="0"/>
              <w:jc w:val="center"/>
              <w:rPr>
                <w:rFonts w:ascii="Times New Roman" w:hAnsi="Times New Roman" w:cs="Times New Roman" w:eastAsia="Times New Roman" w:hint="default"/>
                <w:sz w:val="18"/>
                <w:szCs w:val="18"/>
              </w:rPr>
            </w:pPr>
            <w:r>
              <w:rPr>
                <w:rFonts w:ascii="Times New Roman"/>
                <w:sz w:val="18"/>
              </w:rPr>
              <w:t>40%</w:t>
            </w:r>
          </w:p>
        </w:tc>
      </w:tr>
      <w:tr>
        <w:trPr>
          <w:trHeight w:val="646"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5677"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14"/>
              <w:ind w:left="15" w:right="58"/>
              <w:jc w:val="left"/>
              <w:rPr>
                <w:rFonts w:ascii="宋体" w:hAnsi="宋体" w:cs="宋体" w:eastAsia="宋体" w:hint="default"/>
                <w:sz w:val="18"/>
                <w:szCs w:val="18"/>
              </w:rPr>
            </w:pPr>
            <w:r>
              <w:rPr>
                <w:rFonts w:ascii="宋体" w:hAnsi="宋体" w:cs="宋体" w:eastAsia="宋体" w:hint="default"/>
                <w:sz w:val="18"/>
                <w:szCs w:val="18"/>
              </w:rPr>
              <w:t>自首次授予日起满</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w:t>
            </w:r>
            <w:r>
              <w:rPr>
                <w:rFonts w:ascii="宋体" w:hAnsi="宋体" w:cs="宋体" w:eastAsia="宋体" w:hint="default"/>
                <w:spacing w:val="-85"/>
                <w:sz w:val="18"/>
                <w:szCs w:val="18"/>
              </w:rPr>
              <w:t> </w:t>
            </w:r>
            <w:r>
              <w:rPr>
                <w:rFonts w:ascii="宋体" w:hAnsi="宋体" w:cs="宋体" w:eastAsia="宋体" w:hint="default"/>
                <w:sz w:val="18"/>
                <w:szCs w:val="18"/>
              </w:rPr>
              <w:t>最后一个交易日止；</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4" w:right="0"/>
              <w:jc w:val="center"/>
              <w:rPr>
                <w:rFonts w:ascii="Times New Roman" w:hAnsi="Times New Roman" w:cs="Times New Roman" w:eastAsia="Times New Roman" w:hint="default"/>
                <w:sz w:val="18"/>
                <w:szCs w:val="18"/>
              </w:rPr>
            </w:pPr>
            <w:r>
              <w:rPr>
                <w:rFonts w:ascii="Times New Roman"/>
                <w:sz w:val="18"/>
              </w:rPr>
              <w:t>35%</w:t>
            </w:r>
          </w:p>
        </w:tc>
      </w:tr>
    </w:tbl>
    <w:p>
      <w:pPr>
        <w:pStyle w:val="BodyText"/>
        <w:spacing w:line="288" w:lineRule="auto" w:before="15"/>
        <w:ind w:left="561" w:right="7809"/>
        <w:jc w:val="left"/>
      </w:pPr>
      <w:r>
        <w:rPr/>
        <w:t>（</w:t>
      </w:r>
      <w:r>
        <w:rPr>
          <w:rFonts w:ascii="Times New Roman" w:hAnsi="Times New Roman" w:cs="Times New Roman" w:eastAsia="Times New Roman" w:hint="default"/>
        </w:rPr>
        <w:t>4</w:t>
      </w:r>
      <w:r>
        <w:rPr/>
        <w:t>）主要行权条件 授予股票期权各期的行权条件：</w:t>
      </w:r>
    </w:p>
    <w:p>
      <w:pPr>
        <w:pStyle w:val="BodyText"/>
        <w:spacing w:line="240" w:lineRule="auto" w:before="29"/>
        <w:ind w:left="561" w:right="0"/>
        <w:jc w:val="left"/>
      </w:pPr>
      <w:r>
        <w:rPr/>
        <w:t>行权期间，同时满足下列条件时，激励对象获授的股票期权方可行权。</w:t>
      </w:r>
    </w:p>
    <w:p>
      <w:pPr>
        <w:pStyle w:val="BodyText"/>
        <w:spacing w:line="240" w:lineRule="auto" w:before="94"/>
        <w:ind w:left="561"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33"/>
        </w:rPr>
        <w:t> </w:t>
      </w:r>
      <w:r>
        <w:rPr/>
        <w:t>公司未发生以下任一情形：</w:t>
      </w:r>
    </w:p>
    <w:p>
      <w:pPr>
        <w:pStyle w:val="BodyText"/>
        <w:spacing w:line="240" w:lineRule="auto" w:before="51"/>
        <w:ind w:left="561" w:right="0"/>
        <w:jc w:val="left"/>
      </w:pPr>
      <w:r>
        <w:rPr/>
        <w:t>①最近一个会计年度财务会计报告被注册会计师出具否定意见或者无法表示意见的审计报告；</w:t>
      </w:r>
    </w:p>
    <w:p>
      <w:pPr>
        <w:pStyle w:val="BodyText"/>
        <w:spacing w:line="240" w:lineRule="auto" w:before="79"/>
        <w:ind w:left="561" w:right="0"/>
        <w:jc w:val="left"/>
      </w:pPr>
      <w:r>
        <w:rPr/>
        <w:t>②最近一个会计年度财务报告内部控制被注册会计师出具否定意见或者无法表示意见的审计报告；</w:t>
      </w:r>
    </w:p>
    <w:p>
      <w:pPr>
        <w:pStyle w:val="BodyText"/>
        <w:spacing w:line="240" w:lineRule="auto" w:before="95"/>
        <w:ind w:left="561" w:right="0"/>
        <w:jc w:val="left"/>
      </w:pPr>
      <w:r>
        <w:rPr/>
        <w:t>③上市后最近 </w:t>
      </w:r>
      <w:r>
        <w:rPr>
          <w:rFonts w:ascii="Times New Roman" w:hAnsi="Times New Roman" w:cs="Times New Roman" w:eastAsia="Times New Roman" w:hint="default"/>
        </w:rPr>
        <w:t>36</w:t>
      </w:r>
      <w:r>
        <w:rPr>
          <w:rFonts w:ascii="Times New Roman" w:hAnsi="Times New Roman" w:cs="Times New Roman" w:eastAsia="Times New Roman" w:hint="default"/>
          <w:spacing w:val="16"/>
        </w:rPr>
        <w:t> </w:t>
      </w:r>
      <w:r>
        <w:rPr/>
        <w:t>个月内出现过未按法律法规、公司章程、公开承诺进行利润分配的情形；</w:t>
      </w:r>
    </w:p>
    <w:p>
      <w:pPr>
        <w:pStyle w:val="BodyText"/>
        <w:spacing w:line="240" w:lineRule="auto" w:before="36"/>
        <w:ind w:left="561" w:right="0"/>
        <w:jc w:val="left"/>
      </w:pPr>
      <w:r>
        <w:rPr/>
        <w:t>④法律法规规定不得实行股权激励的；</w:t>
      </w:r>
    </w:p>
    <w:p>
      <w:pPr>
        <w:pStyle w:val="BodyText"/>
        <w:spacing w:line="240" w:lineRule="auto" w:before="80"/>
        <w:ind w:left="561" w:right="0"/>
        <w:jc w:val="left"/>
      </w:pPr>
      <w:r>
        <w:rPr/>
        <w:t>⑤中国证监会认定的其他情形。</w:t>
      </w:r>
    </w:p>
    <w:p>
      <w:pPr>
        <w:pStyle w:val="BodyText"/>
        <w:spacing w:line="240" w:lineRule="auto" w:before="95"/>
        <w:ind w:left="561"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9"/>
        </w:rPr>
        <w:t> </w:t>
      </w:r>
      <w:r>
        <w:rPr/>
        <w:t>激励对象未发生以下任一情形：</w:t>
      </w:r>
    </w:p>
    <w:p>
      <w:pPr>
        <w:pStyle w:val="BodyText"/>
        <w:spacing w:line="240" w:lineRule="auto" w:before="66"/>
        <w:ind w:left="561" w:right="0"/>
        <w:jc w:val="left"/>
      </w:pPr>
      <w:r>
        <w:rPr/>
        <w:t>①最近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个月内被证券交易所认定为不适当人选；</w:t>
      </w:r>
    </w:p>
    <w:p>
      <w:pPr>
        <w:pStyle w:val="BodyText"/>
        <w:spacing w:line="240" w:lineRule="auto" w:before="66"/>
        <w:ind w:left="561" w:right="0"/>
        <w:jc w:val="left"/>
      </w:pPr>
      <w:r>
        <w:rPr/>
        <w:t>②最近 </w:t>
      </w:r>
      <w:r>
        <w:rPr>
          <w:rFonts w:ascii="Times New Roman" w:hAnsi="Times New Roman" w:cs="Times New Roman" w:eastAsia="Times New Roman" w:hint="default"/>
        </w:rPr>
        <w:t>12</w:t>
      </w:r>
      <w:r>
        <w:rPr>
          <w:rFonts w:ascii="Times New Roman" w:hAnsi="Times New Roman" w:cs="Times New Roman" w:eastAsia="Times New Roman" w:hint="default"/>
          <w:spacing w:val="15"/>
        </w:rPr>
        <w:t> </w:t>
      </w:r>
      <w:r>
        <w:rPr/>
        <w:t>个月内被中国证监会及其派出机构认定为不适当人选；</w:t>
      </w:r>
    </w:p>
    <w:p>
      <w:pPr>
        <w:pStyle w:val="BodyText"/>
        <w:spacing w:line="240" w:lineRule="auto" w:before="51"/>
        <w:ind w:left="561" w:right="0"/>
        <w:jc w:val="left"/>
      </w:pPr>
      <w:r>
        <w:rPr/>
        <w:t>③最近 </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t>个月内因重大违法违规行为被中国证监会及其派出机构行政处罚或者采取市场禁入措施；</w:t>
      </w:r>
    </w:p>
    <w:p>
      <w:pPr>
        <w:pStyle w:val="BodyText"/>
        <w:spacing w:line="240" w:lineRule="auto" w:before="51"/>
        <w:ind w:left="561" w:right="0"/>
        <w:jc w:val="left"/>
      </w:pPr>
      <w:r>
        <w:rPr/>
        <w:t>④具有《公司法》规定的不得担任公司董事、高级管理人员情形的；</w:t>
      </w:r>
    </w:p>
    <w:p>
      <w:pPr>
        <w:pStyle w:val="BodyText"/>
        <w:spacing w:line="240" w:lineRule="auto" w:before="79"/>
        <w:ind w:left="561" w:right="0"/>
        <w:jc w:val="left"/>
      </w:pPr>
      <w:r>
        <w:rPr/>
        <w:t>⑤法律法规规定不得参与上市公司股权激励的；</w:t>
      </w:r>
    </w:p>
    <w:p>
      <w:pPr>
        <w:pStyle w:val="BodyText"/>
        <w:spacing w:line="240" w:lineRule="auto" w:before="80"/>
        <w:ind w:left="561" w:right="0"/>
        <w:jc w:val="left"/>
      </w:pPr>
      <w:r>
        <w:rPr/>
        <w:t>⑥中国证监会认定的其他情形。</w:t>
      </w:r>
    </w:p>
    <w:p>
      <w:pPr>
        <w:pStyle w:val="BodyText"/>
        <w:spacing w:line="276" w:lineRule="auto" w:before="94"/>
        <w:ind w:left="561" w:right="4209"/>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30"/>
        </w:rPr>
        <w:t> </w:t>
      </w:r>
      <w:r>
        <w:rPr/>
        <w:t>公司层面业绩考核要求 激励计划有效期内，本计划授予的股票期权行权的公司业绩指标如下表所示：</w:t>
      </w:r>
    </w:p>
    <w:p>
      <w:pPr>
        <w:spacing w:line="240" w:lineRule="auto" w:before="0"/>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2839"/>
        <w:gridCol w:w="5843"/>
      </w:tblGrid>
      <w:tr>
        <w:trPr>
          <w:trHeight w:val="34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b/>
                <w:bCs/>
                <w:sz w:val="18"/>
                <w:szCs w:val="18"/>
              </w:rPr>
              <w:t>行权期</w:t>
            </w:r>
            <w:r>
              <w:rPr>
                <w:rFonts w:ascii="宋体" w:hAnsi="宋体" w:cs="宋体" w:eastAsia="宋体" w:hint="default"/>
                <w:sz w:val="18"/>
                <w:szCs w:val="18"/>
              </w:rPr>
            </w:r>
          </w:p>
        </w:tc>
        <w:tc>
          <w:tcPr>
            <w:tcW w:w="5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b/>
                <w:bCs/>
                <w:sz w:val="18"/>
                <w:szCs w:val="18"/>
              </w:rPr>
              <w:t>业绩考核指标</w:t>
            </w:r>
            <w:r>
              <w:rPr>
                <w:rFonts w:ascii="宋体" w:hAnsi="宋体" w:cs="宋体" w:eastAsia="宋体" w:hint="default"/>
                <w:sz w:val="18"/>
                <w:szCs w:val="18"/>
              </w:rPr>
            </w:r>
          </w:p>
        </w:tc>
      </w:tr>
      <w:tr>
        <w:trPr>
          <w:trHeight w:val="660"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584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4"/>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年归属于母公司股东的净利润为基数，</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年剔除股权激励影</w:t>
            </w:r>
            <w:r>
              <w:rPr>
                <w:rFonts w:ascii="宋体" w:hAnsi="宋体" w:cs="宋体" w:eastAsia="宋体" w:hint="default"/>
                <w:spacing w:val="-86"/>
                <w:sz w:val="18"/>
                <w:szCs w:val="18"/>
              </w:rPr>
              <w:t> </w:t>
            </w:r>
            <w:r>
              <w:rPr>
                <w:rFonts w:ascii="宋体" w:hAnsi="宋体" w:cs="宋体" w:eastAsia="宋体" w:hint="default"/>
                <w:sz w:val="18"/>
                <w:szCs w:val="18"/>
              </w:rPr>
              <w:t>响后归属于母公司股东的净利润增长率不低于</w:t>
            </w:r>
            <w:r>
              <w:rPr>
                <w:rFonts w:ascii="Times New Roman" w:hAnsi="Times New Roman" w:cs="Times New Roman" w:eastAsia="Times New Roman" w:hint="default"/>
                <w:sz w:val="18"/>
                <w:szCs w:val="18"/>
              </w:rPr>
              <w:t>108.33%</w:t>
            </w:r>
          </w:p>
        </w:tc>
      </w:tr>
      <w:tr>
        <w:trPr>
          <w:trHeight w:val="646"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584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5"/>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年归属于母公司股东的净利润为基数，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年剔除股权激励影</w:t>
            </w:r>
            <w:r>
              <w:rPr>
                <w:rFonts w:ascii="宋体" w:hAnsi="宋体" w:cs="宋体" w:eastAsia="宋体" w:hint="default"/>
                <w:spacing w:val="-86"/>
                <w:sz w:val="18"/>
                <w:szCs w:val="18"/>
              </w:rPr>
              <w:t> </w:t>
            </w:r>
            <w:r>
              <w:rPr>
                <w:rFonts w:ascii="宋体" w:hAnsi="宋体" w:cs="宋体" w:eastAsia="宋体" w:hint="default"/>
                <w:sz w:val="18"/>
                <w:szCs w:val="18"/>
              </w:rPr>
              <w:t>响后归属于母公司股东的净利润增长率不低于</w:t>
            </w:r>
            <w:r>
              <w:rPr>
                <w:rFonts w:ascii="Times New Roman" w:hAnsi="Times New Roman" w:cs="Times New Roman" w:eastAsia="Times New Roman" w:hint="default"/>
                <w:sz w:val="18"/>
                <w:szCs w:val="18"/>
              </w:rPr>
              <w:t>495.24%</w:t>
            </w:r>
          </w:p>
        </w:tc>
      </w:tr>
      <w:tr>
        <w:trPr>
          <w:trHeight w:val="34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5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0"/>
              <w:jc w:val="center"/>
              <w:rPr>
                <w:rFonts w:ascii="宋体" w:hAnsi="宋体" w:cs="宋体" w:eastAsia="宋体" w:hint="default"/>
                <w:sz w:val="18"/>
                <w:szCs w:val="18"/>
              </w:rPr>
            </w:pPr>
            <w:r>
              <w:rPr>
                <w:rFonts w:ascii="宋体" w:hAnsi="宋体" w:cs="宋体" w:eastAsia="宋体" w:hint="default"/>
                <w:sz w:val="18"/>
                <w:szCs w:val="18"/>
              </w:rPr>
              <w:t>以公司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年归属于母公司股东的净利润为基数，</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年剔除股权激励影</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12"/>
        <w:rPr>
          <w:rFonts w:ascii="宋体" w:hAnsi="宋体" w:cs="宋体" w:eastAsia="宋体" w:hint="default"/>
          <w:sz w:val="28"/>
          <w:szCs w:val="28"/>
        </w:rPr>
      </w:pPr>
    </w:p>
    <w:p>
      <w:pPr>
        <w:spacing w:line="360" w:lineRule="exact"/>
        <w:ind w:left="126"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34.85pt;height:18pt;mso-position-horizontal-relative:char;mso-position-vertical-relative:line" coordorigin="0,0" coordsize="8697,360">
            <v:group style="position:absolute;left:15;top:15;width:2824;height:2" coordorigin="15,15" coordsize="2824,2">
              <v:shape style="position:absolute;left:15;top:15;width:2824;height:2" coordorigin="15,15" coordsize="2824,0" path="m15,15l2839,15e" filled="false" stroked="true" strokeweight=".75pt" strokecolor="#000000">
                <v:path arrowok="t"/>
              </v:shape>
            </v:group>
            <v:group style="position:absolute;left:2854;top:15;width:5828;height:2" coordorigin="2854,15" coordsize="5828,2">
              <v:shape style="position:absolute;left:2854;top:15;width:5828;height:2" coordorigin="2854,15" coordsize="5828,0" path="m2854,15l8681,15e" filled="false" stroked="true" strokeweight=".75pt" strokecolor="#000000">
                <v:path arrowok="t"/>
              </v:shape>
            </v:group>
            <v:group style="position:absolute;left:8;top:8;width:2;height:345" coordorigin="8,8" coordsize="2,345">
              <v:shape style="position:absolute;left:8;top:8;width:2;height:345" coordorigin="8,8" coordsize="0,345" path="m8,8l8,353e" filled="false" stroked="true" strokeweight=".75pt" strokecolor="#000000">
                <v:path arrowok="t"/>
              </v:shape>
            </v:group>
            <v:group style="position:absolute;left:15;top:345;width:2824;height:2" coordorigin="15,345" coordsize="2824,2">
              <v:shape style="position:absolute;left:15;top:345;width:2824;height:2" coordorigin="15,345" coordsize="2824,0" path="m15,345l2839,345e" filled="false" stroked="true" strokeweight=".75pt" strokecolor="#000000">
                <v:path arrowok="t"/>
              </v:shape>
            </v:group>
            <v:group style="position:absolute;left:2846;top:8;width:2;height:345" coordorigin="2846,8" coordsize="2,345">
              <v:shape style="position:absolute;left:2846;top:8;width:2;height:345" coordorigin="2846,8" coordsize="0,345" path="m2846,8l2846,353e" filled="false" stroked="true" strokeweight=".75pt" strokecolor="#000000">
                <v:path arrowok="t"/>
              </v:shape>
            </v:group>
            <v:group style="position:absolute;left:2854;top:345;width:5828;height:2" coordorigin="2854,345" coordsize="5828,2">
              <v:shape style="position:absolute;left:2854;top:345;width:5828;height:2" coordorigin="2854,345" coordsize="5828,0" path="m2854,345l8681,345e" filled="false" stroked="true" strokeweight=".75pt" strokecolor="#000000">
                <v:path arrowok="t"/>
              </v:shape>
            </v:group>
            <v:group style="position:absolute;left:8689;top:8;width:2;height:345" coordorigin="8689,8" coordsize="2,345">
              <v:shape style="position:absolute;left:8689;top:8;width:2;height:345" coordorigin="8689,8" coordsize="0,345" path="m8689,8l8689,353e" filled="false" stroked="true" strokeweight=".75pt" strokecolor="#000000">
                <v:path arrowok="t"/>
              </v:shape>
              <v:shape style="position:absolute;left:2846;top:15;width:5843;height:330" type="#_x0000_t202" filled="false" stroked="false">
                <v:textbox inset="0,0,0,0">
                  <w:txbxContent>
                    <w:p>
                      <w:pPr>
                        <w:spacing w:before="22"/>
                        <w:ind w:left="2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响后归属于母公司股东的净利润增长率不低于</w:t>
                      </w:r>
                      <w:r>
                        <w:rPr>
                          <w:rFonts w:ascii="Times New Roman" w:hAnsi="Times New Roman" w:cs="Times New Roman" w:eastAsia="Times New Roman" w:hint="default"/>
                          <w:sz w:val="18"/>
                          <w:szCs w:val="18"/>
                        </w:rPr>
                        <w:t>792.86%</w:t>
                      </w:r>
                    </w:p>
                  </w:txbxContent>
                </v:textbox>
                <w10:wrap type="none"/>
              </v:shape>
            </v:group>
          </v:group>
        </w:pict>
      </w:r>
      <w:r>
        <w:rPr>
          <w:rFonts w:ascii="宋体" w:hAnsi="宋体" w:cs="宋体" w:eastAsia="宋体" w:hint="default"/>
          <w:position w:val="-6"/>
          <w:sz w:val="20"/>
          <w:szCs w:val="20"/>
        </w:rPr>
      </w:r>
    </w:p>
    <w:p>
      <w:pPr>
        <w:pStyle w:val="BodyText"/>
        <w:spacing w:line="321" w:lineRule="auto"/>
        <w:ind w:right="1167" w:firstLine="420"/>
        <w:jc w:val="both"/>
      </w:pPr>
      <w:r>
        <w:rPr/>
        <w:t>期权的行权条件达成，则激励对象按照计划规定比例行权。反之，若行权条件未达成，则公司按照本计划，激励对象 所获期权当期可行权份额注销。</w:t>
      </w:r>
    </w:p>
    <w:p>
      <w:pPr>
        <w:pStyle w:val="BodyText"/>
        <w:spacing w:line="240" w:lineRule="auto" w:before="33"/>
        <w:ind w:left="561" w:right="0"/>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33"/>
        </w:rPr>
        <w:t> </w:t>
      </w:r>
      <w:r>
        <w:rPr/>
        <w:t>个人层面绩效考核要求</w:t>
      </w:r>
    </w:p>
    <w:p>
      <w:pPr>
        <w:pStyle w:val="BodyText"/>
        <w:spacing w:line="297" w:lineRule="auto" w:before="66"/>
        <w:ind w:right="1127" w:firstLine="420"/>
        <w:jc w:val="both"/>
      </w:pPr>
      <w:r>
        <w:rPr>
          <w:spacing w:val="-11"/>
        </w:rPr>
        <w:t>根据《 </w:t>
      </w:r>
      <w:r>
        <w:rPr/>
        <w:t>深圳市卓翼科技股份有限公司 </w:t>
      </w:r>
      <w:r>
        <w:rPr>
          <w:rFonts w:ascii="Times New Roman" w:hAnsi="Times New Roman" w:cs="Times New Roman" w:eastAsia="Times New Roman" w:hint="default"/>
        </w:rPr>
        <w:t>2017 </w:t>
      </w:r>
      <w:r>
        <w:rPr/>
        <w:t>年股票期权与限制性股票激励计划实施考核管理办法》，</w:t>
      </w:r>
      <w:r>
        <w:rPr>
          <w:spacing w:val="-54"/>
        </w:rPr>
        <w:t> </w:t>
      </w:r>
      <w:r>
        <w:rPr/>
        <w:t>激励对象只有在</w:t>
      </w:r>
      <w:r>
        <w:rPr/>
        <w:t> 规定的考核年度内达到公司业绩目标，以及个人绩效考核等级为合格以上的前提下，才可解除行权。</w:t>
      </w:r>
      <w:r>
        <w:rPr>
          <w:spacing w:val="-6"/>
        </w:rPr>
        <w:t> </w:t>
      </w:r>
      <w:r>
        <w:rPr/>
        <w:t>个人当次可行权的股</w:t>
      </w:r>
      <w:r>
        <w:rPr/>
        <w:t> 票期权数量的计算公式如下：</w:t>
      </w:r>
    </w:p>
    <w:p>
      <w:pPr>
        <w:pStyle w:val="BodyText"/>
        <w:spacing w:line="297" w:lineRule="auto" w:before="51"/>
        <w:ind w:left="561" w:right="0"/>
        <w:jc w:val="left"/>
      </w:pPr>
      <w:r>
        <w:rPr/>
        <w:t>个人当次实际行权的股票期权数量 </w:t>
      </w:r>
      <w:r>
        <w:rPr>
          <w:rFonts w:ascii="Times New Roman" w:hAnsi="Times New Roman" w:cs="Times New Roman" w:eastAsia="Times New Roman" w:hint="default"/>
        </w:rPr>
        <w:t>= </w:t>
      </w:r>
      <w:r>
        <w:rPr/>
        <w:t>根据个人绩效考核等级的对应行权比例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个人当次计划行权的股票期权数量 个人当次计划行权的股票期权数量 </w:t>
      </w:r>
      <w:r>
        <w:rPr>
          <w:rFonts w:ascii="Times New Roman" w:hAnsi="Times New Roman" w:cs="Times New Roman" w:eastAsia="Times New Roman" w:hint="default"/>
        </w:rPr>
        <w:t>= </w:t>
      </w:r>
      <w:r>
        <w:rPr/>
        <w:t>个人被授予的股票期权总数 </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本计划行权时间安排中规定的当次可行权的比例 个人绩效考核结果对应的比例规定具体如下：</w:t>
      </w: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809"/>
        <w:gridCol w:w="5752"/>
      </w:tblGrid>
      <w:tr>
        <w:trPr>
          <w:trHeight w:val="330"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b/>
                <w:bCs/>
                <w:sz w:val="18"/>
                <w:szCs w:val="18"/>
              </w:rPr>
              <w:t>个人绩效考核等级</w:t>
            </w:r>
            <w:r>
              <w:rPr>
                <w:rFonts w:ascii="宋体" w:hAnsi="宋体" w:cs="宋体" w:eastAsia="宋体" w:hint="default"/>
                <w:sz w:val="18"/>
                <w:szCs w:val="18"/>
              </w:rPr>
            </w:r>
          </w:p>
        </w:tc>
        <w:tc>
          <w:tcPr>
            <w:tcW w:w="5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对应解除限售比例</w:t>
            </w:r>
            <w:r>
              <w:rPr>
                <w:rFonts w:ascii="宋体" w:hAnsi="宋体" w:cs="宋体" w:eastAsia="宋体" w:hint="default"/>
                <w:sz w:val="18"/>
                <w:szCs w:val="18"/>
              </w:rPr>
            </w:r>
          </w:p>
        </w:tc>
      </w:tr>
      <w:tr>
        <w:trPr>
          <w:trHeight w:val="345"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sz w:val="18"/>
                <w:szCs w:val="18"/>
              </w:rPr>
              <w:t>优秀</w:t>
            </w:r>
          </w:p>
        </w:tc>
        <w:tc>
          <w:tcPr>
            <w:tcW w:w="5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100%</w:t>
            </w:r>
          </w:p>
        </w:tc>
      </w:tr>
      <w:tr>
        <w:trPr>
          <w:trHeight w:val="346"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8"/>
              <w:jc w:val="center"/>
              <w:rPr>
                <w:rFonts w:ascii="宋体" w:hAnsi="宋体" w:cs="宋体" w:eastAsia="宋体" w:hint="default"/>
                <w:sz w:val="18"/>
                <w:szCs w:val="18"/>
              </w:rPr>
            </w:pPr>
            <w:r>
              <w:rPr>
                <w:rFonts w:ascii="宋体" w:hAnsi="宋体" w:cs="宋体" w:eastAsia="宋体" w:hint="default"/>
                <w:sz w:val="18"/>
                <w:szCs w:val="18"/>
              </w:rPr>
              <w:t>良好</w:t>
            </w:r>
          </w:p>
        </w:tc>
        <w:tc>
          <w:tcPr>
            <w:tcW w:w="5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100%</w:t>
            </w:r>
          </w:p>
        </w:tc>
      </w:tr>
      <w:tr>
        <w:trPr>
          <w:trHeight w:val="346"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8"/>
              <w:jc w:val="center"/>
              <w:rPr>
                <w:rFonts w:ascii="宋体" w:hAnsi="宋体" w:cs="宋体" w:eastAsia="宋体" w:hint="default"/>
                <w:sz w:val="18"/>
                <w:szCs w:val="18"/>
              </w:rPr>
            </w:pPr>
            <w:r>
              <w:rPr>
                <w:rFonts w:ascii="宋体" w:hAnsi="宋体" w:cs="宋体" w:eastAsia="宋体" w:hint="default"/>
                <w:sz w:val="18"/>
                <w:szCs w:val="18"/>
              </w:rPr>
              <w:t>合格</w:t>
            </w:r>
          </w:p>
        </w:tc>
        <w:tc>
          <w:tcPr>
            <w:tcW w:w="5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80%</w:t>
            </w:r>
          </w:p>
        </w:tc>
      </w:tr>
      <w:tr>
        <w:trPr>
          <w:trHeight w:val="330"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8"/>
              <w:jc w:val="center"/>
              <w:rPr>
                <w:rFonts w:ascii="宋体" w:hAnsi="宋体" w:cs="宋体" w:eastAsia="宋体" w:hint="default"/>
                <w:sz w:val="18"/>
                <w:szCs w:val="18"/>
              </w:rPr>
            </w:pPr>
            <w:r>
              <w:rPr>
                <w:rFonts w:ascii="宋体" w:hAnsi="宋体" w:cs="宋体" w:eastAsia="宋体" w:hint="default"/>
                <w:sz w:val="18"/>
                <w:szCs w:val="18"/>
              </w:rPr>
              <w:t>不合格</w:t>
            </w:r>
          </w:p>
        </w:tc>
        <w:tc>
          <w:tcPr>
            <w:tcW w:w="5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321" w:lineRule="auto"/>
        <w:ind w:right="0" w:firstLine="360"/>
        <w:jc w:val="left"/>
      </w:pPr>
      <w:r>
        <w:rPr>
          <w:spacing w:val="-4"/>
        </w:rPr>
        <w:t>薪酬与考核委员会制定考核细则，对各激励对象每个考核年度的表现进行综合考评，激励对象需达到考核指标方可行权。</w:t>
      </w:r>
      <w:r>
        <w:rPr/>
        <w:t> 未能达到考核指标的激励对象不得行权。激励对象当年未能行权部分的股票期权由公司注销。</w:t>
      </w:r>
    </w:p>
    <w:p>
      <w:pPr>
        <w:pStyle w:val="BodyText"/>
        <w:spacing w:line="240" w:lineRule="auto" w:before="34"/>
        <w:ind w:left="501" w:right="0"/>
        <w:jc w:val="left"/>
      </w:pPr>
      <w:r>
        <w:rPr>
          <w:rFonts w:ascii="Times New Roman" w:hAnsi="Times New Roman" w:cs="Times New Roman" w:eastAsia="Times New Roman" w:hint="default"/>
        </w:rPr>
        <w:t>1.2</w:t>
      </w:r>
      <w:r>
        <w:rPr/>
        <w:t>限制性股票激励计划</w:t>
      </w:r>
    </w:p>
    <w:p>
      <w:pPr>
        <w:pStyle w:val="BodyText"/>
        <w:spacing w:line="290" w:lineRule="auto" w:before="66"/>
        <w:ind w:right="0" w:firstLine="360"/>
        <w:jc w:val="left"/>
      </w:pPr>
      <w:r>
        <w:rPr>
          <w:spacing w:val="-2"/>
        </w:rPr>
        <w:t>（</w:t>
      </w:r>
      <w:r>
        <w:rPr>
          <w:rFonts w:ascii="Times New Roman" w:hAnsi="Times New Roman" w:cs="Times New Roman" w:eastAsia="Times New Roman" w:hint="default"/>
          <w:spacing w:val="-2"/>
        </w:rPr>
        <w:t>1</w:t>
      </w:r>
      <w:r>
        <w:rPr>
          <w:spacing w:val="-2"/>
        </w:rPr>
        <w:t>）计划拟授予的限制性股票总数为</w:t>
      </w:r>
      <w:r>
        <w:rPr>
          <w:rFonts w:ascii="Times New Roman" w:hAnsi="Times New Roman" w:cs="Times New Roman" w:eastAsia="Times New Roman" w:hint="default"/>
          <w:spacing w:val="-2"/>
        </w:rPr>
        <w:t>447</w:t>
      </w:r>
      <w:r>
        <w:rPr>
          <w:spacing w:val="-2"/>
        </w:rPr>
        <w:t>万股，每份限制性股票在满足当年业绩考核目标的情况下，才可解除限售。反</w:t>
      </w:r>
      <w:r>
        <w:rPr/>
        <w:t> 之，限制性股票不得解除限售，并由公司回购注销。</w:t>
      </w:r>
    </w:p>
    <w:p>
      <w:pPr>
        <w:pStyle w:val="BodyText"/>
        <w:spacing w:line="304" w:lineRule="auto" w:before="41"/>
        <w:ind w:right="1114" w:firstLine="360"/>
        <w:jc w:val="left"/>
      </w:pPr>
      <w:r>
        <w:rPr/>
        <w:t>（</w:t>
      </w:r>
      <w:r>
        <w:rPr>
          <w:rFonts w:ascii="Times New Roman" w:hAnsi="Times New Roman" w:cs="Times New Roman" w:eastAsia="Times New Roman" w:hint="default"/>
        </w:rPr>
        <w:t>2</w:t>
      </w:r>
      <w:r>
        <w:rPr/>
        <w:t>）限制性股票激励计划授予的限制性股票的授予价格为</w:t>
      </w:r>
      <w:r>
        <w:rPr>
          <w:rFonts w:ascii="Times New Roman" w:hAnsi="Times New Roman" w:cs="Times New Roman" w:eastAsia="Times New Roman" w:hint="default"/>
        </w:rPr>
        <w:t>4.43</w:t>
      </w:r>
      <w:r>
        <w:rPr/>
        <w:t>元</w:t>
      </w:r>
      <w:r>
        <w:rPr>
          <w:rFonts w:ascii="Times New Roman" w:hAnsi="Times New Roman" w:cs="Times New Roman" w:eastAsia="Times New Roman" w:hint="default"/>
        </w:rPr>
        <w:t>/</w:t>
      </w:r>
      <w:r>
        <w:rPr/>
        <w:t>股。限制性股票激励计划有效期为授予登记完成之日 至激励对象获授的限制性股票全部解除限售或回购注销之日止，最长不超过</w:t>
      </w:r>
      <w:r>
        <w:rPr>
          <w:rFonts w:ascii="Times New Roman" w:hAnsi="Times New Roman" w:cs="Times New Roman" w:eastAsia="Times New Roman" w:hint="default"/>
        </w:rPr>
        <w:t>48</w:t>
      </w:r>
      <w:r>
        <w:rPr/>
        <w:t>月。</w:t>
      </w:r>
    </w:p>
    <w:p>
      <w:pPr>
        <w:pStyle w:val="BodyText"/>
        <w:spacing w:line="240" w:lineRule="auto" w:before="12"/>
        <w:ind w:left="501" w:right="0"/>
        <w:jc w:val="left"/>
      </w:pPr>
      <w:r>
        <w:rPr/>
        <w:t>（</w:t>
      </w:r>
      <w:r>
        <w:rPr>
          <w:rFonts w:ascii="Times New Roman" w:hAnsi="Times New Roman" w:cs="Times New Roman" w:eastAsia="Times New Roman" w:hint="default"/>
        </w:rPr>
        <w:t>3</w:t>
      </w:r>
      <w:r>
        <w:rPr/>
        <w:t>）限制性股票激励计划首次授予激励对象的限制性股票分三期解锁。</w:t>
      </w:r>
    </w:p>
    <w:p>
      <w:pPr>
        <w:spacing w:line="240" w:lineRule="auto" w:before="1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532"/>
        <w:gridCol w:w="5526"/>
        <w:gridCol w:w="1472"/>
      </w:tblGrid>
      <w:tr>
        <w:trPr>
          <w:trHeight w:val="961"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b/>
                <w:bCs/>
                <w:sz w:val="18"/>
                <w:szCs w:val="18"/>
              </w:rPr>
              <w:t>解除限售安排</w:t>
            </w:r>
            <w:r>
              <w:rPr>
                <w:rFonts w:ascii="宋体" w:hAnsi="宋体" w:cs="宋体" w:eastAsia="宋体" w:hint="default"/>
                <w:sz w:val="18"/>
                <w:szCs w:val="18"/>
              </w:rPr>
            </w:r>
          </w:p>
        </w:tc>
        <w:tc>
          <w:tcPr>
            <w:tcW w:w="552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b/>
                <w:bCs/>
                <w:sz w:val="18"/>
                <w:szCs w:val="18"/>
              </w:rPr>
              <w:t>解除限售时间</w:t>
            </w:r>
            <w:r>
              <w:rPr>
                <w:rFonts w:ascii="宋体" w:hAnsi="宋体" w:cs="宋体" w:eastAsia="宋体" w:hint="default"/>
                <w:sz w:val="18"/>
                <w:szCs w:val="18"/>
              </w:rPr>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
              <w:jc w:val="left"/>
              <w:rPr>
                <w:rFonts w:ascii="宋体" w:hAnsi="宋体" w:cs="宋体" w:eastAsia="宋体" w:hint="default"/>
                <w:sz w:val="18"/>
                <w:szCs w:val="18"/>
              </w:rPr>
            </w:pPr>
            <w:r>
              <w:rPr>
                <w:rFonts w:ascii="宋体" w:hAnsi="宋体" w:cs="宋体" w:eastAsia="宋体" w:hint="default"/>
                <w:b/>
                <w:bCs/>
                <w:sz w:val="18"/>
                <w:szCs w:val="18"/>
              </w:rPr>
              <w:t>可解锁数量占限制</w:t>
            </w:r>
            <w:r>
              <w:rPr>
                <w:rFonts w:ascii="宋体" w:hAnsi="宋体" w:cs="宋体" w:eastAsia="宋体" w:hint="default"/>
                <w:b/>
                <w:bCs/>
                <w:w w:val="99"/>
                <w:sz w:val="18"/>
                <w:szCs w:val="18"/>
              </w:rPr>
              <w:t> </w:t>
            </w:r>
            <w:r>
              <w:rPr>
                <w:rFonts w:ascii="宋体" w:hAnsi="宋体" w:cs="宋体" w:eastAsia="宋体" w:hint="default"/>
                <w:b/>
                <w:bCs/>
                <w:sz w:val="18"/>
                <w:szCs w:val="18"/>
              </w:rPr>
              <w:t>性股票数量比例</w:t>
            </w:r>
            <w:r>
              <w:rPr>
                <w:rFonts w:ascii="宋体" w:hAnsi="宋体" w:cs="宋体" w:eastAsia="宋体" w:hint="default"/>
                <w:sz w:val="18"/>
                <w:szCs w:val="18"/>
              </w:rPr>
            </w:r>
          </w:p>
        </w:tc>
      </w:tr>
      <w:tr>
        <w:trPr>
          <w:trHeight w:val="660"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第一次解除限售</w:t>
            </w:r>
          </w:p>
        </w:tc>
        <w:tc>
          <w:tcPr>
            <w:tcW w:w="5526"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15"/>
              <w:ind w:right="103"/>
              <w:jc w:val="left"/>
              <w:rPr>
                <w:rFonts w:ascii="宋体" w:hAnsi="宋体" w:cs="宋体" w:eastAsia="宋体" w:hint="default"/>
                <w:sz w:val="18"/>
                <w:szCs w:val="18"/>
              </w:rPr>
            </w:pPr>
            <w:r>
              <w:rPr>
                <w:rFonts w:ascii="宋体" w:hAnsi="宋体" w:cs="宋体" w:eastAsia="宋体" w:hint="default"/>
                <w:sz w:val="18"/>
                <w:szCs w:val="18"/>
              </w:rPr>
              <w:t>自首次授予日起满</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w:t>
            </w:r>
            <w:r>
              <w:rPr>
                <w:rFonts w:ascii="宋体" w:hAnsi="宋体" w:cs="宋体" w:eastAsia="宋体" w:hint="default"/>
                <w:spacing w:val="-86"/>
                <w:sz w:val="18"/>
                <w:szCs w:val="18"/>
              </w:rPr>
              <w:t> </w:t>
            </w:r>
            <w:r>
              <w:rPr>
                <w:rFonts w:ascii="宋体" w:hAnsi="宋体" w:cs="宋体" w:eastAsia="宋体" w:hint="default"/>
                <w:sz w:val="18"/>
                <w:szCs w:val="18"/>
              </w:rPr>
              <w:t>的最后一个交易日止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554"/>
              <w:jc w:val="right"/>
              <w:rPr>
                <w:rFonts w:ascii="Times New Roman" w:hAnsi="Times New Roman" w:cs="Times New Roman" w:eastAsia="Times New Roman" w:hint="default"/>
                <w:sz w:val="18"/>
                <w:szCs w:val="18"/>
              </w:rPr>
            </w:pPr>
            <w:r>
              <w:rPr>
                <w:rFonts w:ascii="Times New Roman"/>
                <w:sz w:val="18"/>
              </w:rPr>
              <w:t>25%</w:t>
            </w:r>
          </w:p>
        </w:tc>
      </w:tr>
      <w:tr>
        <w:trPr>
          <w:trHeight w:val="646"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第二次解除限售</w:t>
            </w:r>
          </w:p>
        </w:tc>
        <w:tc>
          <w:tcPr>
            <w:tcW w:w="5526"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15"/>
              <w:ind w:right="103"/>
              <w:jc w:val="left"/>
              <w:rPr>
                <w:rFonts w:ascii="宋体" w:hAnsi="宋体" w:cs="宋体" w:eastAsia="宋体" w:hint="default"/>
                <w:sz w:val="18"/>
                <w:szCs w:val="18"/>
              </w:rPr>
            </w:pPr>
            <w:r>
              <w:rPr>
                <w:rFonts w:ascii="宋体" w:hAnsi="宋体" w:cs="宋体" w:eastAsia="宋体" w:hint="default"/>
                <w:sz w:val="18"/>
                <w:szCs w:val="18"/>
              </w:rPr>
              <w:t>自首次授予日起满</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w:t>
            </w:r>
            <w:r>
              <w:rPr>
                <w:rFonts w:ascii="宋体" w:hAnsi="宋体" w:cs="宋体" w:eastAsia="宋体" w:hint="default"/>
                <w:spacing w:val="-86"/>
                <w:sz w:val="18"/>
                <w:szCs w:val="18"/>
              </w:rPr>
              <w:t> </w:t>
            </w:r>
            <w:r>
              <w:rPr>
                <w:rFonts w:ascii="宋体" w:hAnsi="宋体" w:cs="宋体" w:eastAsia="宋体" w:hint="default"/>
                <w:sz w:val="18"/>
                <w:szCs w:val="18"/>
              </w:rPr>
              <w:t>的最后一个交易日止；</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554"/>
              <w:jc w:val="right"/>
              <w:rPr>
                <w:rFonts w:ascii="Times New Roman" w:hAnsi="Times New Roman" w:cs="Times New Roman" w:eastAsia="Times New Roman" w:hint="default"/>
                <w:sz w:val="18"/>
                <w:szCs w:val="18"/>
              </w:rPr>
            </w:pPr>
            <w:r>
              <w:rPr>
                <w:rFonts w:ascii="Times New Roman"/>
                <w:sz w:val="18"/>
              </w:rPr>
              <w:t>40%</w:t>
            </w:r>
          </w:p>
        </w:tc>
      </w:tr>
      <w:tr>
        <w:trPr>
          <w:trHeight w:val="661" w:hRule="exact"/>
        </w:trPr>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5"/>
              <w:jc w:val="center"/>
              <w:rPr>
                <w:rFonts w:ascii="宋体" w:hAnsi="宋体" w:cs="宋体" w:eastAsia="宋体" w:hint="default"/>
                <w:sz w:val="18"/>
                <w:szCs w:val="18"/>
              </w:rPr>
            </w:pPr>
            <w:r>
              <w:rPr>
                <w:rFonts w:ascii="宋体" w:hAnsi="宋体" w:cs="宋体" w:eastAsia="宋体" w:hint="default"/>
                <w:sz w:val="18"/>
                <w:szCs w:val="18"/>
              </w:rPr>
              <w:t>第三次解除限售</w:t>
            </w:r>
          </w:p>
        </w:tc>
        <w:tc>
          <w:tcPr>
            <w:tcW w:w="552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9"/>
              <w:ind w:right="103"/>
              <w:jc w:val="left"/>
              <w:rPr>
                <w:rFonts w:ascii="宋体" w:hAnsi="宋体" w:cs="宋体" w:eastAsia="宋体" w:hint="default"/>
                <w:sz w:val="18"/>
                <w:szCs w:val="18"/>
              </w:rPr>
            </w:pPr>
            <w:r>
              <w:rPr>
                <w:rFonts w:ascii="宋体" w:hAnsi="宋体" w:cs="宋体" w:eastAsia="宋体" w:hint="default"/>
                <w:sz w:val="18"/>
                <w:szCs w:val="18"/>
              </w:rPr>
              <w:t>自首次授予日起满</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w:t>
            </w:r>
            <w:r>
              <w:rPr>
                <w:rFonts w:ascii="宋体" w:hAnsi="宋体" w:cs="宋体" w:eastAsia="宋体" w:hint="default"/>
                <w:spacing w:val="-86"/>
                <w:sz w:val="18"/>
                <w:szCs w:val="18"/>
              </w:rPr>
              <w:t> </w:t>
            </w:r>
            <w:r>
              <w:rPr>
                <w:rFonts w:ascii="宋体" w:hAnsi="宋体" w:cs="宋体" w:eastAsia="宋体" w:hint="default"/>
                <w:sz w:val="18"/>
                <w:szCs w:val="18"/>
              </w:rPr>
              <w:t>的最后一个交易日止；</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554"/>
              <w:jc w:val="right"/>
              <w:rPr>
                <w:rFonts w:ascii="Times New Roman" w:hAnsi="Times New Roman" w:cs="Times New Roman" w:eastAsia="Times New Roman" w:hint="default"/>
                <w:sz w:val="18"/>
                <w:szCs w:val="18"/>
              </w:rPr>
            </w:pPr>
            <w:r>
              <w:rPr>
                <w:rFonts w:ascii="Times New Roman"/>
                <w:sz w:val="18"/>
              </w:rPr>
              <w:t>35%</w:t>
            </w:r>
          </w:p>
        </w:tc>
      </w:tr>
    </w:tbl>
    <w:p>
      <w:pPr>
        <w:pStyle w:val="BodyText"/>
        <w:spacing w:line="297" w:lineRule="auto" w:before="14"/>
        <w:ind w:left="561" w:right="7629"/>
        <w:jc w:val="left"/>
      </w:pPr>
      <w:r>
        <w:rPr/>
        <w:t>（</w:t>
      </w:r>
      <w:r>
        <w:rPr>
          <w:rFonts w:ascii="Times New Roman" w:hAnsi="Times New Roman" w:cs="Times New Roman" w:eastAsia="Times New Roman" w:hint="default"/>
        </w:rPr>
        <w:t>4</w:t>
      </w:r>
      <w:r>
        <w:rPr/>
        <w:t>）主要解锁条件 授予限制性股票各期的解锁条件： 公司业绩考核：</w:t>
      </w: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839"/>
        <w:gridCol w:w="5843"/>
      </w:tblGrid>
      <w:tr>
        <w:trPr>
          <w:trHeight w:val="346"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解除限售安排</w:t>
            </w:r>
            <w:r>
              <w:rPr>
                <w:rFonts w:ascii="宋体" w:hAnsi="宋体" w:cs="宋体" w:eastAsia="宋体" w:hint="default"/>
                <w:sz w:val="18"/>
                <w:szCs w:val="18"/>
              </w:rPr>
            </w:r>
          </w:p>
        </w:tc>
        <w:tc>
          <w:tcPr>
            <w:tcW w:w="5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业绩考核指标</w:t>
            </w:r>
            <w:r>
              <w:rPr>
                <w:rFonts w:ascii="宋体" w:hAnsi="宋体" w:cs="宋体" w:eastAsia="宋体" w:hint="default"/>
                <w:sz w:val="18"/>
                <w:szCs w:val="18"/>
              </w:rPr>
            </w:r>
          </w:p>
        </w:tc>
      </w:tr>
      <w:tr>
        <w:trPr>
          <w:trHeight w:val="64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第一次解除限售</w:t>
            </w:r>
          </w:p>
        </w:tc>
        <w:tc>
          <w:tcPr>
            <w:tcW w:w="584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4"/>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年归属于母公司股东的净利润为基数，</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年剔除股权激励影</w:t>
            </w:r>
            <w:r>
              <w:rPr>
                <w:rFonts w:ascii="宋体" w:hAnsi="宋体" w:cs="宋体" w:eastAsia="宋体" w:hint="default"/>
                <w:spacing w:val="-86"/>
                <w:sz w:val="18"/>
                <w:szCs w:val="18"/>
              </w:rPr>
              <w:t> </w:t>
            </w:r>
            <w:r>
              <w:rPr>
                <w:rFonts w:ascii="宋体" w:hAnsi="宋体" w:cs="宋体" w:eastAsia="宋体" w:hint="default"/>
                <w:sz w:val="18"/>
                <w:szCs w:val="18"/>
              </w:rPr>
              <w:t>响后归属于母公司股东的净利润增长率不低于</w:t>
            </w:r>
            <w:r>
              <w:rPr>
                <w:rFonts w:ascii="Times New Roman" w:hAnsi="Times New Roman" w:cs="Times New Roman" w:eastAsia="Times New Roman" w:hint="default"/>
                <w:sz w:val="18"/>
                <w:szCs w:val="18"/>
              </w:rPr>
              <w:t>108.33%</w:t>
            </w:r>
          </w:p>
        </w:tc>
      </w:tr>
      <w:tr>
        <w:trPr>
          <w:trHeight w:val="661"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第二次解除限售</w:t>
            </w:r>
          </w:p>
        </w:tc>
        <w:tc>
          <w:tcPr>
            <w:tcW w:w="5843"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30"/>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年归属于母公司股东的净利润为基数，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年剔除股权激励影</w:t>
            </w:r>
            <w:r>
              <w:rPr>
                <w:rFonts w:ascii="宋体" w:hAnsi="宋体" w:cs="宋体" w:eastAsia="宋体" w:hint="default"/>
                <w:spacing w:val="-86"/>
                <w:sz w:val="18"/>
                <w:szCs w:val="18"/>
              </w:rPr>
              <w:t> </w:t>
            </w:r>
            <w:r>
              <w:rPr>
                <w:rFonts w:ascii="宋体" w:hAnsi="宋体" w:cs="宋体" w:eastAsia="宋体" w:hint="default"/>
                <w:sz w:val="18"/>
                <w:szCs w:val="18"/>
              </w:rPr>
              <w:t>响后归属于母公司股东的净利润增长率不低于</w:t>
            </w:r>
            <w:r>
              <w:rPr>
                <w:rFonts w:ascii="Times New Roman" w:hAnsi="Times New Roman" w:cs="Times New Roman" w:eastAsia="Times New Roman" w:hint="default"/>
                <w:sz w:val="18"/>
                <w:szCs w:val="18"/>
              </w:rPr>
              <w:t>495.24%</w:t>
            </w:r>
          </w:p>
        </w:tc>
      </w:tr>
      <w:tr>
        <w:trPr>
          <w:trHeight w:val="645" w:hRule="exact"/>
        </w:trPr>
        <w:tc>
          <w:tcPr>
            <w:tcW w:w="2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第三次解除限售</w:t>
            </w:r>
          </w:p>
        </w:tc>
        <w:tc>
          <w:tcPr>
            <w:tcW w:w="5843"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15"/>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年归属于母公司股东的净利润为基数，</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年剔除股权激励影</w:t>
            </w:r>
            <w:r>
              <w:rPr>
                <w:rFonts w:ascii="宋体" w:hAnsi="宋体" w:cs="宋体" w:eastAsia="宋体" w:hint="default"/>
                <w:spacing w:val="-86"/>
                <w:sz w:val="18"/>
                <w:szCs w:val="18"/>
              </w:rPr>
              <w:t> </w:t>
            </w:r>
            <w:r>
              <w:rPr>
                <w:rFonts w:ascii="宋体" w:hAnsi="宋体" w:cs="宋体" w:eastAsia="宋体" w:hint="default"/>
                <w:sz w:val="18"/>
                <w:szCs w:val="18"/>
              </w:rPr>
              <w:t>响后归属于母公司股东的净利润增长率不低于</w:t>
            </w:r>
            <w:r>
              <w:rPr>
                <w:rFonts w:ascii="Times New Roman" w:hAnsi="Times New Roman" w:cs="Times New Roman" w:eastAsia="Times New Roman" w:hint="default"/>
                <w:sz w:val="18"/>
                <w:szCs w:val="18"/>
              </w:rPr>
              <w:t>792.86%</w:t>
            </w:r>
          </w:p>
        </w:tc>
      </w:tr>
    </w:tbl>
    <w:p>
      <w:pPr>
        <w:pStyle w:val="BodyText"/>
        <w:spacing w:line="240" w:lineRule="auto"/>
        <w:ind w:left="561" w:right="0"/>
        <w:jc w:val="left"/>
      </w:pPr>
      <w:r>
        <w:rPr/>
        <w:t>个人层面绩效考核：</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4" w:lineRule="auto" w:before="44"/>
        <w:ind w:right="1127" w:firstLine="420"/>
        <w:jc w:val="both"/>
      </w:pPr>
      <w:r>
        <w:rPr/>
        <w:t>根据</w:t>
      </w:r>
      <w:r>
        <w:rPr>
          <w:spacing w:val="-51"/>
        </w:rPr>
        <w:t> </w:t>
      </w:r>
      <w:r>
        <w:rPr/>
        <w:t>《深圳市卓翼科技股份有限公司</w:t>
      </w:r>
      <w:r>
        <w:rPr>
          <w:spacing w:val="-2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t>年股票期权与限制性股票激励计划实施考核管理办法》，</w:t>
      </w:r>
      <w:r>
        <w:rPr>
          <w:spacing w:val="-46"/>
        </w:rPr>
        <w:t> </w:t>
      </w:r>
      <w:r>
        <w:rPr/>
        <w:t>激励对象只有在</w:t>
      </w:r>
      <w:r>
        <w:rPr/>
        <w:t> 规定的考核年度内达到公司业绩目标，以及个人绩效考核等级为合格以上的前提下，才可解除行权。</w:t>
      </w:r>
      <w:r>
        <w:rPr>
          <w:spacing w:val="-5"/>
        </w:rPr>
        <w:t> </w:t>
      </w:r>
      <w:r>
        <w:rPr/>
        <w:t>个人当次可行权的股</w:t>
      </w:r>
      <w:r>
        <w:rPr/>
        <w:t> 票期权数量的计算公式如下：</w:t>
      </w:r>
    </w:p>
    <w:p>
      <w:pPr>
        <w:pStyle w:val="BodyText"/>
        <w:spacing w:line="297" w:lineRule="auto" w:before="31"/>
        <w:ind w:left="561" w:right="0"/>
        <w:jc w:val="left"/>
      </w:pPr>
      <w:r>
        <w:rPr/>
        <w:t>个人当次实际行权的股票期权数量 </w:t>
      </w:r>
      <w:r>
        <w:rPr>
          <w:rFonts w:ascii="Times New Roman" w:hAnsi="Times New Roman" w:cs="Times New Roman" w:eastAsia="Times New Roman" w:hint="default"/>
        </w:rPr>
        <w:t>= </w:t>
      </w:r>
      <w:r>
        <w:rPr/>
        <w:t>根据个人绩效考核等级的对应行权比例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个人当次计划行权的股票期权数量 个人当次计划行权的股票期权数量 </w:t>
      </w:r>
      <w:r>
        <w:rPr>
          <w:rFonts w:ascii="Times New Roman" w:hAnsi="Times New Roman" w:cs="Times New Roman" w:eastAsia="Times New Roman" w:hint="default"/>
        </w:rPr>
        <w:t>= </w:t>
      </w:r>
      <w:r>
        <w:rPr/>
        <w:t>个人被授予的股票期权总数 </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本计划行权时间安排中规定的当次可行权的比例 个人绩效考核结果对应的比例规定具体如下：</w:t>
      </w: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809"/>
        <w:gridCol w:w="5752"/>
      </w:tblGrid>
      <w:tr>
        <w:trPr>
          <w:trHeight w:val="345"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8"/>
              <w:jc w:val="center"/>
              <w:rPr>
                <w:rFonts w:ascii="宋体" w:hAnsi="宋体" w:cs="宋体" w:eastAsia="宋体" w:hint="default"/>
                <w:sz w:val="18"/>
                <w:szCs w:val="18"/>
              </w:rPr>
            </w:pPr>
            <w:r>
              <w:rPr>
                <w:rFonts w:ascii="宋体" w:hAnsi="宋体" w:cs="宋体" w:eastAsia="宋体" w:hint="default"/>
                <w:b/>
                <w:bCs/>
                <w:sz w:val="18"/>
                <w:szCs w:val="18"/>
              </w:rPr>
              <w:t>个人绩效考核等级</w:t>
            </w:r>
            <w:r>
              <w:rPr>
                <w:rFonts w:ascii="宋体" w:hAnsi="宋体" w:cs="宋体" w:eastAsia="宋体" w:hint="default"/>
                <w:sz w:val="18"/>
                <w:szCs w:val="18"/>
              </w:rPr>
            </w:r>
          </w:p>
        </w:tc>
        <w:tc>
          <w:tcPr>
            <w:tcW w:w="575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对应解除限售比例</w:t>
            </w:r>
            <w:r>
              <w:rPr>
                <w:rFonts w:ascii="宋体" w:hAnsi="宋体" w:cs="宋体" w:eastAsia="宋体" w:hint="default"/>
                <w:sz w:val="18"/>
                <w:szCs w:val="18"/>
              </w:rPr>
            </w:r>
          </w:p>
        </w:tc>
      </w:tr>
      <w:tr>
        <w:trPr>
          <w:trHeight w:val="330"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优秀</w:t>
            </w:r>
          </w:p>
        </w:tc>
        <w:tc>
          <w:tcPr>
            <w:tcW w:w="5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100%</w:t>
            </w:r>
          </w:p>
        </w:tc>
      </w:tr>
      <w:tr>
        <w:trPr>
          <w:trHeight w:val="346"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sz w:val="18"/>
                <w:szCs w:val="18"/>
              </w:rPr>
              <w:t>良好</w:t>
            </w:r>
          </w:p>
        </w:tc>
        <w:tc>
          <w:tcPr>
            <w:tcW w:w="5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100%</w:t>
            </w:r>
          </w:p>
        </w:tc>
      </w:tr>
      <w:tr>
        <w:trPr>
          <w:trHeight w:val="345"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sz w:val="18"/>
                <w:szCs w:val="18"/>
              </w:rPr>
              <w:t>合格</w:t>
            </w:r>
          </w:p>
        </w:tc>
        <w:tc>
          <w:tcPr>
            <w:tcW w:w="5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80%</w:t>
            </w:r>
          </w:p>
        </w:tc>
      </w:tr>
      <w:tr>
        <w:trPr>
          <w:trHeight w:val="330"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不合格</w:t>
            </w:r>
          </w:p>
        </w:tc>
        <w:tc>
          <w:tcPr>
            <w:tcW w:w="5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0%</w:t>
            </w:r>
          </w:p>
        </w:tc>
      </w:tr>
    </w:tbl>
    <w:p>
      <w:pPr>
        <w:pStyle w:val="BodyText"/>
        <w:spacing w:line="321" w:lineRule="auto"/>
        <w:ind w:right="1149" w:firstLine="420"/>
        <w:jc w:val="left"/>
      </w:pPr>
      <w:r>
        <w:rPr/>
        <w:t>薪酬与考核委员会制定考核细则，对各激励对象每个考核年度的表现进行综合考评，激励对象需达到考核指标方可行 权。未能达到考核指标的激励对象不得行权。激励对象当年未能行权部分的股票期权由公司注销。</w:t>
      </w:r>
    </w:p>
    <w:p>
      <w:pPr>
        <w:pStyle w:val="BodyText"/>
        <w:spacing w:line="240" w:lineRule="auto" w:before="33"/>
        <w:ind w:left="561" w:right="0"/>
        <w:jc w:val="left"/>
      </w:pPr>
      <w:r>
        <w:rPr>
          <w:rFonts w:ascii="Times New Roman" w:hAnsi="Times New Roman" w:cs="Times New Roman" w:eastAsia="Times New Roman" w:hint="default"/>
        </w:rPr>
        <w:t>2</w:t>
      </w:r>
      <w:r>
        <w:rPr/>
        <w:t>、计划的实施情况</w:t>
      </w:r>
    </w:p>
    <w:p>
      <w:pPr>
        <w:pStyle w:val="BodyText"/>
        <w:spacing w:line="288" w:lineRule="auto" w:before="66"/>
        <w:ind w:right="1013" w:firstLine="420"/>
        <w:jc w:val="left"/>
      </w:pPr>
      <w:r>
        <w:rPr>
          <w:spacing w:val="-1"/>
        </w:rPr>
        <w:t>股票期权的授予日为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25</w:t>
      </w:r>
      <w:r>
        <w:rPr>
          <w:spacing w:val="-1"/>
        </w:rPr>
        <w:t>日，计划授予的股票期权为</w:t>
      </w:r>
      <w:r>
        <w:rPr>
          <w:rFonts w:ascii="Times New Roman" w:hAnsi="Times New Roman" w:cs="Times New Roman" w:eastAsia="Times New Roman" w:hint="default"/>
          <w:spacing w:val="-1"/>
        </w:rPr>
        <w:t>1,180</w:t>
      </w:r>
      <w:r>
        <w:rPr>
          <w:spacing w:val="-1"/>
        </w:rPr>
        <w:t>万份；授予过程中，</w:t>
      </w:r>
      <w:r>
        <w:rPr>
          <w:rFonts w:ascii="Times New Roman" w:hAnsi="Times New Roman" w:cs="Times New Roman" w:eastAsia="Times New Roman" w:hint="default"/>
          <w:spacing w:val="-1"/>
        </w:rPr>
        <w:t>4</w:t>
      </w:r>
      <w:r>
        <w:rPr>
          <w:rFonts w:ascii="Times New Roman" w:hAnsi="Times New Roman" w:cs="Times New Roman" w:eastAsia="Times New Roman" w:hint="default"/>
        </w:rPr>
        <w:t> </w:t>
      </w:r>
      <w:r>
        <w:rPr>
          <w:spacing w:val="-2"/>
        </w:rPr>
        <w:t>名激励对象张兆民、邓水平、</w:t>
      </w:r>
      <w:r>
        <w:rPr/>
        <w:t> 钱小满、陈金伟因个人原因放弃认购拟授予的全部股票期权，故本次激励计划公司实际向 </w:t>
      </w:r>
      <w:r>
        <w:rPr>
          <w:rFonts w:ascii="Times New Roman" w:hAnsi="Times New Roman" w:cs="Times New Roman" w:eastAsia="Times New Roman" w:hint="default"/>
        </w:rPr>
        <w:t>148 </w:t>
      </w:r>
      <w:r>
        <w:rPr/>
        <w:t>名激励对象授予</w:t>
      </w:r>
      <w:r>
        <w:rPr>
          <w:rFonts w:ascii="Times New Roman" w:hAnsi="Times New Roman" w:cs="Times New Roman" w:eastAsia="Times New Roman" w:hint="default"/>
        </w:rPr>
        <w:t>1,151.7</w:t>
      </w:r>
      <w:r>
        <w:rPr>
          <w:rFonts w:ascii="Times New Roman" w:hAnsi="Times New Roman" w:cs="Times New Roman" w:eastAsia="Times New Roman" w:hint="default"/>
          <w:spacing w:val="-12"/>
        </w:rPr>
        <w:t> </w:t>
      </w:r>
      <w:r>
        <w:rPr/>
        <w:t>万份 股票期权。</w:t>
      </w:r>
    </w:p>
    <w:p>
      <w:pPr>
        <w:pStyle w:val="BodyText"/>
        <w:spacing w:line="302" w:lineRule="auto" w:before="59"/>
        <w:ind w:right="1147" w:firstLine="420"/>
        <w:jc w:val="left"/>
      </w:pPr>
      <w:r>
        <w:rPr/>
        <w:t>限制性股票的授予日为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日，计划授予的限制性股票为</w:t>
      </w:r>
      <w:r>
        <w:rPr>
          <w:rFonts w:ascii="Times New Roman" w:hAnsi="Times New Roman" w:cs="Times New Roman" w:eastAsia="Times New Roman" w:hint="default"/>
        </w:rPr>
        <w:t>447</w:t>
      </w:r>
      <w:r>
        <w:rPr/>
        <w:t>万股；实际认购的限制性股票为</w:t>
      </w:r>
      <w:r>
        <w:rPr>
          <w:rFonts w:ascii="Times New Roman" w:hAnsi="Times New Roman" w:cs="Times New Roman" w:eastAsia="Times New Roman" w:hint="default"/>
        </w:rPr>
        <w:t>427</w:t>
      </w:r>
      <w:r>
        <w:rPr/>
        <w:t>万股。在本 次激励计划授予过程中， </w:t>
      </w:r>
      <w:r>
        <w:rPr>
          <w:rFonts w:ascii="Times New Roman" w:hAnsi="Times New Roman" w:cs="Times New Roman" w:eastAsia="Times New Roman" w:hint="default"/>
        </w:rPr>
        <w:t>1</w:t>
      </w:r>
      <w:r>
        <w:rPr>
          <w:rFonts w:ascii="Times New Roman" w:hAnsi="Times New Roman" w:cs="Times New Roman" w:eastAsia="Times New Roman" w:hint="default"/>
          <w:spacing w:val="17"/>
        </w:rPr>
        <w:t> </w:t>
      </w:r>
      <w:r>
        <w:rPr/>
        <w:t>名激励对象因个人原因仅部分认购拟授予的限制性股票。因此，公司本次限制性股票实际授予</w:t>
      </w:r>
    </w:p>
    <w:p>
      <w:pPr>
        <w:pStyle w:val="BodyText"/>
        <w:spacing w:line="240" w:lineRule="auto" w:before="14"/>
        <w:ind w:right="0"/>
        <w:jc w:val="both"/>
      </w:pPr>
      <w:r>
        <w:rPr/>
        <w:t>人数仍为 </w:t>
      </w:r>
      <w:r>
        <w:rPr>
          <w:rFonts w:ascii="Times New Roman" w:hAnsi="Times New Roman" w:cs="Times New Roman" w:eastAsia="Times New Roman" w:hint="default"/>
        </w:rPr>
        <w:t>13 </w:t>
      </w:r>
      <w:r>
        <w:rPr/>
        <w:t>人，授予的限制性股票数量由 </w:t>
      </w:r>
      <w:r>
        <w:rPr>
          <w:rFonts w:ascii="Times New Roman" w:hAnsi="Times New Roman" w:cs="Times New Roman" w:eastAsia="Times New Roman" w:hint="default"/>
        </w:rPr>
        <w:t>447 </w:t>
      </w:r>
      <w:r>
        <w:rPr/>
        <w:t>万股调整为 </w:t>
      </w:r>
      <w:r>
        <w:rPr>
          <w:rFonts w:ascii="Times New Roman" w:hAnsi="Times New Roman" w:cs="Times New Roman" w:eastAsia="Times New Roman" w:hint="default"/>
        </w:rPr>
        <w:t>427 </w:t>
      </w:r>
      <w:r>
        <w:rPr>
          <w:rFonts w:ascii="Times New Roman" w:hAnsi="Times New Roman" w:cs="Times New Roman" w:eastAsia="Times New Roman" w:hint="default"/>
          <w:spacing w:val="4"/>
        </w:rPr>
        <w:t> </w:t>
      </w:r>
      <w:r>
        <w:rPr/>
        <w:t>万股。</w:t>
      </w:r>
    </w:p>
    <w:p>
      <w:pPr>
        <w:pStyle w:val="BodyText"/>
        <w:spacing w:line="240" w:lineRule="auto" w:before="66"/>
        <w:ind w:left="561"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日，本公司完成了股票期权和限制性股票授予的股权登记工作。</w:t>
      </w:r>
    </w:p>
    <w:p>
      <w:pPr>
        <w:pStyle w:val="BodyText"/>
        <w:spacing w:line="302" w:lineRule="auto" w:before="51"/>
        <w:ind w:right="0" w:firstLine="420"/>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8</w:t>
      </w:r>
      <w:r>
        <w:rPr>
          <w:spacing w:val="-1"/>
        </w:rPr>
        <w:t>日，本公司回购注销未达</w:t>
      </w:r>
      <w:r>
        <w:rPr>
          <w:rFonts w:ascii="Times New Roman" w:hAnsi="Times New Roman" w:cs="Times New Roman" w:eastAsia="Times New Roman" w:hint="default"/>
          <w:spacing w:val="-1"/>
        </w:rPr>
        <w:t>2017</w:t>
      </w:r>
      <w:r>
        <w:rPr>
          <w:spacing w:val="-1"/>
        </w:rPr>
        <w:t>年股票期权与限制性股票激励计划第一期行权</w:t>
      </w:r>
      <w:r>
        <w:rPr>
          <w:rFonts w:ascii="Times New Roman" w:hAnsi="Times New Roman" w:cs="Times New Roman" w:eastAsia="Times New Roman" w:hint="default"/>
          <w:spacing w:val="-1"/>
        </w:rPr>
        <w:t>/</w:t>
      </w:r>
      <w:r>
        <w:rPr>
          <w:spacing w:val="-1"/>
        </w:rPr>
        <w:t>解锁条件的激励对象持有获授</w:t>
      </w:r>
      <w:r>
        <w:rPr/>
        <w:t> 的限制性股票，共计</w:t>
      </w:r>
      <w:r>
        <w:rPr>
          <w:rFonts w:ascii="Times New Roman" w:hAnsi="Times New Roman" w:cs="Times New Roman" w:eastAsia="Times New Roman" w:hint="default"/>
        </w:rPr>
        <w:t>106.75</w:t>
      </w:r>
      <w:r>
        <w:rPr/>
        <w:t>万股，授予的限制性股票数量由</w:t>
      </w:r>
      <w:r>
        <w:rPr>
          <w:spacing w:val="-9"/>
        </w:rPr>
        <w:t> </w:t>
      </w:r>
      <w:r>
        <w:rPr>
          <w:rFonts w:ascii="Times New Roman" w:hAnsi="Times New Roman" w:cs="Times New Roman" w:eastAsia="Times New Roman" w:hint="default"/>
        </w:rPr>
        <w:t>427</w:t>
      </w:r>
      <w:r>
        <w:rPr/>
        <w:t>万股调整为</w:t>
      </w:r>
      <w:r>
        <w:rPr>
          <w:rFonts w:ascii="Times New Roman" w:hAnsi="Times New Roman" w:cs="Times New Roman" w:eastAsia="Times New Roman" w:hint="default"/>
        </w:rPr>
        <w:t>320.25</w:t>
      </w:r>
      <w:r>
        <w:rPr/>
        <w:t>万股。</w:t>
      </w:r>
    </w:p>
    <w:p>
      <w:pPr>
        <w:pStyle w:val="BodyText"/>
        <w:spacing w:line="302" w:lineRule="auto" w:before="14"/>
        <w:ind w:right="1239"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日，本公司回购注销因原激励对象部分员工不再符合公司股权激励条件的激励对象持有获授的限制性股 票，共计</w:t>
      </w:r>
      <w:r>
        <w:rPr>
          <w:rFonts w:ascii="Times New Roman" w:hAnsi="Times New Roman" w:cs="Times New Roman" w:eastAsia="Times New Roman" w:hint="default"/>
        </w:rPr>
        <w:t>76.5</w:t>
      </w:r>
      <w:r>
        <w:rPr/>
        <w:t>万股，授予的限制性股票数量由</w:t>
      </w:r>
      <w:r>
        <w:rPr>
          <w:rFonts w:ascii="Times New Roman" w:hAnsi="Times New Roman" w:cs="Times New Roman" w:eastAsia="Times New Roman" w:hint="default"/>
        </w:rPr>
        <w:t>320.25</w:t>
      </w:r>
      <w:r>
        <w:rPr/>
        <w:t>万股调整为</w:t>
      </w:r>
      <w:r>
        <w:rPr>
          <w:rFonts w:ascii="Times New Roman" w:hAnsi="Times New Roman" w:cs="Times New Roman" w:eastAsia="Times New Roman" w:hint="default"/>
        </w:rPr>
        <w:t>243.75</w:t>
      </w:r>
      <w:r>
        <w:rPr/>
        <w:t>万股。</w:t>
      </w:r>
    </w:p>
    <w:p>
      <w:pPr>
        <w:pStyle w:val="BodyText"/>
        <w:spacing w:line="288" w:lineRule="auto" w:before="14"/>
        <w:ind w:right="1026" w:firstLine="420"/>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5</w:t>
      </w:r>
      <w:r>
        <w:rPr>
          <w:spacing w:val="-1"/>
        </w:rPr>
        <w:t>日，本公司回购注销未达到</w:t>
      </w:r>
      <w:r>
        <w:rPr>
          <w:rFonts w:ascii="Times New Roman" w:hAnsi="Times New Roman" w:cs="Times New Roman" w:eastAsia="Times New Roman" w:hint="default"/>
          <w:spacing w:val="-1"/>
        </w:rPr>
        <w:t>2017</w:t>
      </w:r>
      <w:r>
        <w:rPr>
          <w:spacing w:val="-1"/>
        </w:rPr>
        <w:t>年限制性股票激励计划第二期解锁条件的激励对象持有获授的限制性股票，</w:t>
      </w:r>
      <w:r>
        <w:rPr/>
        <w:t> 共计</w:t>
      </w:r>
      <w:r>
        <w:rPr>
          <w:rFonts w:ascii="Times New Roman" w:hAnsi="Times New Roman" w:cs="Times New Roman" w:eastAsia="Times New Roman" w:hint="default"/>
        </w:rPr>
        <w:t>130</w:t>
      </w:r>
      <w:r>
        <w:rPr/>
        <w:t>万股，授予的限制性股票数量由</w:t>
      </w:r>
      <w:r>
        <w:rPr>
          <w:rFonts w:ascii="Times New Roman" w:hAnsi="Times New Roman" w:cs="Times New Roman" w:eastAsia="Times New Roman" w:hint="default"/>
        </w:rPr>
        <w:t>243.75</w:t>
      </w:r>
      <w:r>
        <w:rPr/>
        <w:t>万股调整为</w:t>
      </w:r>
      <w:r>
        <w:rPr>
          <w:rFonts w:ascii="Times New Roman" w:hAnsi="Times New Roman" w:cs="Times New Roman" w:eastAsia="Times New Roman" w:hint="default"/>
        </w:rPr>
        <w:t>113.75</w:t>
      </w:r>
      <w:r>
        <w:rPr/>
        <w:t>万股。</w:t>
      </w:r>
    </w:p>
    <w:p>
      <w:pPr>
        <w:pStyle w:val="BodyText"/>
        <w:spacing w:line="290" w:lineRule="auto" w:before="26"/>
        <w:ind w:left="561" w:right="8349"/>
        <w:jc w:val="left"/>
      </w:pPr>
      <w:r>
        <w:rPr>
          <w:rFonts w:ascii="Times New Roman" w:hAnsi="Times New Roman" w:cs="Times New Roman" w:eastAsia="Times New Roman" w:hint="default"/>
        </w:rPr>
        <w:t>3</w:t>
      </w:r>
      <w:r>
        <w:rPr/>
        <w:t>、确认的成本费用 公司计划授予激励对象：</w:t>
      </w:r>
    </w:p>
    <w:p>
      <w:pPr>
        <w:pStyle w:val="BodyText"/>
        <w:spacing w:line="304" w:lineRule="auto" w:before="56"/>
        <w:ind w:left="561" w:right="0"/>
        <w:jc w:val="left"/>
      </w:pPr>
      <w:r>
        <w:rPr/>
        <w:t>股票期权为</w:t>
      </w:r>
      <w:r>
        <w:rPr>
          <w:rFonts w:ascii="Times New Roman" w:hAnsi="Times New Roman" w:cs="Times New Roman" w:eastAsia="Times New Roman" w:hint="default"/>
        </w:rPr>
        <w:t>1,180</w:t>
      </w:r>
      <w:r>
        <w:rPr/>
        <w:t>万份，行权价格为</w:t>
      </w:r>
      <w:r>
        <w:rPr>
          <w:rFonts w:ascii="Times New Roman" w:hAnsi="Times New Roman" w:cs="Times New Roman" w:eastAsia="Times New Roman" w:hint="default"/>
        </w:rPr>
        <w:t>8.85</w:t>
      </w:r>
      <w:r>
        <w:rPr/>
        <w:t>元，授予日股票价格为</w:t>
      </w:r>
      <w:r>
        <w:rPr>
          <w:rFonts w:ascii="Times New Roman" w:hAnsi="Times New Roman" w:cs="Times New Roman" w:eastAsia="Times New Roman" w:hint="default"/>
        </w:rPr>
        <w:t>10.26</w:t>
      </w:r>
      <w:r>
        <w:rPr/>
        <w:t>元</w:t>
      </w:r>
      <w:r>
        <w:rPr>
          <w:rFonts w:ascii="Times New Roman" w:hAnsi="Times New Roman" w:cs="Times New Roman" w:eastAsia="Times New Roman" w:hint="default"/>
        </w:rPr>
        <w:t>/</w:t>
      </w:r>
      <w:r>
        <w:rPr/>
        <w:t>股，应确认的总费用为</w:t>
      </w:r>
      <w:r>
        <w:rPr>
          <w:rFonts w:ascii="Times New Roman" w:hAnsi="Times New Roman" w:cs="Times New Roman" w:eastAsia="Times New Roman" w:hint="default"/>
        </w:rPr>
        <w:t>28,620,000</w:t>
      </w:r>
      <w:r>
        <w:rPr/>
        <w:t>元。 </w:t>
      </w:r>
      <w:r>
        <w:rPr>
          <w:spacing w:val="-1"/>
        </w:rPr>
        <w:t>限制性股票数量为</w:t>
      </w:r>
      <w:r>
        <w:rPr>
          <w:rFonts w:ascii="Times New Roman" w:hAnsi="Times New Roman" w:cs="Times New Roman" w:eastAsia="Times New Roman" w:hint="default"/>
          <w:spacing w:val="-1"/>
        </w:rPr>
        <w:t>447</w:t>
      </w:r>
      <w:r>
        <w:rPr>
          <w:spacing w:val="-1"/>
        </w:rPr>
        <w:t>万股，行权价格为</w:t>
      </w:r>
      <w:r>
        <w:rPr>
          <w:rFonts w:ascii="Times New Roman" w:hAnsi="Times New Roman" w:cs="Times New Roman" w:eastAsia="Times New Roman" w:hint="default"/>
          <w:spacing w:val="-1"/>
        </w:rPr>
        <w:t>4.43</w:t>
      </w:r>
      <w:r>
        <w:rPr>
          <w:spacing w:val="-1"/>
        </w:rPr>
        <w:t>元</w:t>
      </w:r>
      <w:r>
        <w:rPr>
          <w:rFonts w:ascii="Times New Roman" w:hAnsi="Times New Roman" w:cs="Times New Roman" w:eastAsia="Times New Roman" w:hint="default"/>
          <w:spacing w:val="-1"/>
        </w:rPr>
        <w:t>/</w:t>
      </w:r>
      <w:r>
        <w:rPr>
          <w:spacing w:val="-1"/>
        </w:rPr>
        <w:t>股，授予日股票价格为</w:t>
      </w:r>
      <w:r>
        <w:rPr>
          <w:rFonts w:ascii="Times New Roman" w:hAnsi="Times New Roman" w:cs="Times New Roman" w:eastAsia="Times New Roman" w:hint="default"/>
          <w:spacing w:val="-1"/>
        </w:rPr>
        <w:t>10.26</w:t>
      </w:r>
      <w:r>
        <w:rPr>
          <w:spacing w:val="-1"/>
        </w:rPr>
        <w:t>元</w:t>
      </w:r>
      <w:r>
        <w:rPr>
          <w:rFonts w:ascii="Times New Roman" w:hAnsi="Times New Roman" w:cs="Times New Roman" w:eastAsia="Times New Roman" w:hint="default"/>
          <w:spacing w:val="-1"/>
        </w:rPr>
        <w:t>/</w:t>
      </w:r>
      <w:r>
        <w:rPr>
          <w:spacing w:val="-1"/>
        </w:rPr>
        <w:t>股，按照授予日限制性股票的公允价值</w:t>
      </w:r>
    </w:p>
    <w:p>
      <w:pPr>
        <w:pStyle w:val="BodyText"/>
        <w:spacing w:line="290" w:lineRule="auto"/>
        <w:ind w:left="561" w:right="1329" w:hanging="421"/>
        <w:jc w:val="left"/>
      </w:pPr>
      <w:r>
        <w:rPr/>
        <w:t>总额超出授予价格总额部分应确认的总费用为</w:t>
      </w:r>
      <w:r>
        <w:rPr>
          <w:rFonts w:ascii="Times New Roman" w:hAnsi="Times New Roman" w:cs="Times New Roman" w:eastAsia="Times New Roman" w:hint="default"/>
        </w:rPr>
        <w:t>26,060,100.00</w:t>
      </w:r>
      <w:r>
        <w:rPr/>
        <w:t>元。</w:t>
      </w:r>
      <w:r>
        <w:rPr>
          <w:spacing w:val="-85"/>
        </w:rPr>
        <w:t> </w:t>
      </w:r>
      <w:r>
        <w:rPr/>
        <w:t>股权激励计划应确认的费用在等待期内按会计期间内等待期长度占整个等待期长度的比例进行费用分摊。由于公司</w:t>
      </w:r>
    </w:p>
    <w:p>
      <w:pPr>
        <w:pStyle w:val="BodyText"/>
        <w:spacing w:line="304" w:lineRule="auto" w:before="56"/>
        <w:ind w:right="1126"/>
        <w:jc w:val="both"/>
      </w:pPr>
      <w:r>
        <w:rPr>
          <w:rFonts w:ascii="Times New Roman" w:hAnsi="Times New Roman" w:cs="Times New Roman" w:eastAsia="Times New Roman" w:hint="default"/>
        </w:rPr>
        <w:t>2019</w:t>
      </w:r>
      <w:r>
        <w:rPr/>
        <w:t>年度业绩未达到股权激励计划第三期行权</w:t>
      </w:r>
      <w:r>
        <w:rPr>
          <w:rFonts w:ascii="Times New Roman" w:hAnsi="Times New Roman" w:cs="Times New Roman" w:eastAsia="Times New Roman" w:hint="default"/>
        </w:rPr>
        <w:t>/</w:t>
      </w:r>
      <w:r>
        <w:rPr/>
        <w:t>解锁的条件，根据公司股权激励计划，公司将上述原因确认的</w:t>
      </w:r>
      <w:r>
        <w:rPr>
          <w:rFonts w:ascii="Times New Roman" w:hAnsi="Times New Roman" w:cs="Times New Roman" w:eastAsia="Times New Roman" w:hint="default"/>
        </w:rPr>
        <w:t>292.355</w:t>
      </w:r>
      <w:r>
        <w:rPr/>
        <w:t>万份股</w:t>
      </w:r>
      <w:r>
        <w:rPr>
          <w:spacing w:val="-85"/>
        </w:rPr>
        <w:t> </w:t>
      </w:r>
      <w:r>
        <w:rPr/>
        <w:t>票期权及</w:t>
      </w:r>
      <w:r>
        <w:rPr>
          <w:rFonts w:ascii="Times New Roman" w:hAnsi="Times New Roman" w:cs="Times New Roman" w:eastAsia="Times New Roman" w:hint="default"/>
        </w:rPr>
        <w:t>113.75</w:t>
      </w:r>
      <w:r>
        <w:rPr/>
        <w:t>万股限制性股票进行注销</w:t>
      </w:r>
      <w:r>
        <w:rPr>
          <w:rFonts w:ascii="Times New Roman" w:hAnsi="Times New Roman" w:cs="Times New Roman" w:eastAsia="Times New Roman" w:hint="default"/>
        </w:rPr>
        <w:t>/</w:t>
      </w:r>
      <w:r>
        <w:rPr/>
        <w:t>回购注销，截止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日，公司已转回累计已确认的费用</w:t>
      </w:r>
      <w:r>
        <w:rPr>
          <w:rFonts w:ascii="Times New Roman" w:hAnsi="Times New Roman" w:cs="Times New Roman" w:eastAsia="Times New Roman" w:hint="default"/>
        </w:rPr>
        <w:t>5,469,040.11</w:t>
      </w:r>
      <w:r>
        <w:rPr/>
        <w:t>元，</w:t>
      </w:r>
      <w:r>
        <w:rPr>
          <w:spacing w:val="-88"/>
        </w:rPr>
        <w:t> </w:t>
      </w:r>
      <w:r>
        <w:rPr/>
        <w:t>实际确认的费用为</w:t>
      </w:r>
      <w:r>
        <w:rPr>
          <w:rFonts w:ascii="Times New Roman" w:hAnsi="Times New Roman" w:cs="Times New Roman" w:eastAsia="Times New Roman" w:hint="default"/>
        </w:rPr>
        <w:t>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0"/>
        <w:ind w:right="0"/>
        <w:jc w:val="both"/>
        <w:rPr>
          <w:b w:val="0"/>
          <w:bCs w:val="0"/>
        </w:rPr>
      </w:pPr>
      <w:bookmarkStart w:name="3、以现金结算的股份支付情况" w:id="498"/>
      <w:bookmarkEnd w:id="498"/>
      <w:r>
        <w:rPr>
          <w:b w:val="0"/>
          <w:bCs w:val="0"/>
        </w:rPr>
      </w:r>
      <w:r>
        <w:rPr>
          <w:rFonts w:ascii="Times New Roman" w:hAnsi="Times New Roman" w:cs="Times New Roman" w:eastAsia="Times New Roman" w:hint="default"/>
          <w:spacing w:val="5"/>
        </w:rPr>
        <w:t>3</w:t>
      </w:r>
      <w:r>
        <w:rPr>
          <w:spacing w:val="5"/>
        </w:rPr>
        <w:t>、以现金结算的股份支付情况</w:t>
      </w:r>
      <w:r>
        <w:rPr>
          <w:b w:val="0"/>
          <w:bCs w:val="0"/>
          <w:spacing w:val="5"/>
        </w:rPr>
      </w:r>
    </w:p>
    <w:p>
      <w:pPr>
        <w:spacing w:line="240" w:lineRule="auto" w:before="1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both"/>
        <w:sectPr>
          <w:pgSz w:w="11910" w:h="16850"/>
          <w:pgMar w:header="731" w:footer="981" w:top="1040" w:bottom="1180" w:left="1000" w:right="0"/>
        </w:sectPr>
      </w:pPr>
    </w:p>
    <w:p>
      <w:pPr>
        <w:spacing w:line="240" w:lineRule="auto" w:before="5"/>
        <w:rPr>
          <w:rFonts w:ascii="宋体" w:hAnsi="宋体" w:cs="宋体" w:eastAsia="宋体" w:hint="default"/>
          <w:sz w:val="27"/>
          <w:szCs w:val="27"/>
        </w:rPr>
      </w:pPr>
    </w:p>
    <w:p>
      <w:pPr>
        <w:pStyle w:val="Heading5"/>
        <w:spacing w:line="240" w:lineRule="auto" w:before="45"/>
        <w:ind w:right="0"/>
        <w:jc w:val="left"/>
        <w:rPr>
          <w:b w:val="0"/>
          <w:bCs w:val="0"/>
        </w:rPr>
      </w:pPr>
      <w:bookmarkStart w:name="4、股份支付的修改、终止情况" w:id="499"/>
      <w:bookmarkEnd w:id="499"/>
      <w:r>
        <w:rPr>
          <w:b w:val="0"/>
          <w:bCs w:val="0"/>
        </w:rPr>
      </w:r>
      <w:r>
        <w:rPr>
          <w:rFonts w:ascii="Times New Roman" w:hAnsi="Times New Roman" w:cs="Times New Roman" w:eastAsia="Times New Roman" w:hint="default"/>
          <w:spacing w:val="5"/>
        </w:rPr>
        <w:t>4</w:t>
      </w:r>
      <w:r>
        <w:rPr>
          <w:spacing w:val="5"/>
        </w:rPr>
        <w:t>、股份支付的修改、终止情况</w:t>
      </w:r>
      <w:r>
        <w:rPr>
          <w:b w:val="0"/>
          <w:bCs w:val="0"/>
          <w:spacing w:val="5"/>
        </w:rPr>
      </w:r>
    </w:p>
    <w:p>
      <w:pPr>
        <w:spacing w:line="240" w:lineRule="auto" w:before="9"/>
        <w:rPr>
          <w:rFonts w:ascii="宋体" w:hAnsi="宋体" w:cs="宋体" w:eastAsia="宋体" w:hint="default"/>
          <w:b/>
          <w:bCs/>
          <w:sz w:val="26"/>
          <w:szCs w:val="26"/>
        </w:rPr>
      </w:pPr>
    </w:p>
    <w:p>
      <w:pPr>
        <w:pStyle w:val="BodyText"/>
        <w:spacing w:line="295" w:lineRule="auto"/>
        <w:ind w:right="1135"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日第四届董事会第二十次会议和第四届监事会第十五次会议，审议通过了《关于注销部分股票期权及回购</w:t>
      </w:r>
      <w:r>
        <w:rPr/>
        <w:t> 注销部分限制性股票的议案》，公司决定回购注销未达</w:t>
      </w:r>
      <w:r>
        <w:rPr>
          <w:rFonts w:ascii="Times New Roman" w:hAnsi="Times New Roman" w:cs="Times New Roman" w:eastAsia="Times New Roman" w:hint="default"/>
        </w:rPr>
        <w:t>2017</w:t>
      </w:r>
      <w:r>
        <w:rPr/>
        <w:t>年股票期权与限制性股票激励计划第一期行权</w:t>
      </w:r>
      <w:r>
        <w:rPr>
          <w:rFonts w:ascii="Times New Roman" w:hAnsi="Times New Roman" w:cs="Times New Roman" w:eastAsia="Times New Roman" w:hint="default"/>
        </w:rPr>
        <w:t>/</w:t>
      </w:r>
      <w:r>
        <w:rPr/>
        <w:t>解锁条件的激励</w:t>
      </w:r>
      <w:r>
        <w:rPr>
          <w:spacing w:val="-86"/>
        </w:rPr>
        <w:t> </w:t>
      </w:r>
      <w:r>
        <w:rPr/>
        <w:t>对象持有获授的限制性股票，共计</w:t>
      </w:r>
      <w:r>
        <w:rPr>
          <w:rFonts w:ascii="Times New Roman" w:hAnsi="Times New Roman" w:cs="Times New Roman" w:eastAsia="Times New Roman" w:hint="default"/>
        </w:rPr>
        <w:t>1,067,500</w:t>
      </w:r>
      <w:r>
        <w:rPr/>
        <w:t>股，回购价格为</w:t>
      </w:r>
      <w:r>
        <w:rPr>
          <w:rFonts w:ascii="Times New Roman" w:hAnsi="Times New Roman" w:cs="Times New Roman" w:eastAsia="Times New Roman" w:hint="default"/>
        </w:rPr>
        <w:t>4.43</w:t>
      </w:r>
      <w:r>
        <w:rPr/>
        <w:t>元</w:t>
      </w:r>
      <w:r>
        <w:rPr>
          <w:rFonts w:ascii="Times New Roman" w:hAnsi="Times New Roman" w:cs="Times New Roman" w:eastAsia="Times New Roman" w:hint="default"/>
        </w:rPr>
        <w:t>/</w:t>
      </w:r>
      <w:r>
        <w:rPr/>
        <w:t>股。</w:t>
      </w:r>
    </w:p>
    <w:p>
      <w:pPr>
        <w:pStyle w:val="BodyText"/>
        <w:spacing w:line="295" w:lineRule="auto" w:before="20"/>
        <w:ind w:right="1097" w:firstLine="42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11</w:t>
      </w:r>
      <w:r>
        <w:rPr>
          <w:spacing w:val="-2"/>
        </w:rPr>
        <w:t>日第四届董事会第二十四次会议，审议通过了《关于调整公司股票期权行权价格和限制性股票回购价格的</w:t>
      </w:r>
      <w:r>
        <w:rPr/>
        <w:t> 议案》，因公司实施了 </w:t>
      </w:r>
      <w:r>
        <w:rPr>
          <w:rFonts w:ascii="Times New Roman" w:hAnsi="Times New Roman" w:cs="Times New Roman" w:eastAsia="Times New Roman" w:hint="default"/>
        </w:rPr>
        <w:t>2017 </w:t>
      </w:r>
      <w:r>
        <w:rPr/>
        <w:t>年度权益分派事宜，根据《深圳市卓翼科技股份有限公司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年股票期权与限制性股票激励 </w:t>
      </w:r>
      <w:r>
        <w:rPr>
          <w:spacing w:val="-2"/>
        </w:rPr>
        <w:t>计划（草案）》及其摘要相关规定，董事会决定对股票期权行权价格和限制性股票回购价格进行调整，股票期权行权价格由</w:t>
      </w:r>
    </w:p>
    <w:p>
      <w:pPr>
        <w:pStyle w:val="BodyText"/>
        <w:spacing w:line="240" w:lineRule="auto" w:before="53"/>
        <w:ind w:right="0"/>
        <w:jc w:val="left"/>
      </w:pPr>
      <w:r>
        <w:rPr>
          <w:rFonts w:ascii="Times New Roman" w:hAnsi="Times New Roman" w:cs="Times New Roman" w:eastAsia="Times New Roman" w:hint="default"/>
        </w:rPr>
        <w:t>8.85</w:t>
      </w:r>
      <w:r>
        <w:rPr/>
        <w:t>元</w:t>
      </w:r>
      <w:r>
        <w:rPr>
          <w:rFonts w:ascii="Times New Roman" w:hAnsi="Times New Roman" w:cs="Times New Roman" w:eastAsia="Times New Roman" w:hint="default"/>
        </w:rPr>
        <w:t>/</w:t>
      </w:r>
      <w:r>
        <w:rPr/>
        <w:t>股调整至</w:t>
      </w:r>
      <w:r>
        <w:rPr>
          <w:rFonts w:ascii="Times New Roman" w:hAnsi="Times New Roman" w:cs="Times New Roman" w:eastAsia="Times New Roman" w:hint="default"/>
        </w:rPr>
        <w:t>8.79</w:t>
      </w:r>
      <w:r>
        <w:rPr/>
        <w:t>元</w:t>
      </w:r>
      <w:r>
        <w:rPr>
          <w:rFonts w:ascii="Times New Roman" w:hAnsi="Times New Roman" w:cs="Times New Roman" w:eastAsia="Times New Roman" w:hint="default"/>
        </w:rPr>
        <w:t>/</w:t>
      </w:r>
      <w:r>
        <w:rPr/>
        <w:t>股，限制性股票回购价格由</w:t>
      </w:r>
      <w:r>
        <w:rPr>
          <w:rFonts w:ascii="Times New Roman" w:hAnsi="Times New Roman" w:cs="Times New Roman" w:eastAsia="Times New Roman" w:hint="default"/>
        </w:rPr>
        <w:t>4.43</w:t>
      </w:r>
      <w:r>
        <w:rPr/>
        <w:t>元</w:t>
      </w:r>
      <w:r>
        <w:rPr>
          <w:rFonts w:ascii="Times New Roman" w:hAnsi="Times New Roman" w:cs="Times New Roman" w:eastAsia="Times New Roman" w:hint="default"/>
        </w:rPr>
        <w:t>/</w:t>
      </w:r>
      <w:r>
        <w:rPr/>
        <w:t>股调整至</w:t>
      </w:r>
      <w:r>
        <w:rPr>
          <w:rFonts w:ascii="Times New Roman" w:hAnsi="Times New Roman" w:cs="Times New Roman" w:eastAsia="Times New Roman" w:hint="default"/>
        </w:rPr>
        <w:t>4.37</w:t>
      </w:r>
      <w:r>
        <w:rPr/>
        <w:t>元</w:t>
      </w:r>
      <w:r>
        <w:rPr>
          <w:rFonts w:ascii="Times New Roman" w:hAnsi="Times New Roman" w:cs="Times New Roman" w:eastAsia="Times New Roman" w:hint="default"/>
        </w:rPr>
        <w:t>/</w:t>
      </w:r>
      <w:r>
        <w:rPr/>
        <w:t>股。</w:t>
      </w:r>
    </w:p>
    <w:p>
      <w:pPr>
        <w:pStyle w:val="BodyText"/>
        <w:spacing w:line="302" w:lineRule="auto" w:before="51"/>
        <w:ind w:right="0" w:firstLine="420"/>
        <w:jc w:val="left"/>
      </w:pP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2</w:t>
      </w:r>
      <w:r>
        <w:rPr>
          <w:spacing w:val="-5"/>
        </w:rPr>
        <w:t>日第四届董事会第三十三次会议，审议通过的《关于注销部分股票期权及回购注销部分限制性股票的议案》，</w:t>
      </w:r>
      <w:r>
        <w:rPr/>
        <w:t> 因原激励对象部分员工不再符合公司股权激励条件，公司决定回购注销因上述原因确认的限制性股票，共计</w:t>
      </w:r>
      <w:r>
        <w:rPr>
          <w:rFonts w:ascii="Times New Roman" w:hAnsi="Times New Roman" w:cs="Times New Roman" w:eastAsia="Times New Roman" w:hint="default"/>
        </w:rPr>
        <w:t>765,000</w:t>
      </w:r>
      <w:r>
        <w:rPr/>
        <w:t>股，回</w:t>
      </w:r>
      <w:r>
        <w:rPr>
          <w:spacing w:val="-80"/>
        </w:rPr>
        <w:t> </w:t>
      </w:r>
      <w:r>
        <w:rPr/>
        <w:t>购价格为</w:t>
      </w:r>
      <w:r>
        <w:rPr>
          <w:rFonts w:ascii="Times New Roman" w:hAnsi="Times New Roman" w:cs="Times New Roman" w:eastAsia="Times New Roman" w:hint="default"/>
        </w:rPr>
        <w:t>4.37</w:t>
      </w:r>
      <w:r>
        <w:rPr/>
        <w:t>元</w:t>
      </w:r>
      <w:r>
        <w:rPr>
          <w:rFonts w:ascii="Times New Roman" w:hAnsi="Times New Roman" w:cs="Times New Roman" w:eastAsia="Times New Roman" w:hint="default"/>
        </w:rPr>
        <w:t>/</w:t>
      </w:r>
      <w:r>
        <w:rPr/>
        <w:t>股。</w:t>
      </w:r>
    </w:p>
    <w:p>
      <w:pPr>
        <w:pStyle w:val="BodyText"/>
        <w:spacing w:line="297" w:lineRule="auto" w:before="14"/>
        <w:ind w:right="0" w:firstLine="42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日第四届董事会第三十七次会议，审议通过的《关于注销部分股票期权及回购注销部分限制性股票的议 </w:t>
      </w:r>
      <w:r>
        <w:rPr>
          <w:spacing w:val="-2"/>
        </w:rPr>
        <w:t>案》，公司决定回购注销未达</w:t>
      </w:r>
      <w:r>
        <w:rPr>
          <w:rFonts w:ascii="Times New Roman" w:hAnsi="Times New Roman" w:cs="Times New Roman" w:eastAsia="Times New Roman" w:hint="default"/>
          <w:spacing w:val="-2"/>
        </w:rPr>
        <w:t>2017</w:t>
      </w:r>
      <w:r>
        <w:rPr>
          <w:spacing w:val="-2"/>
        </w:rPr>
        <w:t>年限制性股票激励计划第二期解锁条件的激励对象持有获授的限制性股票，共计</w:t>
      </w:r>
      <w:r>
        <w:rPr>
          <w:rFonts w:ascii="Times New Roman" w:hAnsi="Times New Roman" w:cs="Times New Roman" w:eastAsia="Times New Roman" w:hint="default"/>
          <w:spacing w:val="-2"/>
        </w:rPr>
        <w:t>1,300,000</w:t>
      </w:r>
      <w:r>
        <w:rPr>
          <w:rFonts w:ascii="Times New Roman" w:hAnsi="Times New Roman" w:cs="Times New Roman" w:eastAsia="Times New Roman" w:hint="default"/>
          <w:spacing w:val="-5"/>
        </w:rPr>
        <w:t> </w:t>
      </w:r>
      <w:r>
        <w:rPr/>
        <w:t>股，回购价格为</w:t>
      </w:r>
      <w:r>
        <w:rPr>
          <w:rFonts w:ascii="Times New Roman" w:hAnsi="Times New Roman" w:cs="Times New Roman" w:eastAsia="Times New Roman" w:hint="default"/>
        </w:rPr>
        <w:t>4.37</w:t>
      </w:r>
      <w:r>
        <w:rPr/>
        <w:t>元</w:t>
      </w:r>
      <w:r>
        <w:rPr>
          <w:rFonts w:ascii="Times New Roman" w:hAnsi="Times New Roman" w:cs="Times New Roman" w:eastAsia="Times New Roman" w:hint="default"/>
        </w:rPr>
        <w:t>/</w:t>
      </w:r>
      <w:r>
        <w:rPr/>
        <w:t>股。</w:t>
      </w:r>
    </w:p>
    <w:p>
      <w:pPr>
        <w:spacing w:line="240" w:lineRule="auto" w:before="6"/>
        <w:rPr>
          <w:rFonts w:ascii="宋体" w:hAnsi="宋体" w:cs="宋体" w:eastAsia="宋体" w:hint="default"/>
          <w:sz w:val="23"/>
          <w:szCs w:val="23"/>
        </w:rPr>
      </w:pPr>
    </w:p>
    <w:p>
      <w:pPr>
        <w:pStyle w:val="Heading5"/>
        <w:spacing w:line="240" w:lineRule="auto"/>
        <w:ind w:right="0"/>
        <w:jc w:val="left"/>
        <w:rPr>
          <w:b w:val="0"/>
          <w:bCs w:val="0"/>
        </w:rPr>
      </w:pPr>
      <w:bookmarkStart w:name="5、其他" w:id="500"/>
      <w:bookmarkEnd w:id="500"/>
      <w:r>
        <w:rPr>
          <w:b w:val="0"/>
          <w:bCs w:val="0"/>
        </w:rPr>
      </w:r>
      <w:r>
        <w:rPr>
          <w:rFonts w:ascii="Times New Roman" w:hAnsi="Times New Roman" w:cs="Times New Roman" w:eastAsia="Times New Roman" w:hint="default"/>
          <w:spacing w:val="5"/>
        </w:rPr>
        <w:t>5</w:t>
      </w:r>
      <w:r>
        <w:rPr>
          <w:spacing w:val="5"/>
        </w:rPr>
        <w:t>、其他</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600" w:lineRule="exact" w:before="140"/>
        <w:ind w:left="141" w:right="8339" w:firstLine="0"/>
        <w:jc w:val="left"/>
        <w:rPr>
          <w:rFonts w:ascii="宋体" w:hAnsi="宋体" w:cs="宋体" w:eastAsia="宋体" w:hint="default"/>
          <w:sz w:val="18"/>
          <w:szCs w:val="18"/>
        </w:rPr>
      </w:pPr>
      <w:bookmarkStart w:name="十四、承诺及或有事项" w:id="501"/>
      <w:bookmarkEnd w:id="501"/>
      <w:r>
        <w:rPr/>
      </w:r>
      <w:r>
        <w:rPr>
          <w:rFonts w:ascii="宋体" w:hAnsi="宋体" w:cs="宋体" w:eastAsia="宋体" w:hint="default"/>
          <w:b/>
          <w:bCs/>
          <w:sz w:val="24"/>
          <w:szCs w:val="24"/>
        </w:rPr>
        <w:t>十四、承诺及或有事项</w:t>
      </w:r>
      <w:r>
        <w:rPr>
          <w:rFonts w:ascii="宋体" w:hAnsi="宋体" w:cs="宋体" w:eastAsia="宋体" w:hint="default"/>
          <w:b/>
          <w:bCs/>
          <w:spacing w:val="-116"/>
          <w:sz w:val="24"/>
          <w:szCs w:val="24"/>
        </w:rPr>
        <w:t> </w:t>
      </w:r>
      <w:r>
        <w:rPr>
          <w:rFonts w:ascii="宋体" w:hAnsi="宋体" w:cs="宋体" w:eastAsia="宋体" w:hint="default"/>
          <w:b/>
          <w:bCs/>
          <w:spacing w:val="-116"/>
          <w:sz w:val="24"/>
          <w:szCs w:val="24"/>
        </w:rPr>
      </w:r>
      <w:bookmarkStart w:name="1、重要承诺事项" w:id="502"/>
      <w:bookmarkEnd w:id="502"/>
      <w:r>
        <w:rPr>
          <w:rFonts w:ascii="宋体" w:hAnsi="宋体" w:cs="宋体" w:eastAsia="宋体" w:hint="default"/>
          <w:b/>
          <w:bCs/>
          <w:spacing w:val="-116"/>
          <w:sz w:val="24"/>
          <w:szCs w:val="24"/>
        </w:rPr>
      </w:r>
      <w:r>
        <w:rPr>
          <w:rFonts w:ascii="Times New Roman" w:hAnsi="Times New Roman" w:cs="Times New Roman" w:eastAsia="Times New Roman" w:hint="default"/>
          <w:b/>
          <w:bCs/>
          <w:spacing w:val="4"/>
          <w:sz w:val="19"/>
          <w:szCs w:val="19"/>
        </w:rPr>
        <w:t>1</w:t>
      </w:r>
      <w:r>
        <w:rPr>
          <w:rFonts w:ascii="宋体" w:hAnsi="宋体" w:cs="宋体" w:eastAsia="宋体" w:hint="default"/>
          <w:b/>
          <w:bCs/>
          <w:spacing w:val="4"/>
          <w:sz w:val="19"/>
          <w:szCs w:val="19"/>
        </w:rPr>
        <w:t>、重要承诺事项</w:t>
      </w:r>
      <w:r>
        <w:rPr>
          <w:rFonts w:ascii="宋体" w:hAnsi="宋体" w:cs="宋体" w:eastAsia="宋体" w:hint="default"/>
          <w:b/>
          <w:bCs/>
          <w:spacing w:val="-59"/>
          <w:sz w:val="19"/>
          <w:szCs w:val="19"/>
        </w:rPr>
        <w:t> </w:t>
      </w:r>
      <w:r>
        <w:rPr>
          <w:rFonts w:ascii="宋体" w:hAnsi="宋体" w:cs="宋体" w:eastAsia="宋体" w:hint="default"/>
          <w:b/>
          <w:bCs/>
          <w:spacing w:val="-59"/>
          <w:sz w:val="19"/>
          <w:szCs w:val="19"/>
        </w:rPr>
      </w:r>
      <w:r>
        <w:rPr>
          <w:rFonts w:ascii="宋体" w:hAnsi="宋体" w:cs="宋体" w:eastAsia="宋体" w:hint="default"/>
          <w:sz w:val="18"/>
          <w:szCs w:val="18"/>
        </w:rPr>
        <w:t>资产负债表日存在的重要承诺</w:t>
      </w:r>
    </w:p>
    <w:p>
      <w:pPr>
        <w:pStyle w:val="Heading6"/>
        <w:spacing w:line="240" w:lineRule="auto" w:before="30"/>
        <w:ind w:left="561" w:right="0"/>
        <w:jc w:val="left"/>
        <w:rPr>
          <w:b w:val="0"/>
          <w:bCs w:val="0"/>
        </w:rPr>
      </w:pP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日，已签订的正在或准备履行的租赁合同及财务影响</w:t>
      </w:r>
      <w:r>
        <w:rPr>
          <w:b w:val="0"/>
          <w:bCs w:val="0"/>
        </w:rPr>
      </w:r>
    </w:p>
    <w:p>
      <w:pPr>
        <w:pStyle w:val="BodyText"/>
        <w:spacing w:line="300" w:lineRule="auto" w:before="66"/>
        <w:ind w:right="1111" w:firstLine="420"/>
        <w:jc w:val="both"/>
      </w:pPr>
      <w:r>
        <w:rPr/>
        <w:t>（</w:t>
      </w:r>
      <w:r>
        <w:rPr>
          <w:rFonts w:ascii="Times New Roman" w:hAnsi="Times New Roman" w:cs="Times New Roman" w:eastAsia="Times New Roman" w:hint="default"/>
        </w:rPr>
        <w:t>1</w:t>
      </w:r>
      <w:r>
        <w:rPr/>
        <w:t>）本公司与深圳英特利投资有限公司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英特利投资</w:t>
      </w:r>
      <w:r>
        <w:rPr>
          <w:rFonts w:ascii="Times New Roman" w:hAnsi="Times New Roman" w:cs="Times New Roman" w:eastAsia="Times New Roman" w:hint="default"/>
        </w:rPr>
        <w:t>”)</w:t>
      </w:r>
      <w:r>
        <w:rPr/>
        <w:t>签订房屋租赁，合同约定：英特利投资将位于松岗同 </w:t>
      </w:r>
      <w:r>
        <w:rPr>
          <w:spacing w:val="-1"/>
        </w:rPr>
        <w:t>富裕工业区的</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3#</w:t>
      </w:r>
      <w:r>
        <w:rPr>
          <w:spacing w:val="-1"/>
        </w:rPr>
        <w:t>厂房和</w:t>
      </w: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5#</w:t>
      </w:r>
      <w:r>
        <w:rPr>
          <w:spacing w:val="-1"/>
        </w:rPr>
        <w:t>宿舍出租给公司使用，总面积</w:t>
      </w:r>
      <w:r>
        <w:rPr>
          <w:rFonts w:ascii="Times New Roman" w:hAnsi="Times New Roman" w:cs="Times New Roman" w:eastAsia="Times New Roman" w:hint="default"/>
          <w:spacing w:val="-1"/>
        </w:rPr>
        <w:t>101,337.14</w:t>
      </w:r>
      <w:r>
        <w:rPr>
          <w:spacing w:val="-1"/>
        </w:rPr>
        <w:t>平方米。</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日每月</w:t>
      </w:r>
      <w:r>
        <w:rPr/>
        <w:t> 租金为人民币</w:t>
      </w:r>
      <w:r>
        <w:rPr>
          <w:rFonts w:ascii="Times New Roman" w:hAnsi="Times New Roman" w:cs="Times New Roman" w:eastAsia="Times New Roman" w:hint="default"/>
        </w:rPr>
        <w:t>1,013,371.40</w:t>
      </w:r>
      <w:r>
        <w:rPr/>
        <w:t>元、</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1,064,039.97</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spacing w:val="-86"/>
        </w:rPr>
        <w:t> </w:t>
      </w:r>
      <w:r>
        <w:rPr>
          <w:rFonts w:ascii="Times New Roman" w:hAnsi="Times New Roman" w:cs="Times New Roman" w:eastAsia="Times New Roman" w:hint="default"/>
        </w:rPr>
        <w:t>28</w:t>
      </w:r>
      <w:r>
        <w:rPr/>
        <w:t>日每月租金为人民币</w:t>
      </w:r>
      <w:r>
        <w:rPr>
          <w:rFonts w:ascii="Times New Roman" w:hAnsi="Times New Roman" w:cs="Times New Roman" w:eastAsia="Times New Roman" w:hint="default"/>
        </w:rPr>
        <w:t>1,164,157.8</w:t>
      </w:r>
      <w:r>
        <w:rPr/>
        <w:t>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1,172,803.86</w:t>
      </w:r>
      <w:r>
        <w:rPr/>
        <w:t>元。</w:t>
      </w:r>
    </w:p>
    <w:p>
      <w:pPr>
        <w:pStyle w:val="BodyText"/>
        <w:spacing w:line="304" w:lineRule="auto" w:before="16"/>
        <w:ind w:right="1119" w:firstLine="420"/>
        <w:jc w:val="left"/>
      </w:pPr>
      <w:r>
        <w:rPr/>
        <w:t>（</w:t>
      </w:r>
      <w:r>
        <w:rPr>
          <w:rFonts w:ascii="Times New Roman" w:hAnsi="Times New Roman" w:cs="Times New Roman" w:eastAsia="Times New Roman" w:hint="default"/>
        </w:rPr>
        <w:t>2</w:t>
      </w:r>
      <w:r>
        <w:rPr/>
        <w:t>）本公司与深圳市同裕洋实业有限公司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同裕洋实业</w:t>
      </w:r>
      <w:r>
        <w:rPr>
          <w:rFonts w:ascii="Times New Roman" w:hAnsi="Times New Roman" w:cs="Times New Roman" w:eastAsia="Times New Roman" w:hint="default"/>
        </w:rPr>
        <w:t>”)</w:t>
      </w:r>
      <w:r>
        <w:rPr/>
        <w:t>签订宿舍租赁合同，合同约定：同裕洋实业将位于 深圳市宝安区松岗街道同富裕工业园兴隆路</w:t>
      </w:r>
      <w:r>
        <w:rPr>
          <w:rFonts w:ascii="Times New Roman" w:hAnsi="Times New Roman" w:cs="Times New Roman" w:eastAsia="Times New Roman" w:hint="default"/>
        </w:rPr>
        <w:t>3</w:t>
      </w:r>
      <w:r>
        <w:rPr/>
        <w:t>号建筑面积</w:t>
      </w:r>
      <w:r>
        <w:rPr>
          <w:rFonts w:ascii="Times New Roman" w:hAnsi="Times New Roman" w:cs="Times New Roman" w:eastAsia="Times New Roman" w:hint="default"/>
        </w:rPr>
        <w:t>5,920.14</w:t>
      </w:r>
      <w:r>
        <w:rPr/>
        <w:t>平方米的宿舍出租给公司作为宿舍使用，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日至</w:t>
      </w:r>
      <w:r>
        <w:rPr>
          <w:spacing w:val="-83"/>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日每月租金为人民币</w:t>
      </w:r>
      <w:r>
        <w:rPr>
          <w:rFonts w:ascii="Times New Roman" w:hAnsi="Times New Roman" w:cs="Times New Roman" w:eastAsia="Times New Roman" w:hint="default"/>
        </w:rPr>
        <w:t>82,881.96</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日每月租金为人民币</w:t>
      </w:r>
      <w:r>
        <w:rPr>
          <w:rFonts w:ascii="Times New Roman" w:hAnsi="Times New Roman" w:cs="Times New Roman" w:eastAsia="Times New Roman" w:hint="default"/>
        </w:rPr>
        <w:t>87,026.06</w:t>
      </w:r>
      <w:r>
        <w:rPr/>
        <w:t>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rFonts w:ascii="Times New Roman" w:hAnsi="Times New Roman" w:cs="Times New Roman" w:eastAsia="Times New Roman" w:hint="default"/>
          <w:spacing w:val="-41"/>
        </w:rPr>
        <w:t> </w:t>
      </w:r>
      <w:r>
        <w:rPr/>
        <w:t>日至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日每月租金人民币</w:t>
      </w:r>
      <w:r>
        <w:rPr>
          <w:rFonts w:ascii="Times New Roman" w:hAnsi="Times New Roman" w:cs="Times New Roman" w:eastAsia="Times New Roman" w:hint="default"/>
        </w:rPr>
        <w:t>91,347.76</w:t>
      </w:r>
      <w:r>
        <w:rPr/>
        <w:t>元。</w:t>
      </w:r>
    </w:p>
    <w:p>
      <w:pPr>
        <w:pStyle w:val="BodyText"/>
        <w:spacing w:line="304" w:lineRule="auto"/>
        <w:ind w:right="1126"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日，同裕洋实业将位于深圳市宝安区燕罗街道塘下涌同富裕工业园兴隆路</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B</w:t>
      </w:r>
      <w:r>
        <w:rPr/>
        <w:t>号宿舍</w:t>
      </w:r>
      <w:r>
        <w:rPr>
          <w:rFonts w:ascii="Times New Roman" w:hAnsi="Times New Roman" w:cs="Times New Roman" w:eastAsia="Times New Roman" w:hint="default"/>
        </w:rPr>
        <w:t>1</w:t>
      </w:r>
      <w:r>
        <w:rPr/>
        <w:t>幢 共</w:t>
      </w:r>
      <w:r>
        <w:rPr>
          <w:rFonts w:ascii="Times New Roman" w:hAnsi="Times New Roman" w:cs="Times New Roman" w:eastAsia="Times New Roman" w:hint="default"/>
        </w:rPr>
        <w:t>7</w:t>
      </w:r>
      <w:r>
        <w:rPr/>
        <w:t>层，门卫室及配电房三项物业建筑面积共</w:t>
      </w:r>
      <w:r>
        <w:rPr>
          <w:spacing w:val="-9"/>
        </w:rPr>
        <w:t> </w:t>
      </w:r>
      <w:r>
        <w:rPr>
          <w:rFonts w:ascii="Times New Roman" w:hAnsi="Times New Roman" w:cs="Times New Roman" w:eastAsia="Times New Roman" w:hint="default"/>
        </w:rPr>
        <w:t>6,408.74</w:t>
      </w:r>
      <w:r>
        <w:rPr/>
        <w:t>平方米出租给本公司，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日每月租金为 人民币 </w:t>
      </w:r>
      <w:r>
        <w:rPr>
          <w:rFonts w:ascii="Times New Roman" w:hAnsi="Times New Roman" w:cs="Times New Roman" w:eastAsia="Times New Roman" w:hint="default"/>
        </w:rPr>
        <w:t>102,539.84</w:t>
      </w:r>
      <w:r>
        <w:rPr>
          <w:rFonts w:ascii="Times New Roman" w:hAnsi="Times New Roman" w:cs="Times New Roman" w:eastAsia="Times New Roman" w:hint="default"/>
          <w:spacing w:val="18"/>
        </w:rPr>
        <w:t> </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128,174.80</w:t>
      </w:r>
      <w:r>
        <w:rPr/>
        <w:t>元。</w:t>
      </w:r>
    </w:p>
    <w:p>
      <w:pPr>
        <w:pStyle w:val="BodyText"/>
        <w:spacing w:line="295" w:lineRule="auto" w:before="12"/>
        <w:ind w:right="1111"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日，同裕洋实业将深圳市宝安区燕罗街道塘下涌同富裕工业园安润路</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C</w:t>
      </w:r>
      <w:r>
        <w:rPr/>
        <w:t>栋宿舍</w:t>
      </w:r>
      <w:r>
        <w:rPr>
          <w:rFonts w:ascii="Times New Roman" w:hAnsi="Times New Roman" w:cs="Times New Roman" w:eastAsia="Times New Roman" w:hint="default"/>
        </w:rPr>
        <w:t>5</w:t>
      </w:r>
      <w:r>
        <w:rPr/>
        <w:t>层、 </w:t>
      </w:r>
      <w:r>
        <w:rPr>
          <w:rFonts w:ascii="Times New Roman" w:hAnsi="Times New Roman" w:cs="Times New Roman" w:eastAsia="Times New Roman" w:hint="default"/>
          <w:spacing w:val="-1"/>
        </w:rPr>
        <w:t>D</w:t>
      </w:r>
      <w:r>
        <w:rPr>
          <w:spacing w:val="-1"/>
        </w:rPr>
        <w:t>栋宿舍</w:t>
      </w:r>
      <w:r>
        <w:rPr>
          <w:rFonts w:ascii="Times New Roman" w:hAnsi="Times New Roman" w:cs="Times New Roman" w:eastAsia="Times New Roman" w:hint="default"/>
          <w:spacing w:val="-1"/>
        </w:rPr>
        <w:t>5</w:t>
      </w:r>
      <w:r>
        <w:rPr>
          <w:spacing w:val="-1"/>
        </w:rPr>
        <w:t>层及门卫室</w:t>
      </w:r>
      <w:r>
        <w:rPr>
          <w:rFonts w:ascii="Times New Roman" w:hAnsi="Times New Roman" w:cs="Times New Roman" w:eastAsia="Times New Roman" w:hint="default"/>
          <w:spacing w:val="-1"/>
        </w:rPr>
        <w:t>1</w:t>
      </w:r>
      <w:r>
        <w:rPr>
          <w:spacing w:val="-1"/>
        </w:rPr>
        <w:t>层，建筑面积共计</w:t>
      </w:r>
      <w:r>
        <w:rPr>
          <w:rFonts w:ascii="Times New Roman" w:hAnsi="Times New Roman" w:cs="Times New Roman" w:eastAsia="Times New Roman" w:hint="default"/>
          <w:spacing w:val="-1"/>
        </w:rPr>
        <w:t>9,067.96</w:t>
      </w:r>
      <w:r>
        <w:rPr>
          <w:spacing w:val="-1"/>
        </w:rPr>
        <w:t>平方米出租给本公司，从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2021</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31</w:t>
      </w:r>
      <w:r>
        <w:rPr>
          <w:spacing w:val="-1"/>
        </w:rPr>
        <w:t>日每月租金为人民币</w:t>
      </w:r>
      <w:r>
        <w:rPr>
          <w:spacing w:val="-45"/>
        </w:rPr>
        <w:t> </w:t>
      </w:r>
      <w:r>
        <w:rPr>
          <w:rFonts w:ascii="Times New Roman" w:hAnsi="Times New Roman" w:cs="Times New Roman" w:eastAsia="Times New Roman" w:hint="default"/>
        </w:rPr>
        <w:t>181,359.20  </w:t>
      </w:r>
      <w:r>
        <w:rPr/>
        <w:t>元，</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日每月租金为</w:t>
      </w:r>
      <w:r>
        <w:rPr>
          <w:rFonts w:ascii="Times New Roman" w:hAnsi="Times New Roman" w:cs="Times New Roman" w:eastAsia="Times New Roman" w:hint="default"/>
        </w:rPr>
        <w:t>199,495.12</w:t>
      </w:r>
      <w:r>
        <w:rPr>
          <w:rFonts w:ascii="Times New Roman" w:hAnsi="Times New Roman" w:cs="Times New Roman" w:eastAsia="Times New Roman" w:hint="default"/>
          <w:spacing w:val="17"/>
        </w:rPr>
        <w:t> </w:t>
      </w:r>
      <w:r>
        <w:rPr/>
        <w:t>元。</w:t>
      </w:r>
    </w:p>
    <w:p>
      <w:pPr>
        <w:pStyle w:val="BodyText"/>
        <w:spacing w:line="304" w:lineRule="auto" w:before="20"/>
        <w:ind w:right="1120" w:firstLine="420"/>
        <w:jc w:val="left"/>
      </w:pPr>
      <w:r>
        <w:rPr>
          <w:spacing w:val="-1"/>
        </w:rPr>
        <w:t>（</w:t>
      </w:r>
      <w:r>
        <w:rPr>
          <w:rFonts w:ascii="Times New Roman" w:hAnsi="Times New Roman" w:cs="Times New Roman" w:eastAsia="Times New Roman" w:hint="default"/>
          <w:spacing w:val="-1"/>
        </w:rPr>
        <w:t>3</w:t>
      </w:r>
      <w:r>
        <w:rPr>
          <w:spacing w:val="-1"/>
        </w:rPr>
        <w:t>）本公司与方俊基签订房屋租赁合同，合同约定：方俊基将其从深圳市平山实业股份有限公司处承租的位于深圳市</w:t>
      </w:r>
      <w:r>
        <w:rPr/>
        <w:t> 南山区桃源街道平山民企工业区第</w:t>
      </w:r>
      <w:r>
        <w:rPr>
          <w:rFonts w:ascii="Times New Roman" w:hAnsi="Times New Roman" w:cs="Times New Roman" w:eastAsia="Times New Roman" w:hint="default"/>
        </w:rPr>
        <w:t>5</w:t>
      </w:r>
      <w:r>
        <w:rPr/>
        <w:t>栋</w:t>
      </w:r>
      <w:r>
        <w:rPr>
          <w:rFonts w:ascii="Times New Roman" w:hAnsi="Times New Roman" w:cs="Times New Roman" w:eastAsia="Times New Roman" w:hint="default"/>
        </w:rPr>
        <w:t>1-6</w:t>
      </w:r>
      <w:r>
        <w:rPr/>
        <w:t>楼厂房整体出租给本公司使用，总面积</w:t>
      </w:r>
      <w:r>
        <w:rPr>
          <w:rFonts w:ascii="Times New Roman" w:hAnsi="Times New Roman" w:cs="Times New Roman" w:eastAsia="Times New Roman" w:hint="default"/>
        </w:rPr>
        <w:t>13,908.60</w:t>
      </w:r>
      <w:r>
        <w:rPr/>
        <w:t>平方米。租赁期限为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spacing w:val="-1"/>
        </w:rPr>
        <w:t>日至</w:t>
      </w:r>
      <w:r>
        <w:rPr>
          <w:rFonts w:ascii="Times New Roman" w:hAnsi="Times New Roman" w:cs="Times New Roman" w:eastAsia="Times New Roman" w:hint="default"/>
          <w:spacing w:val="-1"/>
        </w:rPr>
        <w:t>2028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30</w:t>
      </w:r>
      <w:r>
        <w:rPr>
          <w:spacing w:val="-1"/>
        </w:rPr>
        <w:t>日，其中免租期为两个月。</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日每月租金为人民币</w:t>
      </w:r>
      <w:r>
        <w:rPr>
          <w:rFonts w:ascii="Times New Roman" w:hAnsi="Times New Roman" w:cs="Times New Roman" w:eastAsia="Times New Roman" w:hint="default"/>
          <w:spacing w:val="-1"/>
        </w:rPr>
        <w:t>1,070,796.72</w:t>
      </w:r>
      <w:r>
        <w:rPr>
          <w:spacing w:val="-1"/>
        </w:rPr>
        <w:t>元、</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2"/>
        </w:rPr>
        <w:t> </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日租赁面积为</w:t>
      </w:r>
      <w:r>
        <w:rPr>
          <w:rFonts w:ascii="Times New Roman" w:hAnsi="Times New Roman" w:cs="Times New Roman" w:eastAsia="Times New Roman" w:hint="default"/>
        </w:rPr>
        <w:t>10,931.95</w:t>
      </w:r>
      <w:r>
        <w:rPr/>
        <w:t>平方米，每月租金为人民币</w:t>
      </w:r>
      <w:r>
        <w:rPr>
          <w:rFonts w:ascii="Times New Roman" w:hAnsi="Times New Roman" w:cs="Times New Roman" w:eastAsia="Times New Roman" w:hint="default"/>
        </w:rPr>
        <w:t>842,416.07</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日租赁面积</w:t>
      </w:r>
    </w:p>
    <w:p>
      <w:pPr>
        <w:spacing w:after="0" w:line="304"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0" w:lineRule="auto" w:before="44"/>
        <w:ind w:right="1004"/>
        <w:jc w:val="left"/>
      </w:pPr>
      <w:r>
        <w:rPr/>
        <w:t>为</w:t>
      </w:r>
      <w:r>
        <w:rPr>
          <w:rFonts w:ascii="Times New Roman" w:hAnsi="Times New Roman" w:cs="Times New Roman" w:eastAsia="Times New Roman" w:hint="default"/>
        </w:rPr>
        <w:t>10,404.66</w:t>
      </w:r>
      <w:r>
        <w:rPr/>
        <w:t>平方米，每月租金为人民币</w:t>
      </w:r>
      <w:r>
        <w:rPr>
          <w:rFonts w:ascii="Times New Roman" w:hAnsi="Times New Roman" w:cs="Times New Roman" w:eastAsia="Times New Roman" w:hint="default"/>
        </w:rPr>
        <w:t>751,161.63</w:t>
      </w:r>
      <w:r>
        <w:rPr/>
        <w:t>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701,161.63</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40"/>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日每月租金为人民币</w:t>
      </w:r>
      <w:r>
        <w:rPr>
          <w:rFonts w:ascii="Times New Roman" w:hAnsi="Times New Roman" w:cs="Times New Roman" w:eastAsia="Times New Roman" w:hint="default"/>
        </w:rPr>
        <w:t>851,161.63</w:t>
      </w:r>
      <w:r>
        <w:rPr/>
        <w:t>元、</w:t>
      </w:r>
      <w:r>
        <w:rPr>
          <w:rFonts w:ascii="Times New Roman" w:hAnsi="Times New Roman" w:cs="Times New Roman" w:eastAsia="Times New Roman" w:hint="default"/>
        </w:rPr>
        <w:t>2017</w:t>
      </w:r>
      <w:r>
        <w:rPr>
          <w:rFonts w:ascii="Times New Roman" w:hAnsi="Times New Roman" w:cs="Times New Roman" w:eastAsia="Times New Roman" w:hint="default"/>
          <w:spacing w:val="-20"/>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810,106.63</w:t>
      </w:r>
      <w:r>
        <w:rPr/>
        <w:t>元， </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30</w:t>
      </w:r>
      <w:r>
        <w:rPr>
          <w:spacing w:val="-1"/>
        </w:rPr>
        <w:t>日租金为每月人民币</w:t>
      </w:r>
      <w:r>
        <w:rPr>
          <w:rFonts w:ascii="Times New Roman" w:hAnsi="Times New Roman" w:cs="Times New Roman" w:eastAsia="Times New Roman" w:hint="default"/>
          <w:spacing w:val="-1"/>
        </w:rPr>
        <w:t>867,956.27</w:t>
      </w:r>
      <w:r>
        <w:rPr>
          <w:spacing w:val="-1"/>
        </w:rPr>
        <w:t>元，</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30</w:t>
      </w:r>
      <w:r>
        <w:rPr>
          <w:spacing w:val="-1"/>
        </w:rPr>
        <w:t>日租金为每月人民币</w:t>
      </w:r>
      <w:r>
        <w:rPr>
          <w:rFonts w:ascii="Times New Roman" w:hAnsi="Times New Roman" w:cs="Times New Roman" w:eastAsia="Times New Roman" w:hint="default"/>
          <w:spacing w:val="-1"/>
        </w:rPr>
        <w:t>925,806.91</w:t>
      </w:r>
      <w:r>
        <w:rPr>
          <w:rFonts w:ascii="Times New Roman" w:hAnsi="Times New Roman" w:cs="Times New Roman" w:eastAsia="Times New Roman" w:hint="default"/>
          <w:spacing w:val="-38"/>
        </w:rPr>
        <w:t> </w:t>
      </w:r>
      <w:r>
        <w:rPr/>
        <w:t>元，</w:t>
      </w:r>
      <w:r>
        <w:rPr>
          <w:rFonts w:ascii="Times New Roman" w:hAnsi="Times New Roman" w:cs="Times New Roman" w:eastAsia="Times New Roman" w:hint="default"/>
        </w:rPr>
        <w:t>2022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日租金为每月人民币</w:t>
      </w:r>
      <w:r>
        <w:rPr>
          <w:rFonts w:ascii="Times New Roman" w:hAnsi="Times New Roman" w:cs="Times New Roman" w:eastAsia="Times New Roman" w:hint="default"/>
        </w:rPr>
        <w:t>983,656.55</w:t>
      </w:r>
      <w:r>
        <w:rPr/>
        <w:t>元，</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日租金为每月人民币 </w:t>
      </w:r>
      <w:r>
        <w:rPr>
          <w:rFonts w:ascii="Times New Roman" w:hAnsi="Times New Roman" w:cs="Times New Roman" w:eastAsia="Times New Roman" w:hint="default"/>
        </w:rPr>
        <w:t>1,041,610.52</w:t>
      </w:r>
      <w:r>
        <w:rPr/>
        <w:t>元，</w:t>
      </w:r>
      <w:r>
        <w:rPr>
          <w:rFonts w:ascii="Times New Roman" w:hAnsi="Times New Roman" w:cs="Times New Roman" w:eastAsia="Times New Roman" w:hint="default"/>
        </w:rPr>
        <w:t>2026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日租金为每月人民币</w:t>
      </w:r>
      <w:r>
        <w:rPr>
          <w:rFonts w:ascii="Times New Roman" w:hAnsi="Times New Roman" w:cs="Times New Roman" w:eastAsia="Times New Roman" w:hint="default"/>
        </w:rPr>
        <w:t>1,099,460.15</w:t>
      </w:r>
      <w:r>
        <w:rPr/>
        <w:t>元。</w:t>
      </w:r>
    </w:p>
    <w:p>
      <w:pPr>
        <w:pStyle w:val="BodyText"/>
        <w:spacing w:line="302" w:lineRule="auto" w:before="16"/>
        <w:ind w:right="1099" w:firstLine="420"/>
        <w:jc w:val="both"/>
      </w:pPr>
      <w:r>
        <w:rPr>
          <w:spacing w:val="-1"/>
        </w:rPr>
        <w:t>（</w:t>
      </w:r>
      <w:r>
        <w:rPr>
          <w:rFonts w:ascii="Times New Roman" w:hAnsi="Times New Roman" w:cs="Times New Roman" w:eastAsia="Times New Roman" w:hint="default"/>
          <w:spacing w:val="-1"/>
        </w:rPr>
        <w:t>4</w:t>
      </w:r>
      <w:r>
        <w:rPr>
          <w:spacing w:val="-1"/>
        </w:rPr>
        <w:t>）本公司与深圳市嘉恒投资有限公司（以下简称</w:t>
      </w:r>
      <w:r>
        <w:rPr>
          <w:rFonts w:ascii="Times New Roman" w:hAnsi="Times New Roman" w:cs="Times New Roman" w:eastAsia="Times New Roman" w:hint="default"/>
          <w:spacing w:val="-1"/>
        </w:rPr>
        <w:t>“</w:t>
      </w:r>
      <w:r>
        <w:rPr>
          <w:spacing w:val="-1"/>
        </w:rPr>
        <w:t>嘉恒投资</w:t>
      </w:r>
      <w:r>
        <w:rPr>
          <w:rFonts w:ascii="Times New Roman" w:hAnsi="Times New Roman" w:cs="Times New Roman" w:eastAsia="Times New Roman" w:hint="default"/>
          <w:spacing w:val="-1"/>
        </w:rPr>
        <w:t>”</w:t>
      </w:r>
      <w:r>
        <w:rPr>
          <w:spacing w:val="-1"/>
        </w:rPr>
        <w:t>）签订宿舍租赁合同，合同约定：嘉恒投资将位于深圳</w:t>
      </w:r>
      <w:r>
        <w:rPr/>
        <w:t> </w:t>
      </w:r>
      <w:r>
        <w:rPr>
          <w:spacing w:val="-2"/>
        </w:rPr>
        <w:t>市宝安区松岗街道塘下涌同富路</w:t>
      </w:r>
      <w:r>
        <w:rPr>
          <w:rFonts w:ascii="Times New Roman" w:hAnsi="Times New Roman" w:cs="Times New Roman" w:eastAsia="Times New Roman" w:hint="default"/>
          <w:spacing w:val="-2"/>
        </w:rPr>
        <w:t>10</w:t>
      </w:r>
      <w:r>
        <w:rPr>
          <w:spacing w:val="-2"/>
        </w:rPr>
        <w:t>嘉恒工业园</w:t>
      </w:r>
      <w:r>
        <w:rPr>
          <w:rFonts w:ascii="Times New Roman" w:hAnsi="Times New Roman" w:cs="Times New Roman" w:eastAsia="Times New Roman" w:hint="default"/>
          <w:spacing w:val="-2"/>
        </w:rPr>
        <w:t>3</w:t>
      </w:r>
      <w:r>
        <w:rPr>
          <w:spacing w:val="-2"/>
        </w:rPr>
        <w:t>号建筑面积</w:t>
      </w:r>
      <w:r>
        <w:rPr>
          <w:rFonts w:ascii="Times New Roman" w:hAnsi="Times New Roman" w:cs="Times New Roman" w:eastAsia="Times New Roman" w:hint="default"/>
          <w:spacing w:val="-2"/>
        </w:rPr>
        <w:t>2,669.65</w:t>
      </w:r>
      <w:r>
        <w:rPr>
          <w:spacing w:val="-2"/>
        </w:rPr>
        <w:t>平方米的宿舍整栋出租给本公司作为宿舍使用，使用期限</w:t>
      </w:r>
      <w:r>
        <w:rPr>
          <w:spacing w:val="-40"/>
        </w:rPr>
        <w:t> </w:t>
      </w:r>
      <w:r>
        <w:rPr>
          <w:spacing w:val="-40"/>
        </w:rPr>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日，租金每月人民币</w:t>
      </w:r>
      <w:r>
        <w:rPr>
          <w:rFonts w:ascii="Times New Roman" w:hAnsi="Times New Roman" w:cs="Times New Roman" w:eastAsia="Times New Roman" w:hint="default"/>
        </w:rPr>
        <w:t>44,049.22</w:t>
      </w:r>
      <w:r>
        <w:rPr/>
        <w:t>元。</w:t>
      </w:r>
    </w:p>
    <w:p>
      <w:pPr>
        <w:pStyle w:val="BodyText"/>
        <w:spacing w:line="304" w:lineRule="auto"/>
        <w:ind w:right="1139"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日嘉恒投资将深圳市宝安区松岗街道塘下涌同富路</w:t>
      </w:r>
      <w:r>
        <w:rPr>
          <w:rFonts w:ascii="Times New Roman" w:hAnsi="Times New Roman" w:cs="Times New Roman" w:eastAsia="Times New Roman" w:hint="default"/>
        </w:rPr>
        <w:t>10</w:t>
      </w:r>
      <w:r>
        <w:rPr/>
        <w:t>号员工配套宿舍</w:t>
      </w:r>
      <w:r>
        <w:rPr>
          <w:rFonts w:ascii="Times New Roman" w:hAnsi="Times New Roman" w:cs="Times New Roman" w:eastAsia="Times New Roman" w:hint="default"/>
        </w:rPr>
        <w:t>1</w:t>
      </w:r>
      <w:r>
        <w:rPr/>
        <w:t>号宿舍</w:t>
      </w:r>
      <w:r>
        <w:rPr>
          <w:rFonts w:ascii="Times New Roman" w:hAnsi="Times New Roman" w:cs="Times New Roman" w:eastAsia="Times New Roman" w:hint="default"/>
        </w:rPr>
        <w:t>A</w:t>
      </w:r>
      <w:r>
        <w:rPr/>
        <w:t>单元</w:t>
      </w:r>
      <w:r>
        <w:rPr>
          <w:rFonts w:ascii="Times New Roman" w:hAnsi="Times New Roman" w:cs="Times New Roman" w:eastAsia="Times New Roman" w:hint="default"/>
        </w:rPr>
        <w:t>2-4 </w:t>
      </w:r>
      <w:r>
        <w:rPr/>
        <w:t>楼（</w:t>
      </w:r>
      <w:r>
        <w:rPr>
          <w:rFonts w:ascii="Times New Roman" w:hAnsi="Times New Roman" w:cs="Times New Roman" w:eastAsia="Times New Roman" w:hint="default"/>
        </w:rPr>
        <w:t>401-403</w:t>
      </w:r>
      <w:r>
        <w:rPr/>
        <w:t>除外）、</w:t>
      </w:r>
      <w:r>
        <w:rPr>
          <w:rFonts w:ascii="Times New Roman" w:hAnsi="Times New Roman" w:cs="Times New Roman" w:eastAsia="Times New Roman" w:hint="default"/>
        </w:rPr>
        <w:t>B</w:t>
      </w:r>
      <w:r>
        <w:rPr/>
        <w:t>单元</w:t>
      </w:r>
      <w:r>
        <w:rPr>
          <w:rFonts w:ascii="Times New Roman" w:hAnsi="Times New Roman" w:cs="Times New Roman" w:eastAsia="Times New Roman" w:hint="default"/>
        </w:rPr>
        <w:t>2-7</w:t>
      </w:r>
      <w:r>
        <w:rPr/>
        <w:t>楼共</w:t>
      </w:r>
      <w:r>
        <w:rPr>
          <w:rFonts w:ascii="Times New Roman" w:hAnsi="Times New Roman" w:cs="Times New Roman" w:eastAsia="Times New Roman" w:hint="default"/>
        </w:rPr>
        <w:t>168</w:t>
      </w:r>
      <w:r>
        <w:rPr/>
        <w:t>间房，面积为</w:t>
      </w:r>
      <w:r>
        <w:rPr>
          <w:rFonts w:ascii="Times New Roman" w:hAnsi="Times New Roman" w:cs="Times New Roman" w:eastAsia="Times New Roman" w:hint="default"/>
        </w:rPr>
        <w:t>6,492.5</w:t>
      </w:r>
      <w:r>
        <w:rPr/>
        <w:t>平方米出租给本公司使用，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日每</w:t>
      </w:r>
      <w:r>
        <w:rPr>
          <w:spacing w:val="-87"/>
        </w:rPr>
        <w:t> </w:t>
      </w:r>
      <w:r>
        <w:rPr/>
        <w:t>月租金为人民币</w:t>
      </w:r>
      <w:r>
        <w:rPr>
          <w:rFonts w:ascii="Times New Roman" w:hAnsi="Times New Roman" w:cs="Times New Roman" w:eastAsia="Times New Roman" w:hint="default"/>
        </w:rPr>
        <w:t>110,372.50</w:t>
      </w:r>
      <w:r>
        <w:rPr/>
        <w:t>元。</w:t>
      </w:r>
    </w:p>
    <w:p>
      <w:pPr>
        <w:pStyle w:val="BodyText"/>
        <w:spacing w:line="304" w:lineRule="auto" w:before="12"/>
        <w:ind w:right="1200"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日嘉恒投资将位于深圳市宝安区松岗街道塘下涌同富路</w:t>
      </w:r>
      <w:r>
        <w:rPr>
          <w:rFonts w:ascii="Times New Roman" w:hAnsi="Times New Roman" w:cs="Times New Roman" w:eastAsia="Times New Roman" w:hint="default"/>
        </w:rPr>
        <w:t>10</w:t>
      </w:r>
      <w:r>
        <w:rPr/>
        <w:t>号嘉恒工业园</w:t>
      </w:r>
      <w:r>
        <w:rPr>
          <w:rFonts w:ascii="Times New Roman" w:hAnsi="Times New Roman" w:cs="Times New Roman" w:eastAsia="Times New Roman" w:hint="default"/>
        </w:rPr>
        <w:t>1</w:t>
      </w:r>
      <w:r>
        <w:rPr/>
        <w:t>号宿舍</w:t>
      </w:r>
      <w:r>
        <w:rPr>
          <w:rFonts w:ascii="Times New Roman" w:hAnsi="Times New Roman" w:cs="Times New Roman" w:eastAsia="Times New Roman" w:hint="default"/>
        </w:rPr>
        <w:t>A</w:t>
      </w:r>
      <w:r>
        <w:rPr/>
        <w:t>座一楼 出租给本公司作为仓库使用，出租面积共计</w:t>
      </w:r>
      <w:r>
        <w:rPr>
          <w:rFonts w:ascii="Times New Roman" w:hAnsi="Times New Roman" w:cs="Times New Roman" w:eastAsia="Times New Roman" w:hint="default"/>
        </w:rPr>
        <w:t>1,306.00</w:t>
      </w:r>
      <w:r>
        <w:rPr/>
        <w:t>平方米，每月租金为</w:t>
      </w:r>
      <w:r>
        <w:rPr>
          <w:rFonts w:ascii="Times New Roman" w:hAnsi="Times New Roman" w:cs="Times New Roman" w:eastAsia="Times New Roman" w:hint="default"/>
        </w:rPr>
        <w:t>20,896.00</w:t>
      </w:r>
      <w:r>
        <w:rPr/>
        <w:t>元人民币。</w:t>
      </w:r>
    </w:p>
    <w:p>
      <w:pPr>
        <w:pStyle w:val="BodyText"/>
        <w:spacing w:line="304" w:lineRule="auto"/>
        <w:ind w:right="1098" w:firstLine="420"/>
        <w:jc w:val="both"/>
      </w:pPr>
      <w:r>
        <w:rPr>
          <w:spacing w:val="-1"/>
        </w:rPr>
        <w:t>（</w:t>
      </w:r>
      <w:r>
        <w:rPr>
          <w:rFonts w:ascii="Times New Roman" w:hAnsi="Times New Roman" w:cs="Times New Roman" w:eastAsia="Times New Roman" w:hint="default"/>
          <w:spacing w:val="-1"/>
        </w:rPr>
        <w:t>5</w:t>
      </w:r>
      <w:r>
        <w:rPr>
          <w:spacing w:val="-1"/>
        </w:rPr>
        <w:t>）本公司与东莞市龙之祥振兴物业管理有限公司（以下简称</w:t>
      </w:r>
      <w:r>
        <w:rPr>
          <w:rFonts w:ascii="Times New Roman" w:hAnsi="Times New Roman" w:cs="Times New Roman" w:eastAsia="Times New Roman" w:hint="default"/>
          <w:spacing w:val="-1"/>
        </w:rPr>
        <w:t>“</w:t>
      </w:r>
      <w:r>
        <w:rPr>
          <w:spacing w:val="-1"/>
        </w:rPr>
        <w:t>振兴物业</w:t>
      </w:r>
      <w:r>
        <w:rPr>
          <w:rFonts w:ascii="Times New Roman" w:hAnsi="Times New Roman" w:cs="Times New Roman" w:eastAsia="Times New Roman" w:hint="default"/>
          <w:spacing w:val="-1"/>
        </w:rPr>
        <w:t>”</w:t>
      </w:r>
      <w:r>
        <w:rPr>
          <w:spacing w:val="-1"/>
        </w:rPr>
        <w:t>）签订房屋租赁合同，合同约定：振兴物业</w:t>
      </w:r>
      <w:r>
        <w:rPr/>
        <w:t> 将位于东莞市长安镇乌沙社区龙之祥振兴科技园</w:t>
      </w:r>
      <w:r>
        <w:rPr>
          <w:rFonts w:ascii="Times New Roman" w:hAnsi="Times New Roman" w:cs="Times New Roman" w:eastAsia="Times New Roman" w:hint="default"/>
        </w:rPr>
        <w:t>5</w:t>
      </w:r>
      <w:r>
        <w:rPr/>
        <w:t>楼</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w:t>
      </w:r>
      <w:r>
        <w:rPr>
          <w:rFonts w:ascii="Times New Roman" w:hAnsi="Times New Roman" w:cs="Times New Roman" w:eastAsia="Times New Roman" w:hint="default"/>
        </w:rPr>
        <w:t>C</w:t>
      </w:r>
      <w:r>
        <w:rPr/>
        <w:t>栋整层及</w:t>
      </w:r>
      <w:r>
        <w:rPr>
          <w:rFonts w:ascii="Times New Roman" w:hAnsi="Times New Roman" w:cs="Times New Roman" w:eastAsia="Times New Roman" w:hint="default"/>
        </w:rPr>
        <w:t>6</w:t>
      </w:r>
      <w:r>
        <w:rPr/>
        <w:t>楼</w:t>
      </w:r>
      <w:r>
        <w:rPr>
          <w:rFonts w:ascii="Times New Roman" w:hAnsi="Times New Roman" w:cs="Times New Roman" w:eastAsia="Times New Roman" w:hint="default"/>
        </w:rPr>
        <w:t>A</w:t>
      </w:r>
      <w:r>
        <w:rPr/>
        <w:t>、</w:t>
      </w:r>
      <w:r>
        <w:rPr>
          <w:rFonts w:ascii="Times New Roman" w:hAnsi="Times New Roman" w:cs="Times New Roman" w:eastAsia="Times New Roman" w:hint="default"/>
        </w:rPr>
        <w:t>B</w:t>
      </w:r>
      <w:r>
        <w:rPr/>
        <w:t>栋整层厂房及五套公寓出租给本公司，厂房</w:t>
      </w:r>
      <w:r>
        <w:rPr>
          <w:spacing w:val="-80"/>
        </w:rPr>
        <w:t> </w:t>
      </w:r>
      <w:r>
        <w:rPr>
          <w:spacing w:val="-1"/>
        </w:rPr>
        <w:t>用途为仓库，公寓用途为员工宿舍。</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日每月租金为人民币</w:t>
      </w:r>
      <w:r>
        <w:rPr>
          <w:rFonts w:ascii="Times New Roman" w:hAnsi="Times New Roman" w:cs="Times New Roman" w:eastAsia="Times New Roman" w:hint="default"/>
          <w:spacing w:val="-1"/>
        </w:rPr>
        <w:t>372,,993.3</w:t>
      </w:r>
      <w:r>
        <w:rPr>
          <w:spacing w:val="-1"/>
        </w:rPr>
        <w:t>元，</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2021</w:t>
      </w:r>
      <w:r>
        <w:rPr>
          <w:rFonts w:ascii="Times New Roman" w:hAnsi="Times New Roman" w:cs="Times New Roman" w:eastAsia="Times New Roman" w:hint="default"/>
          <w:spacing w:val="-12"/>
        </w:rPr>
        <w:t>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日每月租金为人民币</w:t>
      </w:r>
      <w:r>
        <w:rPr>
          <w:rFonts w:ascii="Times New Roman" w:hAnsi="Times New Roman" w:cs="Times New Roman" w:eastAsia="Times New Roman" w:hint="default"/>
        </w:rPr>
        <w:t>400,035.45</w:t>
      </w:r>
      <w:r>
        <w:rPr/>
        <w:t>元。</w:t>
      </w:r>
    </w:p>
    <w:p>
      <w:pPr>
        <w:pStyle w:val="Heading6"/>
        <w:spacing w:line="240" w:lineRule="auto" w:before="12"/>
        <w:ind w:left="561" w:right="0"/>
        <w:jc w:val="left"/>
        <w:rPr>
          <w:b w:val="0"/>
          <w:bCs w:val="0"/>
        </w:rPr>
      </w:pPr>
      <w:r>
        <w:rPr>
          <w:rFonts w:ascii="Times New Roman" w:hAnsi="Times New Roman" w:cs="Times New Roman" w:eastAsia="Times New Roman" w:hint="default"/>
          <w:w w:val="95"/>
        </w:rPr>
        <w:t>2</w:t>
      </w:r>
      <w:r>
        <w:rPr>
          <w:w w:val="95"/>
        </w:rPr>
        <w:t>、除存在上述承诺事项外，截至   </w:t>
      </w:r>
      <w:r>
        <w:rPr>
          <w:spacing w:val="51"/>
          <w:w w:val="95"/>
        </w:rPr>
        <w:t> </w:t>
      </w:r>
      <w:r>
        <w:rPr>
          <w:rFonts w:ascii="Times New Roman" w:hAnsi="Times New Roman" w:cs="Times New Roman" w:eastAsia="Times New Roman" w:hint="default"/>
          <w:w w:val="95"/>
        </w:rPr>
        <w:t>2019</w:t>
      </w:r>
      <w:r>
        <w:rPr>
          <w:w w:val="95"/>
        </w:rPr>
        <w:t>年</w:t>
      </w:r>
      <w:r>
        <w:rPr>
          <w:rFonts w:ascii="Times New Roman" w:hAnsi="Times New Roman" w:cs="Times New Roman" w:eastAsia="Times New Roman" w:hint="default"/>
          <w:w w:val="95"/>
        </w:rPr>
        <w:t>12</w:t>
      </w:r>
      <w:r>
        <w:rPr>
          <w:w w:val="95"/>
        </w:rPr>
        <w:t>月</w:t>
      </w:r>
      <w:r>
        <w:rPr>
          <w:rFonts w:ascii="Times New Roman" w:hAnsi="Times New Roman" w:cs="Times New Roman" w:eastAsia="Times New Roman" w:hint="default"/>
          <w:w w:val="95"/>
        </w:rPr>
        <w:t>31</w:t>
      </w:r>
      <w:r>
        <w:rPr>
          <w:w w:val="95"/>
        </w:rPr>
        <w:t>日止，本公司无其他应披露未披露的重大承诺事项。</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4"/>
          <w:szCs w:val="14"/>
        </w:rPr>
      </w:pPr>
    </w:p>
    <w:p>
      <w:pPr>
        <w:pStyle w:val="Heading5"/>
        <w:spacing w:line="240" w:lineRule="auto"/>
        <w:ind w:right="0"/>
        <w:jc w:val="left"/>
        <w:rPr>
          <w:b w:val="0"/>
          <w:bCs w:val="0"/>
        </w:rPr>
      </w:pPr>
      <w:bookmarkStart w:name="2、或有事项" w:id="503"/>
      <w:bookmarkEnd w:id="503"/>
      <w:r>
        <w:rPr>
          <w:b w:val="0"/>
          <w:bCs w:val="0"/>
        </w:rPr>
      </w:r>
      <w:r>
        <w:rPr>
          <w:rFonts w:ascii="Times New Roman" w:hAnsi="Times New Roman" w:cs="Times New Roman" w:eastAsia="Times New Roman" w:hint="default"/>
          <w:spacing w:val="5"/>
        </w:rPr>
        <w:t>2</w:t>
      </w:r>
      <w:r>
        <w:rPr>
          <w:spacing w:val="5"/>
        </w:rPr>
        <w:t>、或有事项</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资产负债表日存在的重要或有事项" w:id="504"/>
      <w:bookmarkEnd w:id="504"/>
      <w:r>
        <w:rPr>
          <w:b w:val="0"/>
          <w:bCs w:val="0"/>
        </w:rPr>
      </w:r>
      <w:r>
        <w:rPr>
          <w:spacing w:val="5"/>
        </w:rPr>
        <w:t>（</w:t>
      </w:r>
      <w:r>
        <w:rPr>
          <w:rFonts w:ascii="Times New Roman" w:hAnsi="Times New Roman" w:cs="Times New Roman" w:eastAsia="Times New Roman" w:hint="default"/>
          <w:spacing w:val="5"/>
        </w:rPr>
        <w:t>1</w:t>
      </w:r>
      <w:r>
        <w:rPr>
          <w:spacing w:val="5"/>
        </w:rPr>
        <w:t>）资产负债表日存在的重要或有事项</w:t>
      </w:r>
      <w:r>
        <w:rPr>
          <w:b w:val="0"/>
          <w:bCs w:val="0"/>
          <w:spacing w:val="5"/>
        </w:rPr>
      </w:r>
    </w:p>
    <w:p>
      <w:pPr>
        <w:spacing w:line="240" w:lineRule="auto" w:before="4"/>
        <w:rPr>
          <w:rFonts w:ascii="宋体" w:hAnsi="宋体" w:cs="宋体" w:eastAsia="宋体" w:hint="default"/>
          <w:b/>
          <w:bCs/>
          <w:sz w:val="26"/>
          <w:szCs w:val="26"/>
        </w:rPr>
      </w:pPr>
    </w:p>
    <w:p>
      <w:pPr>
        <w:pStyle w:val="Heading3"/>
        <w:spacing w:line="240" w:lineRule="auto"/>
        <w:ind w:left="561" w:right="0"/>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5"/>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1847"/>
        <w:gridCol w:w="3544"/>
        <w:gridCol w:w="1562"/>
        <w:gridCol w:w="1607"/>
      </w:tblGrid>
      <w:tr>
        <w:trPr>
          <w:trHeight w:val="330"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被告</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原告</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事由</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5" w:right="0"/>
              <w:jc w:val="left"/>
              <w:rPr>
                <w:rFonts w:ascii="宋体" w:hAnsi="宋体" w:cs="宋体" w:eastAsia="宋体" w:hint="default"/>
                <w:sz w:val="18"/>
                <w:szCs w:val="18"/>
              </w:rPr>
            </w:pPr>
            <w:r>
              <w:rPr>
                <w:rFonts w:ascii="宋体" w:hAnsi="宋体" w:cs="宋体" w:eastAsia="宋体" w:hint="default"/>
                <w:sz w:val="18"/>
                <w:szCs w:val="18"/>
              </w:rPr>
              <w:t>涉诉金额（汇总）</w:t>
            </w:r>
          </w:p>
        </w:tc>
      </w:tr>
      <w:tr>
        <w:trPr>
          <w:trHeight w:val="345"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深圳丰盛真空技术有限公司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合同纠纷</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1,260,771.46</w:t>
            </w:r>
          </w:p>
        </w:tc>
      </w:tr>
      <w:tr>
        <w:trPr>
          <w:trHeight w:val="34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深圳丰盛真空技术有限公司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买卖合同纠纷</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8,041,405.04</w:t>
            </w:r>
          </w:p>
        </w:tc>
      </w:tr>
      <w:tr>
        <w:trPr>
          <w:trHeight w:val="660"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ind w:right="3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深圳市中兴康讯电子有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买卖合同纠纷</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z w:val="18"/>
              </w:rPr>
              <w:t>2,049,076.57</w:t>
            </w:r>
          </w:p>
        </w:tc>
      </w:tr>
      <w:tr>
        <w:trPr>
          <w:trHeight w:val="330"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上海骁通智能科技有限公司（注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买卖合同纠纷</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1,448,297.00</w:t>
            </w:r>
          </w:p>
        </w:tc>
      </w:tr>
    </w:tbl>
    <w:p>
      <w:pPr>
        <w:spacing w:line="240" w:lineRule="auto" w:before="12"/>
        <w:rPr>
          <w:rFonts w:ascii="宋体" w:hAnsi="宋体" w:cs="宋体" w:eastAsia="宋体" w:hint="default"/>
          <w:b/>
          <w:bCs/>
          <w:sz w:val="6"/>
          <w:szCs w:val="6"/>
        </w:rPr>
      </w:pPr>
    </w:p>
    <w:p>
      <w:pPr>
        <w:pStyle w:val="BodyText"/>
        <w:spacing w:line="300" w:lineRule="auto" w:before="44"/>
        <w:ind w:right="1037" w:firstLine="42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日，深圳丰盛真空技术有限公司（以下简称</w:t>
      </w:r>
      <w:r>
        <w:rPr>
          <w:rFonts w:ascii="Times New Roman" w:hAnsi="Times New Roman" w:cs="Times New Roman" w:eastAsia="Times New Roman" w:hint="default"/>
        </w:rPr>
        <w:t>“</w:t>
      </w:r>
      <w:r>
        <w:rPr/>
        <w:t>丰盛真空公司</w:t>
      </w:r>
      <w:r>
        <w:rPr>
          <w:rFonts w:ascii="Times New Roman" w:hAnsi="Times New Roman" w:cs="Times New Roman" w:eastAsia="Times New Roman" w:hint="default"/>
        </w:rPr>
        <w:t>”</w:t>
      </w:r>
      <w:r>
        <w:rPr/>
        <w:t>）向深圳市宝安区人民法院起诉本公司 </w:t>
      </w:r>
      <w:r>
        <w:rPr>
          <w:spacing w:val="-3"/>
        </w:rPr>
        <w:t>下属孙公司深圳市翼丰盛科技有限公司（以下简称</w:t>
      </w:r>
      <w:r>
        <w:rPr>
          <w:rFonts w:ascii="Times New Roman" w:hAnsi="Times New Roman" w:cs="Times New Roman" w:eastAsia="Times New Roman" w:hint="default"/>
          <w:spacing w:val="-3"/>
        </w:rPr>
        <w:t>“</w:t>
      </w:r>
      <w:r>
        <w:rPr>
          <w:spacing w:val="-3"/>
        </w:rPr>
        <w:t>翼丰盛公司</w:t>
      </w:r>
      <w:r>
        <w:rPr>
          <w:rFonts w:ascii="Times New Roman" w:hAnsi="Times New Roman" w:cs="Times New Roman" w:eastAsia="Times New Roman" w:hint="default"/>
          <w:spacing w:val="-3"/>
        </w:rPr>
        <w:t>”</w:t>
      </w:r>
      <w:r>
        <w:rPr>
          <w:spacing w:val="-3"/>
        </w:rPr>
        <w:t>），控告翼丰盛公司欠付丰盛真空代垫的厂房租金、水电费、</w:t>
      </w:r>
      <w:r>
        <w:rPr>
          <w:spacing w:val="-78"/>
        </w:rPr>
        <w:t> </w:t>
      </w:r>
      <w:r>
        <w:rPr>
          <w:spacing w:val="-78"/>
        </w:rPr>
      </w:r>
      <w:r>
        <w:rPr/>
        <w:t>员工社保费及固话费共计</w:t>
      </w:r>
      <w:r>
        <w:rPr>
          <w:rFonts w:ascii="Times New Roman" w:hAnsi="Times New Roman" w:cs="Times New Roman" w:eastAsia="Times New Roman" w:hint="default"/>
        </w:rPr>
        <w:t>967,755.22</w:t>
      </w:r>
      <w:r>
        <w:rPr/>
        <w:t>元，要求翼丰盛公司立即给付前述代付款</w:t>
      </w:r>
      <w:r>
        <w:rPr>
          <w:rFonts w:ascii="Times New Roman" w:hAnsi="Times New Roman" w:cs="Times New Roman" w:eastAsia="Times New Roman" w:hint="default"/>
        </w:rPr>
        <w:t>967,755.22</w:t>
      </w:r>
      <w:r>
        <w:rPr/>
        <w:t>元和逾期违约金、赔偿律师费</w:t>
      </w:r>
      <w:r>
        <w:rPr>
          <w:spacing w:val="-83"/>
        </w:rPr>
        <w:t> </w:t>
      </w:r>
      <w:r>
        <w:rPr>
          <w:rFonts w:ascii="Times New Roman" w:hAnsi="Times New Roman" w:cs="Times New Roman" w:eastAsia="Times New Roman" w:hint="default"/>
        </w:rPr>
        <w:t>20,000.00</w:t>
      </w:r>
      <w:r>
        <w:rPr/>
        <w:t>元、保全担保费</w:t>
      </w:r>
      <w:r>
        <w:rPr>
          <w:rFonts w:ascii="Times New Roman" w:hAnsi="Times New Roman" w:cs="Times New Roman" w:eastAsia="Times New Roman" w:hint="default"/>
        </w:rPr>
        <w:t>2,000.00</w:t>
      </w:r>
      <w:r>
        <w:rPr/>
        <w:t>元及承担全部诉讼费用。</w:t>
      </w:r>
    </w:p>
    <w:p>
      <w:pPr>
        <w:pStyle w:val="BodyText"/>
        <w:spacing w:line="304" w:lineRule="auto" w:before="16"/>
        <w:ind w:left="561" w:right="1115"/>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日，广东省深圳市宝安区人民法院（</w:t>
      </w:r>
      <w:r>
        <w:rPr>
          <w:rFonts w:ascii="Times New Roman" w:hAnsi="Times New Roman" w:cs="Times New Roman" w:eastAsia="Times New Roman" w:hint="default"/>
        </w:rPr>
        <w:t>2018</w:t>
      </w:r>
      <w:r>
        <w:rPr/>
        <w:t>）粤</w:t>
      </w:r>
      <w:r>
        <w:rPr>
          <w:rFonts w:ascii="Times New Roman" w:hAnsi="Times New Roman" w:cs="Times New Roman" w:eastAsia="Times New Roman" w:hint="default"/>
        </w:rPr>
        <w:t>0306</w:t>
      </w:r>
      <w:r>
        <w:rPr/>
        <w:t>民初</w:t>
      </w:r>
      <w:r>
        <w:rPr>
          <w:rFonts w:ascii="Times New Roman" w:hAnsi="Times New Roman" w:cs="Times New Roman" w:eastAsia="Times New Roman" w:hint="default"/>
        </w:rPr>
        <w:t>26559</w:t>
      </w:r>
      <w:r>
        <w:rPr/>
        <w:t>号民事判决书做出如下判决： </w:t>
      </w:r>
      <w:r>
        <w:rPr>
          <w:spacing w:val="-2"/>
        </w:rPr>
        <w:t>一、被告翼丰盛公司应于判决生效之日起三日内支付原告丰盛真空公司垫付款</w:t>
      </w:r>
      <w:r>
        <w:rPr>
          <w:rFonts w:ascii="Times New Roman" w:hAnsi="Times New Roman" w:cs="Times New Roman" w:eastAsia="Times New Roman" w:hint="default"/>
          <w:spacing w:val="-2"/>
        </w:rPr>
        <w:t>967,755.22</w:t>
      </w:r>
      <w:r>
        <w:rPr>
          <w:spacing w:val="-2"/>
        </w:rPr>
        <w:t>元及违约金（违约金以月息</w:t>
      </w:r>
      <w:r>
        <w:rPr>
          <w:rFonts w:ascii="Times New Roman" w:hAnsi="Times New Roman" w:cs="Times New Roman" w:eastAsia="Times New Roman" w:hint="default"/>
          <w:spacing w:val="-2"/>
        </w:rPr>
        <w:t>2%</w:t>
      </w:r>
    </w:p>
    <w:p>
      <w:pPr>
        <w:pStyle w:val="BodyText"/>
        <w:spacing w:line="290" w:lineRule="auto" w:before="12"/>
        <w:ind w:left="561" w:right="1599" w:hanging="421"/>
        <w:jc w:val="left"/>
      </w:pPr>
      <w:r>
        <w:rPr/>
        <w:t>为标准，从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日起计至实际清偿之日止）； 二、被告翼丰盛公司应于判决之日起三日内支付原告丰盛真空公司支出的</w:t>
      </w:r>
      <w:r>
        <w:rPr>
          <w:rFonts w:ascii="Times New Roman" w:hAnsi="Times New Roman" w:cs="Times New Roman" w:eastAsia="Times New Roman" w:hint="default"/>
        </w:rPr>
        <w:t>20,000.00</w:t>
      </w:r>
      <w:r>
        <w:rPr/>
        <w:t>元及财产担保费</w:t>
      </w:r>
      <w:r>
        <w:rPr>
          <w:rFonts w:ascii="Times New Roman" w:hAnsi="Times New Roman" w:cs="Times New Roman" w:eastAsia="Times New Roman" w:hint="default"/>
        </w:rPr>
        <w:t>2,000.00</w:t>
      </w:r>
      <w:r>
        <w:rPr/>
        <w:t>元； 三、驳回原告其他诉讼请求。</w:t>
      </w:r>
    </w:p>
    <w:p>
      <w:pPr>
        <w:pStyle w:val="BodyText"/>
        <w:spacing w:line="288" w:lineRule="auto" w:before="57"/>
        <w:ind w:right="1149" w:firstLine="420"/>
        <w:jc w:val="left"/>
      </w:pPr>
      <w:r>
        <w:rPr/>
        <w:t>（</w:t>
      </w:r>
      <w:r>
        <w:rPr>
          <w:rFonts w:ascii="Times New Roman" w:hAnsi="Times New Roman" w:cs="Times New Roman" w:eastAsia="Times New Roman" w:hint="default"/>
        </w:rPr>
        <w:t>2</w:t>
      </w:r>
      <w:r>
        <w:rPr/>
        <w:t>）一审判决后，翼丰盛公司向深圳市中级人民法院提起上诉，深圳市中级人民法院（</w:t>
      </w:r>
      <w:r>
        <w:rPr>
          <w:rFonts w:ascii="Times New Roman" w:hAnsi="Times New Roman" w:cs="Times New Roman" w:eastAsia="Times New Roman" w:hint="default"/>
        </w:rPr>
        <w:t>2019</w:t>
      </w:r>
      <w:r>
        <w:rPr/>
        <w:t>）粤</w:t>
      </w:r>
      <w:r>
        <w:rPr>
          <w:rFonts w:ascii="Times New Roman" w:hAnsi="Times New Roman" w:cs="Times New Roman" w:eastAsia="Times New Roman" w:hint="default"/>
        </w:rPr>
        <w:t>03</w:t>
      </w:r>
      <w:r>
        <w:rPr/>
        <w:t>民终</w:t>
      </w:r>
      <w:r>
        <w:rPr>
          <w:rFonts w:ascii="Times New Roman" w:hAnsi="Times New Roman" w:cs="Times New Roman" w:eastAsia="Times New Roman" w:hint="default"/>
        </w:rPr>
        <w:t>21034</w:t>
      </w:r>
      <w:r>
        <w:rPr/>
        <w:t>号民事 裁定书，裁定如下：</w:t>
      </w:r>
    </w:p>
    <w:p>
      <w:pPr>
        <w:pStyle w:val="BodyText"/>
        <w:spacing w:line="240" w:lineRule="auto" w:before="59"/>
        <w:ind w:left="561" w:right="0"/>
        <w:jc w:val="left"/>
      </w:pPr>
      <w:r>
        <w:rPr/>
        <w:t>一、撤销深圳市宝安区人民法院（</w:t>
      </w:r>
      <w:r>
        <w:rPr>
          <w:rFonts w:ascii="Times New Roman" w:hAnsi="Times New Roman" w:cs="Times New Roman" w:eastAsia="Times New Roman" w:hint="default"/>
        </w:rPr>
        <w:t>2018</w:t>
      </w:r>
      <w:r>
        <w:rPr/>
        <w:t>）粤</w:t>
      </w:r>
      <w:r>
        <w:rPr>
          <w:rFonts w:ascii="Times New Roman" w:hAnsi="Times New Roman" w:cs="Times New Roman" w:eastAsia="Times New Roman" w:hint="default"/>
        </w:rPr>
        <w:t>0306</w:t>
      </w:r>
      <w:r>
        <w:rPr/>
        <w:t>民初</w:t>
      </w:r>
      <w:r>
        <w:rPr>
          <w:rFonts w:ascii="Times New Roman" w:hAnsi="Times New Roman" w:cs="Times New Roman" w:eastAsia="Times New Roman" w:hint="default"/>
        </w:rPr>
        <w:t>26559</w:t>
      </w:r>
      <w:r>
        <w:rPr/>
        <w:t>号民事判决；</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36" w:lineRule="auto" w:before="44"/>
        <w:ind w:left="561" w:right="5109"/>
        <w:jc w:val="left"/>
      </w:pPr>
      <w:r>
        <w:rPr/>
        <w:t>二、本案发回深圳市宝安区人民法院重审。 上诉人翼丰盛公司预交的二审诉讼费人民币</w:t>
      </w:r>
      <w:r>
        <w:rPr>
          <w:rFonts w:ascii="Times New Roman" w:hAnsi="Times New Roman" w:cs="Times New Roman" w:eastAsia="Times New Roman" w:hint="default"/>
        </w:rPr>
        <w:t>13,698.00</w:t>
      </w:r>
      <w:r>
        <w:rPr/>
        <w:t>元予以退回。</w:t>
      </w:r>
    </w:p>
    <w:p>
      <w:pPr>
        <w:pStyle w:val="BodyText"/>
        <w:spacing w:line="276" w:lineRule="auto" w:before="106"/>
        <w:ind w:right="1118" w:firstLine="420"/>
        <w:jc w:val="left"/>
      </w:pPr>
      <w:r>
        <w:rPr>
          <w:spacing w:val="-1"/>
        </w:rPr>
        <w:t>（</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w:t>
      </w:r>
      <w:r>
        <w:rPr>
          <w:spacing w:val="-1"/>
        </w:rPr>
        <w:t>日，翼丰盛公司已收到深圳市宝安区人民法院传票，一审重审于</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7</w:t>
      </w:r>
      <w:r>
        <w:rPr>
          <w:spacing w:val="-1"/>
        </w:rPr>
        <w:t>日开庭审理，截至本报</w:t>
      </w:r>
      <w:r>
        <w:rPr/>
        <w:t> 告批准报出日尚未作出判决。</w:t>
      </w:r>
    </w:p>
    <w:p>
      <w:pPr>
        <w:pStyle w:val="BodyText"/>
        <w:spacing w:line="304" w:lineRule="auto" w:before="67"/>
        <w:ind w:right="1066" w:firstLine="420"/>
        <w:jc w:val="both"/>
      </w:pPr>
      <w:r>
        <w:rPr/>
        <w:t>（</w:t>
      </w:r>
      <w:r>
        <w:rPr>
          <w:rFonts w:ascii="Times New Roman" w:hAnsi="Times New Roman" w:cs="Times New Roman" w:eastAsia="Times New Roman" w:hint="default"/>
        </w:rPr>
        <w:t>4</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日，翼丰盛公司已在账面确认上述相关代垫代付款项</w:t>
      </w:r>
      <w:r>
        <w:rPr>
          <w:rFonts w:ascii="Times New Roman" w:hAnsi="Times New Roman" w:cs="Times New Roman" w:eastAsia="Times New Roman" w:hint="default"/>
        </w:rPr>
        <w:t>967,755.22</w:t>
      </w:r>
      <w:r>
        <w:rPr/>
        <w:t>元及逾期违约金</w:t>
      </w:r>
      <w:r>
        <w:rPr>
          <w:rFonts w:ascii="Times New Roman" w:hAnsi="Times New Roman" w:cs="Times New Roman" w:eastAsia="Times New Roman" w:hint="default"/>
        </w:rPr>
        <w:t>270,971.46</w:t>
      </w:r>
      <w:r>
        <w:rPr/>
        <w:t>元、 律师及保全费</w:t>
      </w:r>
      <w:r>
        <w:rPr>
          <w:rFonts w:ascii="Times New Roman" w:hAnsi="Times New Roman" w:cs="Times New Roman" w:eastAsia="Times New Roman" w:hint="default"/>
        </w:rPr>
        <w:t>22,000.00</w:t>
      </w:r>
      <w:r>
        <w:rPr/>
        <w:t>元。</w:t>
      </w:r>
    </w:p>
    <w:p>
      <w:pPr>
        <w:spacing w:line="240" w:lineRule="auto" w:before="0"/>
        <w:rPr>
          <w:rFonts w:ascii="宋体" w:hAnsi="宋体" w:cs="宋体" w:eastAsia="宋体" w:hint="default"/>
          <w:sz w:val="25"/>
          <w:szCs w:val="25"/>
        </w:rPr>
      </w:pPr>
    </w:p>
    <w:p>
      <w:pPr>
        <w:pStyle w:val="BodyText"/>
        <w:spacing w:line="300" w:lineRule="auto"/>
        <w:ind w:right="0" w:firstLine="420"/>
        <w:jc w:val="left"/>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日，深圳丰盛真空技术有限公司（以下简称</w:t>
      </w:r>
      <w:r>
        <w:rPr>
          <w:rFonts w:ascii="Times New Roman" w:hAnsi="Times New Roman" w:cs="Times New Roman" w:eastAsia="Times New Roman" w:hint="default"/>
        </w:rPr>
        <w:t>“</w:t>
      </w:r>
      <w:r>
        <w:rPr/>
        <w:t>丰盛真空公司</w:t>
      </w:r>
      <w:r>
        <w:rPr>
          <w:rFonts w:ascii="Times New Roman" w:hAnsi="Times New Roman" w:cs="Times New Roman" w:eastAsia="Times New Roman" w:hint="default"/>
        </w:rPr>
        <w:t>”</w:t>
      </w:r>
      <w:r>
        <w:rPr/>
        <w:t>）向深圳市宝安区人民法院起诉本公司 下属孙公司深圳市翼丰盛科技有限公司（以下简称</w:t>
      </w:r>
      <w:r>
        <w:rPr>
          <w:rFonts w:ascii="Times New Roman" w:hAnsi="Times New Roman" w:cs="Times New Roman" w:eastAsia="Times New Roman" w:hint="default"/>
        </w:rPr>
        <w:t>“</w:t>
      </w:r>
      <w:r>
        <w:rPr/>
        <w:t>翼丰盛公司</w:t>
      </w:r>
      <w:r>
        <w:rPr>
          <w:rFonts w:ascii="Times New Roman" w:hAnsi="Times New Roman" w:cs="Times New Roman" w:eastAsia="Times New Roman" w:hint="default"/>
        </w:rPr>
        <w:t>”</w:t>
      </w:r>
      <w:r>
        <w:rPr/>
        <w:t>），本公司及下属子公司深圳市卓大精密模具有限公司（以 下简称</w:t>
      </w:r>
      <w:r>
        <w:rPr>
          <w:rFonts w:ascii="Times New Roman" w:hAnsi="Times New Roman" w:cs="Times New Roman" w:eastAsia="Times New Roman" w:hint="default"/>
        </w:rPr>
        <w:t>“</w:t>
      </w:r>
      <w:r>
        <w:rPr/>
        <w:t>卓大公司</w:t>
      </w:r>
      <w:r>
        <w:rPr>
          <w:rFonts w:ascii="Times New Roman" w:hAnsi="Times New Roman" w:cs="Times New Roman" w:eastAsia="Times New Roman" w:hint="default"/>
        </w:rPr>
        <w:t>”</w:t>
      </w:r>
      <w:r>
        <w:rPr/>
        <w:t>）等相关关系人作为共同被告人，深圳市丰盛真空技术有限公司控告翼丰盛公司未按照双方签订的《设备 分期付款购买合同》约定向其支付约定款项。要求</w:t>
      </w:r>
      <w:r>
        <w:rPr>
          <w:rFonts w:ascii="Times New Roman" w:hAnsi="Times New Roman" w:cs="Times New Roman" w:eastAsia="Times New Roman" w:hint="default"/>
        </w:rPr>
        <w:t>:1</w:t>
      </w:r>
      <w:r>
        <w:rPr/>
        <w:t>、翼丰盛公司支付相关设备款</w:t>
      </w:r>
      <w:r>
        <w:rPr>
          <w:rFonts w:ascii="Times New Roman" w:hAnsi="Times New Roman" w:cs="Times New Roman" w:eastAsia="Times New Roman" w:hint="default"/>
        </w:rPr>
        <w:t>6,000,000.00</w:t>
      </w:r>
      <w:r>
        <w:rPr/>
        <w:t>元及利息（暂计算至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41"/>
        </w:rPr>
        <w:t> </w:t>
      </w:r>
      <w:r>
        <w:rPr>
          <w:spacing w:val="-2"/>
        </w:rPr>
        <w:t>月</w:t>
      </w:r>
      <w:r>
        <w:rPr>
          <w:rFonts w:ascii="Times New Roman" w:hAnsi="Times New Roman" w:cs="Times New Roman" w:eastAsia="Times New Roman" w:hint="default"/>
          <w:spacing w:val="-2"/>
        </w:rPr>
        <w:t>10</w:t>
      </w:r>
      <w:r>
        <w:rPr>
          <w:spacing w:val="-2"/>
        </w:rPr>
        <w:t>日为</w:t>
      </w:r>
      <w:r>
        <w:rPr>
          <w:rFonts w:ascii="Times New Roman" w:hAnsi="Times New Roman" w:cs="Times New Roman" w:eastAsia="Times New Roman" w:hint="default"/>
          <w:spacing w:val="-2"/>
        </w:rPr>
        <w:t>86,880.81</w:t>
      </w:r>
      <w:r>
        <w:rPr>
          <w:spacing w:val="-2"/>
        </w:rPr>
        <w:t>元）；</w:t>
      </w:r>
      <w:r>
        <w:rPr>
          <w:rFonts w:ascii="Times New Roman" w:hAnsi="Times New Roman" w:cs="Times New Roman" w:eastAsia="Times New Roman" w:hint="default"/>
          <w:spacing w:val="-2"/>
        </w:rPr>
        <w:t>2</w:t>
      </w:r>
      <w:r>
        <w:rPr>
          <w:spacing w:val="-2"/>
        </w:rPr>
        <w:t>、翼丰盛公司支付丰盛真空公司诉讼保全担保费用</w:t>
      </w:r>
      <w:r>
        <w:rPr>
          <w:rFonts w:ascii="Times New Roman" w:hAnsi="Times New Roman" w:cs="Times New Roman" w:eastAsia="Times New Roman" w:hint="default"/>
          <w:spacing w:val="-2"/>
        </w:rPr>
        <w:t>12,000.00</w:t>
      </w:r>
      <w:r>
        <w:rPr>
          <w:spacing w:val="-2"/>
        </w:rPr>
        <w:t>元；</w:t>
      </w:r>
      <w:r>
        <w:rPr>
          <w:rFonts w:ascii="Times New Roman" w:hAnsi="Times New Roman" w:cs="Times New Roman" w:eastAsia="Times New Roman" w:hint="default"/>
          <w:spacing w:val="-2"/>
        </w:rPr>
        <w:t>3</w:t>
      </w:r>
      <w:r>
        <w:rPr>
          <w:spacing w:val="-2"/>
        </w:rPr>
        <w:t>、卓大公司在未出资范围内就翼</w:t>
      </w:r>
      <w:r>
        <w:rPr>
          <w:spacing w:val="-28"/>
        </w:rPr>
        <w:t> </w:t>
      </w:r>
      <w:r>
        <w:rPr>
          <w:spacing w:val="-28"/>
        </w:rPr>
      </w:r>
      <w:r>
        <w:rPr>
          <w:spacing w:val="-2"/>
        </w:rPr>
        <w:t>丰盛公司对丰盛真空公司的债务不能清偿的部份承担补充赔偿责任；</w:t>
      </w:r>
      <w:r>
        <w:rPr>
          <w:rFonts w:ascii="Times New Roman" w:hAnsi="Times New Roman" w:cs="Times New Roman" w:eastAsia="Times New Roman" w:hint="default"/>
          <w:spacing w:val="-2"/>
        </w:rPr>
        <w:t>4</w:t>
      </w:r>
      <w:r>
        <w:rPr>
          <w:spacing w:val="-2"/>
        </w:rPr>
        <w:t>、本公司对卓大公司应承担的上述债务承担连带责任；</w:t>
      </w:r>
      <w:r>
        <w:rPr>
          <w:spacing w:val="-59"/>
        </w:rPr>
        <w:t> </w:t>
      </w:r>
      <w:r>
        <w:rPr>
          <w:spacing w:val="-59"/>
        </w:rPr>
      </w:r>
      <w:r>
        <w:rPr>
          <w:rFonts w:ascii="Times New Roman" w:hAnsi="Times New Roman" w:cs="Times New Roman" w:eastAsia="Times New Roman" w:hint="default"/>
        </w:rPr>
        <w:t>4</w:t>
      </w:r>
      <w:r>
        <w:rPr/>
        <w:t>、翼丰盛公司另一股东深圳市百汇富管理企业（普通合伙）（以下简称</w:t>
      </w:r>
      <w:r>
        <w:rPr>
          <w:rFonts w:ascii="Times New Roman" w:hAnsi="Times New Roman" w:cs="Times New Roman" w:eastAsia="Times New Roman" w:hint="default"/>
        </w:rPr>
        <w:t>“</w:t>
      </w:r>
      <w:r>
        <w:rPr/>
        <w:t>百汇富企业</w:t>
      </w:r>
      <w:r>
        <w:rPr>
          <w:rFonts w:ascii="Times New Roman" w:hAnsi="Times New Roman" w:cs="Times New Roman" w:eastAsia="Times New Roman" w:hint="default"/>
        </w:rPr>
        <w:t>”</w:t>
      </w:r>
      <w:r>
        <w:rPr/>
        <w:t>）在未出资的范围内（百汇富企业应</w:t>
      </w:r>
      <w:r>
        <w:rPr>
          <w:spacing w:val="-78"/>
        </w:rPr>
        <w:t> </w:t>
      </w:r>
      <w:r>
        <w:rPr/>
        <w:t>出资人民币</w:t>
      </w:r>
      <w:r>
        <w:rPr>
          <w:rFonts w:ascii="Times New Roman" w:hAnsi="Times New Roman" w:cs="Times New Roman" w:eastAsia="Times New Roman" w:hint="default"/>
        </w:rPr>
        <w:t>9,800,000.00</w:t>
      </w:r>
      <w:r>
        <w:rPr/>
        <w:t>元）对翼丰盛公司不能清偿的部份承担补充赔偿责任；</w:t>
      </w:r>
      <w:r>
        <w:rPr>
          <w:rFonts w:ascii="Times New Roman" w:hAnsi="Times New Roman" w:cs="Times New Roman" w:eastAsia="Times New Roman" w:hint="default"/>
        </w:rPr>
        <w:t>6</w:t>
      </w:r>
      <w:r>
        <w:rPr/>
        <w:t>、百汇富企业普通合伙人张容、杨义华对百 汇富企业应承担的上述债务承担无限连带责任；</w:t>
      </w:r>
      <w:r>
        <w:rPr>
          <w:rFonts w:ascii="Times New Roman" w:hAnsi="Times New Roman" w:cs="Times New Roman" w:eastAsia="Times New Roman" w:hint="default"/>
        </w:rPr>
        <w:t>7</w:t>
      </w:r>
      <w:r>
        <w:rPr/>
        <w:t>、本案全部诉讼费用、保全费用等均由六被告承担，以上各项金额共计：</w:t>
      </w:r>
      <w:r>
        <w:rPr>
          <w:spacing w:val="-86"/>
        </w:rPr>
        <w:t> </w:t>
      </w:r>
      <w:r>
        <w:rPr>
          <w:rFonts w:ascii="Times New Roman" w:hAnsi="Times New Roman" w:cs="Times New Roman" w:eastAsia="Times New Roman" w:hint="default"/>
        </w:rPr>
        <w:t>6,098,880.81</w:t>
      </w:r>
      <w:r>
        <w:rPr/>
        <w:t>元。</w:t>
      </w:r>
    </w:p>
    <w:p>
      <w:pPr>
        <w:pStyle w:val="BodyText"/>
        <w:spacing w:line="276" w:lineRule="auto" w:before="16"/>
        <w:ind w:right="0"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日，翼丰盛公司向深圳市宝安区人民法院提起民事反诉，请求：一、原告严重违反合同约定，翼丰盛公司 </w:t>
      </w:r>
      <w:r>
        <w:rPr>
          <w:spacing w:val="-3"/>
        </w:rPr>
        <w:t>已解除合同，请求法院判令解除《设备分期付款购买合同》，涉案机器设备直接由反诉被告（深圳市丰盛真空技术有限公司）</w:t>
      </w:r>
    </w:p>
    <w:p>
      <w:pPr>
        <w:pStyle w:val="BodyText"/>
        <w:spacing w:line="302" w:lineRule="auto" w:before="68"/>
        <w:ind w:right="1096"/>
        <w:jc w:val="both"/>
      </w:pPr>
      <w:r>
        <w:rPr/>
        <w:t>自行处理；</w:t>
      </w:r>
      <w:r>
        <w:rPr>
          <w:rFonts w:ascii="Times New Roman" w:hAnsi="Times New Roman" w:cs="Times New Roman" w:eastAsia="Times New Roman" w:hint="default"/>
        </w:rPr>
        <w:t>2</w:t>
      </w:r>
      <w:r>
        <w:rPr/>
        <w:t>、判令反诉被告向反诉原告返还已经支付的款项人民币</w:t>
      </w:r>
      <w:r>
        <w:rPr>
          <w:rFonts w:ascii="Times New Roman" w:hAnsi="Times New Roman" w:cs="Times New Roman" w:eastAsia="Times New Roman" w:hint="default"/>
        </w:rPr>
        <w:t>150</w:t>
      </w:r>
      <w:r>
        <w:rPr/>
        <w:t>万元及利息（以人民币</w:t>
      </w:r>
      <w:r>
        <w:rPr>
          <w:rFonts w:ascii="Times New Roman" w:hAnsi="Times New Roman" w:cs="Times New Roman" w:eastAsia="Times New Roman" w:hint="default"/>
        </w:rPr>
        <w:t>150</w:t>
      </w:r>
      <w:r>
        <w:rPr/>
        <w:t>万为基数，按照中国人民</w:t>
      </w:r>
      <w:r>
        <w:rPr>
          <w:spacing w:val="-83"/>
        </w:rPr>
        <w:t> </w:t>
      </w:r>
      <w:r>
        <w:rPr>
          <w:spacing w:val="-1"/>
        </w:rPr>
        <w:t>银行规定的同期贷款利率计算利息，从反诉之日起直至判决给付之日止）；</w:t>
      </w:r>
      <w:r>
        <w:rPr>
          <w:rFonts w:ascii="Times New Roman" w:hAnsi="Times New Roman" w:cs="Times New Roman" w:eastAsia="Times New Roman" w:hint="default"/>
          <w:spacing w:val="-1"/>
        </w:rPr>
        <w:t>3</w:t>
      </w:r>
      <w:r>
        <w:rPr>
          <w:spacing w:val="-1"/>
        </w:rPr>
        <w:t>、判令反诉被告向反诉原告承担损失人民币</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39"/>
        </w:rPr>
        <w:t> </w:t>
      </w:r>
      <w:r>
        <w:rPr/>
        <w:t>万元；</w:t>
      </w:r>
      <w:r>
        <w:rPr>
          <w:rFonts w:ascii="Times New Roman" w:hAnsi="Times New Roman" w:cs="Times New Roman" w:eastAsia="Times New Roman" w:hint="default"/>
        </w:rPr>
        <w:t>4</w:t>
      </w:r>
      <w:r>
        <w:rPr/>
        <w:t>、本案反讼费用由反诉被告承担。</w:t>
      </w:r>
    </w:p>
    <w:p>
      <w:pPr>
        <w:pStyle w:val="BodyText"/>
        <w:spacing w:line="297" w:lineRule="auto" w:before="14"/>
        <w:ind w:left="561" w:right="1112"/>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日，深圳市宝安区人民法院（</w:t>
      </w:r>
      <w:r>
        <w:rPr>
          <w:rFonts w:ascii="Times New Roman" w:hAnsi="Times New Roman" w:cs="Times New Roman" w:eastAsia="Times New Roman" w:hint="default"/>
        </w:rPr>
        <w:t>2018</w:t>
      </w:r>
      <w:r>
        <w:rPr/>
        <w:t>）粤</w:t>
      </w:r>
      <w:r>
        <w:rPr>
          <w:rFonts w:ascii="Times New Roman" w:hAnsi="Times New Roman" w:cs="Times New Roman" w:eastAsia="Times New Roman" w:hint="default"/>
        </w:rPr>
        <w:t>0306</w:t>
      </w:r>
      <w:r>
        <w:rPr/>
        <w:t>民初</w:t>
      </w:r>
      <w:r>
        <w:rPr>
          <w:rFonts w:ascii="Times New Roman" w:hAnsi="Times New Roman" w:cs="Times New Roman" w:eastAsia="Times New Roman" w:hint="default"/>
        </w:rPr>
        <w:t>18802</w:t>
      </w:r>
      <w:r>
        <w:rPr/>
        <w:t>号民事判决书做出判决如下： 一、翼丰盛公司于本判决生效之日起五日内向丰盛真空公司支付设备款</w:t>
      </w:r>
      <w:r>
        <w:rPr>
          <w:rFonts w:ascii="Times New Roman" w:hAnsi="Times New Roman" w:cs="Times New Roman" w:eastAsia="Times New Roman" w:hint="default"/>
        </w:rPr>
        <w:t>600</w:t>
      </w:r>
      <w:r>
        <w:rPr/>
        <w:t>万元；</w:t>
      </w:r>
      <w:r>
        <w:rPr>
          <w:spacing w:val="-83"/>
        </w:rPr>
        <w:t> </w:t>
      </w:r>
      <w:r>
        <w:rPr>
          <w:spacing w:val="-1"/>
        </w:rPr>
        <w:t>二、翼丰盛公司于本判决生效之日起五日内向丰盛真空公司支付利息（以</w:t>
      </w:r>
      <w:r>
        <w:rPr>
          <w:rFonts w:ascii="Times New Roman" w:hAnsi="Times New Roman" w:cs="Times New Roman" w:eastAsia="Times New Roman" w:hint="default"/>
          <w:spacing w:val="-1"/>
        </w:rPr>
        <w:t>600</w:t>
      </w:r>
      <w:r>
        <w:rPr>
          <w:spacing w:val="-1"/>
        </w:rPr>
        <w:t>万元为基数，按照中国人民银行同期同类</w:t>
      </w:r>
    </w:p>
    <w:p>
      <w:pPr>
        <w:pStyle w:val="BodyText"/>
        <w:spacing w:line="304" w:lineRule="auto" w:before="18"/>
        <w:ind w:left="561" w:right="5740" w:hanging="421"/>
        <w:jc w:val="left"/>
      </w:pPr>
      <w:r>
        <w:rPr/>
        <w:t>贷款利率的</w:t>
      </w:r>
      <w:r>
        <w:rPr>
          <w:rFonts w:ascii="Times New Roman" w:hAnsi="Times New Roman" w:cs="Times New Roman" w:eastAsia="Times New Roman" w:hint="default"/>
        </w:rPr>
        <w:t>130%</w:t>
      </w:r>
      <w:r>
        <w:rPr/>
        <w:t>为标准，从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14</w:t>
      </w:r>
      <w:r>
        <w:rPr/>
        <w:t>日计至清偿之日止）； 三、驳回丰盛真空公司的其他诉讼请求； 四、驳回翼丰盛公司的全部反诉请求。</w:t>
      </w:r>
    </w:p>
    <w:p>
      <w:pPr>
        <w:pStyle w:val="BodyText"/>
        <w:spacing w:line="336" w:lineRule="auto" w:before="16"/>
        <w:ind w:left="561" w:right="1149"/>
        <w:jc w:val="left"/>
      </w:pPr>
      <w:r>
        <w:rPr/>
        <w:t>如果未按照本判决指定的期限履行金钱给付义务，则应按《民事诉讼法》规定，加倍支付迟延履行期间的债务利息。 本案本诉受理费</w:t>
      </w:r>
      <w:r>
        <w:rPr>
          <w:rFonts w:ascii="Times New Roman" w:hAnsi="Times New Roman" w:cs="Times New Roman" w:eastAsia="Times New Roman" w:hint="default"/>
        </w:rPr>
        <w:t>54,492.16</w:t>
      </w:r>
      <w:r>
        <w:rPr/>
        <w:t>元，保全费</w:t>
      </w:r>
      <w:r>
        <w:rPr>
          <w:rFonts w:ascii="Times New Roman" w:hAnsi="Times New Roman" w:cs="Times New Roman" w:eastAsia="Times New Roman" w:hint="default"/>
        </w:rPr>
        <w:t>5,000.00</w:t>
      </w:r>
      <w:r>
        <w:rPr/>
        <w:t>元，由翼丰盛公司承担。反诉受理费</w:t>
      </w:r>
      <w:r>
        <w:rPr>
          <w:rFonts w:ascii="Times New Roman" w:hAnsi="Times New Roman" w:cs="Times New Roman" w:eastAsia="Times New Roman" w:hint="default"/>
        </w:rPr>
        <w:t>13,400.00</w:t>
      </w:r>
      <w:r>
        <w:rPr/>
        <w:t>元，由翼丰盛公司承担。</w:t>
      </w:r>
    </w:p>
    <w:p>
      <w:pPr>
        <w:pStyle w:val="BodyText"/>
        <w:spacing w:line="240" w:lineRule="auto" w:before="106"/>
        <w:ind w:left="561"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日，深圳市宝安区人民法院（</w:t>
      </w:r>
      <w:r>
        <w:rPr>
          <w:rFonts w:ascii="Times New Roman" w:hAnsi="Times New Roman" w:cs="Times New Roman" w:eastAsia="Times New Roman" w:hint="default"/>
        </w:rPr>
        <w:t>2018</w:t>
      </w:r>
      <w:r>
        <w:rPr/>
        <w:t>）粤</w:t>
      </w:r>
      <w:r>
        <w:rPr>
          <w:rFonts w:ascii="Times New Roman" w:hAnsi="Times New Roman" w:cs="Times New Roman" w:eastAsia="Times New Roman" w:hint="default"/>
        </w:rPr>
        <w:t>0306</w:t>
      </w:r>
      <w:r>
        <w:rPr/>
        <w:t>民初</w:t>
      </w:r>
      <w:r>
        <w:rPr>
          <w:rFonts w:ascii="Times New Roman" w:hAnsi="Times New Roman" w:cs="Times New Roman" w:eastAsia="Times New Roman" w:hint="default"/>
        </w:rPr>
        <w:t>18802</w:t>
      </w:r>
      <w:r>
        <w:rPr/>
        <w:t>号之一民事裁定书作出裁定如下：</w:t>
      </w:r>
    </w:p>
    <w:p>
      <w:pPr>
        <w:spacing w:line="240" w:lineRule="auto" w:before="3"/>
        <w:rPr>
          <w:rFonts w:ascii="宋体" w:hAnsi="宋体" w:cs="宋体" w:eastAsia="宋体" w:hint="default"/>
          <w:sz w:val="14"/>
          <w:szCs w:val="14"/>
        </w:rPr>
      </w:pPr>
    </w:p>
    <w:p>
      <w:pPr>
        <w:pStyle w:val="BodyText"/>
        <w:spacing w:line="288" w:lineRule="auto"/>
        <w:ind w:right="1118" w:firstLine="420"/>
        <w:jc w:val="left"/>
      </w:pPr>
      <w:r>
        <w:rPr>
          <w:spacing w:val="-2"/>
        </w:rPr>
        <w:t>继续冻结翼丰盛公司、卓大公司、卓翼科技、百汇富企业、张容、杨义华价值人民币</w:t>
      </w:r>
      <w:r>
        <w:rPr>
          <w:rFonts w:ascii="Times New Roman" w:hAnsi="Times New Roman" w:cs="Times New Roman" w:eastAsia="Times New Roman" w:hint="default"/>
          <w:spacing w:val="-2"/>
        </w:rPr>
        <w:t>600</w:t>
      </w:r>
      <w:r>
        <w:rPr>
          <w:spacing w:val="-2"/>
        </w:rPr>
        <w:t>万元的财产。本裁定书送达后</w:t>
      </w:r>
      <w:r>
        <w:rPr/>
        <w:t> 立即执行。</w:t>
      </w:r>
    </w:p>
    <w:p>
      <w:pPr>
        <w:spacing w:line="240" w:lineRule="auto" w:before="7"/>
        <w:rPr>
          <w:rFonts w:ascii="宋体" w:hAnsi="宋体" w:cs="宋体" w:eastAsia="宋体" w:hint="default"/>
          <w:sz w:val="12"/>
          <w:szCs w:val="12"/>
        </w:rPr>
      </w:pPr>
    </w:p>
    <w:p>
      <w:pPr>
        <w:pStyle w:val="BodyText"/>
        <w:spacing w:line="297" w:lineRule="auto"/>
        <w:ind w:right="1137" w:firstLine="420"/>
        <w:jc w:val="both"/>
      </w:pPr>
      <w:r>
        <w:rPr>
          <w:spacing w:val="-2"/>
        </w:rPr>
        <w:t>（</w:t>
      </w:r>
      <w:r>
        <w:rPr>
          <w:rFonts w:ascii="Times New Roman" w:hAnsi="Times New Roman" w:cs="Times New Roman" w:eastAsia="Times New Roman" w:hint="default"/>
          <w:spacing w:val="-2"/>
        </w:rPr>
        <w:t>3</w:t>
      </w:r>
      <w:r>
        <w:rPr>
          <w:spacing w:val="-2"/>
        </w:rPr>
        <w:t>）翼丰盛公司向深圳市宝安区人民法院提出上诉请求：一、撤销深圳市宝安区人民法院作出的（</w:t>
      </w:r>
      <w:r>
        <w:rPr>
          <w:rFonts w:ascii="Times New Roman" w:hAnsi="Times New Roman" w:cs="Times New Roman" w:eastAsia="Times New Roman" w:hint="default"/>
          <w:spacing w:val="-2"/>
        </w:rPr>
        <w:t>2018</w:t>
      </w:r>
      <w:r>
        <w:rPr>
          <w:spacing w:val="-2"/>
        </w:rPr>
        <w:t>）粤</w:t>
      </w:r>
      <w:r>
        <w:rPr>
          <w:rFonts w:ascii="Times New Roman" w:hAnsi="Times New Roman" w:cs="Times New Roman" w:eastAsia="Times New Roman" w:hint="default"/>
          <w:spacing w:val="-2"/>
        </w:rPr>
        <w:t>0306</w:t>
      </w:r>
      <w:r>
        <w:rPr>
          <w:spacing w:val="-2"/>
        </w:rPr>
        <w:t>民初</w:t>
      </w:r>
      <w:r>
        <w:rPr/>
        <w:t> </w:t>
      </w:r>
      <w:r>
        <w:rPr>
          <w:rFonts w:ascii="Times New Roman" w:hAnsi="Times New Roman" w:cs="Times New Roman" w:eastAsia="Times New Roman" w:hint="default"/>
        </w:rPr>
        <w:t>18802</w:t>
      </w:r>
      <w:r>
        <w:rPr/>
        <w:t>号民事判决第一二、四项；二、改判驳回丰盛真空公司全部一审诉讼请求；三、改判支持翼丰盛公司全部一审反诉诉 讼请求；四、改判由丰盛真空公司承担全部案件费用。</w:t>
      </w:r>
    </w:p>
    <w:p>
      <w:pPr>
        <w:spacing w:line="240" w:lineRule="auto" w:before="2"/>
        <w:rPr>
          <w:rFonts w:ascii="宋体" w:hAnsi="宋体" w:cs="宋体" w:eastAsia="宋体" w:hint="default"/>
          <w:sz w:val="13"/>
          <w:szCs w:val="13"/>
        </w:rPr>
      </w:pPr>
    </w:p>
    <w:p>
      <w:pPr>
        <w:pStyle w:val="BodyText"/>
        <w:spacing w:line="302" w:lineRule="auto"/>
        <w:ind w:right="1112" w:firstLine="420"/>
        <w:jc w:val="both"/>
      </w:pPr>
      <w:r>
        <w:rPr/>
        <w:t>（</w:t>
      </w:r>
      <w:r>
        <w:rPr>
          <w:rFonts w:ascii="Times New Roman" w:hAnsi="Times New Roman" w:cs="Times New Roman" w:eastAsia="Times New Roman" w:hint="default"/>
        </w:rPr>
        <w:t>4</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日，翼丰盛公司已在账面确认上述相关设备款项</w:t>
      </w:r>
      <w:r>
        <w:rPr>
          <w:rFonts w:ascii="Times New Roman" w:hAnsi="Times New Roman" w:cs="Times New Roman" w:eastAsia="Times New Roman" w:hint="default"/>
        </w:rPr>
        <w:t>7,500,000.00</w:t>
      </w:r>
      <w:r>
        <w:rPr/>
        <w:t>元及利息</w:t>
      </w:r>
      <w:r>
        <w:rPr>
          <w:rFonts w:ascii="Times New Roman" w:hAnsi="Times New Roman" w:cs="Times New Roman" w:eastAsia="Times New Roman" w:hint="default"/>
        </w:rPr>
        <w:t>468,512.88</w:t>
      </w:r>
      <w:r>
        <w:rPr/>
        <w:t>元、案件受理 费等其他相关费用</w:t>
      </w:r>
      <w:r>
        <w:rPr>
          <w:rFonts w:ascii="Times New Roman" w:hAnsi="Times New Roman" w:cs="Times New Roman" w:eastAsia="Times New Roman" w:hint="default"/>
        </w:rPr>
        <w:t>72,892.16</w:t>
      </w:r>
      <w:r>
        <w:rPr/>
        <w:t>元。</w:t>
      </w:r>
    </w:p>
    <w:p>
      <w:pPr>
        <w:pStyle w:val="BodyText"/>
        <w:spacing w:line="297" w:lineRule="auto"/>
        <w:ind w:right="1112" w:firstLine="360"/>
        <w:jc w:val="both"/>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日，深圳市中级人民法院（</w:t>
      </w:r>
      <w:r>
        <w:rPr>
          <w:rFonts w:ascii="Times New Roman" w:hAnsi="Times New Roman" w:cs="Times New Roman" w:eastAsia="Times New Roman" w:hint="default"/>
        </w:rPr>
        <w:t>2019</w:t>
      </w:r>
      <w:r>
        <w:rPr/>
        <w:t>）粤</w:t>
      </w:r>
      <w:r>
        <w:rPr>
          <w:rFonts w:ascii="Times New Roman" w:hAnsi="Times New Roman" w:cs="Times New Roman" w:eastAsia="Times New Roman" w:hint="default"/>
        </w:rPr>
        <w:t>03</w:t>
      </w:r>
      <w:r>
        <w:rPr/>
        <w:t>民终</w:t>
      </w:r>
      <w:r>
        <w:rPr>
          <w:rFonts w:ascii="Times New Roman" w:hAnsi="Times New Roman" w:cs="Times New Roman" w:eastAsia="Times New Roman" w:hint="default"/>
        </w:rPr>
        <w:t>28415</w:t>
      </w:r>
      <w:r>
        <w:rPr/>
        <w:t>号就翼丰盛公司与丰盛真空公司的买卖合同纠纷一 </w:t>
      </w:r>
      <w:r>
        <w:rPr>
          <w:spacing w:val="-2"/>
        </w:rPr>
        <w:t>审判决上诉请求，作出终审判决如下：驳回上诉，维持原判。本案二审案件受理费</w:t>
      </w:r>
      <w:r>
        <w:rPr>
          <w:rFonts w:ascii="Times New Roman" w:hAnsi="Times New Roman" w:cs="Times New Roman" w:eastAsia="Times New Roman" w:hint="default"/>
          <w:spacing w:val="-2"/>
        </w:rPr>
        <w:t>26,800.00</w:t>
      </w:r>
      <w:r>
        <w:rPr>
          <w:spacing w:val="-2"/>
        </w:rPr>
        <w:t>元，由上诉人深圳市翼丰盛科技</w:t>
      </w:r>
      <w:r>
        <w:rPr>
          <w:spacing w:val="-40"/>
        </w:rPr>
        <w:t> </w:t>
      </w:r>
      <w:r>
        <w:rPr>
          <w:spacing w:val="-40"/>
        </w:rPr>
      </w:r>
      <w:r>
        <w:rPr/>
        <w:t>有限公司负担。</w:t>
      </w:r>
    </w:p>
    <w:p>
      <w:pPr>
        <w:spacing w:after="0" w:line="297" w:lineRule="auto"/>
        <w:jc w:val="both"/>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00" w:lineRule="auto" w:before="44"/>
        <w:ind w:right="1098" w:firstLine="420"/>
        <w:jc w:val="both"/>
      </w:pPr>
      <w:r>
        <w:rPr>
          <w:spacing w:val="-1"/>
        </w:rPr>
        <w:t>注</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5</w:t>
      </w:r>
      <w:r>
        <w:rPr>
          <w:spacing w:val="-1"/>
        </w:rPr>
        <w:t>日，深圳市卓翼科技股份有限公司（以下简称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）向深圳国际仲裁院提交仲裁申请，请求裁决</w:t>
      </w:r>
      <w:r>
        <w:rPr/>
        <w:t> </w:t>
      </w:r>
      <w:r>
        <w:rPr>
          <w:spacing w:val="-1"/>
        </w:rPr>
        <w:t>深圳市中兴康讯电子有限公司（以下简称</w:t>
      </w:r>
      <w:r>
        <w:rPr>
          <w:rFonts w:ascii="Times New Roman" w:hAnsi="Times New Roman" w:cs="Times New Roman" w:eastAsia="Times New Roman" w:hint="default"/>
          <w:spacing w:val="-1"/>
        </w:rPr>
        <w:t>“</w:t>
      </w:r>
      <w:r>
        <w:rPr>
          <w:spacing w:val="-1"/>
        </w:rPr>
        <w:t>中兴康讯</w:t>
      </w:r>
      <w:r>
        <w:rPr>
          <w:rFonts w:ascii="Times New Roman" w:hAnsi="Times New Roman" w:cs="Times New Roman" w:eastAsia="Times New Roman" w:hint="default"/>
          <w:spacing w:val="-1"/>
        </w:rPr>
        <w:t>”</w:t>
      </w:r>
      <w:r>
        <w:rPr>
          <w:spacing w:val="-1"/>
        </w:rPr>
        <w:t>）支付</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月期间，其向本公司采购货物及服务的欠</w:t>
      </w:r>
      <w:r>
        <w:rPr>
          <w:spacing w:val="-65"/>
        </w:rPr>
        <w:t> </w:t>
      </w:r>
      <w:r>
        <w:rPr>
          <w:spacing w:val="-65"/>
        </w:rPr>
      </w:r>
      <w:r>
        <w:rPr/>
        <w:t>款</w:t>
      </w:r>
      <w:r>
        <w:rPr>
          <w:rFonts w:ascii="Times New Roman" w:hAnsi="Times New Roman" w:cs="Times New Roman" w:eastAsia="Times New Roman" w:hint="default"/>
        </w:rPr>
        <w:t>1,706,752.24</w:t>
      </w:r>
      <w:r>
        <w:rPr/>
        <w:t>元，支付逾期付款利息</w:t>
      </w:r>
      <w:r>
        <w:rPr>
          <w:rFonts w:ascii="Times New Roman" w:hAnsi="Times New Roman" w:cs="Times New Roman" w:eastAsia="Times New Roman" w:hint="default"/>
        </w:rPr>
        <w:t>272,324.33</w:t>
      </w:r>
      <w:r>
        <w:rPr/>
        <w:t>元（利息按年利率</w:t>
      </w:r>
      <w:r>
        <w:rPr>
          <w:rFonts w:ascii="Times New Roman" w:hAnsi="Times New Roman" w:cs="Times New Roman" w:eastAsia="Times New Roman" w:hint="default"/>
        </w:rPr>
        <w:t>6%</w:t>
      </w:r>
      <w:r>
        <w:rPr/>
        <w:t>暂计至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日），补偿本公司因申请仲裁支付</w:t>
      </w:r>
      <w:r>
        <w:rPr>
          <w:spacing w:val="-84"/>
        </w:rPr>
        <w:t> </w:t>
      </w:r>
      <w:r>
        <w:rPr/>
        <w:t>的律师费</w:t>
      </w:r>
      <w:r>
        <w:rPr>
          <w:rFonts w:ascii="Times New Roman" w:hAnsi="Times New Roman" w:cs="Times New Roman" w:eastAsia="Times New Roman" w:hint="default"/>
        </w:rPr>
        <w:t>70,000.00</w:t>
      </w:r>
      <w:r>
        <w:rPr/>
        <w:t>元及本案仲裁费用、保全费用、财务保全担保费等费用，共计</w:t>
      </w:r>
      <w:r>
        <w:rPr>
          <w:rFonts w:ascii="Times New Roman" w:hAnsi="Times New Roman" w:cs="Times New Roman" w:eastAsia="Times New Roman" w:hint="default"/>
        </w:rPr>
        <w:t>2,049,076.57</w:t>
      </w:r>
      <w:r>
        <w:rPr/>
        <w:t>元。</w:t>
      </w:r>
    </w:p>
    <w:p>
      <w:pPr>
        <w:pStyle w:val="BodyText"/>
        <w:spacing w:line="240" w:lineRule="auto" w:before="16"/>
        <w:ind w:left="561" w:right="0"/>
        <w:jc w:val="left"/>
      </w:pPr>
      <w:r>
        <w:rPr/>
        <w:t>（</w:t>
      </w: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日，该案尚在审理中，公司已针对上述货物及服务的欠款计提坏账准备</w:t>
      </w:r>
      <w:r>
        <w:rPr>
          <w:rFonts w:ascii="Times New Roman" w:hAnsi="Times New Roman" w:cs="Times New Roman" w:eastAsia="Times New Roman" w:hint="default"/>
        </w:rPr>
        <w:t>1,552,298.33</w:t>
      </w:r>
      <w:r>
        <w:rPr/>
        <w:t>元。</w:t>
      </w:r>
    </w:p>
    <w:p>
      <w:pPr>
        <w:pStyle w:val="BodyText"/>
        <w:spacing w:line="300" w:lineRule="auto" w:before="66"/>
        <w:ind w:right="0" w:firstLine="42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日，深圳国际仲裁院（</w:t>
      </w:r>
      <w:r>
        <w:rPr>
          <w:rFonts w:ascii="Times New Roman" w:hAnsi="Times New Roman" w:cs="Times New Roman" w:eastAsia="Times New Roman" w:hint="default"/>
        </w:rPr>
        <w:t>2019</w:t>
      </w:r>
      <w:r>
        <w:rPr/>
        <w:t>）深国促裁</w:t>
      </w:r>
      <w:r>
        <w:rPr>
          <w:rFonts w:ascii="Times New Roman" w:hAnsi="Times New Roman" w:cs="Times New Roman" w:eastAsia="Times New Roman" w:hint="default"/>
        </w:rPr>
        <w:t>5623</w:t>
      </w:r>
      <w:r>
        <w:rPr/>
        <w:t>号就本公司对中兴康讯的买卖合同纠纷仲裁申请，作出 裁决如下：一、中兴康讯向本公司支付货物及服务价款</w:t>
      </w:r>
      <w:r>
        <w:rPr>
          <w:rFonts w:ascii="Times New Roman" w:hAnsi="Times New Roman" w:cs="Times New Roman" w:eastAsia="Times New Roman" w:hint="default"/>
        </w:rPr>
        <w:t>1,706,752.24</w:t>
      </w:r>
      <w:r>
        <w:rPr/>
        <w:t>元；二、中兴康讯向本公司支付逾期付款利息人民币</w:t>
      </w:r>
      <w:r>
        <w:rPr>
          <w:spacing w:val="-84"/>
        </w:rPr>
        <w:t> </w:t>
      </w:r>
      <w:r>
        <w:rPr>
          <w:rFonts w:ascii="Times New Roman" w:hAnsi="Times New Roman" w:cs="Times New Roman" w:eastAsia="Times New Roman" w:hint="default"/>
        </w:rPr>
        <w:t>245,923.63</w:t>
      </w:r>
      <w:r>
        <w:rPr/>
        <w:t>元（利息按年利率</w:t>
      </w:r>
      <w:r>
        <w:rPr>
          <w:rFonts w:ascii="Times New Roman" w:hAnsi="Times New Roman" w:cs="Times New Roman" w:eastAsia="Times New Roman" w:hint="default"/>
        </w:rPr>
        <w:t>5.4%</w:t>
      </w:r>
      <w:r>
        <w:rPr/>
        <w:t>暂计至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日，之后以人民币</w:t>
      </w:r>
      <w:r>
        <w:rPr>
          <w:rFonts w:ascii="Times New Roman" w:hAnsi="Times New Roman" w:cs="Times New Roman" w:eastAsia="Times New Roman" w:hint="default"/>
        </w:rPr>
        <w:t>1,706,752.24</w:t>
      </w:r>
      <w:r>
        <w:rPr/>
        <w:t>元为基数计至付清日止）；三、中兴康</w:t>
      </w:r>
      <w:r>
        <w:rPr>
          <w:spacing w:val="-86"/>
        </w:rPr>
        <w:t> </w:t>
      </w:r>
      <w:r>
        <w:rPr>
          <w:spacing w:val="-2"/>
        </w:rPr>
        <w:t>讯补偿本公司因申请仲裁支付的律师费人民币</w:t>
      </w:r>
      <w:r>
        <w:rPr>
          <w:rFonts w:ascii="Times New Roman" w:hAnsi="Times New Roman" w:cs="Times New Roman" w:eastAsia="Times New Roman" w:hint="default"/>
          <w:spacing w:val="-2"/>
        </w:rPr>
        <w:t>70,000.00</w:t>
      </w:r>
      <w:r>
        <w:rPr>
          <w:spacing w:val="-2"/>
        </w:rPr>
        <w:t>元；四、本案仲裁费用人民币</w:t>
      </w:r>
      <w:r>
        <w:rPr>
          <w:rFonts w:ascii="Times New Roman" w:hAnsi="Times New Roman" w:cs="Times New Roman" w:eastAsia="Times New Roman" w:hint="default"/>
          <w:spacing w:val="-2"/>
        </w:rPr>
        <w:t>50,540.00</w:t>
      </w:r>
      <w:r>
        <w:rPr>
          <w:spacing w:val="-2"/>
        </w:rPr>
        <w:t>元，由中兴康讯直接向本公司</w:t>
      </w:r>
      <w:r>
        <w:rPr>
          <w:spacing w:val="-48"/>
        </w:rPr>
        <w:t> </w:t>
      </w:r>
      <w:r>
        <w:rPr>
          <w:spacing w:val="-48"/>
        </w:rPr>
      </w:r>
      <w:r>
        <w:rPr/>
        <w:t>支付人民币</w:t>
      </w:r>
      <w:r>
        <w:rPr>
          <w:rFonts w:ascii="Times New Roman" w:hAnsi="Times New Roman" w:cs="Times New Roman" w:eastAsia="Times New Roman" w:hint="default"/>
        </w:rPr>
        <w:t>50,540.00</w:t>
      </w:r>
      <w:r>
        <w:rPr/>
        <w:t>元。</w:t>
      </w:r>
    </w:p>
    <w:p>
      <w:pPr>
        <w:pStyle w:val="BodyText"/>
        <w:spacing w:line="304" w:lineRule="auto" w:before="16"/>
        <w:ind w:right="1104" w:firstLine="42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日，中兴康讯按照生效的仲裁裁决支付了货物及服务价款</w:t>
      </w:r>
      <w:r>
        <w:rPr>
          <w:rFonts w:ascii="Times New Roman" w:hAnsi="Times New Roman" w:cs="Times New Roman" w:eastAsia="Times New Roman" w:hint="default"/>
        </w:rPr>
        <w:t>1,706,752.24</w:t>
      </w:r>
      <w:r>
        <w:rPr/>
        <w:t>元，</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日，中兴康讯 按照生效的仲裁裁决支付了逾期付款利息及其他费用款项</w:t>
      </w:r>
      <w:r>
        <w:rPr>
          <w:rFonts w:ascii="Times New Roman" w:hAnsi="Times New Roman" w:cs="Times New Roman" w:eastAsia="Times New Roman" w:hint="default"/>
        </w:rPr>
        <w:t>420,499.87</w:t>
      </w:r>
      <w:r>
        <w:rPr/>
        <w:t>元。</w:t>
      </w:r>
    </w:p>
    <w:p>
      <w:pPr>
        <w:spacing w:line="240" w:lineRule="auto" w:before="12"/>
        <w:rPr>
          <w:rFonts w:ascii="宋体" w:hAnsi="宋体" w:cs="宋体" w:eastAsia="宋体" w:hint="default"/>
          <w:sz w:val="23"/>
          <w:szCs w:val="23"/>
        </w:rPr>
      </w:pPr>
    </w:p>
    <w:p>
      <w:pPr>
        <w:pStyle w:val="BodyText"/>
        <w:spacing w:line="304" w:lineRule="auto"/>
        <w:ind w:right="1132" w:firstLine="420"/>
        <w:jc w:val="left"/>
      </w:pPr>
      <w:r>
        <w:rPr>
          <w:spacing w:val="-1"/>
        </w:rPr>
        <w:t>注</w:t>
      </w:r>
      <w:r>
        <w:rPr>
          <w:rFonts w:ascii="Times New Roman" w:hAnsi="Times New Roman" w:cs="Times New Roman" w:eastAsia="Times New Roman" w:hint="default"/>
          <w:spacing w:val="-1"/>
        </w:rPr>
        <w:t>4</w:t>
      </w:r>
      <w:r>
        <w:rPr>
          <w:spacing w:val="-1"/>
        </w:rPr>
        <w:t>：因上海骁通智能科技有限公司（以下简称</w:t>
      </w:r>
      <w:r>
        <w:rPr>
          <w:rFonts w:ascii="Times New Roman" w:hAnsi="Times New Roman" w:cs="Times New Roman" w:eastAsia="Times New Roman" w:hint="default"/>
          <w:spacing w:val="-1"/>
        </w:rPr>
        <w:t>“</w:t>
      </w:r>
      <w:r>
        <w:rPr>
          <w:spacing w:val="-1"/>
        </w:rPr>
        <w:t>上海骁通</w:t>
      </w:r>
      <w:r>
        <w:rPr>
          <w:rFonts w:ascii="Times New Roman" w:hAnsi="Times New Roman" w:cs="Times New Roman" w:eastAsia="Times New Roman" w:hint="default"/>
          <w:spacing w:val="-1"/>
        </w:rPr>
        <w:t>”</w:t>
      </w:r>
      <w:r>
        <w:rPr>
          <w:spacing w:val="-1"/>
        </w:rPr>
        <w:t>）开发的软件存在问题，对本公司下属子公司深圳市卓翼智</w:t>
      </w:r>
      <w:r>
        <w:rPr/>
        <w:t> 造有限公司（以下简称</w:t>
      </w:r>
      <w:r>
        <w:rPr>
          <w:rFonts w:ascii="Times New Roman" w:hAnsi="Times New Roman" w:cs="Times New Roman" w:eastAsia="Times New Roman" w:hint="default"/>
        </w:rPr>
        <w:t>“</w:t>
      </w:r>
      <w:r>
        <w:rPr/>
        <w:t>卓翼智造</w:t>
      </w:r>
      <w:r>
        <w:rPr>
          <w:rFonts w:ascii="Times New Roman" w:hAnsi="Times New Roman" w:cs="Times New Roman" w:eastAsia="Times New Roman" w:hint="default"/>
        </w:rPr>
        <w:t>”</w:t>
      </w:r>
      <w:r>
        <w:rPr/>
        <w:t>）造成了损失，卓翼智造扣留了上海骁通货款人民币</w:t>
      </w:r>
      <w:r>
        <w:rPr>
          <w:rFonts w:ascii="Times New Roman" w:hAnsi="Times New Roman" w:cs="Times New Roman" w:eastAsia="Times New Roman" w:hint="default"/>
        </w:rPr>
        <w:t>1,344,700.00</w:t>
      </w:r>
      <w:r>
        <w:rPr/>
        <w:t>元。</w:t>
      </w:r>
    </w:p>
    <w:p>
      <w:pPr>
        <w:pStyle w:val="BodyText"/>
        <w:spacing w:line="240" w:lineRule="auto" w:before="12"/>
        <w:ind w:left="561"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日，上海骁通向深圳国际仲裁院提交与卓翼智造的买卖合同纠纷仲裁申请，主张卓翼智造支付其货款</w:t>
      </w:r>
    </w:p>
    <w:p>
      <w:pPr>
        <w:pStyle w:val="BodyText"/>
        <w:spacing w:line="240" w:lineRule="auto" w:before="66"/>
        <w:ind w:right="0"/>
        <w:jc w:val="left"/>
      </w:pPr>
      <w:r>
        <w:rPr>
          <w:rFonts w:ascii="Times New Roman" w:hAnsi="Times New Roman" w:cs="Times New Roman" w:eastAsia="Times New Roman" w:hint="default"/>
        </w:rPr>
        <w:t>1,344,700.00</w:t>
      </w:r>
      <w:r>
        <w:rPr/>
        <w:t>元及利息</w:t>
      </w:r>
      <w:r>
        <w:rPr>
          <w:rFonts w:ascii="Times New Roman" w:hAnsi="Times New Roman" w:cs="Times New Roman" w:eastAsia="Times New Roman" w:hint="default"/>
        </w:rPr>
        <w:t>103,597.00</w:t>
      </w:r>
      <w:r>
        <w:rPr/>
        <w:t>元，并承担本案仲裁费用。</w:t>
      </w:r>
    </w:p>
    <w:p>
      <w:pPr>
        <w:pStyle w:val="BodyText"/>
        <w:spacing w:line="290" w:lineRule="auto" w:before="66"/>
        <w:ind w:right="1115" w:firstLine="420"/>
        <w:jc w:val="left"/>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22</w:t>
      </w:r>
      <w:r>
        <w:rPr>
          <w:spacing w:val="-1"/>
        </w:rPr>
        <w:t>日，卓翼智造向深圳国际仲裁院提交仲裁反请求申请，主张上海骁通赔偿卓翼智造因产品问题造成</w:t>
      </w:r>
      <w:r>
        <w:rPr/>
        <w:t> 的损失人民币</w:t>
      </w:r>
      <w:r>
        <w:rPr>
          <w:rFonts w:ascii="Times New Roman" w:hAnsi="Times New Roman" w:cs="Times New Roman" w:eastAsia="Times New Roman" w:hint="default"/>
        </w:rPr>
        <w:t>1,970,600.35</w:t>
      </w:r>
      <w:r>
        <w:rPr/>
        <w:t>元仲裁费用等相关费用由上海戏骁承担。</w:t>
      </w:r>
    </w:p>
    <w:p>
      <w:pPr>
        <w:pStyle w:val="BodyText"/>
        <w:spacing w:line="240" w:lineRule="auto" w:before="24"/>
        <w:ind w:left="561" w:right="0"/>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日该案尚在审理中，本公司预计可能产生收益</w:t>
      </w:r>
      <w:r>
        <w:rPr>
          <w:rFonts w:ascii="Times New Roman" w:hAnsi="Times New Roman" w:cs="Times New Roman" w:eastAsia="Times New Roman" w:hint="default"/>
        </w:rPr>
        <w:t>522,303.35</w:t>
      </w:r>
      <w:r>
        <w:rPr/>
        <w:t>元，故未计提预计负债。</w:t>
      </w:r>
    </w:p>
    <w:p>
      <w:pPr>
        <w:spacing w:line="240" w:lineRule="auto" w:before="0"/>
        <w:rPr>
          <w:rFonts w:ascii="宋体" w:hAnsi="宋体" w:cs="宋体" w:eastAsia="宋体" w:hint="default"/>
          <w:sz w:val="18"/>
          <w:szCs w:val="18"/>
        </w:rPr>
      </w:pPr>
    </w:p>
    <w:p>
      <w:pPr>
        <w:pStyle w:val="Heading6"/>
        <w:spacing w:line="240" w:lineRule="auto" w:before="145"/>
        <w:ind w:left="561" w:right="0"/>
        <w:jc w:val="left"/>
        <w:rPr>
          <w:b w:val="0"/>
          <w:bCs w:val="0"/>
        </w:rPr>
      </w:pP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日止，除存在上述或有事项外，本公司无其他应披露未披露的重大或有事项。</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4"/>
          <w:szCs w:val="14"/>
        </w:rPr>
      </w:pPr>
    </w:p>
    <w:p>
      <w:pPr>
        <w:pStyle w:val="Heading5"/>
        <w:spacing w:line="240" w:lineRule="auto"/>
        <w:ind w:right="0"/>
        <w:jc w:val="left"/>
        <w:rPr>
          <w:b w:val="0"/>
          <w:bCs w:val="0"/>
        </w:rPr>
      </w:pPr>
      <w:bookmarkStart w:name="（2）公司没有需要披露的重要或有事项，也应予以说明" w:id="505"/>
      <w:bookmarkEnd w:id="505"/>
      <w:r>
        <w:rPr>
          <w:b w:val="0"/>
          <w:bCs w:val="0"/>
        </w:rPr>
      </w:r>
      <w:r>
        <w:rPr>
          <w:spacing w:val="5"/>
        </w:rPr>
        <w:t>（</w:t>
      </w:r>
      <w:r>
        <w:rPr>
          <w:rFonts w:ascii="Times New Roman" w:hAnsi="Times New Roman" w:cs="Times New Roman" w:eastAsia="Times New Roman" w:hint="default"/>
          <w:spacing w:val="5"/>
        </w:rPr>
        <w:t>2</w:t>
      </w:r>
      <w:r>
        <w:rPr>
          <w:spacing w:val="5"/>
        </w:rPr>
        <w:t>）公司没有需要披露的重要或有事项，也应予以说明</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line="506" w:lineRule="auto" w:before="0"/>
        <w:ind w:left="141" w:right="7857" w:firstLine="0"/>
        <w:jc w:val="left"/>
        <w:rPr>
          <w:rFonts w:ascii="宋体" w:hAnsi="宋体" w:cs="宋体" w:eastAsia="宋体" w:hint="default"/>
          <w:sz w:val="19"/>
          <w:szCs w:val="19"/>
        </w:rPr>
      </w:pPr>
      <w:bookmarkStart w:name="3、其他" w:id="506"/>
      <w:bookmarkEnd w:id="506"/>
      <w:r>
        <w:rPr/>
      </w:r>
      <w:r>
        <w:rPr>
          <w:rFonts w:ascii="Times New Roman" w:hAnsi="Times New Roman" w:cs="Times New Roman" w:eastAsia="Times New Roman" w:hint="default"/>
          <w:b/>
          <w:bCs/>
          <w:spacing w:val="5"/>
          <w:sz w:val="19"/>
          <w:szCs w:val="19"/>
        </w:rPr>
        <w:t>3</w:t>
      </w:r>
      <w:r>
        <w:rPr>
          <w:rFonts w:ascii="宋体" w:hAnsi="宋体" w:cs="宋体" w:eastAsia="宋体" w:hint="default"/>
          <w:b/>
          <w:bCs/>
          <w:spacing w:val="5"/>
          <w:sz w:val="19"/>
          <w:szCs w:val="19"/>
        </w:rPr>
        <w:t>、其他</w:t>
      </w:r>
      <w:r>
        <w:rPr>
          <w:rFonts w:ascii="宋体" w:hAnsi="宋体" w:cs="宋体" w:eastAsia="宋体" w:hint="default"/>
          <w:b/>
          <w:bCs/>
          <w:spacing w:val="-79"/>
          <w:sz w:val="19"/>
          <w:szCs w:val="19"/>
        </w:rPr>
        <w:t> </w:t>
      </w:r>
      <w:r>
        <w:rPr>
          <w:rFonts w:ascii="宋体" w:hAnsi="宋体" w:cs="宋体" w:eastAsia="宋体" w:hint="default"/>
          <w:b/>
          <w:bCs/>
          <w:spacing w:val="-79"/>
          <w:sz w:val="19"/>
          <w:szCs w:val="19"/>
        </w:rPr>
      </w:r>
      <w:bookmarkStart w:name="十五、资产负债表日后事项" w:id="507"/>
      <w:bookmarkEnd w:id="507"/>
      <w:r>
        <w:rPr>
          <w:rFonts w:ascii="宋体" w:hAnsi="宋体" w:cs="宋体" w:eastAsia="宋体" w:hint="default"/>
          <w:b/>
          <w:bCs/>
          <w:spacing w:val="-79"/>
          <w:sz w:val="19"/>
          <w:szCs w:val="19"/>
        </w:rPr>
      </w:r>
      <w:r>
        <w:rPr>
          <w:rFonts w:ascii="宋体" w:hAnsi="宋体" w:cs="宋体" w:eastAsia="宋体" w:hint="default"/>
          <w:b/>
          <w:bCs/>
          <w:sz w:val="24"/>
          <w:szCs w:val="24"/>
        </w:rPr>
        <w:t>十五、资产负债表日后事项</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bookmarkStart w:name="1、重要的非调整事项" w:id="508"/>
      <w:bookmarkEnd w:id="508"/>
      <w:r>
        <w:rPr>
          <w:rFonts w:ascii="宋体" w:hAnsi="宋体" w:cs="宋体" w:eastAsia="宋体" w:hint="default"/>
          <w:b/>
          <w:bCs/>
          <w:spacing w:val="-118"/>
          <w:sz w:val="24"/>
          <w:szCs w:val="24"/>
        </w:rPr>
      </w:r>
      <w:r>
        <w:rPr>
          <w:rFonts w:ascii="Times New Roman" w:hAnsi="Times New Roman" w:cs="Times New Roman" w:eastAsia="Times New Roman" w:hint="default"/>
          <w:b/>
          <w:bCs/>
          <w:spacing w:val="4"/>
          <w:sz w:val="19"/>
          <w:szCs w:val="19"/>
        </w:rPr>
        <w:t>1</w:t>
      </w:r>
      <w:r>
        <w:rPr>
          <w:rFonts w:ascii="宋体" w:hAnsi="宋体" w:cs="宋体" w:eastAsia="宋体" w:hint="default"/>
          <w:b/>
          <w:bCs/>
          <w:spacing w:val="4"/>
          <w:sz w:val="19"/>
          <w:szCs w:val="19"/>
        </w:rPr>
        <w:t>、重要的非调整事项</w:t>
      </w:r>
      <w:r>
        <w:rPr>
          <w:rFonts w:ascii="宋体" w:hAnsi="宋体" w:cs="宋体" w:eastAsia="宋体" w:hint="default"/>
          <w:spacing w:val="4"/>
          <w:sz w:val="19"/>
          <w:szCs w:val="19"/>
        </w:rPr>
      </w:r>
    </w:p>
    <w:p>
      <w:pPr>
        <w:pStyle w:val="BodyText"/>
        <w:spacing w:line="240" w:lineRule="auto" w:before="11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020" w:right="105"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利润分配情况" w:id="509"/>
      <w:bookmarkEnd w:id="509"/>
      <w:r>
        <w:rPr>
          <w:b w:val="0"/>
          <w:bCs w:val="0"/>
        </w:rPr>
      </w:r>
      <w:r>
        <w:rPr>
          <w:rFonts w:ascii="Times New Roman" w:hAnsi="Times New Roman" w:cs="Times New Roman" w:eastAsia="Times New Roman" w:hint="default"/>
          <w:spacing w:val="4"/>
        </w:rPr>
        <w:t>2</w:t>
      </w:r>
      <w:r>
        <w:rPr>
          <w:spacing w:val="4"/>
        </w:rPr>
        <w:t>、利润分配情况</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5"/>
        <w:rPr>
          <w:rFonts w:ascii="宋体" w:hAnsi="宋体" w:cs="宋体" w:eastAsia="宋体" w:hint="default"/>
          <w:sz w:val="27"/>
          <w:szCs w:val="27"/>
        </w:rPr>
      </w:pPr>
    </w:p>
    <w:p>
      <w:pPr>
        <w:pStyle w:val="Heading5"/>
        <w:spacing w:line="240" w:lineRule="auto" w:before="45"/>
        <w:ind w:right="0"/>
        <w:jc w:val="left"/>
        <w:rPr>
          <w:b w:val="0"/>
          <w:bCs w:val="0"/>
        </w:rPr>
      </w:pPr>
      <w:bookmarkStart w:name="3、销售退回" w:id="510"/>
      <w:bookmarkEnd w:id="510"/>
      <w:r>
        <w:rPr>
          <w:b w:val="0"/>
          <w:bCs w:val="0"/>
        </w:rPr>
      </w:r>
      <w:r>
        <w:rPr>
          <w:rFonts w:ascii="Times New Roman" w:hAnsi="Times New Roman" w:cs="Times New Roman" w:eastAsia="Times New Roman" w:hint="default"/>
          <w:spacing w:val="5"/>
        </w:rPr>
        <w:t>3</w:t>
      </w:r>
      <w:r>
        <w:rPr>
          <w:spacing w:val="5"/>
        </w:rPr>
        <w:t>、销售退回</w:t>
      </w:r>
      <w:r>
        <w:rPr>
          <w:b w:val="0"/>
          <w:bCs w:val="0"/>
          <w:spacing w:val="5"/>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4、其他资产负债表日后事项说明" w:id="511"/>
      <w:bookmarkEnd w:id="511"/>
      <w:r>
        <w:rPr>
          <w:b w:val="0"/>
          <w:bCs w:val="0"/>
        </w:rPr>
      </w:r>
      <w:r>
        <w:rPr>
          <w:rFonts w:ascii="Times New Roman" w:hAnsi="Times New Roman" w:cs="Times New Roman" w:eastAsia="Times New Roman" w:hint="default"/>
          <w:spacing w:val="5"/>
        </w:rPr>
        <w:t>4</w:t>
      </w:r>
      <w:r>
        <w:rPr>
          <w:spacing w:val="5"/>
        </w:rPr>
        <w:t>、其他资产负债表日后事项说明</w:t>
      </w:r>
      <w:r>
        <w:rPr>
          <w:b w:val="0"/>
          <w:bCs w:val="0"/>
          <w:spacing w:val="5"/>
        </w:rPr>
      </w:r>
    </w:p>
    <w:p>
      <w:pPr>
        <w:spacing w:line="240" w:lineRule="auto" w:before="11"/>
        <w:rPr>
          <w:rFonts w:ascii="宋体" w:hAnsi="宋体" w:cs="宋体" w:eastAsia="宋体" w:hint="default"/>
          <w:b/>
          <w:bCs/>
          <w:sz w:val="27"/>
          <w:szCs w:val="27"/>
        </w:rPr>
      </w:pPr>
    </w:p>
    <w:p>
      <w:pPr>
        <w:spacing w:line="304" w:lineRule="auto" w:before="0"/>
        <w:ind w:left="561"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、资产负债表日后股份支付的修改、终止情况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日召开第五届董事会第三次会议，会议审议通过了《关于注销部分股票期权及回购注销部分限制性</w:t>
      </w:r>
    </w:p>
    <w:p>
      <w:pPr>
        <w:pStyle w:val="BodyText"/>
        <w:spacing w:line="246" w:lineRule="exact"/>
        <w:ind w:right="0"/>
        <w:jc w:val="left"/>
      </w:pPr>
      <w:r>
        <w:rPr/>
        <w:t>股票的议案》，因公司</w:t>
      </w:r>
      <w:r>
        <w:rPr>
          <w:rFonts w:ascii="Times New Roman" w:hAnsi="Times New Roman" w:cs="Times New Roman" w:eastAsia="Times New Roman" w:hint="default"/>
        </w:rPr>
        <w:t>2019</w:t>
      </w:r>
      <w:r>
        <w:rPr/>
        <w:t>年业绩未达到股权激励计划第三期行权</w:t>
      </w:r>
      <w:r>
        <w:rPr>
          <w:rFonts w:ascii="Times New Roman" w:hAnsi="Times New Roman" w:cs="Times New Roman" w:eastAsia="Times New Roman" w:hint="default"/>
        </w:rPr>
        <w:t>/</w:t>
      </w:r>
      <w:r>
        <w:rPr/>
        <w:t>解锁的条件，公司董事会一致同意将上述原因确认的</w:t>
      </w:r>
    </w:p>
    <w:p>
      <w:pPr>
        <w:pStyle w:val="BodyText"/>
        <w:spacing w:line="240" w:lineRule="auto" w:before="66"/>
        <w:ind w:right="0"/>
        <w:jc w:val="left"/>
      </w:pPr>
      <w:r>
        <w:rPr>
          <w:rFonts w:ascii="Times New Roman" w:hAnsi="Times New Roman" w:cs="Times New Roman" w:eastAsia="Times New Roman" w:hint="default"/>
        </w:rPr>
        <w:t>292.355</w:t>
      </w:r>
      <w:r>
        <w:rPr/>
        <w:t>万份股票期权及</w:t>
      </w:r>
      <w:r>
        <w:rPr>
          <w:rFonts w:ascii="Times New Roman" w:hAnsi="Times New Roman" w:cs="Times New Roman" w:eastAsia="Times New Roman" w:hint="default"/>
        </w:rPr>
        <w:t>113.75</w:t>
      </w:r>
      <w:r>
        <w:rPr/>
        <w:t>万股限制性股票进行注销</w:t>
      </w:r>
      <w:r>
        <w:rPr>
          <w:rFonts w:ascii="Times New Roman" w:hAnsi="Times New Roman" w:cs="Times New Roman" w:eastAsia="Times New Roman" w:hint="default"/>
        </w:rPr>
        <w:t>/</w:t>
      </w:r>
      <w:r>
        <w:rPr/>
        <w:t>回购注销，此议案尚需提交股东大会审议。</w:t>
      </w:r>
    </w:p>
    <w:p>
      <w:pPr>
        <w:pStyle w:val="Heading6"/>
        <w:spacing w:line="240" w:lineRule="auto" w:before="66"/>
        <w:ind w:left="561" w:right="0"/>
        <w:jc w:val="left"/>
        <w:rPr>
          <w:b w:val="0"/>
          <w:bCs w:val="0"/>
        </w:rPr>
      </w:pPr>
      <w:r>
        <w:rPr>
          <w:rFonts w:ascii="Times New Roman" w:hAnsi="Times New Roman" w:cs="Times New Roman" w:eastAsia="Times New Roman" w:hint="default"/>
        </w:rPr>
        <w:t>2</w:t>
      </w:r>
      <w:r>
        <w:rPr/>
        <w:t>、</w:t>
      </w:r>
      <w:r>
        <w:rPr>
          <w:spacing w:val="-77"/>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4"/>
        </w:rPr>
        <w:t> </w:t>
      </w:r>
      <w:r>
        <w:rPr/>
        <w:t>年初新型冠状病毒疫情爆发对公司的经营影响</w:t>
      </w:r>
      <w:r>
        <w:rPr>
          <w:b w:val="0"/>
          <w:bCs w:val="0"/>
        </w:rPr>
      </w:r>
    </w:p>
    <w:p>
      <w:pPr>
        <w:pStyle w:val="BodyText"/>
        <w:spacing w:line="297" w:lineRule="auto" w:before="66"/>
        <w:ind w:right="1029" w:firstLine="42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2020</w:t>
      </w:r>
      <w:r>
        <w:rPr>
          <w:rFonts w:ascii="Times New Roman" w:hAnsi="Times New Roman" w:cs="Times New Roman" w:eastAsia="Times New Roman" w:hint="default"/>
          <w:spacing w:val="29"/>
        </w:rPr>
        <w:t> </w:t>
      </w:r>
      <w:r>
        <w:rPr/>
        <w:t>年初，新型冠状病毒疫情爆发，各地政府相继出台并要求严格执行关于延迟复工、限制物流及人员流动等 疫情防控政策，公司及公司上下游企业复工均因此延迟，公司虽订单饱满，但第一季度总体上开工不足，有效工作时间少， 效率损失严重。</w:t>
      </w:r>
    </w:p>
    <w:p>
      <w:pPr>
        <w:pStyle w:val="BodyText"/>
        <w:spacing w:line="304" w:lineRule="auto" w:before="51"/>
        <w:ind w:right="1130" w:firstLine="420"/>
        <w:jc w:val="both"/>
      </w:pPr>
      <w:r>
        <w:rPr>
          <w:spacing w:val="-2"/>
        </w:rPr>
        <w:t>（</w:t>
      </w:r>
      <w:r>
        <w:rPr>
          <w:rFonts w:ascii="Times New Roman" w:hAnsi="Times New Roman" w:cs="Times New Roman" w:eastAsia="Times New Roman" w:hint="default"/>
          <w:spacing w:val="-2"/>
        </w:rPr>
        <w:t>2</w:t>
      </w:r>
      <w:r>
        <w:rPr>
          <w:spacing w:val="-2"/>
        </w:rPr>
        <w:t>）公司作为公众公司，在上述极端环境下仍积极履行上市公司责任，及时、足额发放在职人员工资，维持工厂正常</w:t>
      </w:r>
      <w:r>
        <w:rPr/>
        <w:t> </w:t>
      </w:r>
      <w:r>
        <w:rPr>
          <w:spacing w:val="-2"/>
        </w:rPr>
        <w:t>运行，但疫情问题导致大批熟练员工无法按时回厂上班，为满足销售订单出货要求，公司克服种种困难招募了大量一线工人</w:t>
      </w:r>
      <w:r>
        <w:rPr>
          <w:spacing w:val="-75"/>
        </w:rPr>
        <w:t> </w:t>
      </w:r>
      <w:r>
        <w:rPr>
          <w:spacing w:val="-75"/>
        </w:rPr>
      </w:r>
      <w:r>
        <w:rPr/>
        <w:t>组织生产，但新招员工效率偏低，导致当期人工成本、制造费用均大幅上升。</w:t>
      </w:r>
    </w:p>
    <w:p>
      <w:pPr>
        <w:pStyle w:val="Heading6"/>
        <w:spacing w:line="240" w:lineRule="auto" w:before="46"/>
        <w:ind w:left="561" w:right="0"/>
        <w:jc w:val="left"/>
        <w:rPr>
          <w:b w:val="0"/>
          <w:bCs w:val="0"/>
        </w:rPr>
      </w:pP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日止，除存在上述事项外，本公司无其他应披露未披露的重大资产负债表日后事项。</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Heading2"/>
        <w:spacing w:line="240" w:lineRule="auto" w:before="140"/>
        <w:ind w:right="0"/>
        <w:jc w:val="left"/>
        <w:rPr>
          <w:b w:val="0"/>
          <w:bCs w:val="0"/>
        </w:rPr>
      </w:pPr>
      <w:bookmarkStart w:name="十六、其他重要事项" w:id="512"/>
      <w:bookmarkEnd w:id="512"/>
      <w:r>
        <w:rPr>
          <w:b w:val="0"/>
          <w:bCs w:val="0"/>
        </w:rPr>
      </w:r>
      <w:r>
        <w:rPr/>
        <w:t>十六、其他重要事项</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前期会计差错更正" w:id="513"/>
      <w:bookmarkEnd w:id="513"/>
      <w:r>
        <w:rPr>
          <w:b w:val="0"/>
          <w:bCs w:val="0"/>
        </w:rPr>
      </w:r>
      <w:r>
        <w:rPr>
          <w:rFonts w:ascii="Times New Roman" w:hAnsi="Times New Roman" w:cs="Times New Roman" w:eastAsia="Times New Roman" w:hint="default"/>
          <w:spacing w:val="4"/>
        </w:rPr>
        <w:t>1</w:t>
      </w:r>
      <w:r>
        <w:rPr>
          <w:spacing w:val="4"/>
        </w:rPr>
        <w:t>、前期会计差错更正</w:t>
      </w:r>
      <w:r>
        <w:rPr>
          <w:b w:val="0"/>
          <w:bCs w:val="0"/>
          <w:spacing w:val="4"/>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追溯重述法" w:id="514"/>
      <w:bookmarkEnd w:id="514"/>
      <w:r>
        <w:rPr>
          <w:b w:val="0"/>
          <w:bCs w:val="0"/>
        </w:rPr>
      </w:r>
      <w:r>
        <w:rPr>
          <w:spacing w:val="4"/>
        </w:rPr>
        <w:t>（</w:t>
      </w:r>
      <w:r>
        <w:rPr>
          <w:rFonts w:ascii="Times New Roman" w:hAnsi="Times New Roman" w:cs="Times New Roman" w:eastAsia="Times New Roman" w:hint="default"/>
          <w:spacing w:val="4"/>
        </w:rPr>
        <w:t>1</w:t>
      </w:r>
      <w:r>
        <w:rPr>
          <w:spacing w:val="4"/>
        </w:rPr>
        <w:t>）追溯重述法</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21"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840" w:right="105"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未来适用法" w:id="515"/>
      <w:bookmarkEnd w:id="515"/>
      <w:r>
        <w:rPr>
          <w:b w:val="0"/>
          <w:bCs w:val="0"/>
        </w:rPr>
      </w:r>
      <w:r>
        <w:rPr>
          <w:spacing w:val="4"/>
        </w:rPr>
        <w:t>（</w:t>
      </w:r>
      <w:r>
        <w:rPr>
          <w:rFonts w:ascii="Times New Roman" w:hAnsi="Times New Roman" w:cs="Times New Roman" w:eastAsia="Times New Roman" w:hint="default"/>
          <w:spacing w:val="4"/>
        </w:rPr>
        <w:t>2</w:t>
      </w:r>
      <w:r>
        <w:rPr>
          <w:spacing w:val="4"/>
        </w:rPr>
        <w:t>）未来适用法</w:t>
      </w:r>
      <w:r>
        <w:rPr>
          <w:b w:val="0"/>
          <w:bCs w:val="0"/>
          <w:spacing w:val="4"/>
        </w:rPr>
      </w:r>
    </w:p>
    <w:p>
      <w:pPr>
        <w:spacing w:line="240" w:lineRule="auto" w:before="7"/>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4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5"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3"/>
        <w:rPr>
          <w:rFonts w:ascii="宋体" w:hAnsi="宋体" w:cs="宋体" w:eastAsia="宋体" w:hint="default"/>
          <w:b/>
          <w:bCs/>
          <w:sz w:val="26"/>
          <w:szCs w:val="26"/>
        </w:rPr>
      </w:pPr>
    </w:p>
    <w:p>
      <w:pPr>
        <w:pStyle w:val="Heading5"/>
        <w:spacing w:line="240" w:lineRule="auto" w:before="45"/>
        <w:ind w:right="0"/>
        <w:jc w:val="left"/>
        <w:rPr>
          <w:b w:val="0"/>
          <w:bCs w:val="0"/>
        </w:rPr>
      </w:pPr>
      <w:bookmarkStart w:name="2、债务重组" w:id="516"/>
      <w:bookmarkEnd w:id="516"/>
      <w:r>
        <w:rPr>
          <w:b w:val="0"/>
          <w:bCs w:val="0"/>
        </w:rPr>
      </w:r>
      <w:r>
        <w:rPr>
          <w:rFonts w:ascii="Times New Roman" w:hAnsi="Times New Roman" w:cs="Times New Roman" w:eastAsia="Times New Roman" w:hint="default"/>
          <w:spacing w:val="5"/>
        </w:rPr>
        <w:t>2</w:t>
      </w:r>
      <w:r>
        <w:rPr>
          <w:spacing w:val="5"/>
        </w:rPr>
        <w:t>、债务重组</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3、资产置换" w:id="517"/>
      <w:bookmarkEnd w:id="517"/>
      <w:r>
        <w:rPr>
          <w:b w:val="0"/>
          <w:bCs w:val="0"/>
        </w:rPr>
      </w:r>
      <w:r>
        <w:rPr>
          <w:rFonts w:ascii="Times New Roman" w:hAnsi="Times New Roman" w:cs="Times New Roman" w:eastAsia="Times New Roman" w:hint="default"/>
          <w:spacing w:val="5"/>
        </w:rPr>
        <w:t>3</w:t>
      </w:r>
      <w:r>
        <w:rPr>
          <w:spacing w:val="5"/>
        </w:rPr>
        <w:t>、资产置换</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非货币性资产交换" w:id="518"/>
      <w:bookmarkEnd w:id="518"/>
      <w:r>
        <w:rPr>
          <w:b w:val="0"/>
          <w:bCs w:val="0"/>
        </w:rPr>
      </w:r>
      <w:r>
        <w:rPr>
          <w:spacing w:val="5"/>
        </w:rPr>
        <w:t>（</w:t>
      </w:r>
      <w:r>
        <w:rPr>
          <w:rFonts w:ascii="Times New Roman" w:hAnsi="Times New Roman" w:cs="Times New Roman" w:eastAsia="Times New Roman" w:hint="default"/>
          <w:spacing w:val="5"/>
        </w:rPr>
        <w:t>1</w:t>
      </w:r>
      <w:r>
        <w:rPr>
          <w:spacing w:val="5"/>
        </w:rPr>
        <w:t>）非货币性资产交换</w:t>
      </w:r>
      <w:r>
        <w:rPr>
          <w:b w:val="0"/>
          <w:bCs w:val="0"/>
          <w:spacing w:val="5"/>
        </w:rPr>
      </w:r>
    </w:p>
    <w:p>
      <w:pPr>
        <w:spacing w:line="240" w:lineRule="auto" w:before="12"/>
        <w:rPr>
          <w:rFonts w:ascii="宋体" w:hAnsi="宋体" w:cs="宋体" w:eastAsia="宋体" w:hint="default"/>
          <w:b/>
          <w:bCs/>
          <w:sz w:val="26"/>
          <w:szCs w:val="26"/>
        </w:rPr>
      </w:pPr>
    </w:p>
    <w:p>
      <w:pPr>
        <w:pStyle w:val="Heading5"/>
        <w:spacing w:line="561" w:lineRule="auto"/>
        <w:ind w:right="8409"/>
        <w:jc w:val="left"/>
        <w:rPr>
          <w:b w:val="0"/>
          <w:bCs w:val="0"/>
        </w:rPr>
      </w:pPr>
      <w:bookmarkStart w:name="（2）其他资产置换" w:id="519"/>
      <w:bookmarkEnd w:id="519"/>
      <w:r>
        <w:rPr>
          <w:b w:val="0"/>
          <w:bCs w:val="0"/>
        </w:rPr>
      </w:r>
      <w:r>
        <w:rPr>
          <w:spacing w:val="5"/>
        </w:rPr>
        <w:t>（</w:t>
      </w:r>
      <w:r>
        <w:rPr>
          <w:rFonts w:ascii="Times New Roman" w:hAnsi="Times New Roman" w:cs="Times New Roman" w:eastAsia="Times New Roman" w:hint="default"/>
          <w:spacing w:val="5"/>
        </w:rPr>
        <w:t>2</w:t>
      </w:r>
      <w:r>
        <w:rPr>
          <w:spacing w:val="5"/>
        </w:rPr>
        <w:t>）其他资产置换</w:t>
      </w:r>
      <w:r>
        <w:rPr>
          <w:spacing w:val="-52"/>
        </w:rPr>
        <w:t> </w:t>
      </w:r>
      <w:r>
        <w:rPr>
          <w:spacing w:val="-52"/>
        </w:rPr>
      </w:r>
      <w:bookmarkStart w:name="4、年金计划" w:id="520"/>
      <w:bookmarkEnd w:id="520"/>
      <w:r>
        <w:rPr>
          <w:spacing w:val="-52"/>
        </w:rPr>
      </w:r>
      <w:r>
        <w:rPr>
          <w:rFonts w:ascii="Times New Roman" w:hAnsi="Times New Roman" w:cs="Times New Roman" w:eastAsia="Times New Roman" w:hint="default"/>
          <w:spacing w:val="5"/>
        </w:rPr>
        <w:t>4</w:t>
      </w:r>
      <w:r>
        <w:rPr>
          <w:spacing w:val="5"/>
        </w:rPr>
        <w:t>、年金计划</w:t>
      </w:r>
      <w:r>
        <w:rPr>
          <w:b w:val="0"/>
          <w:bCs w:val="0"/>
          <w:spacing w:val="5"/>
        </w:rPr>
      </w:r>
    </w:p>
    <w:p>
      <w:pPr>
        <w:pStyle w:val="Heading5"/>
        <w:spacing w:line="240" w:lineRule="auto" w:before="55"/>
        <w:ind w:right="0"/>
        <w:jc w:val="left"/>
        <w:rPr>
          <w:b w:val="0"/>
          <w:bCs w:val="0"/>
        </w:rPr>
      </w:pPr>
      <w:bookmarkStart w:name="5、终止经营" w:id="521"/>
      <w:bookmarkEnd w:id="521"/>
      <w:r>
        <w:rPr>
          <w:b w:val="0"/>
          <w:bCs w:val="0"/>
        </w:rPr>
      </w:r>
      <w:r>
        <w:rPr>
          <w:rFonts w:ascii="Times New Roman" w:hAnsi="Times New Roman" w:cs="Times New Roman" w:eastAsia="Times New Roman" w:hint="default"/>
          <w:spacing w:val="5"/>
        </w:rPr>
        <w:t>5</w:t>
      </w:r>
      <w:r>
        <w:rPr>
          <w:spacing w:val="5"/>
        </w:rPr>
        <w:t>、终止经营</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29" w:right="59"/>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6、分部信息" w:id="522"/>
      <w:bookmarkEnd w:id="522"/>
      <w:r>
        <w:rPr>
          <w:b w:val="0"/>
          <w:bCs w:val="0"/>
        </w:rPr>
      </w:r>
      <w:r>
        <w:rPr>
          <w:rFonts w:ascii="Times New Roman" w:hAnsi="Times New Roman" w:cs="Times New Roman" w:eastAsia="Times New Roman" w:hint="default"/>
          <w:spacing w:val="5"/>
        </w:rPr>
        <w:t>6</w:t>
      </w:r>
      <w:r>
        <w:rPr>
          <w:spacing w:val="5"/>
        </w:rPr>
        <w:t>、分部信息</w:t>
      </w:r>
      <w:r>
        <w:rPr>
          <w:b w:val="0"/>
          <w:bCs w:val="0"/>
          <w:spacing w:val="5"/>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报告分部的确定依据与会计政策" w:id="523"/>
      <w:bookmarkEnd w:id="523"/>
      <w:r>
        <w:rPr>
          <w:b w:val="0"/>
          <w:bCs w:val="0"/>
        </w:rPr>
      </w:r>
      <w:r>
        <w:rPr>
          <w:spacing w:val="5"/>
        </w:rPr>
        <w:t>（</w:t>
      </w:r>
      <w:r>
        <w:rPr>
          <w:rFonts w:ascii="Times New Roman" w:hAnsi="Times New Roman" w:cs="Times New Roman" w:eastAsia="Times New Roman" w:hint="default"/>
          <w:spacing w:val="5"/>
        </w:rPr>
        <w:t>1</w:t>
      </w:r>
      <w:r>
        <w:rPr>
          <w:spacing w:val="5"/>
        </w:rPr>
        <w:t>）报告分部的确定依据与会计政策</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2）报告分部的财务信息" w:id="524"/>
      <w:bookmarkEnd w:id="524"/>
      <w:r>
        <w:rPr>
          <w:b w:val="0"/>
          <w:bCs w:val="0"/>
        </w:rPr>
      </w:r>
      <w:r>
        <w:rPr>
          <w:spacing w:val="5"/>
        </w:rPr>
        <w:t>（</w:t>
      </w:r>
      <w:r>
        <w:rPr>
          <w:rFonts w:ascii="Times New Roman" w:hAnsi="Times New Roman" w:cs="Times New Roman" w:eastAsia="Times New Roman" w:hint="default"/>
          <w:spacing w:val="5"/>
        </w:rPr>
        <w:t>2</w:t>
      </w:r>
      <w:r>
        <w:rPr>
          <w:spacing w:val="5"/>
        </w:rPr>
        <w:t>）报告分部的财务信息</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3）公司无报告分部的，或者不能披露各报告分部的资产总额和负债总额的，应说明原因" w:id="525"/>
      <w:bookmarkEnd w:id="525"/>
      <w:r>
        <w:rPr>
          <w:b w:val="0"/>
          <w:bCs w:val="0"/>
        </w:rPr>
      </w:r>
      <w:r>
        <w:rPr>
          <w:spacing w:val="5"/>
        </w:rPr>
        <w:t>（</w:t>
      </w:r>
      <w:r>
        <w:rPr>
          <w:rFonts w:ascii="Times New Roman" w:hAnsi="Times New Roman" w:cs="Times New Roman" w:eastAsia="Times New Roman" w:hint="default"/>
          <w:spacing w:val="5"/>
        </w:rPr>
        <w:t>3</w:t>
      </w:r>
      <w:r>
        <w:rPr>
          <w:spacing w:val="5"/>
        </w:rPr>
        <w:t>）公司无报告分部的，或者不能披露各报告分部的资产总额和负债总额的，应说明原因</w:t>
      </w:r>
      <w:r>
        <w:rPr>
          <w:b w:val="0"/>
          <w:bCs w:val="0"/>
          <w:spacing w:val="5"/>
        </w:rPr>
      </w:r>
    </w:p>
    <w:p>
      <w:pPr>
        <w:spacing w:line="240" w:lineRule="auto" w:before="12"/>
        <w:rPr>
          <w:rFonts w:ascii="宋体" w:hAnsi="宋体" w:cs="宋体" w:eastAsia="宋体" w:hint="default"/>
          <w:b/>
          <w:bCs/>
          <w:sz w:val="26"/>
          <w:szCs w:val="26"/>
        </w:rPr>
      </w:pPr>
    </w:p>
    <w:p>
      <w:pPr>
        <w:pStyle w:val="Heading5"/>
        <w:spacing w:line="561" w:lineRule="auto"/>
        <w:ind w:right="5529"/>
        <w:jc w:val="left"/>
        <w:rPr>
          <w:b w:val="0"/>
          <w:bCs w:val="0"/>
        </w:rPr>
      </w:pPr>
      <w:bookmarkStart w:name="（4）其他说明" w:id="526"/>
      <w:bookmarkEnd w:id="526"/>
      <w:r>
        <w:rPr>
          <w:b w:val="0"/>
          <w:bCs w:val="0"/>
        </w:rPr>
      </w:r>
      <w:r>
        <w:rPr>
          <w:spacing w:val="5"/>
        </w:rPr>
        <w:t>（</w:t>
      </w:r>
      <w:r>
        <w:rPr>
          <w:rFonts w:ascii="Times New Roman" w:hAnsi="Times New Roman" w:cs="Times New Roman" w:eastAsia="Times New Roman" w:hint="default"/>
          <w:spacing w:val="5"/>
        </w:rPr>
        <w:t>4</w:t>
      </w:r>
      <w:r>
        <w:rPr>
          <w:spacing w:val="5"/>
        </w:rPr>
        <w:t>）其他说明</w:t>
      </w:r>
      <w:r>
        <w:rPr>
          <w:spacing w:val="-65"/>
        </w:rPr>
        <w:t> </w:t>
      </w:r>
      <w:r>
        <w:rPr>
          <w:spacing w:val="-65"/>
        </w:rPr>
      </w:r>
      <w:bookmarkStart w:name="7、其他对投资者决策有影响的重要交易和事项" w:id="527"/>
      <w:bookmarkEnd w:id="527"/>
      <w:r>
        <w:rPr>
          <w:spacing w:val="-65"/>
        </w:rPr>
      </w:r>
      <w:r>
        <w:rPr>
          <w:rFonts w:ascii="Times New Roman" w:hAnsi="Times New Roman" w:cs="Times New Roman" w:eastAsia="Times New Roman" w:hint="default"/>
          <w:spacing w:val="5"/>
        </w:rPr>
        <w:t>7</w:t>
      </w:r>
      <w:r>
        <w:rPr>
          <w:spacing w:val="5"/>
        </w:rPr>
        <w:t>、其他对投资者决策有影响的重要交易和事项</w:t>
      </w:r>
      <w:r>
        <w:rPr>
          <w:b w:val="0"/>
          <w:bCs w:val="0"/>
          <w:spacing w:val="5"/>
        </w:rPr>
      </w:r>
    </w:p>
    <w:p>
      <w:pPr>
        <w:pStyle w:val="Heading5"/>
        <w:spacing w:line="240" w:lineRule="auto" w:before="70"/>
        <w:ind w:right="0"/>
        <w:jc w:val="left"/>
        <w:rPr>
          <w:b w:val="0"/>
          <w:bCs w:val="0"/>
        </w:rPr>
      </w:pPr>
      <w:bookmarkStart w:name="8、其他" w:id="528"/>
      <w:bookmarkEnd w:id="528"/>
      <w:r>
        <w:rPr>
          <w:b w:val="0"/>
          <w:bCs w:val="0"/>
        </w:rPr>
      </w:r>
      <w:r>
        <w:rPr>
          <w:rFonts w:ascii="Times New Roman" w:hAnsi="Times New Roman" w:cs="Times New Roman" w:eastAsia="Times New Roman" w:hint="default"/>
          <w:spacing w:val="8"/>
        </w:rPr>
        <w:t>8</w:t>
      </w:r>
      <w:r>
        <w:rPr>
          <w:spacing w:val="8"/>
        </w:rPr>
        <w:t>、其他</w:t>
      </w:r>
      <w:r>
        <w:rPr>
          <w:b w:val="0"/>
          <w:bCs w:val="0"/>
        </w:rPr>
      </w:r>
    </w:p>
    <w:p>
      <w:pPr>
        <w:spacing w:line="240" w:lineRule="auto" w:before="9"/>
        <w:rPr>
          <w:rFonts w:ascii="宋体" w:hAnsi="宋体" w:cs="宋体" w:eastAsia="宋体" w:hint="default"/>
          <w:b/>
          <w:bCs/>
          <w:sz w:val="26"/>
          <w:szCs w:val="26"/>
        </w:rPr>
      </w:pPr>
    </w:p>
    <w:p>
      <w:pPr>
        <w:pStyle w:val="Heading6"/>
        <w:spacing w:line="240" w:lineRule="auto"/>
        <w:ind w:right="0"/>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银行授信事项</w:t>
      </w:r>
      <w:r>
        <w:rPr>
          <w:b w:val="0"/>
          <w:bCs w:val="0"/>
        </w:rPr>
      </w:r>
    </w:p>
    <w:p>
      <w:pPr>
        <w:spacing w:line="240" w:lineRule="auto" w:before="3"/>
        <w:rPr>
          <w:rFonts w:ascii="宋体" w:hAnsi="宋体" w:cs="宋体" w:eastAsia="宋体" w:hint="default"/>
          <w:b/>
          <w:bCs/>
          <w:sz w:val="14"/>
          <w:szCs w:val="14"/>
        </w:rPr>
      </w:pPr>
    </w:p>
    <w:p>
      <w:pPr>
        <w:pStyle w:val="BodyText"/>
        <w:spacing w:line="304" w:lineRule="auto"/>
        <w:ind w:left="156" w:right="1112" w:firstLine="420"/>
        <w:jc w:val="both"/>
        <w:rPr>
          <w:rFonts w:ascii="Times New Roman" w:hAnsi="Times New Roman" w:cs="Times New Roman" w:eastAsia="Times New Roman" w:hint="default"/>
        </w:rPr>
      </w:pP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28</w:t>
      </w:r>
      <w:r>
        <w:rPr/>
        <w:t>日与华夏银行股份有限公司深圳蔡屋围支行签订合同编号为</w:t>
      </w:r>
      <w:r>
        <w:rPr>
          <w:rFonts w:ascii="Times New Roman" w:hAnsi="Times New Roman" w:cs="Times New Roman" w:eastAsia="Times New Roman" w:hint="default"/>
        </w:rPr>
        <w:t>SZ3210220190038</w:t>
      </w:r>
      <w:r>
        <w:rPr/>
        <w:t>固定资产借款 合同，借款额度为人民币陆仟万元整。借款期间为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日至</w:t>
      </w:r>
      <w:r>
        <w:rPr>
          <w:rFonts w:ascii="Times New Roman" w:hAnsi="Times New Roman" w:cs="Times New Roman" w:eastAsia="Times New Roman" w:hint="default"/>
        </w:rPr>
        <w:t>2027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日。本合同项下贷款为为担保贷款</w:t>
      </w:r>
      <w:r>
        <w:rPr>
          <w:rFonts w:ascii="Times New Roman" w:hAnsi="Times New Roman" w:cs="Times New Roman" w:eastAsia="Times New Roman" w:hint="default"/>
        </w:rPr>
        <w:t>,</w:t>
      </w:r>
      <w:r>
        <w:rPr/>
        <w:t>担保方式</w:t>
      </w:r>
      <w:r>
        <w:rPr>
          <w:spacing w:val="-82"/>
        </w:rPr>
        <w:t> </w:t>
      </w:r>
      <w:r>
        <w:rPr/>
        <w:t>为抵押担保</w:t>
      </w:r>
      <w:r>
        <w:rPr>
          <w:rFonts w:ascii="Times New Roman" w:hAnsi="Times New Roman" w:cs="Times New Roman" w:eastAsia="Times New Roman" w:hint="default"/>
        </w:rPr>
        <w:t>.</w:t>
      </w:r>
    </w:p>
    <w:p>
      <w:pPr>
        <w:pStyle w:val="BodyText"/>
        <w:spacing w:line="360" w:lineRule="auto" w:before="147"/>
        <w:ind w:left="156" w:right="1106" w:firstLine="420"/>
        <w:jc w:val="left"/>
      </w:pPr>
      <w:r>
        <w:rPr>
          <w:rFonts w:ascii="宋体" w:hAnsi="宋体" w:cs="宋体" w:eastAsia="宋体" w:hint="default"/>
          <w:spacing w:val="-1"/>
        </w:rPr>
        <w:t>2</w:t>
      </w:r>
      <w:r>
        <w:rPr>
          <w:spacing w:val="-1"/>
        </w:rPr>
        <w:t>、本公司于</w:t>
      </w:r>
      <w:r>
        <w:rPr>
          <w:rFonts w:ascii="宋体" w:hAnsi="宋体" w:cs="宋体" w:eastAsia="宋体" w:hint="default"/>
          <w:spacing w:val="-1"/>
        </w:rPr>
        <w:t>2019</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21</w:t>
      </w:r>
      <w:r>
        <w:rPr>
          <w:spacing w:val="-1"/>
        </w:rPr>
        <w:t>日与中国光大银行股份有限公司深圳分行签订合同编号为</w:t>
      </w:r>
      <w:r>
        <w:rPr>
          <w:rFonts w:ascii="宋体" w:hAnsi="宋体" w:cs="宋体" w:eastAsia="宋体" w:hint="default"/>
          <w:spacing w:val="-1"/>
        </w:rPr>
        <w:t>ZH51911908002</w:t>
      </w:r>
      <w:r>
        <w:rPr>
          <w:spacing w:val="-1"/>
        </w:rPr>
        <w:t>号的综合授信额度协</w:t>
      </w:r>
      <w:r>
        <w:rPr/>
        <w:t> 议，授信额度为人民币壹亿元整。授信期间为</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21</w:t>
      </w:r>
      <w:r>
        <w:rPr/>
        <w:t>日至</w:t>
      </w:r>
      <w:r>
        <w:rPr>
          <w:rFonts w:ascii="宋体" w:hAnsi="宋体" w:cs="宋体" w:eastAsia="宋体" w:hint="default"/>
        </w:rPr>
        <w:t>2020</w:t>
      </w:r>
      <w:r>
        <w:rPr/>
        <w:t>年</w:t>
      </w:r>
      <w:r>
        <w:rPr>
          <w:rFonts w:ascii="宋体" w:hAnsi="宋体" w:cs="宋体" w:eastAsia="宋体" w:hint="default"/>
        </w:rPr>
        <w:t>8</w:t>
      </w:r>
      <w:r>
        <w:rPr/>
        <w:t>月</w:t>
      </w:r>
      <w:r>
        <w:rPr>
          <w:rFonts w:ascii="宋体" w:hAnsi="宋体" w:cs="宋体" w:eastAsia="宋体" w:hint="default"/>
        </w:rPr>
        <w:t>20</w:t>
      </w:r>
      <w:r>
        <w:rPr/>
        <w:t>日。其额度包括但不限于短期贷款、票据承兑</w:t>
      </w:r>
      <w:r>
        <w:rPr>
          <w:spacing w:val="-85"/>
        </w:rPr>
        <w:t> </w:t>
      </w:r>
      <w:r>
        <w:rPr>
          <w:spacing w:val="-85"/>
        </w:rPr>
      </w:r>
      <w:r>
        <w:rPr/>
        <w:t>和贴现、开立信用证、扣保等。</w:t>
      </w:r>
    </w:p>
    <w:p>
      <w:pPr>
        <w:spacing w:after="0" w:line="360" w:lineRule="auto"/>
        <w:jc w:val="left"/>
        <w:sectPr>
          <w:pgSz w:w="11910" w:h="16850"/>
          <w:pgMar w:header="731" w:footer="981" w:top="1040" w:bottom="1180" w:left="1000" w:right="0"/>
        </w:sectPr>
      </w:pPr>
    </w:p>
    <w:p>
      <w:pPr>
        <w:spacing w:line="240" w:lineRule="auto" w:before="4"/>
        <w:rPr>
          <w:rFonts w:ascii="宋体" w:hAnsi="宋体" w:cs="宋体" w:eastAsia="宋体" w:hint="default"/>
          <w:sz w:val="28"/>
          <w:szCs w:val="28"/>
        </w:rPr>
      </w:pPr>
    </w:p>
    <w:p>
      <w:pPr>
        <w:pStyle w:val="BodyText"/>
        <w:spacing w:line="240" w:lineRule="auto" w:before="44"/>
        <w:ind w:left="0" w:right="1111"/>
        <w:jc w:val="right"/>
      </w:pPr>
      <w:r>
        <w:rPr>
          <w:rFonts w:ascii="宋体" w:hAnsi="宋体" w:cs="宋体" w:eastAsia="宋体" w:hint="default"/>
        </w:rPr>
        <w:t>3</w:t>
      </w:r>
      <w:r>
        <w:rPr>
          <w:spacing w:val="-76"/>
        </w:rPr>
        <w:t>、</w:t>
      </w:r>
      <w:r>
        <w:rPr/>
        <w:t>本公司于</w:t>
      </w:r>
      <w:r>
        <w:rPr>
          <w:spacing w:val="-44"/>
        </w:rPr>
        <w:t> </w:t>
      </w:r>
      <w:r>
        <w:rPr>
          <w:rFonts w:ascii="宋体" w:hAnsi="宋体" w:cs="宋体" w:eastAsia="宋体" w:hint="default"/>
        </w:rPr>
        <w:t>2019</w:t>
      </w:r>
      <w:r>
        <w:rPr>
          <w:rFonts w:ascii="宋体" w:hAnsi="宋体" w:cs="宋体" w:eastAsia="宋体" w:hint="default"/>
          <w:spacing w:val="-45"/>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27</w:t>
      </w:r>
      <w:r>
        <w:rPr>
          <w:rFonts w:ascii="宋体" w:hAnsi="宋体" w:cs="宋体" w:eastAsia="宋体" w:hint="default"/>
          <w:spacing w:val="-45"/>
        </w:rPr>
        <w:t> </w:t>
      </w:r>
      <w:r>
        <w:rPr/>
        <w:t>日与中国农业银行股份有限公司深圳光明支行签订合同编号为</w:t>
      </w:r>
      <w:r>
        <w:rPr>
          <w:spacing w:val="-39"/>
        </w:rPr>
        <w:t> </w:t>
      </w:r>
      <w:r>
        <w:rPr>
          <w:rFonts w:ascii="宋体" w:hAnsi="宋体" w:cs="宋体" w:eastAsia="宋体" w:hint="default"/>
        </w:rPr>
        <w:t>81200201900043595</w:t>
      </w:r>
      <w:r>
        <w:rPr>
          <w:rFonts w:ascii="宋体" w:hAnsi="宋体" w:cs="宋体" w:eastAsia="宋体" w:hint="default"/>
          <w:spacing w:val="-43"/>
        </w:rPr>
        <w:t> </w:t>
      </w:r>
      <w:r>
        <w:rPr/>
        <w:t>号的授</w:t>
      </w:r>
    </w:p>
    <w:p>
      <w:pPr>
        <w:pStyle w:val="BodyText"/>
        <w:spacing w:line="367" w:lineRule="auto" w:before="125"/>
        <w:ind w:right="1123"/>
        <w:jc w:val="left"/>
      </w:pPr>
      <w:r>
        <w:rPr>
          <w:spacing w:val="-3"/>
        </w:rPr>
        <w:t>信协议，授信额度为人民币伍仟万元整。授信期间为</w:t>
      </w:r>
      <w:r>
        <w:rPr>
          <w:spacing w:val="-39"/>
        </w:rPr>
        <w:t> </w:t>
      </w:r>
      <w:r>
        <w:rPr>
          <w:rFonts w:ascii="宋体" w:hAnsi="宋体" w:cs="宋体" w:eastAsia="宋体" w:hint="default"/>
        </w:rPr>
        <w:t>2019</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27</w:t>
      </w:r>
      <w:r>
        <w:rPr>
          <w:rFonts w:ascii="宋体" w:hAnsi="宋体" w:cs="宋体" w:eastAsia="宋体" w:hint="default"/>
          <w:spacing w:val="-44"/>
        </w:rPr>
        <w:t> </w:t>
      </w:r>
      <w:r>
        <w:rPr/>
        <w:t>日至</w:t>
      </w:r>
      <w:r>
        <w:rPr>
          <w:spacing w:val="-44"/>
        </w:rPr>
        <w:t> </w:t>
      </w:r>
      <w:r>
        <w:rPr>
          <w:rFonts w:ascii="宋体" w:hAnsi="宋体" w:cs="宋体" w:eastAsia="宋体" w:hint="default"/>
        </w:rPr>
        <w:t>2020</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4"/>
        </w:rPr>
        <w:t> </w:t>
      </w:r>
      <w:r>
        <w:rPr>
          <w:rFonts w:ascii="宋体" w:hAnsi="宋体" w:cs="宋体" w:eastAsia="宋体" w:hint="default"/>
        </w:rPr>
        <w:t>26</w:t>
      </w:r>
      <w:r>
        <w:rPr>
          <w:rFonts w:ascii="宋体" w:hAnsi="宋体" w:cs="宋体" w:eastAsia="宋体" w:hint="default"/>
          <w:spacing w:val="-44"/>
        </w:rPr>
        <w:t> </w:t>
      </w:r>
      <w:r>
        <w:rPr>
          <w:spacing w:val="-3"/>
        </w:rPr>
        <w:t>日。其额度包括但不限于短期贷</w:t>
      </w:r>
      <w:r>
        <w:rPr/>
        <w:t> 款、商业汇票承兑、商业汇票贴现等。</w:t>
      </w:r>
    </w:p>
    <w:p>
      <w:pPr>
        <w:pStyle w:val="Heading6"/>
        <w:spacing w:line="240" w:lineRule="auto" w:before="59"/>
        <w:ind w:right="0"/>
        <w:jc w:val="left"/>
        <w:rPr>
          <w:b w:val="0"/>
          <w:bCs w:val="0"/>
        </w:rPr>
      </w:pPr>
      <w:r>
        <w:rPr/>
        <w:t>（二）股东股权质押</w:t>
      </w:r>
      <w:r>
        <w:rPr>
          <w:rFonts w:ascii="宋体" w:hAnsi="宋体" w:cs="宋体" w:eastAsia="宋体" w:hint="default"/>
        </w:rPr>
        <w:t>/</w:t>
      </w:r>
      <w:r>
        <w:rPr/>
        <w:t>冻结事项</w:t>
      </w:r>
      <w:r>
        <w:rPr>
          <w:b w:val="0"/>
          <w:bCs w:val="0"/>
        </w:rPr>
      </w:r>
    </w:p>
    <w:p>
      <w:pPr>
        <w:spacing w:line="240" w:lineRule="auto" w:before="13"/>
        <w:rPr>
          <w:rFonts w:ascii="宋体" w:hAnsi="宋体" w:cs="宋体" w:eastAsia="宋体" w:hint="default"/>
          <w:b/>
          <w:bCs/>
          <w:sz w:val="12"/>
          <w:szCs w:val="12"/>
        </w:rPr>
      </w:pPr>
    </w:p>
    <w:p>
      <w:pPr>
        <w:pStyle w:val="BodyText"/>
        <w:spacing w:line="367" w:lineRule="auto"/>
        <w:ind w:right="1127" w:firstLine="360"/>
        <w:jc w:val="both"/>
      </w:pPr>
      <w:r>
        <w:rPr/>
        <w:t>截止</w:t>
      </w:r>
      <w:r>
        <w:rPr>
          <w:spacing w:val="-42"/>
        </w:rPr>
        <w:t> </w:t>
      </w:r>
      <w:r>
        <w:rPr>
          <w:rFonts w:ascii="宋体" w:hAnsi="宋体" w:cs="宋体" w:eastAsia="宋体" w:hint="default"/>
        </w:rPr>
        <w:t>2019</w:t>
      </w:r>
      <w:r>
        <w:rPr>
          <w:rFonts w:ascii="宋体" w:hAnsi="宋体" w:cs="宋体" w:eastAsia="宋体" w:hint="default"/>
          <w:spacing w:val="-42"/>
        </w:rPr>
        <w:t> </w:t>
      </w:r>
      <w:r>
        <w:rPr/>
        <w:t>年</w:t>
      </w:r>
      <w:r>
        <w:rPr>
          <w:spacing w:val="-42"/>
        </w:rPr>
        <w:t> </w:t>
      </w:r>
      <w:r>
        <w:rPr>
          <w:rFonts w:ascii="宋体" w:hAnsi="宋体" w:cs="宋体" w:eastAsia="宋体" w:hint="default"/>
          <w:spacing w:val="7"/>
        </w:rPr>
        <w:t>12</w:t>
      </w:r>
      <w:r>
        <w:rPr>
          <w:rFonts w:ascii="宋体" w:hAnsi="宋体" w:cs="宋体" w:eastAsia="宋体" w:hint="default"/>
          <w:spacing w:val="-42"/>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t>日，公司实际控制人夏传武累计质押股份</w:t>
      </w:r>
      <w:r>
        <w:rPr>
          <w:spacing w:val="-38"/>
        </w:rPr>
        <w:t> </w:t>
      </w:r>
      <w:r>
        <w:rPr>
          <w:rFonts w:ascii="宋体" w:hAnsi="宋体" w:cs="宋体" w:eastAsia="宋体" w:hint="default"/>
        </w:rPr>
        <w:t>95,753,930</w:t>
      </w:r>
      <w:r>
        <w:rPr>
          <w:rFonts w:ascii="宋体" w:hAnsi="宋体" w:cs="宋体" w:eastAsia="宋体" w:hint="default"/>
          <w:spacing w:val="-41"/>
        </w:rPr>
        <w:t> </w:t>
      </w:r>
      <w:r>
        <w:rPr/>
        <w:t>股，占公司总股本的</w:t>
      </w:r>
      <w:r>
        <w:rPr>
          <w:spacing w:val="-40"/>
        </w:rPr>
        <w:t> </w:t>
      </w:r>
      <w:r>
        <w:rPr>
          <w:rFonts w:ascii="宋体" w:hAnsi="宋体" w:cs="宋体" w:eastAsia="宋体" w:hint="default"/>
        </w:rPr>
        <w:t>16.57%</w:t>
      </w:r>
      <w:r>
        <w:rPr/>
        <w:t>，占其持有公 司股份总数的 </w:t>
      </w:r>
      <w:r>
        <w:rPr>
          <w:rFonts w:ascii="宋体" w:hAnsi="宋体" w:cs="宋体" w:eastAsia="宋体" w:hint="default"/>
        </w:rPr>
        <w:t>98.39%</w:t>
      </w:r>
      <w:r>
        <w:rPr/>
        <w:t>。其累计被冻结的公司股份为 </w:t>
      </w:r>
      <w:r>
        <w:rPr>
          <w:rFonts w:ascii="宋体" w:hAnsi="宋体" w:cs="宋体" w:eastAsia="宋体" w:hint="default"/>
        </w:rPr>
        <w:t>97,317,172 </w:t>
      </w:r>
      <w:r>
        <w:rPr/>
        <w:t>股，占公司总股本的 </w:t>
      </w:r>
      <w:r>
        <w:rPr>
          <w:rFonts w:ascii="宋体" w:hAnsi="宋体" w:cs="宋体" w:eastAsia="宋体" w:hint="default"/>
        </w:rPr>
        <w:t>16.84%</w:t>
      </w:r>
      <w:r>
        <w:rPr/>
        <w:t>，占其持有公司股份总数的 </w:t>
      </w:r>
      <w:r>
        <w:rPr>
          <w:rFonts w:ascii="宋体" w:hAnsi="宋体" w:cs="宋体" w:eastAsia="宋体" w:hint="default"/>
        </w:rPr>
        <w:t>100.00%</w:t>
      </w:r>
      <w:r>
        <w:rPr/>
        <w:t>。</w:t>
      </w:r>
    </w:p>
    <w:p>
      <w:pPr>
        <w:spacing w:line="240" w:lineRule="auto" w:before="2"/>
        <w:rPr>
          <w:rFonts w:ascii="宋体" w:hAnsi="宋体" w:cs="宋体" w:eastAsia="宋体" w:hint="default"/>
          <w:sz w:val="23"/>
          <w:szCs w:val="23"/>
        </w:rPr>
      </w:pPr>
    </w:p>
    <w:p>
      <w:pPr>
        <w:pStyle w:val="Heading5"/>
        <w:spacing w:line="240" w:lineRule="auto"/>
        <w:ind w:right="0"/>
        <w:jc w:val="left"/>
        <w:rPr>
          <w:b w:val="0"/>
          <w:bCs w:val="0"/>
        </w:rPr>
      </w:pPr>
      <w:bookmarkStart w:name="十七、母公司财务报表主要项目注释" w:id="529"/>
      <w:bookmarkEnd w:id="529"/>
      <w:r>
        <w:rPr>
          <w:b w:val="0"/>
          <w:bCs w:val="0"/>
        </w:rPr>
      </w:r>
      <w:r>
        <w:rPr>
          <w:spacing w:val="5"/>
        </w:rPr>
        <w:t>十七、母公司财务报表主要项目注释</w:t>
      </w:r>
      <w:r>
        <w:rPr>
          <w:b w:val="0"/>
          <w:bCs w:val="0"/>
          <w:spacing w:val="5"/>
        </w:rPr>
      </w:r>
    </w:p>
    <w:p>
      <w:pPr>
        <w:spacing w:line="240" w:lineRule="auto" w:before="0"/>
        <w:rPr>
          <w:rFonts w:ascii="宋体" w:hAnsi="宋体" w:cs="宋体" w:eastAsia="宋体" w:hint="default"/>
          <w:b/>
          <w:bCs/>
          <w:sz w:val="28"/>
          <w:szCs w:val="28"/>
        </w:rPr>
      </w:pPr>
    </w:p>
    <w:p>
      <w:pPr>
        <w:pStyle w:val="Heading5"/>
        <w:spacing w:line="240" w:lineRule="auto"/>
        <w:ind w:right="0"/>
        <w:jc w:val="left"/>
        <w:rPr>
          <w:b w:val="0"/>
          <w:bCs w:val="0"/>
        </w:rPr>
      </w:pPr>
      <w:bookmarkStart w:name="1、应收账款" w:id="530"/>
      <w:bookmarkEnd w:id="530"/>
      <w:r>
        <w:rPr>
          <w:b w:val="0"/>
          <w:bCs w:val="0"/>
        </w:rPr>
      </w:r>
      <w:r>
        <w:rPr>
          <w:rFonts w:ascii="Times New Roman" w:hAnsi="Times New Roman" w:cs="Times New Roman" w:eastAsia="Times New Roman" w:hint="default"/>
          <w:spacing w:val="5"/>
        </w:rPr>
        <w:t>1</w:t>
      </w:r>
      <w:r>
        <w:rPr>
          <w:spacing w:val="5"/>
        </w:rPr>
        <w:t>、应收账款</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应收账款分类披露" w:id="531"/>
      <w:bookmarkEnd w:id="531"/>
      <w:r>
        <w:rPr>
          <w:b w:val="0"/>
          <w:bCs w:val="0"/>
        </w:rPr>
      </w:r>
      <w:r>
        <w:rPr>
          <w:spacing w:val="5"/>
        </w:rPr>
        <w:t>（</w:t>
      </w:r>
      <w:r>
        <w:rPr>
          <w:rFonts w:ascii="Times New Roman" w:hAnsi="Times New Roman" w:cs="Times New Roman" w:eastAsia="Times New Roman" w:hint="default"/>
          <w:spacing w:val="5"/>
        </w:rPr>
        <w:t>1</w:t>
      </w:r>
      <w:r>
        <w:rPr>
          <w:spacing w:val="5"/>
        </w:rPr>
        <w:t>）应收账款分类披露</w:t>
      </w:r>
      <w:r>
        <w:rPr>
          <w:b w:val="0"/>
          <w:bCs w:val="0"/>
          <w:spacing w:val="5"/>
        </w:rPr>
      </w:r>
    </w:p>
    <w:p>
      <w:pPr>
        <w:spacing w:line="240" w:lineRule="auto" w:before="7"/>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73"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80"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210"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8"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11,250,0</w:t>
            </w:r>
          </w:p>
          <w:p>
            <w:pPr>
              <w:pStyle w:val="TableParagraph"/>
              <w:spacing w:line="240" w:lineRule="auto" w:before="93"/>
              <w:ind w:left="307" w:right="0"/>
              <w:jc w:val="left"/>
              <w:rPr>
                <w:rFonts w:ascii="Times New Roman" w:hAnsi="Times New Roman" w:cs="Times New Roman" w:eastAsia="Times New Roman" w:hint="default"/>
                <w:sz w:val="18"/>
                <w:szCs w:val="18"/>
              </w:rPr>
            </w:pPr>
            <w:r>
              <w:rPr>
                <w:rFonts w:ascii="Times New Roman"/>
                <w:sz w:val="18"/>
              </w:rPr>
              <w:t>90.57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1.42%</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11,250,0</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90.57</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11,044,86</w:t>
            </w:r>
          </w:p>
          <w:p>
            <w:pPr>
              <w:pStyle w:val="TableParagraph"/>
              <w:spacing w:line="240" w:lineRule="auto" w:before="93"/>
              <w:ind w:left="420" w:right="0"/>
              <w:jc w:val="left"/>
              <w:rPr>
                <w:rFonts w:ascii="Times New Roman" w:hAnsi="Times New Roman" w:cs="Times New Roman" w:eastAsia="Times New Roman" w:hint="default"/>
                <w:sz w:val="18"/>
                <w:szCs w:val="18"/>
              </w:rPr>
            </w:pPr>
            <w:r>
              <w:rPr>
                <w:rFonts w:ascii="Times New Roman"/>
                <w:sz w:val="18"/>
              </w:rPr>
              <w:t>3.97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11,044,86</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3.97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783,516,</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786.51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98.58%</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1,947,01</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3.63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0.25%</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781,569,7</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72.88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529,877,1</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48.85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97.96%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1,235,998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.99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0.23%</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528,641,14</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9.86</w:t>
            </w: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389,377,</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446.11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48.99%</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1,947,01</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3.63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0.50%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387,430,4</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32.48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198,134,8</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96.77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36.63%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1,235,998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.99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0.62%</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196,898,89</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7.78</w:t>
            </w: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应收集团内公司款 项</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394,139,</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340.40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49.59%</w:t>
            </w: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394,139,3</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40.40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331,742,2</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52.08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61.33%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331,742,25</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2.08</w:t>
            </w:r>
          </w:p>
        </w:tc>
      </w:tr>
      <w:tr>
        <w:trPr>
          <w:trHeight w:val="7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794,766,</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877.08</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13,197,1</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04.20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1.66%</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781,569,7</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72.88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540,922,0</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12.82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12,280,86</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2.96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2.27%</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528,641,14</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9.86</w:t>
            </w:r>
          </w:p>
        </w:tc>
      </w:tr>
    </w:tbl>
    <w:p>
      <w:pPr>
        <w:pStyle w:val="BodyText"/>
        <w:spacing w:line="240" w:lineRule="auto" w:before="59"/>
        <w:ind w:right="0"/>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11,250,090.57</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5,044,863.97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5,044,863.97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75"/>
              <w:jc w:val="left"/>
              <w:rPr>
                <w:rFonts w:ascii="宋体" w:hAnsi="宋体" w:cs="宋体" w:eastAsia="宋体" w:hint="default"/>
                <w:sz w:val="18"/>
                <w:szCs w:val="18"/>
              </w:rPr>
            </w:pPr>
            <w:r>
              <w:rPr>
                <w:rFonts w:ascii="宋体" w:hAnsi="宋体" w:cs="宋体" w:eastAsia="宋体" w:hint="default"/>
                <w:sz w:val="18"/>
                <w:szCs w:val="18"/>
              </w:rPr>
              <w:t>产品质量存在争议，收 回机率较低。</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6,000,000.00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45"/>
              <w:jc w:val="center"/>
              <w:rPr>
                <w:rFonts w:ascii="宋体" w:hAnsi="宋体" w:cs="宋体" w:eastAsia="宋体" w:hint="default"/>
                <w:sz w:val="18"/>
                <w:szCs w:val="18"/>
              </w:rPr>
            </w:pPr>
            <w:r>
              <w:rPr>
                <w:rFonts w:ascii="宋体" w:hAnsi="宋体" w:cs="宋体" w:eastAsia="宋体" w:hint="default"/>
                <w:sz w:val="18"/>
                <w:szCs w:val="18"/>
              </w:rPr>
              <w:t>产品质量存在争议，收</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60" w:hRule="exact"/>
        </w:trPr>
        <w:tc>
          <w:tcPr>
            <w:tcW w:w="1922"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回机率较低。</w:t>
            </w:r>
          </w:p>
        </w:tc>
      </w:tr>
      <w:tr>
        <w:trPr>
          <w:trHeight w:val="72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205,226.60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205,226.60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31" w:right="0"/>
              <w:jc w:val="left"/>
              <w:rPr>
                <w:rFonts w:ascii="Times New Roman" w:hAnsi="Times New Roman" w:cs="Times New Roman" w:eastAsia="Times New Roman" w:hint="default"/>
                <w:sz w:val="18"/>
                <w:szCs w:val="18"/>
              </w:rPr>
            </w:pPr>
            <w:r>
              <w:rPr>
                <w:rFonts w:ascii="Times New Roman"/>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75"/>
              <w:jc w:val="left"/>
              <w:rPr>
                <w:rFonts w:ascii="宋体" w:hAnsi="宋体" w:cs="宋体" w:eastAsia="宋体" w:hint="default"/>
                <w:sz w:val="18"/>
                <w:szCs w:val="18"/>
              </w:rPr>
            </w:pPr>
            <w:r>
              <w:rPr>
                <w:rFonts w:ascii="宋体" w:hAnsi="宋体" w:cs="宋体" w:eastAsia="宋体" w:hint="default"/>
                <w:sz w:val="18"/>
                <w:szCs w:val="18"/>
              </w:rPr>
              <w:t>因客户资金及财务状况 危机，暂无能力支付。</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11,250,090.57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11,250,090.57</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0"/>
        <w:jc w:val="left"/>
      </w:pPr>
      <w:r>
        <w:rPr/>
        <w:t>按单项计提坏账准备：</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9"/>
        <w:ind w:right="0"/>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1,947,013.63</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1"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780,767,943.41</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223,018.27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22,301.83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25.00%</w:t>
            </w:r>
            <w:r>
              <w:rPr>
                <w:rFonts w:ascii="Times New Roman"/>
                <w:sz w:val="18"/>
              </w:rPr>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319,826.89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159,913.45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50.00%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2,205,997.94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1,764,798.35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80.00%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783,516,786.51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1,947,013.63</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0" w:lineRule="auto" w:before="45"/>
        <w:ind w:right="8769"/>
        <w:jc w:val="left"/>
      </w:pPr>
      <w:r>
        <w:rPr/>
        <w:t>确定该组合依据的说明： 按组合计提坏账准备：</w:t>
      </w:r>
    </w:p>
    <w:p>
      <w:pPr>
        <w:pStyle w:val="BodyText"/>
        <w:spacing w:line="240" w:lineRule="auto" w:before="42"/>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2" w:lineRule="auto" w:before="44"/>
        <w:ind w:right="1749"/>
        <w:jc w:val="left"/>
      </w:pPr>
      <w:r>
        <w:rPr/>
        <w:t>确定该组合依据的说明： 如是按照预期信用损失一般模型计提应收账款坏账准备，请参照其他应收款的披露方式披露坏账准备的相关信息：</w:t>
      </w:r>
    </w:p>
    <w:p>
      <w:pPr>
        <w:pStyle w:val="BodyText"/>
        <w:spacing w:line="333" w:lineRule="auto" w:before="40"/>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4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781,885,562.05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月</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781,662,543.78</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月</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223,018.27</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5,046,461.84</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7,834,853.19</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7,834,853.19</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95"/>
              <w:jc w:val="righ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794,766,877.08</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本期计提、收回或转回的坏账准备情况" w:id="532"/>
      <w:bookmarkEnd w:id="532"/>
      <w:r>
        <w:rPr>
          <w:b w:val="0"/>
          <w:bCs w:val="0"/>
        </w:rPr>
      </w:r>
      <w:r>
        <w:rPr>
          <w:spacing w:val="5"/>
        </w:rPr>
        <w:t>（</w:t>
      </w:r>
      <w:r>
        <w:rPr>
          <w:rFonts w:ascii="Times New Roman" w:hAnsi="Times New Roman" w:cs="Times New Roman" w:eastAsia="Times New Roman" w:hint="default"/>
          <w:spacing w:val="5"/>
        </w:rPr>
        <w:t>2</w:t>
      </w:r>
      <w:r>
        <w:rPr>
          <w:spacing w:val="5"/>
        </w:rPr>
        <w:t>）本期计提、收回或转回的坏账准备情况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0"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应收账款坏账准 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12,280,862.96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916,241.24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13,197,104.20</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12,280,862.96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5" w:right="0"/>
              <w:jc w:val="left"/>
              <w:rPr>
                <w:rFonts w:ascii="Times New Roman" w:hAnsi="Times New Roman" w:cs="Times New Roman" w:eastAsia="Times New Roman" w:hint="default"/>
                <w:sz w:val="18"/>
                <w:szCs w:val="18"/>
              </w:rPr>
            </w:pPr>
            <w:r>
              <w:rPr>
                <w:rFonts w:ascii="Times New Roman"/>
                <w:sz w:val="18"/>
              </w:rPr>
              <w:t>916,241.24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13,197,104.20</w:t>
            </w:r>
          </w:p>
        </w:tc>
      </w:tr>
    </w:tbl>
    <w:p>
      <w:pPr>
        <w:pStyle w:val="BodyText"/>
        <w:spacing w:line="240" w:lineRule="auto" w:before="44"/>
        <w:ind w:right="0"/>
        <w:jc w:val="left"/>
      </w:pPr>
      <w:r>
        <w:rPr/>
        <w:t>其中本期坏账准备收回或转回金额重要的：</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79"/>
        <w:gridCol w:w="3094"/>
        <w:gridCol w:w="3109"/>
      </w:tblGrid>
      <w:tr>
        <w:trPr>
          <w:trHeight w:val="390" w:hRule="exact"/>
        </w:trPr>
        <w:tc>
          <w:tcPr>
            <w:tcW w:w="33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3）本期实际核销的应收账款情况" w:id="533"/>
      <w:bookmarkEnd w:id="533"/>
      <w:r>
        <w:rPr>
          <w:b w:val="0"/>
          <w:bCs w:val="0"/>
        </w:rPr>
      </w:r>
      <w:r>
        <w:rPr>
          <w:spacing w:val="5"/>
        </w:rPr>
        <w:t>（</w:t>
      </w:r>
      <w:r>
        <w:rPr>
          <w:rFonts w:ascii="Times New Roman" w:hAnsi="Times New Roman" w:cs="Times New Roman" w:eastAsia="Times New Roman" w:hint="default"/>
          <w:spacing w:val="5"/>
        </w:rPr>
        <w:t>3</w:t>
      </w:r>
      <w:r>
        <w:rPr>
          <w:spacing w:val="5"/>
        </w:rPr>
        <w:t>）本期实际核销的应收账款情况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986"/>
        <w:gridCol w:w="4596"/>
      </w:tblGrid>
      <w:tr>
        <w:trPr>
          <w:trHeight w:val="391"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4"/>
        <w:ind w:right="0"/>
        <w:jc w:val="left"/>
      </w:pPr>
      <w:r>
        <w:rPr/>
        <w:t>其中重要的应收账款核销情况：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5"/>
        <w:ind w:right="0"/>
        <w:jc w:val="left"/>
      </w:pPr>
      <w:r>
        <w:rPr/>
        <w:t>应收账款核销说明：</w:t>
      </w:r>
    </w:p>
    <w:p>
      <w:pPr>
        <w:spacing w:line="240" w:lineRule="auto" w:before="0"/>
        <w:rPr>
          <w:rFonts w:ascii="宋体" w:hAnsi="宋体" w:cs="宋体" w:eastAsia="宋体" w:hint="default"/>
          <w:sz w:val="18"/>
          <w:szCs w:val="18"/>
        </w:rPr>
      </w:pPr>
    </w:p>
    <w:p>
      <w:pPr>
        <w:pStyle w:val="Heading5"/>
        <w:spacing w:line="240" w:lineRule="auto" w:before="148"/>
        <w:ind w:right="0"/>
        <w:jc w:val="left"/>
        <w:rPr>
          <w:b w:val="0"/>
          <w:bCs w:val="0"/>
        </w:rPr>
      </w:pPr>
      <w:bookmarkStart w:name="（4）按欠款方归集的期末余额前五名的应收账款情况" w:id="534"/>
      <w:bookmarkEnd w:id="534"/>
      <w:r>
        <w:rPr>
          <w:b w:val="0"/>
          <w:bCs w:val="0"/>
        </w:rPr>
      </w:r>
      <w:r>
        <w:rPr>
          <w:spacing w:val="5"/>
        </w:rPr>
        <w:t>（</w:t>
      </w:r>
      <w:r>
        <w:rPr>
          <w:rFonts w:ascii="Times New Roman" w:hAnsi="Times New Roman" w:cs="Times New Roman" w:eastAsia="Times New Roman" w:hint="default"/>
          <w:spacing w:val="5"/>
        </w:rPr>
        <w:t>4</w:t>
      </w:r>
      <w:r>
        <w:rPr>
          <w:spacing w:val="5"/>
        </w:rPr>
        <w:t>）按欠款方归集的期末余额前五名的应收账款情况</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915" w:right="105" w:hanging="811"/>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213,978,745.83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26.92%</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189,601,868.38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23.86%</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95,473,269.75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12.01%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84,191,137.49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10.59%</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81,139,218.49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10.21%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2" w:type="dxa"/>
        <w:tblLayout w:type="fixed"/>
        <w:tblCellMar>
          <w:top w:w="0" w:type="dxa"/>
          <w:left w:w="0" w:type="dxa"/>
          <w:bottom w:w="0" w:type="dxa"/>
          <w:right w:w="0" w:type="dxa"/>
        </w:tblCellMar>
        <w:tblLook w:val="01E0"/>
      </w:tblPr>
      <w:tblGrid>
        <w:gridCol w:w="2384"/>
        <w:gridCol w:w="2411"/>
        <w:gridCol w:w="2388"/>
        <w:gridCol w:w="2403"/>
      </w:tblGrid>
      <w:tr>
        <w:trPr>
          <w:trHeight w:val="390" w:hRule="exact"/>
        </w:trPr>
        <w:tc>
          <w:tcPr>
            <w:tcW w:w="23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1246" w:right="0"/>
              <w:jc w:val="left"/>
              <w:rPr>
                <w:rFonts w:ascii="Times New Roman" w:hAnsi="Times New Roman" w:cs="Times New Roman" w:eastAsia="Times New Roman" w:hint="default"/>
                <w:sz w:val="18"/>
                <w:szCs w:val="18"/>
              </w:rPr>
            </w:pPr>
            <w:r>
              <w:rPr>
                <w:rFonts w:ascii="Times New Roman"/>
                <w:sz w:val="18"/>
              </w:rPr>
              <w:t>664,384,239.94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83.59%</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r>
        <w:rPr/>
        <w:pict>
          <v:group style="position:absolute;margin-left:57.075001pt;margin-top:49.365726pt;width:458.85pt;height:5.3pt;mso-position-horizontal-relative:page;mso-position-vertical-relative:paragraph;z-index:-1268320" coordorigin="1142,987" coordsize="9177,106">
            <v:shape style="position:absolute;left:1142;top:987;width:3274;height:106" type="#_x0000_t75" stroked="false">
              <v:imagedata r:id="rId29" o:title=""/>
            </v:shape>
            <v:shape style="position:absolute;left:4378;top:1078;width:2966;height:15" type="#_x0000_t75" stroked="false">
              <v:imagedata r:id="rId30" o:title=""/>
            </v:shape>
            <v:shape style="position:absolute;left:7337;top:1078;width:2982;height:15" type="#_x0000_t75" stroked="false">
              <v:imagedata r:id="rId31" o:title=""/>
            </v:shape>
            <w10:wrap type="none"/>
          </v:group>
        </w:pict>
      </w:r>
      <w:bookmarkStart w:name="（5）因金融资产转移而终止确认的应收账款" w:id="535"/>
      <w:bookmarkEnd w:id="535"/>
      <w:r>
        <w:rPr>
          <w:b w:val="0"/>
          <w:bCs w:val="0"/>
        </w:rPr>
      </w:r>
      <w:r>
        <w:rPr>
          <w:spacing w:val="5"/>
        </w:rPr>
        <w:t>（</w:t>
      </w:r>
      <w:r>
        <w:rPr>
          <w:rFonts w:ascii="Times New Roman" w:hAnsi="Times New Roman" w:cs="Times New Roman" w:eastAsia="Times New Roman" w:hint="default"/>
          <w:spacing w:val="5"/>
        </w:rPr>
        <w:t>5</w:t>
      </w:r>
      <w:r>
        <w:rPr>
          <w:spacing w:val="5"/>
        </w:rPr>
        <w:t>）因金融资产转移而终止确认的应收账款</w:t>
      </w:r>
      <w:r>
        <w:rPr>
          <w:b w:val="0"/>
          <w:bCs w:val="0"/>
          <w:spacing w:val="5"/>
        </w:rPr>
      </w: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266"/>
        <w:gridCol w:w="2959"/>
        <w:gridCol w:w="2966"/>
      </w:tblGrid>
      <w:tr>
        <w:trPr>
          <w:trHeight w:val="315" w:hRule="exact"/>
        </w:trPr>
        <w:tc>
          <w:tcPr>
            <w:tcW w:w="3266" w:type="dxa"/>
            <w:tcBorders>
              <w:top w:val="single" w:sz="12" w:space="0" w:color="000000"/>
              <w:left w:val="nil" w:sz="6" w:space="0" w:color="auto"/>
              <w:bottom w:val="nil" w:sz="6" w:space="0" w:color="auto"/>
              <w:right w:val="single" w:sz="6" w:space="0" w:color="000000"/>
            </w:tcBorders>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金融资产转移方式</w:t>
            </w:r>
          </w:p>
        </w:tc>
        <w:tc>
          <w:tcPr>
            <w:tcW w:w="2959"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终止确认的应收账款金额</w:t>
            </w:r>
          </w:p>
        </w:tc>
        <w:tc>
          <w:tcPr>
            <w:tcW w:w="2966" w:type="dxa"/>
            <w:tcBorders>
              <w:top w:val="single" w:sz="12" w:space="0" w:color="000000"/>
              <w:left w:val="single" w:sz="6" w:space="0" w:color="000000"/>
              <w:bottom w:val="nil" w:sz="6" w:space="0" w:color="auto"/>
              <w:right w:val="nil" w:sz="6" w:space="0" w:color="auto"/>
            </w:tcBorders>
          </w:tcPr>
          <w:p>
            <w:pPr>
              <w:pStyle w:val="TableParagraph"/>
              <w:spacing w:line="240" w:lineRule="auto" w:before="44"/>
              <w:ind w:left="571" w:right="0"/>
              <w:jc w:val="left"/>
              <w:rPr>
                <w:rFonts w:ascii="宋体" w:hAnsi="宋体" w:cs="宋体" w:eastAsia="宋体" w:hint="default"/>
                <w:sz w:val="18"/>
                <w:szCs w:val="18"/>
              </w:rPr>
            </w:pPr>
            <w:r>
              <w:rPr>
                <w:rFonts w:ascii="宋体" w:hAnsi="宋体" w:cs="宋体" w:eastAsia="宋体" w:hint="default"/>
                <w:sz w:val="18"/>
                <w:szCs w:val="18"/>
              </w:rPr>
              <w:t>与终止确认相关的损失</w:t>
            </w:r>
          </w:p>
        </w:tc>
      </w:tr>
      <w:tr>
        <w:trPr>
          <w:trHeight w:val="511" w:hRule="exact"/>
        </w:trPr>
        <w:tc>
          <w:tcPr>
            <w:tcW w:w="3266" w:type="dxa"/>
            <w:tcBorders>
              <w:top w:val="nil" w:sz="6" w:space="0" w:color="auto"/>
              <w:left w:val="nil" w:sz="6" w:space="0" w:color="auto"/>
              <w:bottom w:val="nil" w:sz="6" w:space="0" w:color="auto"/>
              <w:right w:val="single" w:sz="6" w:space="0" w:color="000000"/>
            </w:tcBorders>
          </w:tcPr>
          <w:p>
            <w:pPr>
              <w:pStyle w:val="TableParagraph"/>
              <w:spacing w:line="240" w:lineRule="auto" w:before="150"/>
              <w:ind w:left="120" w:right="0"/>
              <w:jc w:val="left"/>
              <w:rPr>
                <w:rFonts w:ascii="宋体" w:hAnsi="宋体" w:cs="宋体" w:eastAsia="宋体" w:hint="default"/>
                <w:sz w:val="18"/>
                <w:szCs w:val="18"/>
              </w:rPr>
            </w:pPr>
            <w:r>
              <w:rPr>
                <w:rFonts w:ascii="宋体" w:hAnsi="宋体" w:cs="宋体" w:eastAsia="宋体" w:hint="default"/>
                <w:sz w:val="18"/>
                <w:szCs w:val="18"/>
              </w:rPr>
              <w:t>应收账款保理</w:t>
            </w:r>
          </w:p>
        </w:tc>
        <w:tc>
          <w:tcPr>
            <w:tcW w:w="2959" w:type="dxa"/>
            <w:tcBorders>
              <w:top w:val="nil" w:sz="6" w:space="0" w:color="auto"/>
              <w:left w:val="single" w:sz="6" w:space="0" w:color="000000"/>
              <w:bottom w:val="nil" w:sz="6" w:space="0" w:color="auto"/>
              <w:right w:val="single" w:sz="6" w:space="0" w:color="000000"/>
            </w:tcBorders>
          </w:tcPr>
          <w:p>
            <w:pPr>
              <w:pStyle w:val="TableParagraph"/>
              <w:spacing w:line="240" w:lineRule="auto" w:before="150"/>
              <w:ind w:right="89"/>
              <w:jc w:val="right"/>
              <w:rPr>
                <w:rFonts w:ascii="宋体" w:hAnsi="宋体" w:cs="宋体" w:eastAsia="宋体" w:hint="default"/>
                <w:sz w:val="18"/>
                <w:szCs w:val="18"/>
              </w:rPr>
            </w:pPr>
            <w:r>
              <w:rPr>
                <w:rFonts w:ascii="宋体"/>
                <w:sz w:val="18"/>
              </w:rPr>
              <w:t>62,888,956.47</w:t>
            </w:r>
          </w:p>
        </w:tc>
        <w:tc>
          <w:tcPr>
            <w:tcW w:w="2966" w:type="dxa"/>
            <w:tcBorders>
              <w:top w:val="nil" w:sz="6" w:space="0" w:color="auto"/>
              <w:left w:val="single" w:sz="6" w:space="0" w:color="000000"/>
              <w:bottom w:val="nil" w:sz="6" w:space="0" w:color="auto"/>
              <w:right w:val="nil" w:sz="6" w:space="0" w:color="auto"/>
            </w:tcBorders>
          </w:tcPr>
          <w:p>
            <w:pPr>
              <w:pStyle w:val="TableParagraph"/>
              <w:spacing w:line="240" w:lineRule="auto" w:before="150"/>
              <w:ind w:right="104"/>
              <w:jc w:val="right"/>
              <w:rPr>
                <w:rFonts w:ascii="宋体" w:hAnsi="宋体" w:cs="宋体" w:eastAsia="宋体" w:hint="default"/>
                <w:sz w:val="18"/>
                <w:szCs w:val="18"/>
              </w:rPr>
            </w:pPr>
            <w:r>
              <w:rPr>
                <w:rFonts w:ascii="宋体"/>
                <w:sz w:val="18"/>
              </w:rPr>
              <w:t>840,705.97</w:t>
            </w:r>
          </w:p>
        </w:tc>
      </w:tr>
      <w:tr>
        <w:trPr>
          <w:trHeight w:val="405" w:hRule="exact"/>
        </w:trPr>
        <w:tc>
          <w:tcPr>
            <w:tcW w:w="3266" w:type="dxa"/>
            <w:tcBorders>
              <w:top w:val="nil" w:sz="6" w:space="0" w:color="auto"/>
              <w:left w:val="nil" w:sz="6" w:space="0" w:color="auto"/>
              <w:bottom w:val="single" w:sz="12" w:space="0" w:color="000000"/>
              <w:right w:val="single" w:sz="6" w:space="0" w:color="000000"/>
            </w:tcBorders>
          </w:tcPr>
          <w:p>
            <w:pPr>
              <w:pStyle w:val="TableParagraph"/>
              <w:spacing w:line="240" w:lineRule="auto" w:before="45"/>
              <w:ind w:left="104"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959"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30"/>
              <w:ind w:right="89"/>
              <w:jc w:val="right"/>
              <w:rPr>
                <w:rFonts w:ascii="宋体" w:hAnsi="宋体" w:cs="宋体" w:eastAsia="宋体" w:hint="default"/>
                <w:sz w:val="18"/>
                <w:szCs w:val="18"/>
              </w:rPr>
            </w:pPr>
            <w:r>
              <w:rPr>
                <w:rFonts w:ascii="宋体"/>
                <w:sz w:val="18"/>
              </w:rPr>
              <w:t>62,888,956.47</w:t>
            </w:r>
          </w:p>
        </w:tc>
        <w:tc>
          <w:tcPr>
            <w:tcW w:w="2966" w:type="dxa"/>
            <w:tcBorders>
              <w:top w:val="nil" w:sz="6" w:space="0" w:color="auto"/>
              <w:left w:val="single" w:sz="6" w:space="0" w:color="000000"/>
              <w:bottom w:val="single" w:sz="12" w:space="0" w:color="000000"/>
              <w:right w:val="nil" w:sz="6" w:space="0" w:color="auto"/>
            </w:tcBorders>
          </w:tcPr>
          <w:p>
            <w:pPr>
              <w:pStyle w:val="TableParagraph"/>
              <w:spacing w:line="240" w:lineRule="auto" w:before="30"/>
              <w:ind w:right="104"/>
              <w:jc w:val="right"/>
              <w:rPr>
                <w:rFonts w:ascii="宋体" w:hAnsi="宋体" w:cs="宋体" w:eastAsia="宋体" w:hint="default"/>
                <w:sz w:val="18"/>
                <w:szCs w:val="18"/>
              </w:rPr>
            </w:pPr>
            <w:r>
              <w:rPr>
                <w:rFonts w:ascii="宋体"/>
                <w:sz w:val="18"/>
              </w:rPr>
              <w:t>840,705.97</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pStyle w:val="Heading5"/>
        <w:spacing w:line="240" w:lineRule="auto" w:before="45"/>
        <w:ind w:right="0"/>
        <w:jc w:val="left"/>
        <w:rPr>
          <w:b w:val="0"/>
          <w:bCs w:val="0"/>
        </w:rPr>
      </w:pPr>
      <w:r>
        <w:rPr/>
        <w:pict>
          <v:group style="position:absolute;margin-left:57.075001pt;margin-top:-57.224266pt;width:458.85pt;height:5.25pt;mso-position-horizontal-relative:page;mso-position-vertical-relative:paragraph;z-index:-1268296" coordorigin="1142,-1144" coordsize="9177,105">
            <v:shape style="position:absolute;left:1142;top:-1144;width:3274;height:105" type="#_x0000_t75" stroked="false">
              <v:imagedata r:id="rId32" o:title=""/>
            </v:shape>
            <v:shape style="position:absolute;left:4378;top:-1054;width:2966;height:15" type="#_x0000_t75" stroked="false">
              <v:imagedata r:id="rId30" o:title=""/>
            </v:shape>
            <v:shape style="position:absolute;left:7337;top:-1054;width:2982;height:15" type="#_x0000_t75" stroked="false">
              <v:imagedata r:id="rId31" o:title=""/>
            </v:shape>
            <w10:wrap type="none"/>
          </v:group>
        </w:pict>
      </w:r>
      <w:bookmarkStart w:name="（6）转移应收账款且继续涉入形成的资产、负债金额" w:id="536"/>
      <w:bookmarkEnd w:id="536"/>
      <w:r>
        <w:rPr>
          <w:b w:val="0"/>
          <w:bCs w:val="0"/>
        </w:rPr>
      </w:r>
      <w:r>
        <w:rPr>
          <w:spacing w:val="5"/>
        </w:rPr>
        <w:t>（</w:t>
      </w:r>
      <w:r>
        <w:rPr>
          <w:rFonts w:ascii="Times New Roman" w:hAnsi="Times New Roman" w:cs="Times New Roman" w:eastAsia="Times New Roman" w:hint="default"/>
          <w:spacing w:val="5"/>
        </w:rPr>
        <w:t>6</w:t>
      </w:r>
      <w:r>
        <w:rPr>
          <w:spacing w:val="5"/>
        </w:rPr>
        <w:t>）转移应收账款且继续涉入形成的资产、负债金额</w:t>
      </w:r>
      <w:r>
        <w:rPr>
          <w:b w:val="0"/>
          <w:bCs w:val="0"/>
          <w:spacing w:val="5"/>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0"/>
        <w:jc w:val="left"/>
        <w:rPr>
          <w:b w:val="0"/>
          <w:bCs w:val="0"/>
        </w:rPr>
      </w:pPr>
      <w:bookmarkStart w:name="2、其他应收款" w:id="537"/>
      <w:bookmarkEnd w:id="537"/>
      <w:r>
        <w:rPr>
          <w:b w:val="0"/>
          <w:bCs w:val="0"/>
        </w:rPr>
      </w:r>
      <w:r>
        <w:rPr>
          <w:rFonts w:ascii="Times New Roman" w:hAnsi="Times New Roman" w:cs="Times New Roman" w:eastAsia="Times New Roman" w:hint="default"/>
          <w:spacing w:val="4"/>
        </w:rPr>
        <w:t>2</w:t>
      </w:r>
      <w:r>
        <w:rPr>
          <w:spacing w:val="4"/>
        </w:rPr>
        <w:t>、其他应收款</w:t>
      </w:r>
      <w:r>
        <w:rPr>
          <w:b w:val="0"/>
          <w:bCs w:val="0"/>
          <w:spacing w:val="4"/>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108,017.04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324,236.89</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1,033,473,962.88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934,956,633.52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1,033,581,979.92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935,280,870.41</w:t>
            </w:r>
          </w:p>
        </w:tc>
      </w:tr>
    </w:tbl>
    <w:p>
      <w:pPr>
        <w:spacing w:line="240" w:lineRule="auto" w:before="9"/>
        <w:rPr>
          <w:rFonts w:ascii="宋体" w:hAnsi="宋体" w:cs="宋体" w:eastAsia="宋体" w:hint="default"/>
          <w:sz w:val="19"/>
          <w:szCs w:val="19"/>
        </w:rPr>
      </w:pPr>
    </w:p>
    <w:p>
      <w:pPr>
        <w:pStyle w:val="Heading5"/>
        <w:spacing w:line="561" w:lineRule="auto" w:before="45"/>
        <w:ind w:right="9129"/>
        <w:jc w:val="left"/>
        <w:rPr>
          <w:b w:val="0"/>
          <w:bCs w:val="0"/>
        </w:rPr>
      </w:pPr>
      <w:bookmarkStart w:name="（1）应收利息" w:id="538"/>
      <w:bookmarkEnd w:id="538"/>
      <w:r>
        <w:rPr>
          <w:b w:val="0"/>
          <w:bCs w:val="0"/>
        </w:rPr>
      </w:r>
      <w:r>
        <w:rPr>
          <w:spacing w:val="5"/>
        </w:rPr>
        <w:t>（</w:t>
      </w:r>
      <w:r>
        <w:rPr>
          <w:rFonts w:ascii="Times New Roman" w:hAnsi="Times New Roman" w:cs="Times New Roman" w:eastAsia="Times New Roman" w:hint="default"/>
          <w:spacing w:val="5"/>
        </w:rPr>
        <w:t>1</w:t>
      </w:r>
      <w:r>
        <w:rPr>
          <w:spacing w:val="5"/>
        </w:rPr>
        <w:t>）应收利息</w:t>
      </w:r>
      <w:r>
        <w:rPr>
          <w:spacing w:val="-65"/>
        </w:rPr>
        <w:t> </w:t>
      </w:r>
      <w:r>
        <w:rPr>
          <w:spacing w:val="-65"/>
        </w:rPr>
      </w:r>
      <w:bookmarkStart w:name="1）应收利息分类" w:id="539"/>
      <w:bookmarkEnd w:id="539"/>
      <w:r>
        <w:rPr>
          <w:spacing w:val="-65"/>
        </w:rPr>
      </w:r>
      <w:r>
        <w:rPr>
          <w:rFonts w:ascii="Times New Roman" w:hAnsi="Times New Roman" w:cs="Times New Roman" w:eastAsia="Times New Roman" w:hint="default"/>
          <w:spacing w:val="4"/>
        </w:rPr>
        <w:t>1</w:t>
      </w:r>
      <w:r>
        <w:rPr>
          <w:spacing w:val="4"/>
        </w:rPr>
        <w:t>）应收利息分类</w:t>
      </w:r>
      <w:r>
        <w:rPr>
          <w:b w:val="0"/>
          <w:bCs w:val="0"/>
          <w:spacing w:val="4"/>
        </w:rPr>
      </w:r>
    </w:p>
    <w:p>
      <w:pPr>
        <w:pStyle w:val="BodyText"/>
        <w:spacing w:line="240" w:lineRule="auto" w:before="67"/>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闲置资金利息</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108,017.04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324,236.89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108,017.04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324,236.89</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重要逾期利息" w:id="540"/>
      <w:bookmarkEnd w:id="540"/>
      <w:r>
        <w:rPr>
          <w:b w:val="0"/>
          <w:bCs w:val="0"/>
        </w:rPr>
      </w:r>
      <w:r>
        <w:rPr>
          <w:rFonts w:ascii="Times New Roman" w:hAnsi="Times New Roman" w:cs="Times New Roman" w:eastAsia="Times New Roman" w:hint="default"/>
          <w:spacing w:val="4"/>
        </w:rPr>
        <w:t>2</w:t>
      </w:r>
      <w:r>
        <w:rPr>
          <w:spacing w:val="4"/>
        </w:rPr>
        <w:t>）重要逾期利息</w:t>
      </w:r>
      <w:r>
        <w:rPr>
          <w:b w:val="0"/>
          <w:bCs w:val="0"/>
          <w:spacing w:val="4"/>
        </w:rPr>
      </w: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3）坏账准备计提情况" w:id="541"/>
      <w:bookmarkEnd w:id="541"/>
      <w:r>
        <w:rPr>
          <w:b w:val="0"/>
          <w:bCs w:val="0"/>
        </w:rPr>
      </w:r>
      <w:r>
        <w:rPr>
          <w:rFonts w:ascii="Times New Roman" w:hAnsi="Times New Roman" w:cs="Times New Roman" w:eastAsia="Times New Roman" w:hint="default"/>
          <w:spacing w:val="4"/>
        </w:rPr>
        <w:t>3</w:t>
      </w:r>
      <w:r>
        <w:rPr>
          <w:spacing w:val="4"/>
        </w:rPr>
        <w:t>）坏账准备计提情况</w:t>
      </w:r>
      <w:r>
        <w:rPr>
          <w:b w:val="0"/>
          <w:bCs w:val="0"/>
          <w:spacing w:val="4"/>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7"/>
          <w:szCs w:val="27"/>
        </w:rPr>
      </w:pPr>
    </w:p>
    <w:p>
      <w:pPr>
        <w:pStyle w:val="Heading5"/>
        <w:spacing w:line="547" w:lineRule="auto" w:before="45"/>
        <w:ind w:right="9129"/>
        <w:jc w:val="left"/>
        <w:rPr>
          <w:b w:val="0"/>
          <w:bCs w:val="0"/>
        </w:rPr>
      </w:pPr>
      <w:bookmarkStart w:name="（2）应收股利" w:id="542"/>
      <w:bookmarkEnd w:id="542"/>
      <w:r>
        <w:rPr>
          <w:b w:val="0"/>
          <w:bCs w:val="0"/>
        </w:rPr>
      </w:r>
      <w:r>
        <w:rPr>
          <w:spacing w:val="5"/>
        </w:rPr>
        <w:t>（</w:t>
      </w:r>
      <w:r>
        <w:rPr>
          <w:rFonts w:ascii="Times New Roman" w:hAnsi="Times New Roman" w:cs="Times New Roman" w:eastAsia="Times New Roman" w:hint="default"/>
          <w:spacing w:val="5"/>
        </w:rPr>
        <w:t>2</w:t>
      </w:r>
      <w:r>
        <w:rPr>
          <w:spacing w:val="5"/>
        </w:rPr>
        <w:t>）应收股利</w:t>
      </w:r>
      <w:r>
        <w:rPr>
          <w:spacing w:val="-65"/>
        </w:rPr>
        <w:t> </w:t>
      </w:r>
      <w:r>
        <w:rPr>
          <w:spacing w:val="-65"/>
        </w:rPr>
      </w:r>
      <w:bookmarkStart w:name="1）应收股利分类" w:id="543"/>
      <w:bookmarkEnd w:id="543"/>
      <w:r>
        <w:rPr>
          <w:spacing w:val="-65"/>
        </w:rPr>
      </w:r>
      <w:r>
        <w:rPr>
          <w:rFonts w:ascii="Times New Roman" w:hAnsi="Times New Roman" w:cs="Times New Roman" w:eastAsia="Times New Roman" w:hint="default"/>
          <w:spacing w:val="4"/>
        </w:rPr>
        <w:t>1</w:t>
      </w:r>
      <w:r>
        <w:rPr>
          <w:spacing w:val="4"/>
        </w:rPr>
        <w:t>）应收股利分类</w:t>
      </w:r>
      <w:r>
        <w:rPr>
          <w:b w:val="0"/>
          <w:bCs w:val="0"/>
          <w:spacing w:val="4"/>
        </w:rPr>
      </w:r>
    </w:p>
    <w:p>
      <w:pPr>
        <w:pStyle w:val="BodyText"/>
        <w:spacing w:line="240" w:lineRule="auto" w:before="7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重要的账龄超过1年的应收股利" w:id="544"/>
      <w:bookmarkEnd w:id="544"/>
      <w:r>
        <w:rPr>
          <w:b w:val="0"/>
          <w:bCs w:val="0"/>
        </w:rPr>
      </w:r>
      <w:r>
        <w:rPr>
          <w:rFonts w:ascii="Times New Roman" w:hAnsi="Times New Roman" w:cs="Times New Roman" w:eastAsia="Times New Roman" w:hint="default"/>
          <w:spacing w:val="5"/>
        </w:rPr>
        <w:t>2</w:t>
      </w:r>
      <w:r>
        <w:rPr>
          <w:spacing w:val="5"/>
        </w:rPr>
        <w:t>）重要的账龄超过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spacing w:val="4"/>
        </w:rPr>
        <w:t>年的应收股利</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3）坏账准备计提情况" w:id="545"/>
      <w:bookmarkEnd w:id="545"/>
      <w:r>
        <w:rPr>
          <w:b w:val="0"/>
          <w:bCs w:val="0"/>
        </w:rPr>
      </w:r>
      <w:r>
        <w:rPr>
          <w:rFonts w:ascii="Times New Roman" w:hAnsi="Times New Roman" w:cs="Times New Roman" w:eastAsia="Times New Roman" w:hint="default"/>
          <w:spacing w:val="4"/>
        </w:rPr>
        <w:t>3</w:t>
      </w:r>
      <w:r>
        <w:rPr>
          <w:spacing w:val="4"/>
        </w:rPr>
        <w:t>）坏账准备计提情况</w:t>
      </w:r>
      <w:r>
        <w:rPr>
          <w:b w:val="0"/>
          <w:bCs w:val="0"/>
          <w:spacing w:val="4"/>
        </w:rPr>
      </w:r>
    </w:p>
    <w:p>
      <w:pPr>
        <w:spacing w:line="240" w:lineRule="auto" w:before="11"/>
        <w:rPr>
          <w:rFonts w:ascii="宋体" w:hAnsi="宋体" w:cs="宋体" w:eastAsia="宋体" w:hint="default"/>
          <w:b/>
          <w:bCs/>
          <w:sz w:val="27"/>
          <w:szCs w:val="27"/>
        </w:rPr>
      </w:pPr>
    </w:p>
    <w:p>
      <w:pPr>
        <w:pStyle w:val="BodyText"/>
        <w:spacing w:line="331"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1"/>
        <w:rPr>
          <w:rFonts w:ascii="宋体" w:hAnsi="宋体" w:cs="宋体" w:eastAsia="宋体" w:hint="default"/>
          <w:sz w:val="24"/>
          <w:szCs w:val="24"/>
        </w:rPr>
      </w:pPr>
    </w:p>
    <w:p>
      <w:pPr>
        <w:pStyle w:val="Heading5"/>
        <w:spacing w:line="547" w:lineRule="auto"/>
        <w:ind w:right="6789"/>
        <w:jc w:val="left"/>
        <w:rPr>
          <w:b w:val="0"/>
          <w:bCs w:val="0"/>
        </w:rPr>
      </w:pPr>
      <w:bookmarkStart w:name="（3）其他应收款" w:id="546"/>
      <w:bookmarkEnd w:id="546"/>
      <w:r>
        <w:rPr>
          <w:b w:val="0"/>
          <w:bCs w:val="0"/>
        </w:rPr>
      </w:r>
      <w:r>
        <w:rPr>
          <w:spacing w:val="4"/>
        </w:rPr>
        <w:t>（</w:t>
      </w:r>
      <w:r>
        <w:rPr>
          <w:rFonts w:ascii="Times New Roman" w:hAnsi="Times New Roman" w:cs="Times New Roman" w:eastAsia="Times New Roman" w:hint="default"/>
          <w:spacing w:val="4"/>
        </w:rPr>
        <w:t>3</w:t>
      </w:r>
      <w:r>
        <w:rPr>
          <w:spacing w:val="4"/>
        </w:rPr>
        <w:t>）其他应收款</w:t>
      </w:r>
      <w:r>
        <w:rPr>
          <w:spacing w:val="-58"/>
        </w:rPr>
        <w:t> </w:t>
      </w:r>
      <w:r>
        <w:rPr>
          <w:spacing w:val="-58"/>
        </w:rPr>
      </w:r>
      <w:bookmarkStart w:name="1）其他应收款按款项性质分类情况" w:id="547"/>
      <w:bookmarkEnd w:id="547"/>
      <w:r>
        <w:rPr>
          <w:spacing w:val="-58"/>
        </w:rPr>
      </w:r>
      <w:r>
        <w:rPr>
          <w:rFonts w:ascii="Times New Roman" w:hAnsi="Times New Roman" w:cs="Times New Roman" w:eastAsia="Times New Roman" w:hint="default"/>
          <w:spacing w:val="5"/>
        </w:rPr>
        <w:t>1</w:t>
      </w:r>
      <w:r>
        <w:rPr>
          <w:spacing w:val="5"/>
        </w:rPr>
        <w:t>）其他应收款按款项性质分类情况</w:t>
      </w:r>
      <w:r>
        <w:rPr>
          <w:b w:val="0"/>
          <w:bCs w:val="0"/>
          <w:spacing w:val="5"/>
        </w:rPr>
      </w:r>
    </w:p>
    <w:p>
      <w:pPr>
        <w:pStyle w:val="BodyText"/>
        <w:spacing w:line="240" w:lineRule="auto" w:before="7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13,854,631.08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5,201,991.08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4,610,146.71</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代垫（付款）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473,811.64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1,060,724.58</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合并范围内关联方往来款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1,013,537,266.95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925,412,191.76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1,435,023.94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4,666,111.39</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1,033,910,880.32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936,341,018.81</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坏账准备计提情况" w:id="548"/>
      <w:bookmarkEnd w:id="548"/>
      <w:r>
        <w:rPr>
          <w:b w:val="0"/>
          <w:bCs w:val="0"/>
        </w:rPr>
      </w:r>
      <w:r>
        <w:rPr>
          <w:rFonts w:ascii="Times New Roman" w:hAnsi="Times New Roman" w:cs="Times New Roman" w:eastAsia="Times New Roman" w:hint="default"/>
          <w:spacing w:val="4"/>
        </w:rPr>
        <w:t>2</w:t>
      </w:r>
      <w:r>
        <w:rPr>
          <w:spacing w:val="4"/>
        </w:rPr>
        <w:t>）坏账准备计提情况</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15"/>
        <w:gridCol w:w="1652"/>
        <w:gridCol w:w="2103"/>
        <w:gridCol w:w="2102"/>
        <w:gridCol w:w="1802"/>
      </w:tblGrid>
      <w:tr>
        <w:trPr>
          <w:trHeight w:val="405"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5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19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7"/>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vMerge w:val="restart"/>
            <w:tcBorders>
              <w:top w:val="single" w:sz="6" w:space="0" w:color="000000"/>
              <w:left w:val="single" w:sz="6" w:space="0" w:color="000000"/>
              <w:right w:val="single" w:sz="6" w:space="0" w:color="000000"/>
            </w:tcBorders>
            <w:shd w:val="clear" w:color="auto" w:fill="D2D2D2"/>
          </w:tcPr>
          <w:p>
            <w:pPr>
              <w:pStyle w:val="TableParagraph"/>
              <w:spacing w:line="276" w:lineRule="auto" w:before="59"/>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68"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652"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645" w:right="0"/>
              <w:jc w:val="left"/>
              <w:rPr>
                <w:rFonts w:ascii="Times New Roman" w:hAnsi="Times New Roman" w:cs="Times New Roman" w:eastAsia="Times New Roman" w:hint="default"/>
                <w:sz w:val="18"/>
                <w:szCs w:val="18"/>
              </w:rPr>
            </w:pPr>
            <w:r>
              <w:rPr>
                <w:rFonts w:ascii="Times New Roman"/>
                <w:sz w:val="18"/>
              </w:rPr>
              <w:t>1,384,385.29</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26" w:right="0"/>
              <w:jc w:val="left"/>
              <w:rPr>
                <w:rFonts w:ascii="Times New Roman" w:hAnsi="Times New Roman" w:cs="Times New Roman" w:eastAsia="Times New Roman" w:hint="default"/>
                <w:sz w:val="18"/>
                <w:szCs w:val="18"/>
              </w:rPr>
            </w:pPr>
            <w:r>
              <w:rPr>
                <w:rFonts w:ascii="Times New Roman"/>
                <w:sz w:val="18"/>
              </w:rPr>
              <w:t>1,384,385.29</w:t>
            </w:r>
          </w:p>
        </w:tc>
      </w:tr>
      <w:tr>
        <w:trPr>
          <w:trHeight w:val="158" w:hRule="exact"/>
        </w:trPr>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44"/>
              <w:ind w:left="7"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15" w:type="dxa"/>
            <w:vMerge/>
            <w:tcBorders>
              <w:left w:val="single" w:sz="6" w:space="0" w:color="000000"/>
              <w:right w:val="single" w:sz="6" w:space="0" w:color="000000"/>
            </w:tcBorders>
            <w:shd w:val="clear" w:color="auto" w:fill="D2D2D2"/>
          </w:tcPr>
          <w:p>
            <w:pPr/>
          </w:p>
        </w:tc>
        <w:tc>
          <w:tcPr>
            <w:tcW w:w="165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915"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6" w:space="0" w:color="000000"/>
              <w:left w:val="single" w:sz="6" w:space="0" w:color="000000"/>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205,649.86</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205,649.86</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1,153,117.71</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1,153,117.71</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231,267.58</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205,649.86</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436,917.44</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before="44"/>
        <w:ind w:right="-20"/>
        <w:jc w:val="left"/>
      </w:pPr>
      <w:r>
        <w:rPr/>
        <w:t>损失准备本期变动金额重大的账面余额变动情况</w:t>
      </w:r>
    </w:p>
    <w:p>
      <w:pPr>
        <w:pStyle w:val="BodyText"/>
        <w:spacing w:line="331" w:lineRule="auto" w:before="125"/>
        <w:ind w:right="1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 元</w:t>
      </w:r>
    </w:p>
    <w:p>
      <w:pPr>
        <w:spacing w:after="0" w:line="240" w:lineRule="auto"/>
        <w:jc w:val="left"/>
        <w:sectPr>
          <w:type w:val="continuous"/>
          <w:pgSz w:w="11910" w:h="16850"/>
          <w:pgMar w:top="1040" w:bottom="1180" w:left="1000" w:right="0"/>
          <w:cols w:num="2" w:equalWidth="0">
            <w:col w:w="3922" w:space="4924"/>
            <w:col w:w="206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370,277,390.50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408,372,346.53</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155,785,242.62</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99,475,900.67</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99,017,565.73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458,334.94</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1,033,910,880.32</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3）本期计提、收回或转回的坏账准备情况" w:id="549"/>
      <w:bookmarkEnd w:id="549"/>
      <w:r>
        <w:rPr>
          <w:b w:val="0"/>
          <w:bCs w:val="0"/>
        </w:rPr>
      </w:r>
      <w:r>
        <w:rPr>
          <w:rFonts w:ascii="Times New Roman" w:hAnsi="Times New Roman" w:cs="Times New Roman" w:eastAsia="Times New Roman" w:hint="default"/>
          <w:spacing w:val="5"/>
        </w:rPr>
        <w:t>3</w:t>
      </w:r>
      <w:r>
        <w:rPr>
          <w:spacing w:val="5"/>
        </w:rPr>
        <w:t>）本期计提、收回或转回的坏账准备情况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77"/>
        <w:gridCol w:w="1096"/>
        <w:gridCol w:w="1337"/>
        <w:gridCol w:w="1321"/>
        <w:gridCol w:w="1097"/>
        <w:gridCol w:w="1577"/>
        <w:gridCol w:w="1577"/>
      </w:tblGrid>
      <w:tr>
        <w:trPr>
          <w:trHeight w:val="405" w:hRule="exact"/>
        </w:trPr>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577" w:type="dxa"/>
            <w:vMerge/>
            <w:tcBorders>
              <w:left w:val="single" w:sz="6" w:space="0" w:color="000000"/>
              <w:bottom w:val="single" w:sz="6" w:space="0" w:color="000000"/>
              <w:right w:val="single" w:sz="6" w:space="0" w:color="000000"/>
            </w:tcBorders>
            <w:shd w:val="clear" w:color="auto" w:fill="D2D2D2"/>
          </w:tcPr>
          <w:p>
            <w:pPr/>
          </w:p>
        </w:tc>
        <w:tc>
          <w:tcPr>
            <w:tcW w:w="1096"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计提</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577"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05"/>
              <w:jc w:val="left"/>
              <w:rPr>
                <w:rFonts w:ascii="宋体" w:hAnsi="宋体" w:cs="宋体" w:eastAsia="宋体" w:hint="default"/>
                <w:sz w:val="18"/>
                <w:szCs w:val="18"/>
              </w:rPr>
            </w:pPr>
            <w:r>
              <w:rPr>
                <w:rFonts w:ascii="宋体" w:hAnsi="宋体" w:cs="宋体" w:eastAsia="宋体" w:hint="default"/>
                <w:sz w:val="18"/>
                <w:szCs w:val="18"/>
              </w:rPr>
              <w:t>其他应收款坏账准 备</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1,384,385.29</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947,467.85</w:t>
            </w:r>
          </w:p>
        </w:tc>
        <w:tc>
          <w:tcPr>
            <w:tcW w:w="109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436,917.44</w:t>
            </w:r>
          </w:p>
        </w:tc>
      </w:tr>
      <w:tr>
        <w:trPr>
          <w:trHeight w:val="391"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96" w:right="0"/>
              <w:jc w:val="center"/>
              <w:rPr>
                <w:rFonts w:ascii="Times New Roman" w:hAnsi="Times New Roman" w:cs="Times New Roman" w:eastAsia="Times New Roman" w:hint="default"/>
                <w:sz w:val="18"/>
                <w:szCs w:val="18"/>
              </w:rPr>
            </w:pPr>
            <w:r>
              <w:rPr>
                <w:rFonts w:ascii="Times New Roman"/>
                <w:sz w:val="18"/>
              </w:rPr>
              <w:t>1,384,385.29</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947,467.85</w:t>
            </w:r>
          </w:p>
        </w:tc>
        <w:tc>
          <w:tcPr>
            <w:tcW w:w="109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436,917.44</w:t>
            </w:r>
          </w:p>
        </w:tc>
      </w:tr>
    </w:tbl>
    <w:p>
      <w:pPr>
        <w:pStyle w:val="BodyText"/>
        <w:spacing w:line="240" w:lineRule="auto" w:before="45"/>
        <w:ind w:right="0"/>
        <w:jc w:val="left"/>
      </w:pPr>
      <w:r>
        <w:rPr/>
        <w:t>其中本期坏账准备转回或收回金额重要的：</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4）本期实际核销的其他应收款情况" w:id="550"/>
      <w:bookmarkEnd w:id="550"/>
      <w:r>
        <w:rPr>
          <w:b w:val="0"/>
          <w:bCs w:val="0"/>
        </w:rPr>
      </w:r>
      <w:r>
        <w:rPr>
          <w:rFonts w:ascii="Times New Roman" w:hAnsi="Times New Roman" w:cs="Times New Roman" w:eastAsia="Times New Roman" w:hint="default"/>
          <w:spacing w:val="5"/>
        </w:rPr>
        <w:t>4</w:t>
      </w:r>
      <w:r>
        <w:rPr>
          <w:spacing w:val="5"/>
        </w:rPr>
        <w:t>）本期实际核销的其他应收款情况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5"/>
        <w:ind w:right="0"/>
        <w:jc w:val="left"/>
      </w:pPr>
      <w:r>
        <w:rPr/>
        <w:t>其中重要的其他应收款核销情况：</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21"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其他应收款核销说明：</w:t>
      </w:r>
    </w:p>
    <w:p>
      <w:pPr>
        <w:spacing w:line="240" w:lineRule="auto" w:before="0"/>
        <w:rPr>
          <w:rFonts w:ascii="宋体" w:hAnsi="宋体" w:cs="宋体" w:eastAsia="宋体" w:hint="default"/>
          <w:sz w:val="18"/>
          <w:szCs w:val="18"/>
        </w:rPr>
      </w:pPr>
    </w:p>
    <w:p>
      <w:pPr>
        <w:pStyle w:val="Heading5"/>
        <w:spacing w:line="240" w:lineRule="auto" w:before="147"/>
        <w:ind w:right="0"/>
        <w:jc w:val="left"/>
        <w:rPr>
          <w:b w:val="0"/>
          <w:bCs w:val="0"/>
        </w:rPr>
      </w:pPr>
      <w:bookmarkStart w:name="5）按欠款方归集的期末余额前五名的其他应收款情况" w:id="551"/>
      <w:bookmarkEnd w:id="551"/>
      <w:r>
        <w:rPr>
          <w:b w:val="0"/>
          <w:bCs w:val="0"/>
        </w:rPr>
      </w:r>
      <w:r>
        <w:rPr>
          <w:rFonts w:ascii="Times New Roman" w:hAnsi="Times New Roman" w:cs="Times New Roman" w:eastAsia="Times New Roman" w:hint="default"/>
          <w:spacing w:val="5"/>
        </w:rPr>
        <w:t>5</w:t>
      </w:r>
      <w:r>
        <w:rPr>
          <w:spacing w:val="5"/>
        </w:rPr>
        <w:t>）按欠款方归集的期末余额前五名的其他应收款情况</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21"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5" w:right="76"/>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0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0"/>
              <w:jc w:val="left"/>
              <w:rPr>
                <w:rFonts w:ascii="宋体" w:hAnsi="宋体" w:cs="宋体" w:eastAsia="宋体" w:hint="default"/>
                <w:sz w:val="18"/>
                <w:szCs w:val="18"/>
              </w:rPr>
            </w:pPr>
            <w:r>
              <w:rPr>
                <w:rFonts w:ascii="宋体" w:hAnsi="宋体" w:cs="宋体" w:eastAsia="宋体" w:hint="default"/>
                <w:sz w:val="18"/>
                <w:szCs w:val="18"/>
              </w:rPr>
              <w:t>天津卓达科技发展有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157,036,289.02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15.19%</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天津卓达科技发展有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211,700,000.00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20.48%</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天津卓达科技发展有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51,366,620.02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4.97%</w:t>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30"/>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157,416,517.40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15.22%</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深圳市卓翼智造有限 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190,890,670.08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18.46%</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0"/>
              <w:jc w:val="left"/>
              <w:rPr>
                <w:rFonts w:ascii="宋体" w:hAnsi="宋体" w:cs="宋体" w:eastAsia="宋体" w:hint="default"/>
                <w:sz w:val="18"/>
                <w:szCs w:val="18"/>
              </w:rPr>
            </w:pPr>
            <w:r>
              <w:rPr>
                <w:rFonts w:ascii="宋体" w:hAnsi="宋体" w:cs="宋体" w:eastAsia="宋体" w:hint="default"/>
                <w:sz w:val="18"/>
                <w:szCs w:val="18"/>
              </w:rPr>
              <w:t>深圳市卓大精密模具 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0.05%</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深圳市卓大精密模具 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2,689,918.79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0.26%</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深圳市卓大精密模具 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10,522,021.09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1.02%</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0"/>
              <w:jc w:val="left"/>
              <w:rPr>
                <w:rFonts w:ascii="宋体" w:hAnsi="宋体" w:cs="宋体" w:eastAsia="宋体" w:hint="default"/>
                <w:sz w:val="18"/>
                <w:szCs w:val="18"/>
              </w:rPr>
            </w:pPr>
            <w:r>
              <w:rPr>
                <w:rFonts w:ascii="宋体" w:hAnsi="宋体" w:cs="宋体" w:eastAsia="宋体" w:hint="default"/>
                <w:sz w:val="18"/>
                <w:szCs w:val="18"/>
              </w:rPr>
              <w:t>深圳市卓大精密模具 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94,074,259.73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9.10%</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深圳市中广物联科技 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0.10%</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30"/>
              <w:jc w:val="left"/>
              <w:rPr>
                <w:rFonts w:ascii="宋体" w:hAnsi="宋体" w:cs="宋体" w:eastAsia="宋体" w:hint="default"/>
                <w:sz w:val="18"/>
                <w:szCs w:val="18"/>
              </w:rPr>
            </w:pPr>
            <w:r>
              <w:rPr>
                <w:rFonts w:ascii="宋体" w:hAnsi="宋体" w:cs="宋体" w:eastAsia="宋体" w:hint="default"/>
                <w:sz w:val="18"/>
                <w:szCs w:val="18"/>
              </w:rPr>
              <w:t>深圳市中广物联科技 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39,746.67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0.01%</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深圳市中广物联科技 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56,035,224.60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5.42%</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卓翼科技香港有限公 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2,763,041.01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个月</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0.26%</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0"/>
              <w:jc w:val="left"/>
              <w:rPr>
                <w:rFonts w:ascii="宋体" w:hAnsi="宋体" w:cs="宋体" w:eastAsia="宋体" w:hint="default"/>
                <w:sz w:val="18"/>
                <w:szCs w:val="18"/>
              </w:rPr>
            </w:pPr>
            <w:r>
              <w:rPr>
                <w:rFonts w:ascii="宋体" w:hAnsi="宋体" w:cs="宋体" w:eastAsia="宋体" w:hint="default"/>
                <w:sz w:val="18"/>
                <w:szCs w:val="18"/>
              </w:rPr>
              <w:t>卓翼科技香港有限公 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3,045,010.99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0.29%</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卓翼科技香港有限公 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27,292,419.26</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2.64%</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966,371,738.66</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93.47%</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5"/>
        <w:spacing w:line="240" w:lineRule="auto" w:before="45"/>
        <w:ind w:right="0"/>
        <w:jc w:val="left"/>
        <w:rPr>
          <w:b w:val="0"/>
          <w:bCs w:val="0"/>
        </w:rPr>
      </w:pPr>
      <w:bookmarkStart w:name="6）涉及政府补助的应收款项" w:id="552"/>
      <w:bookmarkEnd w:id="552"/>
      <w:r>
        <w:rPr>
          <w:b w:val="0"/>
          <w:bCs w:val="0"/>
        </w:rPr>
      </w:r>
      <w:r>
        <w:rPr>
          <w:rFonts w:ascii="Times New Roman" w:hAnsi="Times New Roman" w:cs="Times New Roman" w:eastAsia="Times New Roman" w:hint="default"/>
          <w:spacing w:val="4"/>
        </w:rPr>
        <w:t>6</w:t>
      </w:r>
      <w:r>
        <w:rPr>
          <w:spacing w:val="4"/>
        </w:rPr>
        <w:t>）涉及政府补助的应收款项</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027"/>
        <w:gridCol w:w="1863"/>
        <w:gridCol w:w="1877"/>
        <w:gridCol w:w="1862"/>
        <w:gridCol w:w="1952"/>
      </w:tblGrid>
      <w:tr>
        <w:trPr>
          <w:trHeight w:val="721" w:hRule="exact"/>
        </w:trPr>
        <w:tc>
          <w:tcPr>
            <w:tcW w:w="20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06" w:right="60"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7）因金融资产转移而终止确认的其他应收款" w:id="553"/>
      <w:bookmarkEnd w:id="553"/>
      <w:r>
        <w:rPr>
          <w:b w:val="0"/>
          <w:bCs w:val="0"/>
        </w:rPr>
      </w:r>
      <w:r>
        <w:rPr>
          <w:rFonts w:ascii="Times New Roman" w:hAnsi="Times New Roman" w:cs="Times New Roman" w:eastAsia="Times New Roman" w:hint="default"/>
          <w:spacing w:val="5"/>
        </w:rPr>
        <w:t>7</w:t>
      </w:r>
      <w:r>
        <w:rPr>
          <w:spacing w:val="5"/>
        </w:rPr>
        <w:t>）因金融资产转移而终止确认的其他应收款</w:t>
      </w:r>
      <w:r>
        <w:rPr>
          <w:b w:val="0"/>
          <w:bCs w:val="0"/>
          <w:spacing w:val="5"/>
        </w:rPr>
      </w:r>
    </w:p>
    <w:p>
      <w:pPr>
        <w:spacing w:line="240" w:lineRule="auto" w:before="13"/>
        <w:rPr>
          <w:rFonts w:ascii="宋体" w:hAnsi="宋体" w:cs="宋体" w:eastAsia="宋体" w:hint="default"/>
          <w:b/>
          <w:bCs/>
          <w:sz w:val="26"/>
          <w:szCs w:val="26"/>
        </w:rPr>
      </w:pPr>
    </w:p>
    <w:p>
      <w:pPr>
        <w:pStyle w:val="Heading5"/>
        <w:spacing w:line="240" w:lineRule="auto"/>
        <w:ind w:right="0"/>
        <w:jc w:val="left"/>
        <w:rPr>
          <w:b w:val="0"/>
          <w:bCs w:val="0"/>
        </w:rPr>
      </w:pPr>
      <w:bookmarkStart w:name="8）转移其他应收款且继续涉入形成的资产、负债金额" w:id="554"/>
      <w:bookmarkEnd w:id="554"/>
      <w:r>
        <w:rPr>
          <w:b w:val="0"/>
          <w:bCs w:val="0"/>
        </w:rPr>
      </w:r>
      <w:r>
        <w:rPr>
          <w:rFonts w:ascii="Times New Roman" w:hAnsi="Times New Roman" w:cs="Times New Roman" w:eastAsia="Times New Roman" w:hint="default"/>
          <w:spacing w:val="5"/>
        </w:rPr>
        <w:t>8</w:t>
      </w:r>
      <w:r>
        <w:rPr>
          <w:spacing w:val="5"/>
        </w:rPr>
        <w:t>）转移其他应收款且继续涉入形成的资产、负债金额</w:t>
      </w:r>
      <w:r>
        <w:rPr>
          <w:b w:val="0"/>
          <w:bCs w:val="0"/>
          <w:spacing w:val="5"/>
        </w:rPr>
      </w:r>
    </w:p>
    <w:p>
      <w:pPr>
        <w:spacing w:line="240" w:lineRule="auto" w:before="7"/>
        <w:rPr>
          <w:rFonts w:ascii="宋体" w:hAnsi="宋体" w:cs="宋体" w:eastAsia="宋体" w:hint="default"/>
          <w:b/>
          <w:bCs/>
          <w:sz w:val="25"/>
          <w:szCs w:val="25"/>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5"/>
        <w:spacing w:line="240" w:lineRule="auto"/>
        <w:ind w:right="0"/>
        <w:jc w:val="left"/>
        <w:rPr>
          <w:b w:val="0"/>
          <w:bCs w:val="0"/>
        </w:rPr>
      </w:pPr>
      <w:bookmarkStart w:name="3、长期股权投资" w:id="555"/>
      <w:bookmarkEnd w:id="555"/>
      <w:r>
        <w:rPr>
          <w:b w:val="0"/>
          <w:bCs w:val="0"/>
        </w:rPr>
      </w:r>
      <w:r>
        <w:rPr>
          <w:rFonts w:ascii="Times New Roman" w:hAnsi="Times New Roman" w:cs="Times New Roman" w:eastAsia="Times New Roman" w:hint="default"/>
          <w:spacing w:val="4"/>
        </w:rPr>
        <w:t>3</w:t>
      </w:r>
      <w:r>
        <w:rPr>
          <w:spacing w:val="4"/>
        </w:rPr>
        <w:t>、长期股权投资</w:t>
      </w:r>
      <w:r>
        <w:rPr>
          <w:b w:val="0"/>
          <w:bCs w:val="0"/>
          <w:spacing w:val="4"/>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82"/>
        <w:gridCol w:w="1367"/>
        <w:gridCol w:w="1366"/>
        <w:gridCol w:w="1367"/>
        <w:gridCol w:w="1367"/>
      </w:tblGrid>
      <w:tr>
        <w:trPr>
          <w:trHeight w:val="390"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942,800,961.63</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942,800,961.63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929,665,948.29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929,665,948.29</w:t>
            </w:r>
          </w:p>
        </w:tc>
      </w:tr>
      <w:tr>
        <w:trPr>
          <w:trHeight w:val="72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68"/>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238,875.00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238,875.00</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942,800,961.63</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942,800,961.63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929,904,823.29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929,904,823.29</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1）对子公司投资" w:id="556"/>
      <w:bookmarkEnd w:id="556"/>
      <w:r>
        <w:rPr>
          <w:b w:val="0"/>
          <w:bCs w:val="0"/>
        </w:rPr>
      </w:r>
      <w:r>
        <w:rPr>
          <w:spacing w:val="5"/>
        </w:rPr>
        <w:t>（</w:t>
      </w:r>
      <w:r>
        <w:rPr>
          <w:rFonts w:ascii="Times New Roman" w:hAnsi="Times New Roman" w:cs="Times New Roman" w:eastAsia="Times New Roman" w:hint="default"/>
          <w:spacing w:val="5"/>
        </w:rPr>
        <w:t>1</w:t>
      </w:r>
      <w:r>
        <w:rPr>
          <w:spacing w:val="5"/>
        </w:rPr>
        <w:t>）对子公司投资</w:t>
      </w:r>
      <w:r>
        <w:rPr>
          <w:b w:val="0"/>
          <w:bCs w:val="0"/>
          <w:spacing w:val="5"/>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405" w:hRule="exact"/>
        </w:trPr>
        <w:tc>
          <w:tcPr>
            <w:tcW w:w="126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72"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105"/>
              <w:ind w:left="285" w:right="88" w:hanging="181"/>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7"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105"/>
              <w:ind w:left="390" w:right="28"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420" w:right="59"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6" w:hRule="exact"/>
        </w:trPr>
        <w:tc>
          <w:tcPr>
            <w:tcW w:w="1262" w:type="dxa"/>
            <w:vMerge/>
            <w:tcBorders>
              <w:left w:val="single" w:sz="6" w:space="0" w:color="000000"/>
              <w:bottom w:val="single" w:sz="6" w:space="0" w:color="000000"/>
              <w:right w:val="single" w:sz="6" w:space="0" w:color="000000"/>
            </w:tcBorders>
            <w:shd w:val="clear" w:color="auto" w:fill="D2D2D2"/>
          </w:tcPr>
          <w:p>
            <w:pPr/>
          </w:p>
        </w:tc>
        <w:tc>
          <w:tcPr>
            <w:tcW w:w="1172" w:type="dxa"/>
            <w:vMerge/>
            <w:tcBorders>
              <w:left w:val="single" w:sz="6" w:space="0" w:color="000000"/>
              <w:bottom w:val="single" w:sz="6" w:space="0" w:color="000000"/>
              <w:right w:val="single" w:sz="6" w:space="0" w:color="000000"/>
            </w:tcBorders>
            <w:shd w:val="clear" w:color="auto" w:fill="D2D2D2"/>
          </w:tcPr>
          <w:p>
            <w:pP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7" w:type="dxa"/>
            <w:vMerge/>
            <w:tcBorders>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深圳市卓大精 密模具有限公 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64,868,119.57</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64,868,119.57</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深圳市中广物 联科技有限公 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10,049,367.55</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15,000,000.00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49,367.55</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both"/>
              <w:rPr>
                <w:rFonts w:ascii="宋体" w:hAnsi="宋体" w:cs="宋体" w:eastAsia="宋体" w:hint="default"/>
                <w:sz w:val="18"/>
                <w:szCs w:val="18"/>
              </w:rPr>
            </w:pPr>
            <w:r>
              <w:rPr>
                <w:rFonts w:ascii="宋体" w:hAnsi="宋体" w:cs="宋体" w:eastAsia="宋体" w:hint="default"/>
                <w:sz w:val="18"/>
                <w:szCs w:val="18"/>
              </w:rPr>
              <w:t>天津市卓达科 技发展有限公 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449,415,259.5</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437,937.46</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448,977,322.06</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28"/>
              <w:jc w:val="left"/>
              <w:rPr>
                <w:rFonts w:ascii="宋体" w:hAnsi="宋体" w:cs="宋体" w:eastAsia="宋体" w:hint="default"/>
                <w:sz w:val="18"/>
                <w:szCs w:val="18"/>
              </w:rPr>
            </w:pPr>
            <w:r>
              <w:rPr>
                <w:rFonts w:ascii="宋体" w:hAnsi="宋体" w:cs="宋体" w:eastAsia="宋体" w:hint="default"/>
                <w:sz w:val="18"/>
                <w:szCs w:val="18"/>
              </w:rPr>
              <w:t>卓翼科技</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745,520.00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745,520.00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
              <w:jc w:val="left"/>
              <w:rPr>
                <w:rFonts w:ascii="宋体" w:hAnsi="宋体" w:cs="宋体" w:eastAsia="宋体" w:hint="default"/>
                <w:sz w:val="18"/>
                <w:szCs w:val="18"/>
              </w:rPr>
            </w:pPr>
            <w:r>
              <w:rPr>
                <w:rFonts w:ascii="宋体" w:hAnsi="宋体" w:cs="宋体" w:eastAsia="宋体" w:hint="default"/>
                <w:sz w:val="18"/>
                <w:szCs w:val="18"/>
              </w:rPr>
              <w:t>中广互联（厦 </w:t>
            </w:r>
            <w:r>
              <w:rPr>
                <w:rFonts w:ascii="宋体" w:hAnsi="宋体" w:cs="宋体" w:eastAsia="宋体" w:hint="default"/>
                <w:spacing w:val="-7"/>
                <w:sz w:val="18"/>
                <w:szCs w:val="18"/>
              </w:rPr>
              <w:t>门）信息科技有</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297,572.90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297,572.90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36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深圳市卓翼智 造有限公司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251,080,108.7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1,080,108.75</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深圳市翼飞投 资有限公司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73,210,000.00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73,210,000.00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深圳市卓博机 器人有限公司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80,000,000.00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929,665,948.2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15,000,000.00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1,864,986.66</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942,800,961.63</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2）对联营、合营企业投资" w:id="557"/>
      <w:bookmarkEnd w:id="557"/>
      <w:r>
        <w:rPr>
          <w:b w:val="0"/>
          <w:bCs w:val="0"/>
        </w:rPr>
      </w:r>
      <w:r>
        <w:rPr>
          <w:spacing w:val="4"/>
        </w:rPr>
        <w:t>（</w:t>
      </w:r>
      <w:r>
        <w:rPr>
          <w:rFonts w:ascii="Times New Roman" w:hAnsi="Times New Roman" w:cs="Times New Roman" w:eastAsia="Times New Roman" w:hint="default"/>
          <w:spacing w:val="4"/>
        </w:rPr>
        <w:t>2</w:t>
      </w:r>
      <w:r>
        <w:rPr>
          <w:spacing w:val="4"/>
        </w:rPr>
        <w:t>）对联营、合营企业投资</w:t>
      </w:r>
      <w:r>
        <w:rPr>
          <w:b w:val="0"/>
          <w:bCs w:val="0"/>
          <w:spacing w:val="4"/>
        </w:rPr>
      </w:r>
    </w:p>
    <w:p>
      <w:pPr>
        <w:spacing w:line="240" w:lineRule="auto" w:before="4"/>
        <w:rPr>
          <w:rFonts w:ascii="宋体" w:hAnsi="宋体" w:cs="宋体" w:eastAsia="宋体" w:hint="default"/>
          <w:b/>
          <w:bCs/>
          <w:sz w:val="23"/>
          <w:szCs w:val="23"/>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391"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55"/>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36"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90"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52"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45"/>
              <w:jc w:val="both"/>
              <w:rPr>
                <w:rFonts w:ascii="宋体" w:hAnsi="宋体" w:cs="宋体" w:eastAsia="宋体" w:hint="default"/>
                <w:sz w:val="18"/>
                <w:szCs w:val="18"/>
              </w:rPr>
            </w:pPr>
            <w:r>
              <w:rPr>
                <w:rFonts w:ascii="宋体" w:hAnsi="宋体" w:cs="宋体" w:eastAsia="宋体" w:hint="default"/>
                <w:sz w:val="18"/>
                <w:szCs w:val="18"/>
              </w:rPr>
              <w:t>深圳市深 创谷技术 服务有限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238,875.0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-238,875.</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238,875.0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238,875.0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-238,875.</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19"/>
          <w:szCs w:val="19"/>
        </w:rPr>
      </w:pPr>
    </w:p>
    <w:p>
      <w:pPr>
        <w:pStyle w:val="Heading5"/>
        <w:spacing w:line="561" w:lineRule="auto" w:before="45"/>
        <w:ind w:right="8409"/>
        <w:jc w:val="left"/>
        <w:rPr>
          <w:b w:val="0"/>
          <w:bCs w:val="0"/>
        </w:rPr>
      </w:pPr>
      <w:bookmarkStart w:name="（3）其他说明" w:id="558"/>
      <w:bookmarkEnd w:id="558"/>
      <w:r>
        <w:rPr>
          <w:b w:val="0"/>
          <w:bCs w:val="0"/>
        </w:rPr>
      </w:r>
      <w:r>
        <w:rPr>
          <w:spacing w:val="5"/>
        </w:rPr>
        <w:t>（</w:t>
      </w:r>
      <w:r>
        <w:rPr>
          <w:rFonts w:ascii="Times New Roman" w:hAnsi="Times New Roman" w:cs="Times New Roman" w:eastAsia="Times New Roman" w:hint="default"/>
          <w:spacing w:val="5"/>
        </w:rPr>
        <w:t>3</w:t>
      </w:r>
      <w:r>
        <w:rPr>
          <w:spacing w:val="5"/>
        </w:rPr>
        <w:t>）其他说明</w:t>
      </w:r>
      <w:r>
        <w:rPr>
          <w:spacing w:val="-65"/>
        </w:rPr>
        <w:t> </w:t>
      </w:r>
      <w:r>
        <w:rPr>
          <w:spacing w:val="-65"/>
        </w:rPr>
      </w:r>
      <w:bookmarkStart w:name="4、营业收入和营业成本" w:id="559"/>
      <w:bookmarkEnd w:id="559"/>
      <w:r>
        <w:rPr>
          <w:spacing w:val="-65"/>
        </w:rPr>
      </w:r>
      <w:r>
        <w:rPr>
          <w:rFonts w:ascii="Times New Roman" w:hAnsi="Times New Roman" w:cs="Times New Roman" w:eastAsia="Times New Roman" w:hint="default"/>
          <w:spacing w:val="5"/>
        </w:rPr>
        <w:t>4</w:t>
      </w:r>
      <w:r>
        <w:rPr>
          <w:spacing w:val="5"/>
        </w:rPr>
        <w:t>、营业收入和营业成本</w:t>
      </w:r>
      <w:r>
        <w:rPr>
          <w:b w:val="0"/>
          <w:bCs w:val="0"/>
          <w:spacing w:val="5"/>
        </w:rPr>
      </w:r>
    </w:p>
    <w:p>
      <w:pPr>
        <w:pStyle w:val="BodyText"/>
        <w:spacing w:line="240" w:lineRule="auto" w:before="67"/>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90"/>
        <w:gridCol w:w="1832"/>
        <w:gridCol w:w="1923"/>
        <w:gridCol w:w="1907"/>
        <w:gridCol w:w="1922"/>
      </w:tblGrid>
      <w:tr>
        <w:trPr>
          <w:trHeight w:val="390" w:hRule="exact"/>
        </w:trPr>
        <w:tc>
          <w:tcPr>
            <w:tcW w:w="19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1990"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5"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1,710,000,943.25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1,560,627,292.86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943,770,472.04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6" w:right="0"/>
              <w:jc w:val="left"/>
              <w:rPr>
                <w:rFonts w:ascii="Times New Roman" w:hAnsi="Times New Roman" w:cs="Times New Roman" w:eastAsia="Times New Roman" w:hint="default"/>
                <w:sz w:val="18"/>
                <w:szCs w:val="18"/>
              </w:rPr>
            </w:pPr>
            <w:r>
              <w:rPr>
                <w:rFonts w:ascii="Times New Roman"/>
                <w:sz w:val="18"/>
              </w:rPr>
              <w:t>807,793,024.26</w:t>
            </w:r>
          </w:p>
        </w:tc>
      </w:tr>
      <w:tr>
        <w:trPr>
          <w:trHeight w:val="405"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98,010,570.63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65,670,533.44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108,116,207.96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6" w:right="0"/>
              <w:jc w:val="left"/>
              <w:rPr>
                <w:rFonts w:ascii="Times New Roman" w:hAnsi="Times New Roman" w:cs="Times New Roman" w:eastAsia="Times New Roman" w:hint="default"/>
                <w:sz w:val="18"/>
                <w:szCs w:val="18"/>
              </w:rPr>
            </w:pPr>
            <w:r>
              <w:rPr>
                <w:rFonts w:ascii="Times New Roman"/>
                <w:sz w:val="18"/>
              </w:rPr>
              <w:t>106,368,817.39</w:t>
            </w:r>
          </w:p>
        </w:tc>
      </w:tr>
      <w:tr>
        <w:trPr>
          <w:trHeight w:val="390"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1,808,011,513.88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1,626,297,826.30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1,051,886,680.00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6" w:right="0"/>
              <w:jc w:val="left"/>
              <w:rPr>
                <w:rFonts w:ascii="Times New Roman" w:hAnsi="Times New Roman" w:cs="Times New Roman" w:eastAsia="Times New Roman" w:hint="default"/>
                <w:sz w:val="18"/>
                <w:szCs w:val="18"/>
              </w:rPr>
            </w:pPr>
            <w:r>
              <w:rPr>
                <w:rFonts w:ascii="Times New Roman"/>
                <w:sz w:val="18"/>
              </w:rPr>
              <w:t>914,161,841.65</w:t>
            </w:r>
          </w:p>
        </w:tc>
      </w:tr>
    </w:tbl>
    <w:p>
      <w:pPr>
        <w:pStyle w:val="BodyText"/>
        <w:spacing w:line="240" w:lineRule="auto" w:before="45"/>
        <w:ind w:right="0"/>
        <w:jc w:val="left"/>
      </w:pPr>
      <w:r>
        <w:rPr/>
        <w:t>是否已执行新收入准则</w:t>
      </w:r>
    </w:p>
    <w:p>
      <w:pPr>
        <w:spacing w:after="0" w:line="240" w:lineRule="auto"/>
        <w:jc w:val="left"/>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319" w:lineRule="auto" w:before="44"/>
        <w:ind w:right="9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其他说明：</w:t>
      </w: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5、投资收益" w:id="560"/>
      <w:bookmarkEnd w:id="560"/>
      <w:r>
        <w:rPr>
          <w:b w:val="0"/>
          <w:bCs w:val="0"/>
        </w:rPr>
      </w:r>
      <w:r>
        <w:rPr>
          <w:rFonts w:ascii="Times New Roman" w:hAnsi="Times New Roman" w:cs="Times New Roman" w:eastAsia="Times New Roman" w:hint="default"/>
          <w:spacing w:val="5"/>
        </w:rPr>
        <w:t>5</w:t>
      </w:r>
      <w:r>
        <w:rPr>
          <w:spacing w:val="5"/>
        </w:rPr>
        <w:t>、投资收益</w:t>
      </w:r>
      <w:r>
        <w:rPr>
          <w:b w:val="0"/>
          <w:bCs w:val="0"/>
          <w:spacing w:val="5"/>
        </w:rPr>
      </w:r>
    </w:p>
    <w:p>
      <w:pPr>
        <w:spacing w:line="240" w:lineRule="auto" w:before="2"/>
        <w:rPr>
          <w:rFonts w:ascii="宋体" w:hAnsi="宋体" w:cs="宋体" w:eastAsia="宋体" w:hint="default"/>
          <w:b/>
          <w:bCs/>
          <w:sz w:val="22"/>
          <w:szCs w:val="22"/>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9" w:type="dxa"/>
            <w:tcBorders>
              <w:top w:val="single" w:sz="6" w:space="0" w:color="000000"/>
              <w:left w:val="single" w:sz="18" w:space="0" w:color="D2D2D2"/>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8,996,382.24</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9" w:type="dxa"/>
            <w:tcBorders>
              <w:top w:val="single" w:sz="6" w:space="0" w:color="000000"/>
              <w:left w:val="single" w:sz="18" w:space="0" w:color="D2D2D2"/>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18,819,908.77</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1,575,000.00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银行理财产品收益</w:t>
            </w:r>
          </w:p>
        </w:tc>
        <w:tc>
          <w:tcPr>
            <w:tcW w:w="3079" w:type="dxa"/>
            <w:tcBorders>
              <w:top w:val="single" w:sz="6" w:space="0" w:color="000000"/>
              <w:left w:val="single" w:sz="6"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1,008,247.72</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1,575,000.00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28,824,538.73</w:t>
            </w:r>
          </w:p>
        </w:tc>
      </w:tr>
    </w:tbl>
    <w:p>
      <w:pPr>
        <w:spacing w:line="240" w:lineRule="auto" w:before="9"/>
        <w:rPr>
          <w:rFonts w:ascii="宋体" w:hAnsi="宋体" w:cs="宋体" w:eastAsia="宋体" w:hint="default"/>
          <w:sz w:val="19"/>
          <w:szCs w:val="19"/>
        </w:rPr>
      </w:pPr>
    </w:p>
    <w:p>
      <w:pPr>
        <w:pStyle w:val="Heading5"/>
        <w:spacing w:line="240" w:lineRule="auto" w:before="45"/>
        <w:ind w:right="0"/>
        <w:jc w:val="left"/>
        <w:rPr>
          <w:b w:val="0"/>
          <w:bCs w:val="0"/>
        </w:rPr>
      </w:pPr>
      <w:bookmarkStart w:name="6、其他" w:id="561"/>
      <w:bookmarkEnd w:id="561"/>
      <w:r>
        <w:rPr>
          <w:b w:val="0"/>
          <w:bCs w:val="0"/>
        </w:rPr>
      </w:r>
      <w:r>
        <w:rPr>
          <w:rFonts w:ascii="Times New Roman" w:hAnsi="Times New Roman" w:cs="Times New Roman" w:eastAsia="Times New Roman" w:hint="default"/>
          <w:spacing w:val="5"/>
        </w:rPr>
        <w:t>6</w:t>
      </w:r>
      <w:r>
        <w:rPr>
          <w:spacing w:val="5"/>
        </w:rPr>
        <w:t>、其他</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八、补充资料" w:id="562"/>
      <w:bookmarkEnd w:id="562"/>
      <w:r>
        <w:rPr>
          <w:b w:val="0"/>
          <w:bCs w:val="0"/>
        </w:rPr>
      </w:r>
      <w:r>
        <w:rPr/>
        <w:t>十八、补充资料</w:t>
      </w:r>
      <w:r>
        <w:rPr>
          <w:b w:val="0"/>
          <w:bCs w:val="0"/>
        </w:rPr>
      </w:r>
    </w:p>
    <w:p>
      <w:pPr>
        <w:spacing w:line="240" w:lineRule="auto" w:before="5"/>
        <w:rPr>
          <w:rFonts w:ascii="宋体" w:hAnsi="宋体" w:cs="宋体" w:eastAsia="宋体" w:hint="default"/>
          <w:b/>
          <w:bCs/>
          <w:sz w:val="26"/>
          <w:szCs w:val="26"/>
        </w:rPr>
      </w:pPr>
    </w:p>
    <w:p>
      <w:pPr>
        <w:pStyle w:val="Heading5"/>
        <w:spacing w:line="240" w:lineRule="auto"/>
        <w:ind w:right="0"/>
        <w:jc w:val="left"/>
        <w:rPr>
          <w:b w:val="0"/>
          <w:bCs w:val="0"/>
        </w:rPr>
      </w:pPr>
      <w:bookmarkStart w:name="1、当期非经常性损益明细表" w:id="563"/>
      <w:bookmarkEnd w:id="563"/>
      <w:r>
        <w:rPr>
          <w:b w:val="0"/>
          <w:bCs w:val="0"/>
        </w:rPr>
      </w:r>
      <w:r>
        <w:rPr>
          <w:rFonts w:ascii="Times New Roman" w:hAnsi="Times New Roman" w:cs="Times New Roman" w:eastAsia="Times New Roman" w:hint="default"/>
          <w:spacing w:val="4"/>
        </w:rPr>
        <w:t>1</w:t>
      </w:r>
      <w:r>
        <w:rPr>
          <w:spacing w:val="4"/>
        </w:rPr>
        <w:t>、当期非经常性损益明细表</w:t>
      </w:r>
      <w:r>
        <w:rPr>
          <w:b w:val="0"/>
          <w:bCs w:val="0"/>
          <w:spacing w:val="4"/>
        </w:rPr>
      </w:r>
    </w:p>
    <w:p>
      <w:pPr>
        <w:spacing w:line="240" w:lineRule="auto" w:before="6"/>
        <w:rPr>
          <w:rFonts w:ascii="宋体" w:hAnsi="宋体" w:cs="宋体" w:eastAsia="宋体" w:hint="default"/>
          <w:b/>
          <w:bCs/>
          <w:sz w:val="24"/>
          <w:szCs w:val="24"/>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4,508,982.99</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4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切相关，按照国家统一标准定额或定量享 受的政府补助除外）</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12,509,935.89</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47"/>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174,884.03</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47"/>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-1,279,484.34</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2267"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29"/>
              <w:ind w:left="15" w:right="4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16,796,133.72</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53,169.09</w:t>
            </w:r>
          </w:p>
        </w:tc>
        <w:tc>
          <w:tcPr>
            <w:tcW w:w="318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36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减值准备转回</w:t>
            </w:r>
          </w:p>
        </w:tc>
        <w:tc>
          <w:tcPr>
            <w:tcW w:w="3079" w:type="dxa"/>
            <w:tcBorders>
              <w:top w:val="single" w:sz="6" w:space="0" w:color="000000"/>
              <w:left w:val="single" w:sz="18" w:space="0" w:color="D2D2D2"/>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47"/>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1,498,312.90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-9,230,765.63</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10,530,158.93</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-626,947.33</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15,127,957.05</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0"/>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0" w:lineRule="auto" w:before="51"/>
        <w:ind w:right="1118"/>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8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35"/>
        <w:ind w:right="0"/>
        <w:jc w:val="left"/>
        <w:rPr>
          <w:b w:val="0"/>
          <w:bCs w:val="0"/>
        </w:rPr>
      </w:pPr>
      <w:bookmarkStart w:name="2、净资产收益率及每股收益" w:id="564"/>
      <w:bookmarkEnd w:id="564"/>
      <w:r>
        <w:rPr>
          <w:b w:val="0"/>
          <w:bCs w:val="0"/>
        </w:rPr>
      </w:r>
      <w:r>
        <w:rPr>
          <w:rFonts w:ascii="Times New Roman" w:hAnsi="Times New Roman" w:cs="Times New Roman" w:eastAsia="Times New Roman" w:hint="default"/>
          <w:spacing w:val="4"/>
        </w:rPr>
        <w:t>2</w:t>
      </w:r>
      <w:r>
        <w:rPr>
          <w:spacing w:val="4"/>
        </w:rPr>
        <w:t>、净资产收益率及每股收益</w:t>
      </w:r>
      <w:r>
        <w:rPr>
          <w:b w:val="0"/>
          <w:bCs w:val="0"/>
          <w:spacing w:val="4"/>
        </w:rPr>
      </w:r>
    </w:p>
    <w:p>
      <w:pPr>
        <w:spacing w:line="240" w:lineRule="auto" w:before="7"/>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2651"/>
        <w:gridCol w:w="3094"/>
        <w:gridCol w:w="1907"/>
        <w:gridCol w:w="1922"/>
      </w:tblGrid>
      <w:tr>
        <w:trPr>
          <w:trHeight w:val="203" w:hRule="exact"/>
        </w:trPr>
        <w:tc>
          <w:tcPr>
            <w:tcW w:w="2651" w:type="dxa"/>
            <w:tcBorders>
              <w:top w:val="single" w:sz="6" w:space="0" w:color="000000"/>
              <w:left w:val="single" w:sz="6" w:space="0" w:color="000000"/>
              <w:bottom w:val="nil" w:sz="6" w:space="0" w:color="auto"/>
              <w:right w:val="single" w:sz="6" w:space="0" w:color="000000"/>
            </w:tcBorders>
            <w:shd w:val="clear" w:color="auto" w:fill="D2D2D2"/>
          </w:tcPr>
          <w:p>
            <w:pPr/>
          </w:p>
        </w:tc>
        <w:tc>
          <w:tcPr>
            <w:tcW w:w="30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03" w:hRule="exact"/>
        </w:trPr>
        <w:tc>
          <w:tcPr>
            <w:tcW w:w="26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2651" w:type="dxa"/>
            <w:vMerge/>
            <w:tcBorders>
              <w:left w:val="single" w:sz="6" w:space="0" w:color="000000"/>
              <w:bottom w:val="nil" w:sz="6" w:space="0" w:color="auto"/>
              <w:right w:val="single" w:sz="6" w:space="0" w:color="000000"/>
            </w:tcBorders>
            <w:shd w:val="clear" w:color="auto" w:fill="D2D2D2"/>
          </w:tcPr>
          <w:p>
            <w:pPr/>
          </w:p>
        </w:tc>
        <w:tc>
          <w:tcPr>
            <w:tcW w:w="3094" w:type="dxa"/>
            <w:vMerge/>
            <w:tcBorders>
              <w:left w:val="single" w:sz="6" w:space="0" w:color="000000"/>
              <w:bottom w:val="nil" w:sz="6" w:space="0" w:color="auto"/>
              <w:right w:val="single" w:sz="6" w:space="0" w:color="000000"/>
            </w:tcBorders>
            <w:shd w:val="clear" w:color="auto" w:fill="D2D2D2"/>
          </w:tcPr>
          <w:p>
            <w:pP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8" w:hRule="exact"/>
        </w:trPr>
        <w:tc>
          <w:tcPr>
            <w:tcW w:w="2651" w:type="dxa"/>
            <w:tcBorders>
              <w:top w:val="nil" w:sz="6" w:space="0" w:color="auto"/>
              <w:left w:val="single" w:sz="6" w:space="0" w:color="000000"/>
              <w:bottom w:val="single" w:sz="6" w:space="0" w:color="000000"/>
              <w:right w:val="single" w:sz="6" w:space="0" w:color="000000"/>
            </w:tcBorders>
            <w:shd w:val="clear" w:color="auto" w:fill="D2D2D2"/>
          </w:tcPr>
          <w:p>
            <w:pPr/>
          </w:p>
        </w:tc>
        <w:tc>
          <w:tcPr>
            <w:tcW w:w="30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2.50%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0.09</w:t>
            </w:r>
          </w:p>
        </w:tc>
      </w:tr>
      <w:tr>
        <w:trPr>
          <w:trHeight w:val="721"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1.75%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0.06</w:t>
            </w:r>
          </w:p>
        </w:tc>
      </w:tr>
    </w:tbl>
    <w:p>
      <w:pPr>
        <w:spacing w:line="240" w:lineRule="auto" w:before="9"/>
        <w:rPr>
          <w:rFonts w:ascii="宋体" w:hAnsi="宋体" w:cs="宋体" w:eastAsia="宋体" w:hint="default"/>
          <w:b/>
          <w:bCs/>
          <w:sz w:val="19"/>
          <w:szCs w:val="19"/>
        </w:rPr>
      </w:pPr>
    </w:p>
    <w:p>
      <w:pPr>
        <w:pStyle w:val="Heading5"/>
        <w:spacing w:line="240" w:lineRule="auto" w:before="45"/>
        <w:ind w:right="0"/>
        <w:jc w:val="left"/>
        <w:rPr>
          <w:b w:val="0"/>
          <w:bCs w:val="0"/>
        </w:rPr>
      </w:pPr>
      <w:bookmarkStart w:name="3、境内外会计准则下会计数据差异" w:id="565"/>
      <w:bookmarkEnd w:id="565"/>
      <w:r>
        <w:rPr>
          <w:b w:val="0"/>
          <w:bCs w:val="0"/>
        </w:rPr>
      </w:r>
      <w:r>
        <w:rPr>
          <w:rFonts w:ascii="Times New Roman" w:hAnsi="Times New Roman" w:cs="Times New Roman" w:eastAsia="Times New Roman" w:hint="default"/>
          <w:spacing w:val="5"/>
        </w:rPr>
        <w:t>3</w:t>
      </w:r>
      <w:r>
        <w:rPr>
          <w:spacing w:val="5"/>
        </w:rPr>
        <w:t>、境内外会计准则下会计数据差异</w:t>
      </w:r>
      <w:r>
        <w:rPr>
          <w:b w:val="0"/>
          <w:bCs w:val="0"/>
          <w:spacing w:val="5"/>
        </w:rPr>
      </w:r>
    </w:p>
    <w:p>
      <w:pPr>
        <w:spacing w:line="240" w:lineRule="auto" w:before="12"/>
        <w:rPr>
          <w:rFonts w:ascii="宋体" w:hAnsi="宋体" w:cs="宋体" w:eastAsia="宋体" w:hint="default"/>
          <w:b/>
          <w:bCs/>
          <w:sz w:val="26"/>
          <w:szCs w:val="26"/>
        </w:rPr>
      </w:pPr>
    </w:p>
    <w:p>
      <w:pPr>
        <w:pStyle w:val="Heading5"/>
        <w:spacing w:line="240" w:lineRule="auto"/>
        <w:ind w:right="0"/>
        <w:jc w:val="left"/>
        <w:rPr>
          <w:b w:val="0"/>
          <w:bCs w:val="0"/>
        </w:rPr>
      </w:pPr>
      <w:bookmarkStart w:name="（1）同时按照国际会计准则与按中国会计准则披露的财务报告中净利润和净资产差异情况" w:id="566"/>
      <w:bookmarkEnd w:id="566"/>
      <w:r>
        <w:rPr>
          <w:b w:val="0"/>
          <w:bCs w:val="0"/>
        </w:rPr>
      </w:r>
      <w:r>
        <w:rPr>
          <w:spacing w:val="5"/>
        </w:rPr>
        <w:t>（</w:t>
      </w:r>
      <w:r>
        <w:rPr>
          <w:rFonts w:ascii="Times New Roman" w:hAnsi="Times New Roman" w:cs="Times New Roman" w:eastAsia="Times New Roman" w:hint="default"/>
          <w:spacing w:val="5"/>
        </w:rPr>
        <w:t>1</w:t>
      </w:r>
      <w:r>
        <w:rPr>
          <w:spacing w:val="5"/>
        </w:rPr>
        <w:t>）同时按照国际会计准则与按中国会计准则披露的财务报告中净利润和净资产差异情况</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34"/>
        <w:ind w:right="0"/>
        <w:jc w:val="left"/>
        <w:rPr>
          <w:b w:val="0"/>
          <w:bCs w:val="0"/>
        </w:rPr>
      </w:pPr>
      <w:bookmarkStart w:name="（2）同时按照境外会计准则与按中国会计准则披露的财务报告中净利润和净资产差异情况" w:id="567"/>
      <w:bookmarkEnd w:id="567"/>
      <w:r>
        <w:rPr>
          <w:b w:val="0"/>
          <w:bCs w:val="0"/>
        </w:rPr>
      </w:r>
      <w:r>
        <w:rPr>
          <w:spacing w:val="5"/>
        </w:rPr>
        <w:t>（</w:t>
      </w:r>
      <w:r>
        <w:rPr>
          <w:rFonts w:ascii="Times New Roman" w:hAnsi="Times New Roman" w:cs="Times New Roman" w:eastAsia="Times New Roman" w:hint="default"/>
          <w:spacing w:val="5"/>
        </w:rPr>
        <w:t>2</w:t>
      </w:r>
      <w:r>
        <w:rPr>
          <w:spacing w:val="5"/>
        </w:rPr>
        <w:t>）同时按照境外会计准则与按中国会计准则披露的财务报告中净利润和净资产差异情况</w:t>
      </w:r>
      <w:r>
        <w:rPr>
          <w:b w:val="0"/>
          <w:bCs w:val="0"/>
          <w:spacing w:val="5"/>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73" w:lineRule="auto" w:before="134"/>
        <w:ind w:right="1118"/>
        <w:jc w:val="left"/>
        <w:rPr>
          <w:b w:val="0"/>
          <w:bCs w:val="0"/>
        </w:rPr>
      </w:pPr>
      <w:bookmarkStart w:name="（3）境内外会计准则下会计数据差异原因说明，对已经境外审计机构审计的数据进行差异" w:id="568"/>
      <w:bookmarkEnd w:id="568"/>
      <w:r>
        <w:rPr>
          <w:b w:val="0"/>
          <w:bCs w:val="0"/>
        </w:rPr>
      </w:r>
      <w:r>
        <w:rPr>
          <w:spacing w:val="3"/>
        </w:rPr>
        <w:t>（</w:t>
      </w:r>
      <w:r>
        <w:rPr>
          <w:rFonts w:ascii="Times New Roman" w:hAnsi="Times New Roman" w:cs="Times New Roman" w:eastAsia="Times New Roman" w:hint="default"/>
          <w:spacing w:val="3"/>
        </w:rPr>
        <w:t>3</w:t>
      </w:r>
      <w:r>
        <w:rPr>
          <w:spacing w:val="3"/>
        </w:rPr>
        <w:t>）境内外会计准则下会计数据差异原因说明，对已经境外审计机构审计的数据进行差异调节的，应注明该境</w:t>
      </w:r>
      <w:r>
        <w:rPr>
          <w:spacing w:val="52"/>
        </w:rPr>
        <w:t> </w:t>
      </w:r>
      <w:r>
        <w:rPr>
          <w:spacing w:val="52"/>
        </w:rPr>
      </w:r>
      <w:r>
        <w:rPr>
          <w:spacing w:val="4"/>
        </w:rPr>
        <w:t>外机构的名称</w:t>
      </w:r>
      <w:r>
        <w:rPr>
          <w:b w:val="0"/>
          <w:bCs w:val="0"/>
          <w:spacing w:val="4"/>
        </w:rPr>
      </w:r>
    </w:p>
    <w:p>
      <w:pPr>
        <w:spacing w:line="240" w:lineRule="auto" w:before="0"/>
        <w:rPr>
          <w:rFonts w:ascii="宋体" w:hAnsi="宋体" w:cs="宋体" w:eastAsia="宋体" w:hint="default"/>
          <w:b/>
          <w:bCs/>
          <w:sz w:val="26"/>
          <w:szCs w:val="26"/>
        </w:rPr>
      </w:pPr>
    </w:p>
    <w:p>
      <w:pPr>
        <w:pStyle w:val="Heading5"/>
        <w:spacing w:line="240" w:lineRule="auto"/>
        <w:ind w:right="0"/>
        <w:jc w:val="left"/>
        <w:rPr>
          <w:b w:val="0"/>
          <w:bCs w:val="0"/>
        </w:rPr>
      </w:pPr>
      <w:bookmarkStart w:name="4、其他" w:id="569"/>
      <w:bookmarkEnd w:id="569"/>
      <w:r>
        <w:rPr>
          <w:b w:val="0"/>
          <w:bCs w:val="0"/>
        </w:rPr>
      </w:r>
      <w:r>
        <w:rPr>
          <w:rFonts w:ascii="Times New Roman" w:hAnsi="Times New Roman" w:cs="Times New Roman" w:eastAsia="Times New Roman" w:hint="default"/>
          <w:spacing w:val="5"/>
        </w:rPr>
        <w:t>4</w:t>
      </w:r>
      <w:r>
        <w:rPr>
          <w:spacing w:val="5"/>
        </w:rPr>
        <w:t>、其他</w:t>
      </w:r>
      <w:r>
        <w:rPr>
          <w:b w:val="0"/>
          <w:bCs w:val="0"/>
          <w:spacing w:val="5"/>
        </w:rPr>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pStyle w:val="Heading1"/>
        <w:spacing w:line="240" w:lineRule="auto"/>
        <w:ind w:left="3280" w:right="0"/>
        <w:jc w:val="left"/>
        <w:rPr>
          <w:b w:val="0"/>
          <w:bCs w:val="0"/>
        </w:rPr>
      </w:pPr>
      <w:bookmarkStart w:name="第十三节 备查文件目录" w:id="570"/>
      <w:bookmarkEnd w:id="570"/>
      <w:r>
        <w:rPr>
          <w:b w:val="0"/>
          <w:bCs w:val="0"/>
        </w:rPr>
      </w:r>
      <w:bookmarkStart w:name="_bookmark12" w:id="571"/>
      <w:bookmarkEnd w:id="571"/>
      <w:r>
        <w:rPr>
          <w:b w:val="0"/>
          <w:bCs w:val="0"/>
        </w:rPr>
      </w:r>
      <w:r>
        <w:rPr>
          <w:spacing w:val="6"/>
        </w:rPr>
        <w:t>第十三节</w:t>
      </w:r>
      <w:r>
        <w:rPr>
          <w:spacing w:val="58"/>
        </w:rPr>
        <w:t> </w:t>
      </w:r>
      <w:r>
        <w:rPr>
          <w:spacing w:val="4"/>
        </w:rPr>
        <w:t>备查文件目录</w:t>
      </w:r>
      <w:r>
        <w:rPr>
          <w:b w:val="0"/>
          <w:bCs w:val="0"/>
          <w:spacing w:val="4"/>
        </w:rPr>
      </w:r>
    </w:p>
    <w:p>
      <w:pPr>
        <w:spacing w:line="240" w:lineRule="auto" w:before="0"/>
        <w:rPr>
          <w:rFonts w:ascii="宋体" w:hAnsi="宋体" w:cs="宋体" w:eastAsia="宋体" w:hint="default"/>
          <w:b/>
          <w:bCs/>
          <w:sz w:val="32"/>
          <w:szCs w:val="32"/>
        </w:rPr>
      </w:pPr>
    </w:p>
    <w:p>
      <w:pPr>
        <w:pStyle w:val="BodyText"/>
        <w:spacing w:line="470" w:lineRule="auto" w:before="228"/>
        <w:ind w:right="3729"/>
        <w:jc w:val="left"/>
      </w:pPr>
      <w:r>
        <w:rPr/>
        <w:t>一、载有法定代表人、主管会计工作负责人、会计机构负责人签名并盖章的会计报表。 二、载有会计师事务所盖章、注册会计师签名并盖章的审计报告原件。 三、报告期内在中国证监会指定网站上公开披露过的所有公司文件的正本及公告的原稿。 四、载有法定代表人签名的</w:t>
      </w:r>
      <w:r>
        <w:rPr>
          <w:rFonts w:ascii="Times New Roman" w:hAnsi="Times New Roman" w:cs="Times New Roman" w:eastAsia="Times New Roman" w:hint="default"/>
        </w:rPr>
        <w:t>2019</w:t>
      </w:r>
      <w:r>
        <w:rPr/>
        <w:t>年年度报告全文。 五、备查文件备置地点：公司证券部办公室。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50" w:lineRule="auto" w:before="160"/>
        <w:ind w:left="7080" w:right="1831" w:hanging="361"/>
        <w:jc w:val="left"/>
      </w:pPr>
      <w:r>
        <w:rPr/>
        <w:t>深圳市卓翼科技股份有限公司 董事长：陈新民</w:t>
      </w:r>
    </w:p>
    <w:p>
      <w:pPr>
        <w:pStyle w:val="BodyText"/>
        <w:spacing w:line="240" w:lineRule="auto" w:before="27"/>
        <w:ind w:left="6900" w:right="0"/>
        <w:jc w:val="left"/>
      </w:pPr>
      <w:r>
        <w:rPr/>
        <w:t>二○二〇年四月三十日</w:t>
      </w:r>
    </w:p>
    <w:sectPr>
      <w:pgSz w:w="11910" w:h="16850"/>
      <w:pgMar w:header="731" w:footer="981" w:top="1040" w:bottom="1180" w:left="10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69544" type="#_x0000_t75" stroked="false">
          <v:imagedata r:id="rId1" o:title=""/>
        </v:shape>
      </w:pict>
    </w:r>
    <w:r>
      <w:rPr/>
      <w:pict>
        <v:shape style="position:absolute;margin-left:534.419983pt;margin-top:795.707947pt;width:6.5pt;height:11pt;mso-position-horizontal-relative:page;mso-position-vertical-relative:page;z-index:-12695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69088" type="#_x0000_t75" stroked="false">
          <v:imagedata r:id="rId1" o:title=""/>
        </v:shape>
      </w:pict>
    </w:r>
    <w:r>
      <w:rPr/>
      <w:pict>
        <v:shape style="position:absolute;margin-left:524.400024pt;margin-top:782.207947pt;width:17.5pt;height:11pt;mso-position-horizontal-relative:page;mso-position-vertical-relative:page;z-index:-12690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69496" type="#_x0000_t75" stroked="false">
          <v:imagedata r:id="rId1" o:title=""/>
        </v:shape>
      </w:pict>
    </w:r>
    <w:r>
      <w:rPr/>
      <w:pict>
        <v:shape style="position:absolute;margin-left:528.919983pt;margin-top:782.207947pt;width:13pt;height:11pt;mso-position-horizontal-relative:page;mso-position-vertical-relative:page;z-index:-1269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69448" type="#_x0000_t75" stroked="false">
          <v:imagedata r:id="rId1" o:title=""/>
        </v:shape>
      </w:pict>
    </w:r>
    <w:r>
      <w:rPr/>
      <w:pict>
        <v:shape style="position:absolute;margin-left:525.400024pt;margin-top:782.207947pt;width:15.5pt;height:11pt;mso-position-horizontal-relative:page;mso-position-vertical-relative:page;z-index:-12694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69400" type="#_x0000_t75" stroked="false">
          <v:imagedata r:id="rId1" o:title=""/>
        </v:shape>
      </w:pict>
    </w:r>
    <w:r>
      <w:rPr/>
      <w:pict>
        <v:shape style="position:absolute;margin-left:524.400024pt;margin-top:782.207947pt;width:17.5pt;height:11pt;mso-position-horizontal-relative:page;mso-position-vertical-relative:page;z-index:-12693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69352" type="#_x0000_t75" stroked="false">
          <v:imagedata r:id="rId1" o:title=""/>
        </v:shape>
      </w:pict>
    </w:r>
    <w:r>
      <w:rPr/>
      <w:pict>
        <v:shape style="position:absolute;margin-left:524.400024pt;margin-top:782.207947pt;width:17.55pt;height:11pt;mso-position-horizontal-relative:page;mso-position-vertical-relative:page;z-index:-1269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69304" type="#_x0000_t75" stroked="false">
          <v:imagedata r:id="rId1" o:title=""/>
        </v:shape>
      </w:pict>
    </w:r>
    <w:r>
      <w:rPr/>
      <w:pict>
        <v:shape style="position:absolute;margin-left:524.400024pt;margin-top:782.207947pt;width:17.5pt;height:11pt;mso-position-horizontal-relative:page;mso-position-vertical-relative:page;z-index:-12692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69256" type="#_x0000_t75" stroked="false">
          <v:imagedata r:id="rId1" o:title=""/>
        </v:shape>
      </w:pict>
    </w:r>
    <w:r>
      <w:rPr/>
      <w:pict>
        <v:shape style="position:absolute;margin-left:525.400024pt;margin-top:782.207947pt;width:15.5pt;height:11pt;mso-position-horizontal-relative:page;mso-position-vertical-relative:page;z-index:-12692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69208" type="#_x0000_t75" stroked="false">
          <v:imagedata r:id="rId1" o:title=""/>
        </v:shape>
      </w:pict>
    </w:r>
    <w:r>
      <w:rPr/>
      <w:pict>
        <v:shape style="position:absolute;margin-left:524.400024pt;margin-top:782.207947pt;width:17.5pt;height:11pt;mso-position-horizontal-relative:page;mso-position-vertical-relative:page;z-index:-1269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69160" type="#_x0000_t75" stroked="false">
          <v:imagedata r:id="rId1" o:title=""/>
        </v:shape>
      </w:pict>
    </w:r>
    <w:r>
      <w:rPr/>
      <w:pict>
        <v:shape style="position:absolute;margin-left:498.380005pt;margin-top:758.440613pt;width:42.55pt;height:11pt;mso-position-horizontal-relative:page;mso-position-vertical-relative:page;z-index:-1269136" type="#_x0000_t202" filled="false" stroked="false">
          <v:textbox inset="0,0,0,0">
            <w:txbxContent>
              <w:p>
                <w:pPr>
                  <w:pStyle w:val="BodyText"/>
                  <w:spacing w:line="200" w:lineRule="exact"/>
                  <w:ind w:left="20" w:right="0"/>
                  <w:jc w:val="left"/>
                </w:pPr>
                <w:r>
                  <w:rPr/>
                  <w:t>单位： 元</w:t>
                </w:r>
              </w:p>
            </w:txbxContent>
          </v:textbox>
          <w10:wrap type="none"/>
        </v:shape>
      </w:pict>
    </w:r>
    <w:r>
      <w:rPr/>
      <w:pict>
        <v:shape style="position:absolute;margin-left:524.400024pt;margin-top:782.207947pt;width:17.5pt;height:11pt;mso-position-horizontal-relative:page;mso-position-vertical-relative:page;z-index:-12691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6.170013pt;margin-top:35.565624pt;width:204.7pt;height:11.5pt;mso-position-horizontal-relative:page;mso-position-vertical-relative:page;z-index:-1269568" type="#_x0000_t202" filled="false" stroked="false">
          <v:textbox inset="0,0,0,0">
            <w:txbxContent>
              <w:p>
                <w:pPr>
                  <w:pStyle w:val="BodyText"/>
                  <w:spacing w:line="214" w:lineRule="exact"/>
                  <w:ind w:left="20" w:right="0"/>
                  <w:jc w:val="left"/>
                </w:pPr>
                <w:r>
                  <w:rPr/>
                  <w:t>深圳市卓翼科技股份有限公司</w:t>
                </w:r>
                <w:r>
                  <w:rPr>
                    <w:spacing w:val="-42"/>
                  </w:rPr>
                  <w:t> </w:t>
                </w:r>
                <w:r>
                  <w:rPr>
                    <w:rFonts w:ascii="Times New Roman" w:hAnsi="Times New Roman" w:cs="Times New Roman" w:eastAsia="Times New Roman" w:hint="default"/>
                  </w:rPr>
                  <w:t>2019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41"/>
    </w:pPr>
    <w:rPr>
      <w:rFonts w:ascii="宋体" w:hAnsi="宋体" w:eastAsia="宋体"/>
      <w:sz w:val="24"/>
      <w:szCs w:val="24"/>
    </w:rPr>
  </w:style>
  <w:style w:styleId="BodyText" w:type="paragraph">
    <w:name w:val="Body Text"/>
    <w:basedOn w:val="Normal"/>
    <w:uiPriority w:val="1"/>
    <w:qFormat/>
    <w:pPr>
      <w:ind w:left="141"/>
    </w:pPr>
    <w:rPr>
      <w:rFonts w:ascii="宋体" w:hAnsi="宋体" w:eastAsia="宋体"/>
      <w:sz w:val="18"/>
      <w:szCs w:val="18"/>
    </w:rPr>
  </w:style>
  <w:style w:styleId="Heading1" w:type="paragraph">
    <w:name w:val="Heading 1"/>
    <w:basedOn w:val="Normal"/>
    <w:uiPriority w:val="1"/>
    <w:qFormat/>
    <w:pPr>
      <w:spacing w:before="9"/>
      <w:ind w:left="1797"/>
      <w:outlineLvl w:val="1"/>
    </w:pPr>
    <w:rPr>
      <w:rFonts w:ascii="宋体" w:hAnsi="宋体" w:eastAsia="宋体"/>
      <w:b/>
      <w:bCs/>
      <w:sz w:val="31"/>
      <w:szCs w:val="31"/>
    </w:rPr>
  </w:style>
  <w:style w:styleId="Heading2" w:type="paragraph">
    <w:name w:val="Heading 2"/>
    <w:basedOn w:val="Normal"/>
    <w:uiPriority w:val="1"/>
    <w:qFormat/>
    <w:pPr>
      <w:ind w:left="141"/>
      <w:outlineLvl w:val="2"/>
    </w:pPr>
    <w:rPr>
      <w:rFonts w:ascii="宋体" w:hAnsi="宋体" w:eastAsia="宋体"/>
      <w:b/>
      <w:bCs/>
      <w:sz w:val="24"/>
      <w:szCs w:val="24"/>
    </w:rPr>
  </w:style>
  <w:style w:styleId="Heading3" w:type="paragraph">
    <w:name w:val="Heading 3"/>
    <w:basedOn w:val="Normal"/>
    <w:uiPriority w:val="1"/>
    <w:qFormat/>
    <w:pPr>
      <w:ind w:left="141"/>
      <w:outlineLvl w:val="3"/>
    </w:pPr>
    <w:rPr>
      <w:rFonts w:ascii="宋体" w:hAnsi="宋体" w:eastAsia="宋体"/>
      <w:b/>
      <w:bCs/>
      <w:sz w:val="21"/>
      <w:szCs w:val="21"/>
    </w:rPr>
  </w:style>
  <w:style w:styleId="Heading4" w:type="paragraph">
    <w:name w:val="Heading 4"/>
    <w:basedOn w:val="Normal"/>
    <w:uiPriority w:val="1"/>
    <w:qFormat/>
    <w:pPr>
      <w:ind w:left="141"/>
      <w:outlineLvl w:val="4"/>
    </w:pPr>
    <w:rPr>
      <w:rFonts w:ascii="宋体" w:hAnsi="宋体" w:eastAsia="宋体"/>
      <w:sz w:val="21"/>
      <w:szCs w:val="21"/>
    </w:rPr>
  </w:style>
  <w:style w:styleId="Heading5" w:type="paragraph">
    <w:name w:val="Heading 5"/>
    <w:basedOn w:val="Normal"/>
    <w:uiPriority w:val="1"/>
    <w:qFormat/>
    <w:pPr>
      <w:ind w:left="141"/>
      <w:outlineLvl w:val="5"/>
    </w:pPr>
    <w:rPr>
      <w:rFonts w:ascii="宋体" w:hAnsi="宋体" w:eastAsia="宋体"/>
      <w:b/>
      <w:bCs/>
      <w:sz w:val="19"/>
      <w:szCs w:val="19"/>
    </w:rPr>
  </w:style>
  <w:style w:styleId="Heading6" w:type="paragraph">
    <w:name w:val="Heading 6"/>
    <w:basedOn w:val="Normal"/>
    <w:uiPriority w:val="1"/>
    <w:qFormat/>
    <w:pPr>
      <w:ind w:left="141"/>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zowee.com.cn/" TargetMode="External"/><Relationship Id="rId10" Type="http://schemas.openxmlformats.org/officeDocument/2006/relationships/hyperlink" Target="mailto:message@zowee.com.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irm.cninfo.com.cn/ssessgs/S00236" TargetMode="External"/><Relationship Id="rId18" Type="http://schemas.openxmlformats.org/officeDocument/2006/relationships/hyperlink" Target="http://www.cninfo.co/" TargetMode="External"/><Relationship Id="rId19" Type="http://schemas.openxmlformats.org/officeDocument/2006/relationships/image" Target="media/image8.jpeg"/><Relationship Id="rId20" Type="http://schemas.openxmlformats.org/officeDocument/2006/relationships/hyperlink" Target="http://www.cninfo.c/" TargetMode="Externa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footer" Target="footer10.xml"/><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深圳市卓翼科技股份有限公司</dc:creator>
  <dc:title>深圳市卓翼科技股份有限公司2019年年度报告全文</dc:title>
  <dcterms:created xsi:type="dcterms:W3CDTF">2020-05-19T22:57:28Z</dcterms:created>
  <dcterms:modified xsi:type="dcterms:W3CDTF">2020-05-19T22:57:28Z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