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tabs>
          <w:tab w:pos="6401" w:val="left" w:leader="none"/>
        </w:tabs>
        <w:spacing w:before="131"/>
        <w:ind w:left="846" w:right="1123" w:firstLine="0"/>
        <w:jc w:val="left"/>
        <w:rPr>
          <w:rFonts w:ascii="宋体" w:hAnsi="宋体" w:cs="宋体" w:eastAsia="宋体" w:hint="default"/>
          <w:sz w:val="30"/>
          <w:szCs w:val="30"/>
        </w:rPr>
      </w:pPr>
      <w:r>
        <w:rPr/>
        <w:pict>
          <v:group style="position:absolute;margin-left:55.200001pt;margin-top:-15.770469pt;width:484.9pt;height:.1pt;mso-position-horizontal-relative:page;mso-position-vertical-relative:paragraph;z-index:1048" coordorigin="1104,-315" coordsize="9698,2">
            <v:shape style="position:absolute;left:1104;top:-315;width:9698;height:2" coordorigin="1104,-315" coordsize="9698,0" path="m1104,-315l10802,-315e" filled="false" stroked="true" strokeweight=".72pt" strokecolor="#000000">
              <v:path arrowok="t"/>
            </v:shape>
            <w10:wrap type="none"/>
          </v:group>
        </w:pict>
      </w:r>
      <w:r>
        <w:rPr>
          <w:rFonts w:ascii="宋体" w:hAnsi="宋体" w:cs="宋体" w:eastAsia="宋体" w:hint="default"/>
          <w:spacing w:val="-1"/>
          <w:sz w:val="30"/>
          <w:szCs w:val="30"/>
        </w:rPr>
        <w:t>证券代码：</w:t>
      </w:r>
      <w:r>
        <w:rPr>
          <w:rFonts w:ascii="宋体" w:hAnsi="宋体" w:cs="宋体" w:eastAsia="宋体" w:hint="default"/>
          <w:spacing w:val="-1"/>
          <w:sz w:val="30"/>
          <w:szCs w:val="30"/>
        </w:rPr>
        <w:t>002374</w:t>
        <w:tab/>
      </w:r>
      <w:r>
        <w:rPr>
          <w:rFonts w:ascii="宋体" w:hAnsi="宋体" w:cs="宋体" w:eastAsia="宋体" w:hint="default"/>
          <w:spacing w:val="-1"/>
          <w:sz w:val="30"/>
          <w:szCs w:val="30"/>
        </w:rPr>
        <w:t>证券简称：丽鹏股份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1789" w:lineRule="exact"/>
        <w:ind w:left="3667"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130.6pt;height:89.5pt;mso-position-horizontal-relative:char;mso-position-vertical-relative:line" coordorigin="0,0" coordsize="2612,1790">
            <v:group style="position:absolute;left:0;top:0;width:2612;height:1790" coordorigin="0,0" coordsize="2612,1790">
              <v:shape style="position:absolute;left:0;top:0;width:2612;height:1790" coordorigin="0,0" coordsize="2612,1790" path="m2404,0l2363,14,2335,28,2294,42,2266,56,2252,84,2225,126,2225,154,2211,196,2225,238,2225,266,2252,308,2266,336,2294,350,2335,364,2363,378,2404,392,2446,378,2473,364,2404,364,2335,350,2280,308,2252,266,2239,196,2252,126,2280,84,2335,42,2404,28,2473,28,2446,14,2404,0xe" filled="true" fillcolor="#005ca1" stroked="false">
                <v:path arrowok="t"/>
                <v:fill type="solid"/>
              </v:shape>
              <v:shape style="position:absolute;left:0;top:0;width:2612;height:1790" coordorigin="0,0" coordsize="2612,1790" path="m2473,28l2404,28,2459,42,2515,84,2556,126,2570,196,2556,266,2515,308,2459,350,2404,364,2473,364,2501,350,2529,336,2556,308,2570,266,2584,238,2584,154,2570,126,2556,84,2529,56,2501,42,2473,28xe" filled="true" fillcolor="#005ca1" stroked="false">
                <v:path arrowok="t"/>
                <v:fill type="solid"/>
              </v:shape>
              <v:shape style="position:absolute;left:0;top:0;width:2612;height:1790" coordorigin="0,0" coordsize="2612,1790" path="m2446,84l2321,84,2321,308,2349,308,2349,210,2432,210,2459,196,2473,182,2349,182,2349,112,2488,112,2473,98,2459,98,2446,84xe" filled="true" fillcolor="#005ca1" stroked="false">
                <v:path arrowok="t"/>
                <v:fill type="solid"/>
              </v:shape>
              <v:shape style="position:absolute;left:0;top:0;width:2612;height:1790" coordorigin="0,0" coordsize="2612,1790" path="m2446,210l2404,210,2418,224,2446,252,2473,308,2515,308,2473,238,2459,224,2446,210xe" filled="true" fillcolor="#005ca1" stroked="false">
                <v:path arrowok="t"/>
                <v:fill type="solid"/>
              </v:shape>
              <v:shape style="position:absolute;left:0;top:0;width:2612;height:1790" coordorigin="0,0" coordsize="2612,1790" path="m2488,112l2418,112,2446,126,2459,154,2446,168,2404,182,2473,182,2488,168,2488,112xe" filled="true" fillcolor="#005ca1" stroked="false">
                <v:path arrowok="t"/>
                <v:fill type="solid"/>
              </v:shape>
              <v:shape style="position:absolute;left:0;top:0;width:2612;height:1790" coordorigin="0,0" coordsize="2612,1790" path="m857,182l801,182,719,252,650,322,580,406,539,489,497,587,470,685,442,783,442,1007,470,1133,580,1091,663,1021,691,965,719,895,746,811,788,699,815,587,857,476,885,350,898,266,870,196,857,182xe" filled="true" fillcolor="#005ca1" stroked="false">
                <v:path arrowok="t"/>
                <v:fill type="solid"/>
              </v:shape>
              <v:shape style="position:absolute;left:0;top:0;width:2612;height:1790" coordorigin="0,0" coordsize="2612,1790" path="m1368,1021l1299,1021,1326,1091,1354,1133,1368,1119,1368,1021xe" filled="true" fillcolor="#005ca1" stroked="false">
                <v:path arrowok="t"/>
                <v:fill type="solid"/>
              </v:shape>
              <v:shape style="position:absolute;left:0;top:0;width:2612;height:1790" coordorigin="0,0" coordsize="2612,1790" path="m1326,0l1202,14,1078,42,967,84,870,140,885,140,954,154,1078,196,1105,210,1119,238,1133,252,1133,280,1147,336,1147,378,1092,573,1036,797,995,923,981,993,981,1021,995,1049,1023,1077,1064,1091,1175,1091,1244,1077,1271,1049,1299,1021,1368,1021,1368,881,1382,797,1424,727,1479,629,1506,601,1534,573,1561,546,1603,517,1672,489,1727,476,1769,462,2092,462,2059,406,1949,266,1810,154,1741,112,1658,70,1589,42,1492,28,1326,0xe" filled="true" fillcolor="#005ca1" stroked="false">
                <v:path arrowok="t"/>
                <v:fill type="solid"/>
              </v:shape>
              <v:shape style="position:absolute;left:0;top:0;width:2612;height:1790" coordorigin="0,0" coordsize="2612,1790" path="m1865,671l1727,671,1700,685,1686,699,1672,699,1672,713,1658,713,1617,755,1603,783,1575,839,1575,1091,2073,1091,2073,881,2059,853,2045,811,2004,755,1962,699,1934,685,1907,685,1865,671xe" filled="true" fillcolor="#005ca1" stroked="false">
                <v:path arrowok="t"/>
                <v:fill type="solid"/>
              </v:shape>
              <v:shape style="position:absolute;left:0;top:0;width:2612;height:1790" coordorigin="0,0" coordsize="2612,1790" path="m2197,979l2183,1063,2197,993,2197,979xe" filled="true" fillcolor="#005ca1" stroked="false">
                <v:path arrowok="t"/>
                <v:fill type="solid"/>
              </v:shape>
              <v:shape style="position:absolute;left:0;top:0;width:2612;height:1790" coordorigin="0,0" coordsize="2612,1790" path="m2092,462l1810,462,1976,489,2004,517,2045,546,2087,601,2142,671,2155,713,2183,783,2197,853,2197,811,2183,713,2169,629,2128,546,2100,476,2092,462xe" filled="true" fillcolor="#005ca1" stroked="false">
                <v:path arrowok="t"/>
                <v:fill type="solid"/>
              </v:shape>
              <v:shape style="position:absolute;left:0;top:0;width:2612;height:1790" coordorigin="0,0" coordsize="2612,1790" path="m2155,1161l1575,1161,1575,1748,1769,1664,1934,1524,2004,1454,2073,1356,2128,1272,2155,1161xe" filled="true" fillcolor="#005ca1" stroked="false">
                <v:path arrowok="t"/>
                <v:fill type="solid"/>
              </v:shape>
              <v:shape style="position:absolute;left:0;top:0;width:2612;height:1790" coordorigin="0,0" coordsize="2612,1790" path="m470,1147l525,1286,594,1399,691,1510,788,1608,912,1678,1036,1734,1175,1776,1326,1790,1340,1790,1354,1776,1368,1161,484,1161,470,1147xe" filled="true" fillcolor="#005ca1" stroked="false">
                <v:path arrowok="t"/>
                <v:fill type="solid"/>
              </v:shape>
              <v:shape style="position:absolute;left:0;top:0;width:2612;height:1790" coordorigin="0,0" coordsize="2612,1790" path="m415,1175l0,1175,0,1216,415,1216,415,1175xe" filled="true" fillcolor="#005ca1" stroked="false">
                <v:path arrowok="t"/>
                <v:fill type="solid"/>
              </v:shape>
              <v:shape style="position:absolute;left:0;top:0;width:2612;height:1790" coordorigin="0,0" coordsize="2612,1790" path="m194,1259l28,1259,28,1566,69,1566,69,1286,194,1286,194,1259xe" filled="true" fillcolor="#005ca1" stroked="false">
                <v:path arrowok="t"/>
                <v:fill type="solid"/>
              </v:shape>
              <v:shape style="position:absolute;left:0;top:0;width:2612;height:1790" coordorigin="0,0" coordsize="2612,1790" path="m180,1538l125,1538,125,1566,166,1566,180,1552,180,1538xe" filled="true" fillcolor="#005ca1" stroked="false">
                <v:path arrowok="t"/>
                <v:fill type="solid"/>
              </v:shape>
              <v:shape style="position:absolute;left:0;top:0;width:2612;height:1790" coordorigin="0,0" coordsize="2612,1790" path="m194,1286l152,1286,152,1524,111,1524,111,1538,194,1538,194,1286xe" filled="true" fillcolor="#005ca1" stroked="false">
                <v:path arrowok="t"/>
                <v:fill type="solid"/>
              </v:shape>
              <v:shape style="position:absolute;left:0;top:0;width:2612;height:1790" coordorigin="0,0" coordsize="2612,1790" path="m125,1329l83,1329,83,1384,97,1399,97,1454,125,1454,125,1440,138,1440,125,1412,125,1329xe" filled="true" fillcolor="#005ca1" stroked="false">
                <v:path arrowok="t"/>
                <v:fill type="solid"/>
              </v:shape>
              <v:shape style="position:absolute;left:0;top:0;width:2612;height:1790" coordorigin="0,0" coordsize="2612,1790" path="m387,1259l221,1259,221,1566,263,1566,263,1286,387,1286,387,1259xe" filled="true" fillcolor="#005ca1" stroked="false">
                <v:path arrowok="t"/>
                <v:fill type="solid"/>
              </v:shape>
              <v:shape style="position:absolute;left:0;top:0;width:2612;height:1790" coordorigin="0,0" coordsize="2612,1790" path="m387,1286l346,1286,346,1524,304,1524,304,1538,318,1552,318,1566,360,1566,360,1552,373,1552,373,1538,387,1538,387,1286xe" filled="true" fillcolor="#005ca1" stroked="false">
                <v:path arrowok="t"/>
                <v:fill type="solid"/>
              </v:shape>
              <v:shape style="position:absolute;left:0;top:0;width:2612;height:1790" coordorigin="0,0" coordsize="2612,1790" path="m318,1329l276,1329,290,1384,290,1454,304,1440,331,1440,331,1399,318,1370,318,1329xe" filled="true" fillcolor="#005ca1" stroked="false">
                <v:path arrowok="t"/>
                <v:fill type="solid"/>
              </v:shape>
              <v:shape style="position:absolute;left:0;top:0;width:2612;height:1790" coordorigin="0,0" coordsize="2612,1790" path="m2308,1175l2211,1175,2211,1412,2197,1412,2197,1510,2183,1510,2183,1538,2169,1552,2183,1552,2183,1566,2197,1566,2211,1580,2211,1552,2225,1538,2225,1496,2239,1496,2239,1426,2308,1426,2308,1384,2239,1384,2239,1315,2308,1315,2308,1286,2239,1286,2239,1202,2308,1202,2308,1175xe" filled="true" fillcolor="#005ca1" stroked="false">
                <v:path arrowok="t"/>
                <v:fill type="solid"/>
              </v:shape>
              <v:shape style="position:absolute;left:0;top:0;width:2612;height:1790" coordorigin="0,0" coordsize="2612,1790" path="m2335,1552l2294,1552,2308,1566,2321,1566,2335,1580,2335,1552xe" filled="true" fillcolor="#005ca1" stroked="false">
                <v:path arrowok="t"/>
                <v:fill type="solid"/>
              </v:shape>
              <v:shape style="position:absolute;left:0;top:0;width:2612;height:1790" coordorigin="0,0" coordsize="2612,1790" path="m2418,1426l2390,1426,2390,1538,2363,1538,2363,1552,2377,1566,2377,1580,2390,1566,2418,1566,2418,1426xe" filled="true" fillcolor="#005ca1" stroked="false">
                <v:path arrowok="t"/>
                <v:fill type="solid"/>
              </v:shape>
              <v:shape style="position:absolute;left:0;top:0;width:2612;height:1790" coordorigin="0,0" coordsize="2612,1790" path="m2584,1189l2432,1189,2432,1412,2556,1412,2556,1538,2488,1538,2501,1552,2501,1566,2515,1580,2556,1580,2556,1566,2584,1566,2584,1552,2598,1552,2598,1399,2612,1384,2459,1384,2459,1231,2584,1231,2584,1189xe" filled="true" fillcolor="#005ca1" stroked="false">
                <v:path arrowok="t"/>
                <v:fill type="solid"/>
              </v:shape>
              <v:shape style="position:absolute;left:0;top:0;width:2612;height:1790" coordorigin="0,0" coordsize="2612,1790" path="m2418,1175l2321,1175,2321,1510,2308,1510,2308,1524,2239,1524,2252,1538,2252,1566,2280,1566,2280,1552,2349,1552,2349,1482,2363,1482,2363,1426,2418,1426,2418,1384,2363,1384,2363,1315,2418,1315,2418,1286,2363,1286,2363,1202,2418,1202,2418,1175xe" filled="true" fillcolor="#005ca1" stroked="false">
                <v:path arrowok="t"/>
                <v:fill type="solid"/>
              </v:shape>
              <v:shape style="position:absolute;left:0;top:0;width:2612;height:1790" coordorigin="0,0" coordsize="2612,1790" path="m2308,1426l2280,1426,2280,1524,2308,1524,2308,1426xe" filled="true" fillcolor="#005ca1" stroked="false">
                <v:path arrowok="t"/>
                <v:fill type="solid"/>
              </v:shape>
              <v:shape style="position:absolute;left:0;top:0;width:2612;height:1790" coordorigin="0,0" coordsize="2612,1790" path="m2543,1454l2418,1454,2418,1496,2543,1496,2543,1454xe" filled="true" fillcolor="#005ca1" stroked="false">
                <v:path arrowok="t"/>
                <v:fill type="solid"/>
              </v:shape>
              <v:shape style="position:absolute;left:0;top:0;width:2612;height:1790" coordorigin="0,0" coordsize="2612,1790" path="m2308,1315l2280,1315,2280,1384,2308,1384,2308,1315xe" filled="true" fillcolor="#005ca1" stroked="false">
                <v:path arrowok="t"/>
                <v:fill type="solid"/>
              </v:shape>
              <v:shape style="position:absolute;left:0;top:0;width:2612;height:1790" coordorigin="0,0" coordsize="2612,1790" path="m2418,1315l2390,1315,2390,1384,2418,1384,2418,1315xe" filled="true" fillcolor="#005ca1" stroked="false">
                <v:path arrowok="t"/>
                <v:fill type="solid"/>
              </v:shape>
              <v:shape style="position:absolute;left:0;top:0;width:2612;height:1790" coordorigin="0,0" coordsize="2612,1790" path="m2584,1231l2543,1231,2543,1315,2501,1315,2515,1329,2515,1356,2570,1356,2570,1342,2584,1342,2584,1231xe" filled="true" fillcolor="#005ca1" stroked="false">
                <v:path arrowok="t"/>
                <v:fill type="solid"/>
              </v:shape>
              <v:shape style="position:absolute;left:0;top:0;width:2612;height:1790" coordorigin="0,0" coordsize="2612,1790" path="m2515,1245l2473,1245,2488,1272,2488,1300,2529,1300,2529,1286,2515,1272,2515,1245xe" filled="true" fillcolor="#005ca1" stroked="false">
                <v:path arrowok="t"/>
                <v:fill type="solid"/>
              </v:shape>
              <v:shape style="position:absolute;left:0;top:0;width:2612;height:1790" coordorigin="0,0" coordsize="2612,1790" path="m2308,1202l2280,1202,2280,1286,2308,1286,2308,1202xe" filled="true" fillcolor="#005ca1" stroked="false">
                <v:path arrowok="t"/>
                <v:fill type="solid"/>
              </v:shape>
              <v:shape style="position:absolute;left:0;top:0;width:2612;height:1790" coordorigin="0,0" coordsize="2612,1790" path="m2418,1202l2390,1202,2390,1286,2418,1286,2418,1202xe" filled="true" fillcolor="#005ca1" stroked="false">
                <v:path arrowok="t"/>
                <v:fill type="solid"/>
              </v:shape>
              <v:shape style="position:absolute;left:0;top:0;width:2612;height:1790" coordorigin="0,0" coordsize="2612,1790" path="m2529,1147l2473,1147,2473,1189,2501,1189,2515,1175,2515,1161,2529,1147xe" filled="true" fillcolor="#005ca1" stroked="false">
                <v:path arrowok="t"/>
                <v:fill type="solid"/>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621" w:lineRule="exact" w:before="0"/>
        <w:ind w:left="0" w:right="983"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120"/>
        <w:ind w:left="0" w:right="984"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33"/>
          <w:sz w:val="32"/>
        </w:rPr>
        <w:t> </w:t>
      </w:r>
      <w:r>
        <w:rPr>
          <w:rFonts w:ascii="Times New Roman"/>
          <w:b/>
          <w:spacing w:val="-10"/>
          <w:sz w:val="32"/>
        </w:rPr>
        <w:t>LTD</w:t>
      </w:r>
      <w:r>
        <w:rPr>
          <w:rFonts w:ascii="Times New Roman"/>
          <w:spacing w:val="-10"/>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235"/>
        <w:ind w:left="0" w:right="981" w:firstLine="0"/>
        <w:jc w:val="center"/>
        <w:rPr>
          <w:rFonts w:ascii="黑体" w:hAnsi="黑体" w:cs="黑体" w:eastAsia="黑体" w:hint="default"/>
          <w:sz w:val="52"/>
          <w:szCs w:val="52"/>
        </w:rPr>
      </w:pPr>
      <w:r>
        <w:rPr>
          <w:rFonts w:ascii="黑体" w:hAnsi="黑体" w:cs="黑体" w:eastAsia="黑体" w:hint="default"/>
          <w:b/>
          <w:bCs/>
          <w:sz w:val="52"/>
          <w:szCs w:val="52"/>
        </w:rPr>
        <w:t>2012</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
        <w:rPr>
          <w:rFonts w:ascii="黑体" w:hAnsi="黑体" w:cs="黑体" w:eastAsia="黑体" w:hint="default"/>
          <w:b/>
          <w:bCs/>
          <w:sz w:val="39"/>
          <w:szCs w:val="39"/>
        </w:rPr>
      </w:pPr>
    </w:p>
    <w:p>
      <w:pPr>
        <w:spacing w:before="0"/>
        <w:ind w:left="0" w:right="800" w:firstLine="0"/>
        <w:jc w:val="center"/>
        <w:rPr>
          <w:rFonts w:ascii="黑体" w:hAnsi="黑体" w:cs="黑体" w:eastAsia="黑体" w:hint="default"/>
          <w:sz w:val="32"/>
          <w:szCs w:val="32"/>
        </w:rPr>
      </w:pPr>
      <w:r>
        <w:rPr>
          <w:rFonts w:ascii="黑体" w:hAnsi="黑体" w:cs="黑体" w:eastAsia="黑体" w:hint="default"/>
          <w:sz w:val="32"/>
          <w:szCs w:val="32"/>
        </w:rPr>
        <w:t>二零一三年四月</w:t>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公司负责人孙世尧、主管会计工作负责人王国祝及会计机构负责人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张国平声明：保证年度报告中财务报告的真实、准确、完整。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6"/>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line="448" w:lineRule="auto" w:before="236"/>
        <w:ind w:left="714" w:right="1112"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（含税），以资本公积金向全体股东每</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spacing w:val="-139"/>
          <w:w w:val="99"/>
          <w:sz w:val="28"/>
          <w:szCs w:val="28"/>
        </w:rPr>
        <w:t> </w:t>
      </w:r>
      <w:r>
        <w:rPr>
          <w:rFonts w:ascii="宋体" w:hAnsi="宋体" w:cs="宋体" w:eastAsia="宋体" w:hint="default"/>
          <w:b/>
          <w:bCs/>
          <w:spacing w:val="6"/>
          <w:sz w:val="28"/>
          <w:szCs w:val="28"/>
        </w:rPr>
        <w:t>本年度报告涉及未来计划等前瞻性陈述，</w:t>
      </w:r>
      <w:r>
        <w:rPr>
          <w:rFonts w:ascii="宋体" w:hAnsi="宋体" w:cs="宋体" w:eastAsia="宋体" w:hint="default"/>
          <w:b/>
          <w:bCs/>
          <w:spacing w:val="26"/>
          <w:sz w:val="28"/>
          <w:szCs w:val="28"/>
        </w:rPr>
        <w:t> </w:t>
      </w:r>
      <w:r>
        <w:rPr>
          <w:rFonts w:ascii="宋体" w:hAnsi="宋体" w:cs="宋体" w:eastAsia="宋体" w:hint="default"/>
          <w:b/>
          <w:bCs/>
          <w:spacing w:val="7"/>
          <w:sz w:val="28"/>
          <w:szCs w:val="28"/>
        </w:rPr>
        <w:t>不构成公司对投资者的实质承</w:t>
      </w:r>
      <w:r>
        <w:rPr>
          <w:rFonts w:ascii="宋体" w:hAnsi="宋体" w:cs="宋体" w:eastAsia="宋体" w:hint="default"/>
          <w:sz w:val="28"/>
          <w:szCs w:val="28"/>
        </w:rPr>
      </w:r>
    </w:p>
    <w:p>
      <w:pPr>
        <w:spacing w:before="14"/>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诺，请投资者注意风险。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904" w:val="left" w:leader="none"/>
        </w:tabs>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23</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25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30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36</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42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45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4"/>
              </w:rPr>
              <w:t>115</w:t>
            </w:r>
          </w:hyperlink>
        </w:p>
        <w:p>
          <w:pPr/>
          <w:r>
            <w:fldChar w:fldCharType="end"/>
          </w:r>
        </w:p>
      </w:sdtContent>
    </w:sdt>
    <w:p>
      <w:pPr>
        <w:spacing w:after="0"/>
        <w:sectPr>
          <w:pgSz w:w="11910" w:h="16840"/>
          <w:pgMar w:header="745" w:footer="1340" w:top="1060" w:bottom="1540" w:left="980" w:right="0"/>
        </w:sectPr>
      </w:pPr>
    </w:p>
    <w:p>
      <w:pPr>
        <w:spacing w:before="945"/>
        <w:ind w:left="4732" w:right="56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672"/>
        <w:gridCol w:w="797"/>
        <w:gridCol w:w="6402"/>
      </w:tblGrid>
      <w:tr>
        <w:trPr>
          <w:trHeight w:val="823" w:hRule="exact"/>
        </w:trPr>
        <w:tc>
          <w:tcPr>
            <w:tcW w:w="2672" w:type="dxa"/>
            <w:tcBorders>
              <w:top w:val="single" w:sz="12" w:space="0" w:color="000000"/>
              <w:left w:val="nil" w:sz="6" w:space="0" w:color="auto"/>
              <w:bottom w:val="single" w:sz="6" w:space="0" w:color="000000"/>
              <w:right w:val="single" w:sz="6" w:space="0" w:color="000000"/>
            </w:tcBorders>
          </w:tcPr>
          <w:p>
            <w:pPr>
              <w:pStyle w:val="TableParagraph"/>
              <w:spacing w:line="398" w:lineRule="exact" w:before="3"/>
              <w:ind w:left="122" w:right="639"/>
              <w:jc w:val="left"/>
              <w:rPr>
                <w:rFonts w:ascii="宋体" w:hAnsi="宋体" w:cs="宋体" w:eastAsia="宋体" w:hint="default"/>
                <w:sz w:val="21"/>
                <w:szCs w:val="21"/>
              </w:rPr>
            </w:pPr>
            <w:r>
              <w:rPr>
                <w:rFonts w:ascii="宋体" w:hAnsi="宋体" w:cs="宋体" w:eastAsia="宋体" w:hint="default"/>
                <w:b/>
                <w:bCs/>
                <w:sz w:val="21"/>
                <w:szCs w:val="21"/>
              </w:rPr>
              <w:t>公司、公司、</w:t>
            </w:r>
            <w:r>
              <w:rPr>
                <w:rFonts w:ascii="宋体" w:hAnsi="宋体" w:cs="宋体" w:eastAsia="宋体" w:hint="default"/>
                <w:b/>
                <w:bCs/>
                <w:spacing w:val="-104"/>
                <w:sz w:val="21"/>
                <w:szCs w:val="21"/>
              </w:rPr>
              <w:t> </w:t>
            </w:r>
            <w:r>
              <w:rPr>
                <w:rFonts w:ascii="宋体" w:hAnsi="宋体" w:cs="宋体" w:eastAsia="宋体" w:hint="default"/>
                <w:b/>
                <w:bCs/>
                <w:sz w:val="21"/>
                <w:szCs w:val="21"/>
              </w:rPr>
              <w:t>股份公司、丽鹏股份</w:t>
            </w:r>
            <w:r>
              <w:rPr>
                <w:rFonts w:ascii="宋体" w:hAnsi="宋体" w:cs="宋体" w:eastAsia="宋体" w:hint="default"/>
                <w:sz w:val="21"/>
                <w:szCs w:val="21"/>
              </w:rPr>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山东丽鹏股份有限公司</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实际控制人</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孙世尧及其家族成员于志芬、孙鲲鹏、孙红丽和霍文菊</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孙世尧</w:t>
            </w:r>
          </w:p>
        </w:tc>
      </w:tr>
      <w:tr>
        <w:trPr>
          <w:trHeight w:val="416"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中国证监会</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深交所</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保荐机构（主承销商）</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太平洋证券股份有限公司</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会计师</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山东汇德会计师事务所有限公司</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律师</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上海市锦天城律师事务所</w:t>
            </w:r>
          </w:p>
        </w:tc>
      </w:tr>
      <w:tr>
        <w:trPr>
          <w:trHeight w:val="413"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b/>
                <w:bCs/>
                <w:sz w:val="21"/>
                <w:szCs w:val="21"/>
              </w:rPr>
              <w:t>《公司法》</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《证券法》</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1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《公司章程》</w:t>
            </w:r>
            <w:r>
              <w:rPr>
                <w:rFonts w:ascii="宋体" w:hAnsi="宋体" w:cs="宋体" w:eastAsia="宋体" w:hint="default"/>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《山东丽鹏股份有限公司章程》</w:t>
            </w:r>
          </w:p>
        </w:tc>
      </w:tr>
      <w:tr>
        <w:trPr>
          <w:trHeight w:val="425" w:hRule="exact"/>
        </w:trPr>
        <w:tc>
          <w:tcPr>
            <w:tcW w:w="26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b/>
                <w:bCs/>
                <w:sz w:val="21"/>
                <w:szCs w:val="21"/>
              </w:rPr>
              <w:t>元、万元</w:t>
            </w:r>
            <w:r>
              <w:rPr>
                <w:rFonts w:ascii="宋体" w:hAnsi="宋体" w:cs="宋体" w:eastAsia="宋体" w:hint="default"/>
                <w:sz w:val="21"/>
                <w:szCs w:val="21"/>
              </w:rPr>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5"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after="0" w:line="240" w:lineRule="auto"/>
        <w:jc w:val="left"/>
        <w:rPr>
          <w:rFonts w:ascii="宋体" w:hAnsi="宋体" w:cs="宋体" w:eastAsia="宋体" w:hint="default"/>
          <w:sz w:val="21"/>
          <w:szCs w:val="21"/>
        </w:rPr>
        <w:sectPr>
          <w:pgSz w:w="11910" w:h="16840"/>
          <w:pgMar w:header="745" w:footer="1340" w:top="1060" w:bottom="1540" w:left="880" w:right="0"/>
        </w:sectPr>
      </w:pPr>
    </w:p>
    <w:p>
      <w:pPr>
        <w:spacing w:line="240" w:lineRule="auto" w:before="0"/>
        <w:rPr>
          <w:rFonts w:ascii="宋体" w:hAnsi="宋体" w:cs="宋体" w:eastAsia="宋体" w:hint="default"/>
          <w:b/>
          <w:bCs/>
          <w:sz w:val="20"/>
          <w:szCs w:val="20"/>
        </w:rPr>
      </w:pPr>
    </w:p>
    <w:p>
      <w:pPr>
        <w:spacing w:before="162"/>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133"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公司不存在生产经营状况、财务和对持续盈利能力有严重影响的有关风险</w:t>
      </w:r>
      <w:r>
        <w:rPr>
          <w:rFonts w:ascii="宋体" w:hAnsi="宋体" w:cs="宋体" w:eastAsia="宋体" w:hint="default"/>
          <w:b/>
          <w:bCs/>
          <w:w w:val="99"/>
          <w:sz w:val="28"/>
          <w:szCs w:val="28"/>
        </w:rPr>
        <w:t> </w:t>
      </w:r>
      <w:r>
        <w:rPr>
          <w:rFonts w:ascii="宋体" w:hAnsi="宋体" w:cs="宋体" w:eastAsia="宋体" w:hint="default"/>
          <w:b/>
          <w:bCs/>
          <w:sz w:val="28"/>
          <w:szCs w:val="28"/>
        </w:rPr>
        <w:t>因素。</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74.49440pt;margin-top:272.809998pt;width:361.05pt;height:19.6pt;mso-position-horizontal-relative:page;mso-position-vertical-relative:page;z-index:-673120" type="#_x0000_t202" filled="false" stroked="false">
            <v:textbox inset="0,0,0,0">
              <w:txbxContent>
                <w:p>
                  <w:pPr>
                    <w:pStyle w:val="BodyText"/>
                    <w:spacing w:line="240" w:lineRule="auto" w:before="28"/>
                    <w:ind w:left="0" w:right="0"/>
                    <w:jc w:val="left"/>
                  </w:pPr>
                  <w:r>
                    <w:rPr/>
                    <w:t>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97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2646"/>
        <w:gridCol w:w="2591"/>
        <w:gridCol w:w="2146"/>
        <w:gridCol w:w="2176"/>
      </w:tblGrid>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91" w:type="dxa"/>
            <w:tcBorders>
              <w:top w:val="single" w:sz="4" w:space="0" w:color="000000"/>
              <w:left w:val="single" w:sz="9" w:space="0" w:color="D2D2D2"/>
              <w:bottom w:val="single" w:sz="4" w:space="0" w:color="000000"/>
              <w:right w:val="single" w:sz="14" w:space="0" w:color="D2D2D2"/>
            </w:tcBorders>
            <w:shd w:val="clear" w:color="auto" w:fill="CCE8CF"/>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丽鹏股份</w:t>
            </w:r>
          </w:p>
        </w:tc>
        <w:tc>
          <w:tcPr>
            <w:tcW w:w="214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75"/>
              <w:ind w:left="15" w:right="0"/>
              <w:jc w:val="left"/>
              <w:rPr>
                <w:rFonts w:ascii="Times New Roman" w:hAnsi="Times New Roman" w:cs="Times New Roman" w:eastAsia="Times New Roman" w:hint="default"/>
                <w:sz w:val="21"/>
                <w:szCs w:val="21"/>
              </w:rPr>
            </w:pPr>
            <w:r>
              <w:rPr>
                <w:rFonts w:ascii="Times New Roman"/>
                <w:sz w:val="21"/>
              </w:rPr>
              <w:t>002374</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913"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山东丽鹏股份有限公司</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丽鹏股份</w:t>
            </w:r>
          </w:p>
        </w:tc>
      </w:tr>
      <w:tr>
        <w:trPr>
          <w:trHeight w:val="404"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SHANDONG LIPENG</w:t>
            </w:r>
            <w:r>
              <w:rPr>
                <w:rFonts w:ascii="Times New Roman"/>
                <w:spacing w:val="2"/>
                <w:sz w:val="21"/>
              </w:rPr>
              <w:t> </w:t>
            </w:r>
            <w:r>
              <w:rPr>
                <w:rFonts w:ascii="Times New Roman"/>
                <w:spacing w:val="-5"/>
                <w:sz w:val="21"/>
              </w:rPr>
              <w:t>CO.,LTD</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3"/>
                <w:sz w:val="21"/>
                <w:szCs w:val="21"/>
              </w:rPr>
              <w:t>公司的外文名称缩写（如</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Lipeng</w:t>
            </w:r>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孙世尧</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山东省烟台市牟平区姜格庄街道办事处丽鹏路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264114</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山东省烟台市牟平区姜格庄街道办事处丽鹏路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264114</w:t>
            </w:r>
          </w:p>
        </w:tc>
      </w:tr>
      <w:tr>
        <w:trPr>
          <w:trHeight w:val="401"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8">
              <w:r>
                <w:rPr>
                  <w:rFonts w:ascii="Times New Roman"/>
                  <w:sz w:val="21"/>
                </w:rPr>
                <w:t>www.lp.com.cn</w:t>
              </w:r>
            </w:hyperlink>
          </w:p>
        </w:tc>
      </w:tr>
      <w:tr>
        <w:trPr>
          <w:trHeight w:val="403" w:hRule="exact"/>
        </w:trPr>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913"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75"/>
              <w:ind w:left="27" w:right="0"/>
              <w:jc w:val="left"/>
              <w:rPr>
                <w:rFonts w:ascii="Times New Roman" w:hAnsi="Times New Roman" w:cs="Times New Roman" w:eastAsia="Times New Roman" w:hint="default"/>
                <w:sz w:val="21"/>
                <w:szCs w:val="21"/>
              </w:rPr>
            </w:pPr>
            <w:hyperlink r:id="rId9">
              <w:r>
                <w:rPr>
                  <w:rFonts w:ascii="Times New Roman"/>
                  <w:sz w:val="21"/>
                </w:rPr>
                <w:t>lp@lp.com.cn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228"/>
        <w:gridCol w:w="3960"/>
        <w:gridCol w:w="4372"/>
      </w:tblGrid>
      <w:tr>
        <w:trPr>
          <w:trHeight w:val="403" w:hRule="exact"/>
        </w:trPr>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6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李海霞</w:t>
            </w:r>
          </w:p>
        </w:tc>
        <w:tc>
          <w:tcPr>
            <w:tcW w:w="4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史宇</w:t>
            </w:r>
          </w:p>
        </w:tc>
      </w:tr>
      <w:tr>
        <w:trPr>
          <w:trHeight w:val="161" w:hRule="exact"/>
        </w:trPr>
        <w:tc>
          <w:tcPr>
            <w:tcW w:w="1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0" w:type="dxa"/>
            <w:vMerge w:val="restart"/>
            <w:tcBorders>
              <w:top w:val="single" w:sz="4" w:space="0" w:color="000000"/>
              <w:left w:val="single" w:sz="9" w:space="0" w:color="D2D2D2"/>
              <w:right w:val="single" w:sz="4" w:space="0" w:color="000000"/>
            </w:tcBorders>
            <w:shd w:val="clear" w:color="auto" w:fill="CCE8CF"/>
          </w:tcPr>
          <w:p>
            <w:pPr>
              <w:pStyle w:val="TableParagraph"/>
              <w:spacing w:line="273" w:lineRule="auto" w:before="28"/>
              <w:ind w:left="16" w:right="140"/>
              <w:jc w:val="left"/>
              <w:rPr>
                <w:rFonts w:ascii="宋体" w:hAnsi="宋体" w:cs="宋体" w:eastAsia="宋体" w:hint="default"/>
                <w:sz w:val="21"/>
                <w:szCs w:val="21"/>
              </w:rPr>
            </w:pPr>
            <w:r>
              <w:rPr>
                <w:rFonts w:ascii="宋体" w:hAnsi="宋体" w:cs="宋体" w:eastAsia="宋体" w:hint="default"/>
                <w:spacing w:val="-2"/>
                <w:sz w:val="21"/>
                <w:szCs w:val="21"/>
              </w:rPr>
              <w:t>山东省烟台市牟平区姜格庄街道办事处丽</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鹏路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4372"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山东省烟台市牟平区姜格庄街道办事处丽鹏路</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94" w:hRule="exact"/>
        </w:trPr>
        <w:tc>
          <w:tcPr>
            <w:tcW w:w="1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60" w:type="dxa"/>
            <w:vMerge/>
            <w:tcBorders>
              <w:left w:val="single" w:sz="9" w:space="0" w:color="D2D2D2"/>
              <w:right w:val="single" w:sz="4" w:space="0" w:color="000000"/>
            </w:tcBorders>
            <w:shd w:val="clear" w:color="auto" w:fill="CCE8CF"/>
          </w:tcPr>
          <w:p>
            <w:pPr/>
          </w:p>
        </w:tc>
        <w:tc>
          <w:tcPr>
            <w:tcW w:w="4372" w:type="dxa"/>
            <w:vMerge/>
            <w:tcBorders>
              <w:left w:val="single" w:sz="4" w:space="0" w:color="000000"/>
              <w:right w:val="single" w:sz="4" w:space="0" w:color="000000"/>
            </w:tcBorders>
            <w:shd w:val="clear" w:color="auto" w:fill="CCE8CF"/>
          </w:tcPr>
          <w:p>
            <w:pPr/>
          </w:p>
        </w:tc>
      </w:tr>
      <w:tr>
        <w:trPr>
          <w:trHeight w:val="161" w:hRule="exact"/>
        </w:trPr>
        <w:tc>
          <w:tcPr>
            <w:tcW w:w="1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960" w:type="dxa"/>
            <w:vMerge/>
            <w:tcBorders>
              <w:left w:val="single" w:sz="9" w:space="0" w:color="D2D2D2"/>
              <w:bottom w:val="single" w:sz="4" w:space="0" w:color="000000"/>
              <w:right w:val="single" w:sz="4" w:space="0" w:color="000000"/>
            </w:tcBorders>
            <w:shd w:val="clear" w:color="auto" w:fill="CCE8CF"/>
          </w:tcPr>
          <w:p>
            <w:pPr/>
          </w:p>
        </w:tc>
        <w:tc>
          <w:tcPr>
            <w:tcW w:w="4372" w:type="dxa"/>
            <w:vMerge/>
            <w:tcBorders>
              <w:left w:val="single" w:sz="4" w:space="0" w:color="000000"/>
              <w:bottom w:val="single" w:sz="4" w:space="0" w:color="000000"/>
              <w:right w:val="single" w:sz="4" w:space="0" w:color="000000"/>
            </w:tcBorders>
            <w:shd w:val="clear" w:color="auto" w:fill="CCE8CF"/>
          </w:tcPr>
          <w:p>
            <w:pPr/>
          </w:p>
        </w:tc>
      </w:tr>
      <w:tr>
        <w:trPr>
          <w:trHeight w:val="401" w:hRule="exact"/>
        </w:trPr>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6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0535-4660587</w:t>
            </w:r>
          </w:p>
        </w:tc>
        <w:tc>
          <w:tcPr>
            <w:tcW w:w="4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0535-4660587</w:t>
            </w:r>
          </w:p>
        </w:tc>
      </w:tr>
      <w:tr>
        <w:trPr>
          <w:trHeight w:val="403" w:hRule="exact"/>
        </w:trPr>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6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0535-4660587</w:t>
            </w:r>
          </w:p>
        </w:tc>
        <w:tc>
          <w:tcPr>
            <w:tcW w:w="4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0535-4660587</w:t>
            </w:r>
          </w:p>
        </w:tc>
      </w:tr>
      <w:tr>
        <w:trPr>
          <w:trHeight w:val="401" w:hRule="exact"/>
        </w:trPr>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6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75"/>
              <w:ind w:left="11" w:right="0"/>
              <w:jc w:val="left"/>
              <w:rPr>
                <w:rFonts w:ascii="Times New Roman" w:hAnsi="Times New Roman" w:cs="Times New Roman" w:eastAsia="Times New Roman" w:hint="default"/>
                <w:sz w:val="21"/>
                <w:szCs w:val="21"/>
              </w:rPr>
            </w:pPr>
            <w:hyperlink r:id="rId10">
              <w:r>
                <w:rPr>
                  <w:rFonts w:ascii="Times New Roman"/>
                  <w:sz w:val="21"/>
                </w:rPr>
                <w:t>haixia5229@sina.com</w:t>
              </w:r>
            </w:hyperlink>
          </w:p>
        </w:tc>
        <w:tc>
          <w:tcPr>
            <w:tcW w:w="4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shiyu5490@sina.com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106"/>
        <w:gridCol w:w="5462"/>
      </w:tblGrid>
      <w:tr>
        <w:trPr>
          <w:trHeight w:val="403" w:hRule="exact"/>
        </w:trPr>
        <w:tc>
          <w:tcPr>
            <w:tcW w:w="4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2" w:right="-34"/>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日</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时报</w:t>
            </w:r>
            <w:r>
              <w:rPr>
                <w:rFonts w:ascii="宋体" w:hAnsi="宋体" w:cs="宋体" w:eastAsia="宋体" w:hint="default"/>
                <w:w w:val="100"/>
                <w:sz w:val="21"/>
                <w:szCs w:val="21"/>
              </w:rPr>
              <w:t>》</w:t>
            </w:r>
          </w:p>
        </w:tc>
      </w:tr>
      <w:tr>
        <w:trPr>
          <w:trHeight w:val="401" w:hRule="exact"/>
        </w:trPr>
        <w:tc>
          <w:tcPr>
            <w:tcW w:w="4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5"/>
              <w:ind w:left="22" w:right="0"/>
              <w:jc w:val="left"/>
              <w:rPr>
                <w:rFonts w:ascii="Times New Roman" w:hAnsi="Times New Roman" w:cs="Times New Roman" w:eastAsia="Times New Roman" w:hint="default"/>
                <w:sz w:val="21"/>
                <w:szCs w:val="21"/>
              </w:rPr>
            </w:pPr>
            <w:hyperlink r:id="rId12">
              <w:r>
                <w:rPr>
                  <w:rFonts w:ascii="Times New Roman"/>
                  <w:sz w:val="21"/>
                </w:rPr>
                <w:t>www.cninfo.com.cn</w:t>
              </w:r>
            </w:hyperlink>
          </w:p>
        </w:tc>
      </w:tr>
      <w:tr>
        <w:trPr>
          <w:trHeight w:val="403" w:hRule="exact"/>
        </w:trPr>
        <w:tc>
          <w:tcPr>
            <w:tcW w:w="4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238"/>
        <w:gridCol w:w="1631"/>
        <w:gridCol w:w="1980"/>
        <w:gridCol w:w="2160"/>
        <w:gridCol w:w="1441"/>
        <w:gridCol w:w="1260"/>
      </w:tblGrid>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山东省工商行政管理局</w:t>
            </w:r>
          </w:p>
        </w:tc>
        <w:tc>
          <w:tcPr>
            <w:tcW w:w="21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370600228099328</w:t>
            </w:r>
          </w:p>
        </w:tc>
        <w:tc>
          <w:tcPr>
            <w:tcW w:w="14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9"/>
              <w:jc w:val="center"/>
              <w:rPr>
                <w:rFonts w:ascii="Times New Roman" w:hAnsi="Times New Roman" w:cs="Times New Roman" w:eastAsia="Times New Roman" w:hint="default"/>
                <w:sz w:val="18"/>
                <w:szCs w:val="18"/>
              </w:rPr>
            </w:pPr>
            <w:r>
              <w:rPr>
                <w:rFonts w:ascii="Times New Roman"/>
                <w:sz w:val="18"/>
              </w:rPr>
              <w:t>370612265526403</w:t>
            </w:r>
          </w:p>
        </w:tc>
        <w:tc>
          <w:tcPr>
            <w:tcW w:w="1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26552640-3</w:t>
            </w: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山东省工商行政管理局</w:t>
            </w:r>
          </w:p>
        </w:tc>
        <w:tc>
          <w:tcPr>
            <w:tcW w:w="21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370600228099328</w:t>
            </w:r>
          </w:p>
        </w:tc>
        <w:tc>
          <w:tcPr>
            <w:tcW w:w="14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9"/>
              <w:jc w:val="center"/>
              <w:rPr>
                <w:rFonts w:ascii="Times New Roman" w:hAnsi="Times New Roman" w:cs="Times New Roman" w:eastAsia="Times New Roman" w:hint="default"/>
                <w:sz w:val="18"/>
                <w:szCs w:val="18"/>
              </w:rPr>
            </w:pPr>
            <w:r>
              <w:rPr>
                <w:rFonts w:ascii="Times New Roman"/>
                <w:sz w:val="18"/>
              </w:rPr>
              <w:t>370612265526403</w:t>
            </w:r>
          </w:p>
        </w:tc>
        <w:tc>
          <w:tcPr>
            <w:tcW w:w="1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26552640-3</w:t>
            </w:r>
          </w:p>
        </w:tc>
      </w:tr>
      <w:tr>
        <w:trPr>
          <w:trHeight w:val="715" w:hRule="exact"/>
        </w:trPr>
        <w:tc>
          <w:tcPr>
            <w:tcW w:w="2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4"/>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841" w:type="dxa"/>
            <w:gridSpan w:val="4"/>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b/>
          <w:bCs/>
          <w:sz w:val="18"/>
          <w:szCs w:val="18"/>
        </w:rPr>
      </w:pPr>
    </w:p>
    <w:p>
      <w:pPr>
        <w:pStyle w:val="Heading2"/>
        <w:spacing w:line="240" w:lineRule="auto"/>
        <w:ind w:right="1123"/>
        <w:jc w:val="left"/>
        <w:rPr>
          <w:b w:val="0"/>
          <w:bCs w:val="0"/>
        </w:rPr>
      </w:pPr>
      <w:r>
        <w:rPr/>
        <w:t>五、其他有关资料</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公司聘请的会计师事务所</w:t>
      </w:r>
    </w:p>
    <w:p>
      <w:pPr>
        <w:spacing w:line="240" w:lineRule="auto" w:before="11"/>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2663"/>
        <w:gridCol w:w="6906"/>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山东汇德会计师事务所有限公司</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山东省青岛市东海西路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号世纪大厦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王丽敏、刘学伟</w:t>
            </w:r>
          </w:p>
        </w:tc>
      </w:tr>
    </w:tbl>
    <w:p>
      <w:pPr>
        <w:pStyle w:val="BodyText"/>
        <w:spacing w:line="240" w:lineRule="auto" w:before="28"/>
        <w:ind w:right="1123"/>
        <w:jc w:val="left"/>
      </w:pPr>
      <w:r>
        <w:rPr/>
        <w:t>公司聘请的报告期内履行持续督导职责的保荐机构</w:t>
      </w:r>
    </w:p>
    <w:p>
      <w:pPr>
        <w:pStyle w:val="BodyText"/>
        <w:spacing w:line="240" w:lineRule="auto" w:before="7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2391"/>
        <w:gridCol w:w="2393"/>
        <w:gridCol w:w="2393"/>
        <w:gridCol w:w="2380"/>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6"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太平洋证券股份有限公司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北京市西城区北展北街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号华远企业号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 </w:t>
            </w:r>
            <w:r>
              <w:rPr>
                <w:rFonts w:ascii="宋体" w:hAnsi="宋体" w:cs="宋体" w:eastAsia="宋体" w:hint="default"/>
                <w:sz w:val="21"/>
                <w:szCs w:val="21"/>
              </w:rPr>
              <w:t>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刘宏</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太平洋证券股份有限公司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北京市西城区北展北街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号华远企业号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 </w:t>
            </w:r>
            <w:r>
              <w:rPr>
                <w:rFonts w:ascii="宋体" w:hAnsi="宋体" w:cs="宋体" w:eastAsia="宋体" w:hint="default"/>
                <w:sz w:val="21"/>
                <w:szCs w:val="21"/>
              </w:rPr>
              <w:t>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
              <w:jc w:val="center"/>
              <w:rPr>
                <w:rFonts w:ascii="宋体" w:hAnsi="宋体" w:cs="宋体" w:eastAsia="宋体" w:hint="default"/>
                <w:sz w:val="21"/>
                <w:szCs w:val="21"/>
              </w:rPr>
            </w:pPr>
            <w:r>
              <w:rPr>
                <w:rFonts w:ascii="宋体" w:hAnsi="宋体" w:cs="宋体" w:eastAsia="宋体" w:hint="default"/>
                <w:sz w:val="21"/>
                <w:szCs w:val="21"/>
              </w:rPr>
              <w:t>太平洋证券股份有限公司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北京市西城区北展北街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号华远企业号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 </w:t>
            </w:r>
            <w:r>
              <w:rPr>
                <w:rFonts w:ascii="宋体" w:hAnsi="宋体" w:cs="宋体" w:eastAsia="宋体" w:hint="default"/>
                <w:sz w:val="21"/>
                <w:szCs w:val="21"/>
              </w:rPr>
              <w:t>座</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张育庆</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0" w:lineRule="auto" w:before="28"/>
        <w:ind w:right="1123"/>
        <w:jc w:val="left"/>
      </w:pPr>
      <w:r>
        <w:rPr/>
        <w:t>公司聘请的报告期内履行持续督导职责的财务顾问</w:t>
      </w:r>
    </w:p>
    <w:p>
      <w:pPr>
        <w:pStyle w:val="BodyText"/>
        <w:spacing w:line="240" w:lineRule="auto" w:before="78"/>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123"/>
        <w:jc w:val="left"/>
        <w:rPr>
          <w:b w:val="0"/>
          <w:bCs w:val="0"/>
        </w:rPr>
      </w:pPr>
      <w:r>
        <w:rPr/>
        <w:t>一、主要会计数据和财务指标</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23"/>
        <w:jc w:val="left"/>
      </w:pPr>
      <w:r>
        <w:rPr/>
        <w:t>公司是否因会计政策变更及会计差错更正等追溯调整或重述以前年度会计数据</w:t>
      </w:r>
    </w:p>
    <w:p>
      <w:pPr>
        <w:pStyle w:val="BodyText"/>
        <w:spacing w:line="240" w:lineRule="auto" w:before="78"/>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5"/>
          <w:szCs w:val="5"/>
        </w:rPr>
      </w:pPr>
    </w:p>
    <w:tbl>
      <w:tblPr>
        <w:tblW w:w="0" w:type="auto"/>
        <w:jc w:val="left"/>
        <w:tblInd w:w="193" w:type="dxa"/>
        <w:tblLayout w:type="fixed"/>
        <w:tblCellMar>
          <w:top w:w="0" w:type="dxa"/>
          <w:left w:w="0" w:type="dxa"/>
          <w:bottom w:w="0" w:type="dxa"/>
          <w:right w:w="0" w:type="dxa"/>
        </w:tblCellMar>
        <w:tblLook w:val="01E0"/>
      </w:tblPr>
      <w:tblGrid>
        <w:gridCol w:w="2858"/>
        <w:gridCol w:w="205"/>
        <w:gridCol w:w="1284"/>
        <w:gridCol w:w="1738"/>
        <w:gridCol w:w="1738"/>
        <w:gridCol w:w="1735"/>
      </w:tblGrid>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617,399,844.48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585,579,973.76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398,284,563.80</w:t>
            </w:r>
          </w:p>
        </w:tc>
      </w:tr>
      <w:tr>
        <w:trPr>
          <w:trHeight w:val="404"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44"/>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41,175,191.23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13,327,525.46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30,192,707.34</w:t>
            </w:r>
          </w:p>
        </w:tc>
      </w:tr>
      <w:tr>
        <w:trPr>
          <w:trHeight w:val="71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36,657,429.76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35,133,864.43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28,711,512.86</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44"/>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48,247,484.09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18,234,321.18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-66,194,367.46</w:t>
            </w: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w:t>
            </w:r>
          </w:p>
        </w:tc>
      </w:tr>
      <w:tr>
        <w:trPr>
          <w:trHeight w:val="162" w:hRule="exact"/>
        </w:trPr>
        <w:tc>
          <w:tcPr>
            <w:tcW w:w="2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858" w:type="dxa"/>
            <w:tcBorders>
              <w:top w:val="nil" w:sz="6" w:space="0" w:color="auto"/>
              <w:left w:val="single" w:sz="4" w:space="0" w:color="000000"/>
              <w:bottom w:val="nil" w:sz="6" w:space="0" w:color="auto"/>
              <w:right w:val="single" w:sz="4" w:space="0" w:color="000000"/>
            </w:tcBorders>
            <w:shd w:val="clear" w:color="auto" w:fill="D2D2D2"/>
          </w:tcPr>
          <w:p>
            <w:pPr/>
          </w:p>
        </w:tc>
        <w:tc>
          <w:tcPr>
            <w:tcW w:w="148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8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1,193,508,794.06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826,257,799.06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675,052,852.36</w:t>
            </w:r>
          </w:p>
        </w:tc>
      </w:tr>
      <w:tr>
        <w:trPr>
          <w:trHeight w:val="716"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归属于上市公司股东的净资产（归属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于上市公司股东的所有者权益）（元</w:t>
            </w:r>
          </w:p>
        </w:tc>
        <w:tc>
          <w:tcPr>
            <w:tcW w:w="205"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802,783,945.38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517,268,439.38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510,000,049.39</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-279,322.33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-757,095.77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-13,005.56</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0"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3,326.92</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6,166,135.66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438,404.00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2,032,640.00</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-414,281.87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-25,697,463.35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-297,314.46</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910,441.18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-4,160,514.72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265,012.73</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44,328.81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-49,301.43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-20,560.31</w:t>
            </w:r>
          </w:p>
        </w:tc>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4,517,761.47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-21,806,338.97</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1,481,194.48</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1"/>
        <w:ind w:right="1123"/>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t>损益项目界定为经常性损益的项目，应说明原因</w:t>
      </w:r>
    </w:p>
    <w:p>
      <w:pPr>
        <w:pStyle w:val="BodyText"/>
        <w:spacing w:line="240" w:lineRule="auto" w:before="6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3"/>
        <w:jc w:val="left"/>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BodyText"/>
        <w:spacing w:line="264" w:lineRule="auto"/>
        <w:ind w:right="1126" w:firstLine="420"/>
        <w:jc w:val="both"/>
      </w:pPr>
      <w:r>
        <w:rPr>
          <w:rFonts w:ascii="Times New Roman" w:hAnsi="Times New Roman" w:cs="Times New Roman" w:eastAsia="Times New Roman" w:hint="default"/>
        </w:rPr>
        <w:t>2012 </w:t>
      </w:r>
      <w:r>
        <w:rPr>
          <w:spacing w:val="-4"/>
        </w:rPr>
        <w:t>年，全球经济复苏放缓，国内经济面临通货膨胀和经济增长缓慢的双重压力，在这样的宏观环境</w:t>
      </w:r>
      <w:r>
        <w:rPr>
          <w:w w:val="100"/>
        </w:rPr>
        <w:t> </w:t>
      </w:r>
      <w:r>
        <w:rPr>
          <w:spacing w:val="-2"/>
        </w:rPr>
        <w:t>下，公司董事会和管理层紧紧围绕公司战略发展规划，努力克服国内外环境复杂变化带来的不利因素，积</w:t>
      </w:r>
      <w:r>
        <w:rPr>
          <w:spacing w:val="-42"/>
        </w:rPr>
        <w:t> </w:t>
      </w:r>
      <w:r>
        <w:rPr>
          <w:spacing w:val="-42"/>
        </w:rPr>
      </w:r>
      <w:r>
        <w:rPr/>
        <w:t>极调整业务结构和市场布局，培育新市场，加强成本管控，提升产品技术，稳步推进各项工作。</w:t>
      </w:r>
    </w:p>
    <w:p>
      <w:pPr>
        <w:pStyle w:val="BodyText"/>
        <w:spacing w:line="240" w:lineRule="auto" w:before="57"/>
        <w:ind w:left="573" w:right="0"/>
        <w:jc w:val="left"/>
      </w:pPr>
      <w:r>
        <w:rPr>
          <w:spacing w:val="-3"/>
        </w:rPr>
        <w:t>报告期内，公司实现营业总收入</w:t>
      </w:r>
      <w:r>
        <w:rPr>
          <w:spacing w:val="-41"/>
        </w:rPr>
        <w:t> </w:t>
      </w:r>
      <w:r>
        <w:rPr>
          <w:rFonts w:ascii="Times New Roman" w:hAnsi="Times New Roman" w:cs="Times New Roman" w:eastAsia="Times New Roman" w:hint="default"/>
        </w:rPr>
        <w:t>61,739.98</w:t>
      </w:r>
      <w:r>
        <w:rPr>
          <w:rFonts w:ascii="Times New Roman" w:hAnsi="Times New Roman" w:cs="Times New Roman" w:eastAsia="Times New Roman" w:hint="default"/>
          <w:spacing w:val="12"/>
        </w:rPr>
        <w:t> </w:t>
      </w:r>
      <w:r>
        <w:rPr>
          <w:spacing w:val="-4"/>
        </w:rPr>
        <w:t>万元，同比增长</w:t>
      </w:r>
      <w:r>
        <w:rPr>
          <w:spacing w:val="-41"/>
        </w:rPr>
        <w:t> </w:t>
      </w:r>
      <w:r>
        <w:rPr>
          <w:rFonts w:ascii="Times New Roman" w:hAnsi="Times New Roman" w:cs="Times New Roman" w:eastAsia="Times New Roman" w:hint="default"/>
          <w:spacing w:val="-3"/>
        </w:rPr>
        <w:t>5.43%</w:t>
      </w:r>
      <w:r>
        <w:rPr>
          <w:spacing w:val="-3"/>
        </w:rPr>
        <w:t>，其中主营业务收入</w:t>
      </w:r>
      <w:r>
        <w:rPr>
          <w:spacing w:val="-40"/>
        </w:rPr>
        <w:t> </w:t>
      </w:r>
      <w:r>
        <w:rPr>
          <w:rFonts w:ascii="Times New Roman" w:hAnsi="Times New Roman" w:cs="Times New Roman" w:eastAsia="Times New Roman" w:hint="default"/>
        </w:rPr>
        <w:t>58941.24</w:t>
      </w:r>
      <w:r>
        <w:rPr>
          <w:rFonts w:ascii="Times New Roman" w:hAnsi="Times New Roman" w:cs="Times New Roman" w:eastAsia="Times New Roman" w:hint="default"/>
          <w:spacing w:val="8"/>
        </w:rPr>
        <w:t> </w:t>
      </w:r>
      <w:r>
        <w:rPr/>
        <w:t>万元，</w:t>
      </w:r>
    </w:p>
    <w:p>
      <w:pPr>
        <w:pStyle w:val="BodyText"/>
        <w:spacing w:line="256" w:lineRule="auto" w:before="21"/>
        <w:ind w:right="1018"/>
        <w:jc w:val="left"/>
      </w:pPr>
      <w:r>
        <w:rPr/>
        <w:t>较去年同期增长</w:t>
      </w:r>
      <w:r>
        <w:rPr>
          <w:spacing w:val="-55"/>
        </w:rPr>
        <w:t> </w:t>
      </w:r>
      <w:r>
        <w:rPr>
          <w:rFonts w:ascii="Times New Roman" w:hAnsi="Times New Roman" w:cs="Times New Roman" w:eastAsia="Times New Roman" w:hint="default"/>
        </w:rPr>
        <w:t>5.63</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，占全部营业收入的</w:t>
      </w:r>
      <w:r>
        <w:rPr>
          <w:spacing w:val="-54"/>
        </w:rPr>
        <w:t> </w:t>
      </w:r>
      <w:r>
        <w:rPr>
          <w:rFonts w:ascii="Times New Roman" w:hAnsi="Times New Roman" w:cs="Times New Roman" w:eastAsia="Times New Roman" w:hint="default"/>
        </w:rPr>
        <w:t>95.47%</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年实现归属于上市公司股东的净利润</w:t>
      </w:r>
      <w:r>
        <w:rPr>
          <w:spacing w:val="-55"/>
        </w:rPr>
        <w:t> </w:t>
      </w:r>
      <w:r>
        <w:rPr>
          <w:rFonts w:ascii="Times New Roman" w:hAnsi="Times New Roman" w:cs="Times New Roman" w:eastAsia="Times New Roman" w:hint="default"/>
        </w:rPr>
        <w:t>4117.52</w:t>
      </w:r>
      <w:r>
        <w:rPr>
          <w:rFonts w:ascii="Times New Roman" w:hAnsi="Times New Roman" w:cs="Times New Roman" w:eastAsia="Times New Roman" w:hint="default"/>
          <w:w w:val="100"/>
        </w:rPr>
        <w:t> </w:t>
      </w:r>
      <w:r>
        <w:rPr>
          <w:spacing w:val="-8"/>
        </w:rPr>
        <w:t>万元，同比增长</w:t>
      </w:r>
      <w:r>
        <w:rPr>
          <w:spacing w:val="-33"/>
        </w:rPr>
        <w:t> </w:t>
      </w:r>
      <w:r>
        <w:rPr>
          <w:rFonts w:ascii="Times New Roman" w:hAnsi="Times New Roman" w:cs="Times New Roman" w:eastAsia="Times New Roman" w:hint="default"/>
          <w:spacing w:val="-3"/>
        </w:rPr>
        <w:t>208.95%</w:t>
      </w:r>
      <w:r>
        <w:rPr>
          <w:spacing w:val="-3"/>
        </w:rPr>
        <w:t>，其中实现归属于上市公司股东的扣除非经常性损益后的净利润为</w:t>
      </w:r>
      <w:r>
        <w:rPr>
          <w:spacing w:val="-33"/>
        </w:rPr>
        <w:t> </w:t>
      </w:r>
      <w:r>
        <w:rPr>
          <w:rFonts w:ascii="Times New Roman" w:hAnsi="Times New Roman" w:cs="Times New Roman" w:eastAsia="Times New Roman" w:hint="default"/>
        </w:rPr>
        <w:t>3,665.74</w:t>
      </w:r>
      <w:r>
        <w:rPr>
          <w:rFonts w:ascii="Times New Roman" w:hAnsi="Times New Roman" w:cs="Times New Roman" w:eastAsia="Times New Roman" w:hint="default"/>
          <w:spacing w:val="18"/>
        </w:rPr>
        <w:t> </w:t>
      </w:r>
      <w:r>
        <w:rPr/>
        <w:t>万元，</w:t>
      </w:r>
      <w:r>
        <w:rPr>
          <w:spacing w:val="-98"/>
        </w:rPr>
        <w:t> </w:t>
      </w:r>
      <w:r>
        <w:rPr>
          <w:spacing w:val="-98"/>
        </w:rPr>
      </w:r>
      <w:r>
        <w:rPr/>
        <w:t>同比增长</w:t>
      </w:r>
      <w:r>
        <w:rPr>
          <w:spacing w:val="-53"/>
        </w:rPr>
        <w:t> </w:t>
      </w:r>
      <w:r>
        <w:rPr>
          <w:rFonts w:ascii="Times New Roman" w:hAnsi="Times New Roman" w:cs="Times New Roman" w:eastAsia="Times New Roman" w:hint="default"/>
        </w:rPr>
        <w:t>4.34%</w:t>
      </w:r>
      <w:r>
        <w:rPr/>
        <w:t>。</w:t>
      </w:r>
    </w:p>
    <w:p>
      <w:pPr>
        <w:pStyle w:val="BodyText"/>
        <w:spacing w:line="240" w:lineRule="auto" w:before="43"/>
        <w:ind w:left="573" w:right="1123"/>
        <w:jc w:val="left"/>
      </w:pPr>
      <w:r>
        <w:rPr/>
        <w:t>报告期内，公司主要完成以下几方面工作：</w:t>
      </w:r>
    </w:p>
    <w:p>
      <w:pPr>
        <w:pStyle w:val="BodyText"/>
        <w:spacing w:line="240" w:lineRule="auto" w:before="78"/>
        <w:ind w:left="573" w:right="1123"/>
        <w:jc w:val="left"/>
      </w:pPr>
      <w:r>
        <w:rPr>
          <w:rFonts w:ascii="Times New Roman" w:hAnsi="Times New Roman" w:cs="Times New Roman" w:eastAsia="Times New Roman" w:hint="default"/>
        </w:rPr>
        <w:t>1</w:t>
      </w:r>
      <w:r>
        <w:rPr/>
        <w:t>、成功完成非公开发行股票</w:t>
      </w:r>
    </w:p>
    <w:p>
      <w:pPr>
        <w:pStyle w:val="BodyText"/>
        <w:spacing w:line="256" w:lineRule="auto" w:before="62"/>
        <w:ind w:right="1126"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spacing w:val="-4"/>
        </w:rPr>
        <w:t>日，公司收到中国证监会下发的《关于核准山东丽鹏股份有限公司非公开发行股票的</w:t>
      </w:r>
      <w:r>
        <w:rPr>
          <w:w w:val="100"/>
        </w:rPr>
        <w:t> </w:t>
      </w:r>
      <w:r>
        <w:rPr>
          <w:spacing w:val="-7"/>
          <w:w w:val="100"/>
        </w:rPr>
        <w:t>批复》（证监许可</w:t>
      </w:r>
      <w:r>
        <w:rPr>
          <w:rFonts w:ascii="Times New Roman" w:hAnsi="Times New Roman" w:cs="Times New Roman" w:eastAsia="Times New Roman" w:hint="default"/>
          <w:spacing w:val="-7"/>
          <w:w w:val="100"/>
        </w:rPr>
        <w:t>[2012]1328</w:t>
      </w:r>
      <w:r>
        <w:rPr>
          <w:rFonts w:ascii="Times New Roman" w:hAnsi="Times New Roman" w:cs="Times New Roman" w:eastAsia="Times New Roman" w:hint="default"/>
          <w:spacing w:val="2"/>
          <w:w w:val="100"/>
        </w:rPr>
        <w:t> </w:t>
      </w:r>
      <w:r>
        <w:rPr>
          <w:spacing w:val="-9"/>
          <w:w w:val="100"/>
        </w:rPr>
        <w:t>号），核准公司非公开发行不超过</w:t>
      </w:r>
      <w:r>
        <w:rPr>
          <w:spacing w:val="-49"/>
          <w:w w:val="100"/>
        </w:rPr>
        <w:t> </w:t>
      </w:r>
      <w:r>
        <w:rPr>
          <w:rFonts w:ascii="Times New Roman" w:hAnsi="Times New Roman" w:cs="Times New Roman" w:eastAsia="Times New Roman" w:hint="default"/>
          <w:spacing w:val="-2"/>
          <w:w w:val="100"/>
        </w:rPr>
        <w:t>26,245,211</w:t>
      </w:r>
      <w:r>
        <w:rPr>
          <w:rFonts w:ascii="Times New Roman" w:hAnsi="Times New Roman" w:cs="Times New Roman" w:eastAsia="Times New Roman" w:hint="default"/>
          <w:spacing w:val="3"/>
          <w:w w:val="100"/>
        </w:rPr>
        <w:t> </w:t>
      </w:r>
      <w:r>
        <w:rPr>
          <w:spacing w:val="-2"/>
          <w:w w:val="100"/>
        </w:rPr>
        <w:t>股新股。</w:t>
      </w:r>
      <w:r>
        <w:rPr>
          <w:rFonts w:ascii="Times New Roman" w:hAnsi="Times New Roman" w:cs="Times New Roman" w:eastAsia="Times New Roman" w:hint="default"/>
          <w:spacing w:val="-2"/>
          <w:w w:val="100"/>
        </w:rPr>
        <w:t>2012</w:t>
      </w:r>
      <w:r>
        <w:rPr>
          <w:rFonts w:ascii="Times New Roman" w:hAnsi="Times New Roman" w:cs="Times New Roman" w:eastAsia="Times New Roman" w:hint="default"/>
          <w:spacing w:val="1"/>
          <w:w w:val="100"/>
        </w:rPr>
        <w:t> </w:t>
      </w:r>
      <w:r>
        <w:rPr>
          <w:w w:val="100"/>
        </w:rPr>
        <w:t>年</w:t>
      </w:r>
      <w:r>
        <w:rPr>
          <w:spacing w:val="-50"/>
          <w:w w:val="100"/>
        </w:rPr>
        <w:t> </w:t>
      </w:r>
      <w:r>
        <w:rPr>
          <w:rFonts w:ascii="Times New Roman" w:hAnsi="Times New Roman" w:cs="Times New Roman" w:eastAsia="Times New Roman" w:hint="default"/>
          <w:w w:val="100"/>
        </w:rPr>
        <w:t>10 </w:t>
      </w:r>
      <w:r>
        <w:rPr>
          <w:spacing w:val="-2"/>
          <w:w w:val="100"/>
        </w:rPr>
        <w:t>月，公司实</w:t>
      </w:r>
      <w:r>
        <w:rPr>
          <w:spacing w:val="-100"/>
          <w:w w:val="100"/>
        </w:rPr>
        <w:t> </w:t>
      </w:r>
      <w:r>
        <w:rPr>
          <w:spacing w:val="-100"/>
          <w:w w:val="100"/>
        </w:rPr>
      </w:r>
      <w:r>
        <w:rPr/>
        <w:t>施了非公开发行股票方案，非公开发行股份</w:t>
      </w:r>
      <w:r>
        <w:rPr>
          <w:spacing w:val="-56"/>
        </w:rPr>
        <w:t> </w:t>
      </w:r>
      <w:r>
        <w:rPr>
          <w:rFonts w:ascii="Times New Roman" w:hAnsi="Times New Roman" w:cs="Times New Roman" w:eastAsia="Times New Roman" w:hint="default"/>
        </w:rPr>
        <w:t>20,738,461</w:t>
      </w:r>
      <w:r>
        <w:rPr>
          <w:rFonts w:ascii="Times New Roman" w:hAnsi="Times New Roman" w:cs="Times New Roman" w:eastAsia="Times New Roman" w:hint="default"/>
          <w:spacing w:val="-3"/>
        </w:rPr>
        <w:t> </w:t>
      </w:r>
      <w:r>
        <w:rPr/>
        <w:t>股，发行价格</w:t>
      </w:r>
      <w:r>
        <w:rPr>
          <w:spacing w:val="-56"/>
        </w:rPr>
        <w:t> </w:t>
      </w:r>
      <w:r>
        <w:rPr>
          <w:rFonts w:ascii="Times New Roman" w:hAnsi="Times New Roman" w:cs="Times New Roman" w:eastAsia="Times New Roman" w:hint="default"/>
        </w:rPr>
        <w:t>13.00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股，募集资金总额为</w:t>
      </w:r>
    </w:p>
    <w:p>
      <w:pPr>
        <w:pStyle w:val="BodyText"/>
        <w:spacing w:line="256" w:lineRule="auto" w:before="5"/>
        <w:ind w:right="1219"/>
        <w:jc w:val="left"/>
      </w:pPr>
      <w:r>
        <w:rPr>
          <w:rFonts w:ascii="Times New Roman" w:hAnsi="Times New Roman" w:cs="Times New Roman" w:eastAsia="Times New Roman" w:hint="default"/>
        </w:rPr>
        <w:t>269,599,993.00</w:t>
      </w:r>
      <w:r>
        <w:rPr>
          <w:rFonts w:ascii="Times New Roman" w:hAnsi="Times New Roman" w:cs="Times New Roman" w:eastAsia="Times New Roman" w:hint="default"/>
          <w:spacing w:val="-2"/>
        </w:rPr>
        <w:t> </w:t>
      </w:r>
      <w:r>
        <w:rPr/>
        <w:t>元，该部分股份已于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日在深圳证券交易所上市。此次新股的顺利发行，为</w:t>
      </w:r>
      <w:r>
        <w:rPr>
          <w:w w:val="100"/>
        </w:rPr>
        <w:t> </w:t>
      </w:r>
      <w:r>
        <w:rPr/>
        <w:t>公司提供了较为充足的资金支持，更好地保证了本次非公开发行股票募集资金投资项目的建设与实施。</w:t>
      </w:r>
    </w:p>
    <w:p>
      <w:pPr>
        <w:pStyle w:val="BodyText"/>
        <w:spacing w:line="290" w:lineRule="auto" w:before="61"/>
        <w:ind w:left="573" w:right="1123"/>
        <w:jc w:val="left"/>
      </w:pPr>
      <w:r>
        <w:rPr>
          <w:rFonts w:ascii="Times New Roman" w:hAnsi="Times New Roman" w:cs="Times New Roman" w:eastAsia="Times New Roman" w:hint="default"/>
        </w:rPr>
        <w:t>2</w:t>
      </w:r>
      <w:r>
        <w:rPr/>
        <w:t>、把握市场供求，调整产品结构，加强生产管理，保证产品质量</w:t>
      </w:r>
      <w:r>
        <w:rPr>
          <w:w w:val="100"/>
        </w:rPr>
        <w:t> </w:t>
      </w:r>
      <w:r>
        <w:rPr>
          <w:spacing w:val="-2"/>
        </w:rPr>
        <w:t>报告期内，公司关注市场动态，在巩固现有市场和积极推进公司在建工程建设的同时，不断开发和培</w:t>
      </w:r>
    </w:p>
    <w:p>
      <w:pPr>
        <w:pStyle w:val="BodyText"/>
        <w:spacing w:line="273" w:lineRule="auto"/>
        <w:ind w:right="0"/>
        <w:jc w:val="left"/>
      </w:pPr>
      <w:r>
        <w:rPr>
          <w:spacing w:val="-5"/>
        </w:rPr>
        <w:t>育新市场，把握产品供求，调整产品结构，进行产品创新，努力提高公司快速适应市场变化的能力。同时，</w:t>
      </w:r>
      <w:r>
        <w:rPr>
          <w:spacing w:val="-6"/>
        </w:rPr>
        <w:t> </w:t>
      </w:r>
      <w:r>
        <w:rPr>
          <w:spacing w:val="-6"/>
        </w:rPr>
      </w:r>
      <w:r>
        <w:rPr>
          <w:spacing w:val="-2"/>
        </w:rPr>
        <w:t>进一步加强生产各环节的管理，科学合理安排生产计划，降低生产成本，维护生产安全和稳定，保证产品</w:t>
      </w:r>
      <w:r>
        <w:rPr>
          <w:spacing w:val="-47"/>
        </w:rPr>
        <w:t> </w:t>
      </w:r>
      <w:r>
        <w:rPr>
          <w:spacing w:val="-47"/>
        </w:rPr>
      </w:r>
      <w:r>
        <w:rPr/>
        <w:t>质量，提高产品竞争力。</w:t>
      </w:r>
    </w:p>
    <w:p>
      <w:pPr>
        <w:pStyle w:val="BodyText"/>
        <w:spacing w:line="290" w:lineRule="auto" w:before="48"/>
        <w:ind w:left="573" w:right="1123"/>
        <w:jc w:val="left"/>
      </w:pPr>
      <w:r>
        <w:rPr>
          <w:rFonts w:ascii="Times New Roman" w:hAnsi="Times New Roman" w:cs="Times New Roman" w:eastAsia="Times New Roman" w:hint="default"/>
        </w:rPr>
        <w:t>3</w:t>
      </w:r>
      <w:r>
        <w:rPr/>
        <w:t>、进一步加强公司内部控制</w:t>
      </w:r>
      <w:r>
        <w:rPr>
          <w:w w:val="100"/>
        </w:rPr>
        <w:t> </w:t>
      </w:r>
      <w:r>
        <w:rPr>
          <w:spacing w:val="-2"/>
        </w:rPr>
        <w:t>报告期内，公司在紧抓经营管理的基础上，进一步了完善内部控制体系建设，同时强化董事会责任，</w:t>
      </w:r>
    </w:p>
    <w:p>
      <w:pPr>
        <w:pStyle w:val="BodyText"/>
        <w:spacing w:line="268" w:lineRule="exact"/>
        <w:ind w:right="0"/>
        <w:jc w:val="left"/>
      </w:pPr>
      <w:r>
        <w:rPr/>
        <w:t>进一步健全公司法人治理结构，按照上市公司要求及时披露相关信息，规范公司运作，加强风险点监控。</w:t>
      </w:r>
    </w:p>
    <w:p>
      <w:pPr>
        <w:spacing w:line="240" w:lineRule="auto" w:before="11"/>
        <w:rPr>
          <w:rFonts w:ascii="宋体" w:hAnsi="宋体" w:cs="宋体" w:eastAsia="宋体" w:hint="default"/>
          <w:sz w:val="23"/>
          <w:szCs w:val="23"/>
        </w:rPr>
      </w:pPr>
    </w:p>
    <w:p>
      <w:pPr>
        <w:pStyle w:val="Heading2"/>
        <w:spacing w:line="240" w:lineRule="auto" w:before="0"/>
        <w:ind w:right="112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right="0" w:firstLine="42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spacing w:val="-4"/>
        </w:rPr>
        <w:t>年，在国内宏观经济增速有所减缓的背景下，公司积极、有效应对各种不利因素，加强内部控制</w:t>
      </w:r>
      <w:r>
        <w:rPr>
          <w:w w:val="100"/>
        </w:rPr>
        <w:t> </w:t>
      </w:r>
      <w:r>
        <w:rPr>
          <w:spacing w:val="-5"/>
        </w:rPr>
        <w:t>管理，在保障对传统核心客户供货的同时，积极开发新客户，积极应用新技术，加快研发成果的实际应用，</w:t>
      </w:r>
      <w:r>
        <w:rPr>
          <w:spacing w:val="-11"/>
        </w:rPr>
        <w:t> </w:t>
      </w:r>
      <w:r>
        <w:rPr>
          <w:spacing w:val="-11"/>
        </w:rPr>
      </w:r>
      <w:r>
        <w:rPr/>
        <w:t>提高工作和生产效率，保持了业务的稳定增长。</w:t>
      </w:r>
    </w:p>
    <w:p>
      <w:pPr>
        <w:pStyle w:val="BodyText"/>
        <w:spacing w:line="240" w:lineRule="auto" w:before="52"/>
        <w:ind w:left="573" w:right="0"/>
        <w:jc w:val="left"/>
      </w:pPr>
      <w:r>
        <w:rPr/>
        <w:t>报告期内公司实现营业收入</w:t>
      </w:r>
      <w:r>
        <w:rPr>
          <w:spacing w:val="-46"/>
        </w:rPr>
        <w:t> </w:t>
      </w:r>
      <w:r>
        <w:rPr>
          <w:rFonts w:ascii="Times New Roman" w:hAnsi="Times New Roman" w:cs="Times New Roman" w:eastAsia="Times New Roman" w:hint="default"/>
        </w:rPr>
        <w:t>617,399,844.48</w:t>
      </w:r>
      <w:r>
        <w:rPr>
          <w:rFonts w:ascii="Times New Roman" w:hAnsi="Times New Roman" w:cs="Times New Roman" w:eastAsia="Times New Roman" w:hint="default"/>
          <w:spacing w:val="7"/>
        </w:rPr>
        <w:t> </w:t>
      </w:r>
      <w:r>
        <w:rPr>
          <w:spacing w:val="-7"/>
        </w:rPr>
        <w:t>元，同比增长</w:t>
      </w:r>
      <w:r>
        <w:rPr>
          <w:spacing w:val="-45"/>
        </w:rPr>
        <w:t> </w:t>
      </w:r>
      <w:r>
        <w:rPr>
          <w:rFonts w:ascii="Times New Roman" w:hAnsi="Times New Roman" w:cs="Times New Roman" w:eastAsia="Times New Roman" w:hint="default"/>
          <w:spacing w:val="-5"/>
        </w:rPr>
        <w:t>5.43%</w:t>
      </w:r>
      <w:r>
        <w:rPr>
          <w:spacing w:val="-5"/>
        </w:rPr>
        <w:t>；营业成本</w:t>
      </w:r>
      <w:r>
        <w:rPr>
          <w:spacing w:val="-49"/>
        </w:rPr>
        <w:t> </w:t>
      </w:r>
      <w:r>
        <w:rPr>
          <w:rFonts w:ascii="Times New Roman" w:hAnsi="Times New Roman" w:cs="Times New Roman" w:eastAsia="Times New Roman" w:hint="default"/>
        </w:rPr>
        <w:t>484,072,877.89</w:t>
      </w:r>
      <w:r>
        <w:rPr>
          <w:rFonts w:ascii="Times New Roman" w:hAnsi="Times New Roman" w:cs="Times New Roman" w:eastAsia="Times New Roman" w:hint="default"/>
          <w:spacing w:val="4"/>
        </w:rPr>
        <w:t> </w:t>
      </w:r>
      <w:r>
        <w:rPr>
          <w:spacing w:val="-8"/>
        </w:rPr>
        <w:t>元，同比增</w:t>
      </w:r>
    </w:p>
    <w:p>
      <w:pPr>
        <w:pStyle w:val="BodyText"/>
        <w:spacing w:line="256" w:lineRule="auto" w:before="21"/>
        <w:ind w:right="1123"/>
        <w:jc w:val="left"/>
      </w:pPr>
      <w:r>
        <w:rPr>
          <w:w w:val="100"/>
        </w:rPr>
        <w:t>加</w:t>
      </w:r>
      <w:r>
        <w:rPr>
          <w:spacing w:val="-49"/>
          <w:w w:val="100"/>
        </w:rPr>
        <w:t> </w:t>
      </w:r>
      <w:r>
        <w:rPr>
          <w:rFonts w:ascii="Times New Roman" w:hAnsi="Times New Roman" w:cs="Times New Roman" w:eastAsia="Times New Roman" w:hint="default"/>
          <w:spacing w:val="-1"/>
          <w:w w:val="100"/>
        </w:rPr>
        <w:t>3.08%</w:t>
      </w:r>
      <w:r>
        <w:rPr>
          <w:spacing w:val="-1"/>
          <w:w w:val="100"/>
        </w:rPr>
        <w:t>，期间费用</w:t>
      </w:r>
      <w:r>
        <w:rPr>
          <w:spacing w:val="-50"/>
          <w:w w:val="100"/>
        </w:rPr>
        <w:t> </w:t>
      </w:r>
      <w:r>
        <w:rPr>
          <w:rFonts w:ascii="Times New Roman" w:hAnsi="Times New Roman" w:cs="Times New Roman" w:eastAsia="Times New Roman" w:hint="default"/>
          <w:spacing w:val="-1"/>
          <w:w w:val="100"/>
        </w:rPr>
        <w:t>74,633,397.56</w:t>
      </w:r>
      <w:r>
        <w:rPr>
          <w:rFonts w:ascii="Times New Roman" w:hAnsi="Times New Roman" w:cs="Times New Roman" w:eastAsia="Times New Roman" w:hint="default"/>
          <w:spacing w:val="3"/>
          <w:w w:val="100"/>
        </w:rPr>
        <w:t> </w:t>
      </w:r>
      <w:r>
        <w:rPr>
          <w:spacing w:val="-2"/>
          <w:w w:val="100"/>
        </w:rPr>
        <w:t>元，同比增加</w:t>
      </w:r>
      <w:r>
        <w:rPr>
          <w:spacing w:val="-50"/>
          <w:w w:val="100"/>
        </w:rPr>
        <w:t> </w:t>
      </w:r>
      <w:r>
        <w:rPr>
          <w:rFonts w:ascii="Times New Roman" w:hAnsi="Times New Roman" w:cs="Times New Roman" w:eastAsia="Times New Roman" w:hint="default"/>
          <w:spacing w:val="-2"/>
          <w:w w:val="100"/>
        </w:rPr>
        <w:t>17.82</w:t>
      </w:r>
      <w:r>
        <w:rPr>
          <w:rFonts w:ascii="Times New Roman" w:hAnsi="Times New Roman" w:cs="Times New Roman" w:eastAsia="Times New Roman" w:hint="default"/>
          <w:spacing w:val="3"/>
          <w:w w:val="100"/>
        </w:rPr>
        <w:t> </w:t>
      </w:r>
      <w:r>
        <w:rPr>
          <w:rFonts w:ascii="Times New Roman" w:hAnsi="Times New Roman" w:cs="Times New Roman" w:eastAsia="Times New Roman" w:hint="default"/>
          <w:spacing w:val="-11"/>
          <w:w w:val="100"/>
        </w:rPr>
        <w:t>%</w:t>
      </w:r>
      <w:r>
        <w:rPr>
          <w:spacing w:val="-11"/>
          <w:w w:val="100"/>
        </w:rPr>
        <w:t>，。经营活动现金净流量</w:t>
      </w:r>
      <w:r>
        <w:rPr>
          <w:spacing w:val="-50"/>
          <w:w w:val="100"/>
        </w:rPr>
        <w:t> </w:t>
      </w:r>
      <w:r>
        <w:rPr>
          <w:rFonts w:ascii="Times New Roman" w:hAnsi="Times New Roman" w:cs="Times New Roman" w:eastAsia="Times New Roman" w:hint="default"/>
          <w:spacing w:val="-1"/>
          <w:w w:val="100"/>
        </w:rPr>
        <w:t>48,247,484.09</w:t>
      </w:r>
      <w:r>
        <w:rPr>
          <w:rFonts w:ascii="Times New Roman" w:hAnsi="Times New Roman" w:cs="Times New Roman" w:eastAsia="Times New Roman" w:hint="default"/>
          <w:spacing w:val="3"/>
          <w:w w:val="100"/>
        </w:rPr>
        <w:t> </w:t>
      </w:r>
      <w:r>
        <w:rPr>
          <w:spacing w:val="-2"/>
          <w:w w:val="100"/>
        </w:rPr>
        <w:t>元，同比</w:t>
      </w:r>
      <w:r>
        <w:rPr>
          <w:w w:val="100"/>
        </w:rPr>
        <w:t> </w:t>
      </w:r>
      <w:r>
        <w:rPr/>
        <w:t>增加</w:t>
      </w:r>
      <w:r>
        <w:rPr>
          <w:spacing w:val="-54"/>
        </w:rPr>
        <w:t> </w:t>
      </w:r>
      <w:r>
        <w:rPr>
          <w:rFonts w:ascii="Times New Roman" w:hAnsi="Times New Roman" w:cs="Times New Roman" w:eastAsia="Times New Roman" w:hint="default"/>
        </w:rPr>
        <w:t>164.60%</w:t>
      </w:r>
      <w:r>
        <w:rPr/>
        <w:t>，公司继续保持较好的经营现金流。</w:t>
      </w:r>
    </w:p>
    <w:p>
      <w:pPr>
        <w:pStyle w:val="BodyText"/>
        <w:spacing w:line="307" w:lineRule="auto" w:before="46"/>
        <w:ind w:left="573" w:right="1124"/>
        <w:jc w:val="left"/>
      </w:pPr>
      <w:r>
        <w:rPr/>
        <w:t>公司回顾总结前期披露的发展战略和经营计划在报告期内的进展情况</w:t>
      </w:r>
      <w:r>
        <w:rPr>
          <w:w w:val="100"/>
        </w:rPr>
        <w:t> </w:t>
      </w:r>
      <w:r>
        <w:rPr/>
        <w:t>受白酒市场整体影响，公司年初制定的</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年公司经营目标，计划生产防伪瓶盖</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3"/>
        </w:rPr>
        <w:t>亿只，预计营业</w:t>
      </w:r>
    </w:p>
    <w:p>
      <w:pPr>
        <w:pStyle w:val="BodyText"/>
        <w:spacing w:line="247" w:lineRule="exact"/>
        <w:ind w:right="1123"/>
        <w:jc w:val="left"/>
      </w:pPr>
      <w:r>
        <w:rPr/>
        <w:t>收入</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亿元。实际生产</w:t>
      </w:r>
      <w:r>
        <w:rPr>
          <w:spacing w:val="-54"/>
        </w:rPr>
        <w:t> </w:t>
      </w:r>
      <w:r>
        <w:rPr>
          <w:rFonts w:ascii="Times New Roman" w:hAnsi="Times New Roman" w:cs="Times New Roman" w:eastAsia="Times New Roman" w:hint="default"/>
        </w:rPr>
        <w:t>21.8</w:t>
      </w:r>
      <w:r>
        <w:rPr>
          <w:rFonts w:ascii="Times New Roman" w:hAnsi="Times New Roman" w:cs="Times New Roman" w:eastAsia="Times New Roman" w:hint="default"/>
          <w:spacing w:val="-1"/>
        </w:rPr>
        <w:t> </w:t>
      </w:r>
      <w:r>
        <w:rPr/>
        <w:t>亿只，未达到计划目标。</w:t>
      </w:r>
    </w:p>
    <w:p>
      <w:pPr>
        <w:spacing w:after="0" w:line="247" w:lineRule="exact"/>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spacing w:val="-2"/>
        </w:rPr>
        <w:t>公司实际经营业绩较曾公开披露过的本年度盈利预测低于或高于</w:t>
      </w:r>
      <w:r>
        <w:rPr>
          <w:spacing w:val="19"/>
        </w:rPr>
        <w:t> </w:t>
      </w:r>
      <w:r>
        <w:rPr>
          <w:rFonts w:ascii="Times New Roman" w:hAnsi="Times New Roman" w:cs="Times New Roman" w:eastAsia="Times New Roman" w:hint="default"/>
          <w:spacing w:val="-2"/>
        </w:rPr>
        <w:t>20%</w:t>
      </w:r>
      <w:r>
        <w:rPr>
          <w:spacing w:val="-2"/>
        </w:rPr>
        <w:t>以上的差异原因</w:t>
      </w:r>
    </w:p>
    <w:p>
      <w:pPr>
        <w:pStyle w:val="BodyText"/>
        <w:spacing w:line="240" w:lineRule="auto" w:before="62"/>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0"/>
        <w:rPr>
          <w:rFonts w:ascii="宋体" w:hAnsi="宋体" w:cs="宋体" w:eastAsia="宋体" w:hint="default"/>
          <w:b/>
          <w:bCs/>
          <w:sz w:val="24"/>
          <w:szCs w:val="24"/>
        </w:rPr>
      </w:pPr>
    </w:p>
    <w:p>
      <w:pPr>
        <w:pStyle w:val="BodyText"/>
        <w:spacing w:line="290" w:lineRule="auto"/>
        <w:ind w:right="2658" w:firstLine="420"/>
        <w:jc w:val="left"/>
      </w:pPr>
      <w:r>
        <w:rPr/>
        <w:t>报告期内公司实现营业收入</w:t>
      </w:r>
      <w:r>
        <w:rPr>
          <w:spacing w:val="-55"/>
        </w:rPr>
        <w:t> </w:t>
      </w:r>
      <w:r>
        <w:rPr>
          <w:rFonts w:ascii="Times New Roman" w:hAnsi="Times New Roman" w:cs="Times New Roman" w:eastAsia="Times New Roman" w:hint="default"/>
        </w:rPr>
        <w:t>617,399,844.48</w:t>
      </w:r>
      <w:r>
        <w:rPr>
          <w:rFonts w:ascii="Times New Roman" w:hAnsi="Times New Roman" w:cs="Times New Roman" w:eastAsia="Times New Roman" w:hint="default"/>
          <w:spacing w:val="-2"/>
        </w:rPr>
        <w:t> </w:t>
      </w:r>
      <w:r>
        <w:rPr/>
        <w:t>元，同比增长</w:t>
      </w:r>
      <w:r>
        <w:rPr>
          <w:spacing w:val="-55"/>
        </w:rPr>
        <w:t> </w:t>
      </w:r>
      <w:r>
        <w:rPr>
          <w:rFonts w:ascii="Times New Roman" w:hAnsi="Times New Roman" w:cs="Times New Roman" w:eastAsia="Times New Roman" w:hint="default"/>
        </w:rPr>
        <w:t>5.43%</w:t>
      </w:r>
      <w:r>
        <w:rPr/>
        <w:t>，保持了稳步增长。</w:t>
      </w:r>
      <w:r>
        <w:rPr>
          <w:w w:val="100"/>
        </w:rPr>
        <w:t> </w:t>
      </w:r>
      <w:r>
        <w:rPr/>
        <w:t>公司重大的在手订单情况</w:t>
      </w:r>
    </w:p>
    <w:p>
      <w:pPr>
        <w:pStyle w:val="BodyText"/>
        <w:spacing w:line="290" w:lineRule="auto" w:before="34"/>
        <w:ind w:right="5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公司报告期内产品或服务发生重大变化或调整有关情况</w:t>
      </w:r>
    </w:p>
    <w:p>
      <w:pPr>
        <w:pStyle w:val="BodyText"/>
        <w:spacing w:line="580" w:lineRule="auto" w:before="34"/>
        <w:ind w:right="8104"/>
        <w:jc w:val="left"/>
      </w:pPr>
      <w:r>
        <w:rPr/>
        <w:pict>
          <v:shape style="position:absolute;margin-left:58.200001pt;margin-top:55.153652pt;width:479.15pt;height:40.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1"/>
                    <w:gridCol w:w="4887"/>
                  </w:tblGrid>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249,462,969.92</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前五名客户合计销售金额占年度销售总额比例（</w:t>
                        </w:r>
                        <w:r>
                          <w:rPr>
                            <w:rFonts w:ascii="Times New Roman" w:hAnsi="Times New Roman" w:cs="Times New Roman" w:eastAsia="Times New Roman" w:hint="default"/>
                            <w:spacing w:val="-5"/>
                            <w:sz w:val="21"/>
                            <w:szCs w:val="21"/>
                          </w:rPr>
                          <w:t>%</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40.41%</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公司主要销售客户情况</w:t>
      </w:r>
    </w:p>
    <w:p>
      <w:pPr>
        <w:spacing w:line="240" w:lineRule="auto" w:before="10"/>
        <w:rPr>
          <w:rFonts w:ascii="宋体" w:hAnsi="宋体" w:cs="宋体" w:eastAsia="宋体" w:hint="default"/>
          <w:sz w:val="14"/>
          <w:szCs w:val="14"/>
        </w:rPr>
      </w:pPr>
    </w:p>
    <w:p>
      <w:pPr>
        <w:spacing w:line="415" w:lineRule="exact"/>
        <w:ind w:left="487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42.85pt;height:20.8pt;mso-position-horizontal-relative:char;mso-position-vertical-relative:line" coordorigin="0,0" coordsize="4857,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4833;height:392" coordorigin="24,12" coordsize="4833,392">
              <v:shape style="position:absolute;left:24;top:12;width:4833;height:392" coordorigin="24,12" coordsize="4833,392" path="m24,403l4856,403,4856,12,24,12,24,403xe" filled="true" fillcolor="#ffffff" stroked="false">
                <v:path arrowok="t"/>
                <v:fill type="solid"/>
              </v:shape>
            </v:group>
          </v:group>
        </w:pict>
      </w:r>
      <w:r>
        <w:rPr>
          <w:rFonts w:ascii="宋体" w:hAnsi="宋体" w:cs="宋体" w:eastAsia="宋体" w:hint="default"/>
          <w:position w:val="-7"/>
          <w:sz w:val="20"/>
          <w:szCs w:val="20"/>
        </w:rPr>
      </w:r>
    </w:p>
    <w:p>
      <w:pPr>
        <w:pStyle w:val="BodyText"/>
        <w:spacing w:line="240" w:lineRule="auto" w:before="26"/>
        <w:ind w:right="1123"/>
        <w:jc w:val="left"/>
      </w:pPr>
      <w:r>
        <w:rPr/>
        <w:pict>
          <v:shape style="position:absolute;margin-left:286.010010pt;margin-top:-20.156336pt;width:249.55pt;height:19.6pt;mso-position-horizontal-relative:page;mso-position-vertical-relative:paragraph;z-index:-67307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t>公司前</w:t>
      </w:r>
      <w:r>
        <w:rPr>
          <w:spacing w:val="-52"/>
        </w:rPr>
        <w:t> </w:t>
      </w:r>
      <w:r>
        <w:rPr>
          <w:rFonts w:ascii="Times New Roman" w:hAnsi="Times New Roman" w:cs="Times New Roman" w:eastAsia="Times New Roman" w:hint="default"/>
        </w:rPr>
        <w:t>5 </w:t>
      </w:r>
      <w:r>
        <w:rPr/>
        <w:t>大客户资料</w:t>
      </w:r>
    </w:p>
    <w:p>
      <w:pPr>
        <w:pStyle w:val="BodyText"/>
        <w:spacing w:line="240" w:lineRule="auto" w:before="5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779"/>
        <w:gridCol w:w="3300"/>
        <w:gridCol w:w="2334"/>
        <w:gridCol w:w="3142"/>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6"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1</w:t>
            </w:r>
          </w:p>
        </w:tc>
        <w:tc>
          <w:tcPr>
            <w:tcW w:w="330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菲律宾马龙酒厂</w:t>
            </w:r>
          </w:p>
        </w:tc>
        <w:tc>
          <w:tcPr>
            <w:tcW w:w="233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106,110,974.08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17.19%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330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劲牌酒业有限公司</w:t>
            </w:r>
          </w:p>
        </w:tc>
        <w:tc>
          <w:tcPr>
            <w:tcW w:w="233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67,023,664.28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10.86%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3</w:t>
            </w:r>
          </w:p>
        </w:tc>
        <w:tc>
          <w:tcPr>
            <w:tcW w:w="330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泰国麦成酒厂</w:t>
            </w:r>
          </w:p>
        </w:tc>
        <w:tc>
          <w:tcPr>
            <w:tcW w:w="233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29,263,373.16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4.74%</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330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北京红星股份有限公司</w:t>
            </w:r>
          </w:p>
        </w:tc>
        <w:tc>
          <w:tcPr>
            <w:tcW w:w="233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24,488,690.84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5</w:t>
            </w:r>
          </w:p>
        </w:tc>
        <w:tc>
          <w:tcPr>
            <w:tcW w:w="3300"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古井贡酒股份有限公司</w:t>
            </w:r>
          </w:p>
        </w:tc>
        <w:tc>
          <w:tcPr>
            <w:tcW w:w="233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22,576,267.56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3.66%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249,462,969.92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40.41%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right="1123"/>
        <w:jc w:val="left"/>
      </w:pPr>
      <w:r>
        <w:rPr/>
        <w:t>行业分类</w:t>
      </w:r>
    </w:p>
    <w:p>
      <w:pPr>
        <w:pStyle w:val="BodyText"/>
        <w:spacing w:line="240" w:lineRule="auto" w:before="78"/>
        <w:ind w:left="0" w:right="112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080"/>
        <w:gridCol w:w="900"/>
        <w:gridCol w:w="1441"/>
        <w:gridCol w:w="1800"/>
        <w:gridCol w:w="1618"/>
        <w:gridCol w:w="1366"/>
        <w:gridCol w:w="1368"/>
      </w:tblGrid>
      <w:tr>
        <w:trPr>
          <w:trHeight w:val="401" w:hRule="exact"/>
        </w:trPr>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716"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占营业成本比重</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76" w:right="44" w:hanging="228"/>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防伪瓶盖</w:t>
            </w:r>
          </w:p>
        </w:tc>
        <w:tc>
          <w:tcPr>
            <w:tcW w:w="9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305,356,700.76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83.83%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255,295,366.21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-0.81%</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防伪瓶盖</w:t>
            </w:r>
          </w:p>
        </w:tc>
        <w:tc>
          <w:tcPr>
            <w:tcW w:w="9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人工工资</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24,769,480.68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28,322,583.75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-2.59%</w:t>
            </w:r>
          </w:p>
        </w:tc>
      </w:tr>
    </w:tbl>
    <w:p>
      <w:pPr>
        <w:spacing w:line="240" w:lineRule="auto" w:before="2"/>
        <w:rPr>
          <w:rFonts w:ascii="宋体" w:hAnsi="宋体" w:cs="宋体" w:eastAsia="宋体" w:hint="default"/>
          <w:sz w:val="26"/>
          <w:szCs w:val="26"/>
        </w:rPr>
      </w:pPr>
    </w:p>
    <w:p>
      <w:pPr>
        <w:pStyle w:val="BodyText"/>
        <w:spacing w:line="240" w:lineRule="auto" w:before="36"/>
        <w:ind w:right="1123"/>
        <w:jc w:val="left"/>
      </w:pPr>
      <w:r>
        <w:rPr/>
        <w:t>产品分类</w:t>
      </w:r>
    </w:p>
    <w:p>
      <w:pPr>
        <w:pStyle w:val="BodyText"/>
        <w:spacing w:line="240" w:lineRule="auto" w:before="78"/>
        <w:ind w:left="0" w:right="1128"/>
        <w:jc w:val="right"/>
      </w:pPr>
      <w:r>
        <w:rPr/>
        <w:pict>
          <v:group style="position:absolute;margin-left:460.320007pt;margin-top:61.583672pt;width:135pt;height:77pt;mso-position-horizontal-relative:page;mso-position-vertical-relative:paragraph;z-index:-673024" coordorigin="9206,1232" coordsize="2700,1540">
            <v:shape style="position:absolute;left:9206;top:1232;width:2700;height:1540" type="#_x0000_t75" stroked="false">
              <v:imagedata r:id="rId15" o:title=""/>
            </v:shape>
            <v:shape style="position:absolute;left:10600;top:1592;width:16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xbxContent>
              </v:textbox>
              <w10:wrap type="none"/>
            </v:shape>
            <w10:wrap type="none"/>
          </v:group>
        </w:pict>
      </w:r>
      <w:r>
        <w:rPr>
          <w:spacing w:val="-1"/>
        </w:rPr>
        <w:t>单位：元</w:t>
      </w:r>
    </w:p>
    <w:p>
      <w:pPr>
        <w:spacing w:line="240" w:lineRule="auto" w:before="11"/>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368"/>
        <w:gridCol w:w="1118"/>
        <w:gridCol w:w="1441"/>
        <w:gridCol w:w="1260"/>
        <w:gridCol w:w="1651"/>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30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39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占营业成本</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8" w:right="0"/>
              <w:jc w:val="left"/>
              <w:rPr>
                <w:rFonts w:ascii="宋体" w:hAnsi="宋体" w:cs="宋体" w:eastAsia="宋体" w:hint="default"/>
                <w:sz w:val="21"/>
                <w:szCs w:val="21"/>
              </w:rPr>
            </w:pPr>
            <w:r>
              <w:rPr>
                <w:rFonts w:ascii="宋体" w:hAnsi="宋体" w:cs="宋体" w:eastAsia="宋体" w:hint="default"/>
                <w:sz w:val="21"/>
                <w:szCs w:val="21"/>
              </w:rPr>
              <w:t>占营业成本比</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118"/>
        <w:gridCol w:w="1441"/>
        <w:gridCol w:w="1260"/>
        <w:gridCol w:w="1651"/>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17"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76" w:right="0"/>
              <w:jc w:val="left"/>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铝防伪盖</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96,771,833.74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81.42%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79,274,301.47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铝防伪盖</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人工工资</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7,143,192.35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8,589,519.60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组合式防伪盖</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207,634,594.02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84.61%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176,135,274.06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组合式防伪盖</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人工工资</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17,300,837.82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19,707,443.25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-2.39%</w:t>
            </w:r>
          </w:p>
        </w:tc>
      </w:tr>
    </w:tbl>
    <w:p>
      <w:pPr>
        <w:pStyle w:val="BodyText"/>
        <w:spacing w:line="240" w:lineRule="auto" w:before="28"/>
        <w:ind w:right="1123"/>
        <w:jc w:val="left"/>
      </w:pPr>
      <w:r>
        <w:rPr/>
        <w:t>说明</w:t>
      </w:r>
    </w:p>
    <w:p>
      <w:pPr>
        <w:pStyle w:val="BodyText"/>
        <w:spacing w:line="580" w:lineRule="auto" w:before="75"/>
        <w:ind w:right="0" w:firstLine="420"/>
        <w:jc w:val="left"/>
      </w:pPr>
      <w:r>
        <w:rPr/>
        <w:pict>
          <v:shape style="position:absolute;margin-left:58.200001pt;margin-top:55.253685pt;width:479.15pt;height:40.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65"/>
                    <w:gridCol w:w="4203"/>
                  </w:tblGrid>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221,999,370.94</w:t>
                        </w:r>
                      </w:p>
                    </w:tc>
                  </w:tr>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50.89%</w:t>
                        </w:r>
                      </w:p>
                    </w:tc>
                  </w:tr>
                </w:tbl>
                <w:p>
                  <w:pPr/>
                </w:p>
              </w:txbxContent>
            </v:textbox>
            <w10:wrap type="none"/>
          </v:shape>
        </w:pict>
      </w:r>
      <w:r>
        <w:rPr>
          <w:spacing w:val="-5"/>
        </w:rPr>
        <w:t>随着公司现代化设备的陆续投入，生产工人劳动效率有了一定的提高，相应的人工成本占比有所降低。</w:t>
      </w:r>
      <w:r>
        <w:rPr>
          <w:w w:val="100"/>
        </w:rPr>
        <w:t> </w:t>
      </w:r>
      <w:r>
        <w:rPr/>
        <w:t>公司主要供应商情况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6"/>
        <w:ind w:right="1123"/>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59"/>
        <w:ind w:right="1123"/>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96" w:type="dxa"/>
        <w:tblLayout w:type="fixed"/>
        <w:tblCellMar>
          <w:top w:w="0" w:type="dxa"/>
          <w:left w:w="0" w:type="dxa"/>
          <w:bottom w:w="0" w:type="dxa"/>
          <w:right w:w="0" w:type="dxa"/>
        </w:tblCellMar>
        <w:tblLook w:val="01E0"/>
      </w:tblPr>
      <w:tblGrid>
        <w:gridCol w:w="923"/>
        <w:gridCol w:w="3519"/>
        <w:gridCol w:w="1972"/>
        <w:gridCol w:w="3142"/>
      </w:tblGrid>
      <w:tr>
        <w:trPr>
          <w:trHeight w:val="401"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序号</w:t>
            </w:r>
          </w:p>
        </w:tc>
        <w:tc>
          <w:tcPr>
            <w:tcW w:w="3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6"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92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1</w:t>
            </w:r>
          </w:p>
        </w:tc>
        <w:tc>
          <w:tcPr>
            <w:tcW w:w="3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河南明泰铝业股份有限公司</w:t>
            </w:r>
          </w:p>
        </w:tc>
        <w:tc>
          <w:tcPr>
            <w:tcW w:w="197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114,155,716.00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26.17%</w:t>
            </w:r>
          </w:p>
        </w:tc>
      </w:tr>
      <w:tr>
        <w:trPr>
          <w:trHeight w:val="401" w:hRule="exact"/>
        </w:trPr>
        <w:tc>
          <w:tcPr>
            <w:tcW w:w="92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2</w:t>
            </w:r>
          </w:p>
        </w:tc>
        <w:tc>
          <w:tcPr>
            <w:tcW w:w="3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中铝河南铝业有限公司洛阳铝加工厂</w:t>
            </w:r>
          </w:p>
        </w:tc>
        <w:tc>
          <w:tcPr>
            <w:tcW w:w="197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67,563,786.74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15.49%</w:t>
            </w:r>
          </w:p>
        </w:tc>
      </w:tr>
      <w:tr>
        <w:trPr>
          <w:trHeight w:val="403" w:hRule="exact"/>
        </w:trPr>
        <w:tc>
          <w:tcPr>
            <w:tcW w:w="92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3</w:t>
            </w:r>
          </w:p>
        </w:tc>
        <w:tc>
          <w:tcPr>
            <w:tcW w:w="3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道恩集团有限公司</w:t>
            </w:r>
          </w:p>
        </w:tc>
        <w:tc>
          <w:tcPr>
            <w:tcW w:w="197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17,148,934.89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3.93%</w:t>
            </w:r>
          </w:p>
        </w:tc>
      </w:tr>
      <w:tr>
        <w:trPr>
          <w:trHeight w:val="401" w:hRule="exact"/>
        </w:trPr>
        <w:tc>
          <w:tcPr>
            <w:tcW w:w="92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4</w:t>
            </w:r>
          </w:p>
        </w:tc>
        <w:tc>
          <w:tcPr>
            <w:tcW w:w="3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烟台中国化工物资交易市场</w:t>
            </w:r>
          </w:p>
        </w:tc>
        <w:tc>
          <w:tcPr>
            <w:tcW w:w="197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17,008,910.26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w:t>
            </w:r>
          </w:p>
        </w:tc>
      </w:tr>
      <w:tr>
        <w:trPr>
          <w:trHeight w:val="403" w:hRule="exact"/>
        </w:trPr>
        <w:tc>
          <w:tcPr>
            <w:tcW w:w="92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w w:val="100"/>
                <w:sz w:val="21"/>
              </w:rPr>
              <w:t>5</w:t>
            </w:r>
          </w:p>
        </w:tc>
        <w:tc>
          <w:tcPr>
            <w:tcW w:w="3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烟台山翔包装有限公司</w:t>
            </w:r>
          </w:p>
        </w:tc>
        <w:tc>
          <w:tcPr>
            <w:tcW w:w="197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6,122,023.05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w:t>
            </w:r>
          </w:p>
        </w:tc>
      </w:tr>
      <w:tr>
        <w:trPr>
          <w:trHeight w:val="401"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3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221,999,370.94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50.89%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3" w:firstLine="420"/>
        <w:jc w:val="left"/>
      </w:pPr>
      <w:r>
        <w:rPr>
          <w:rFonts w:ascii="Times New Roman" w:hAnsi="Times New Roman" w:cs="Times New Roman" w:eastAsia="Times New Roman" w:hint="default"/>
          <w:spacing w:val="-4"/>
        </w:rPr>
        <w:t>2012</w:t>
      </w:r>
      <w:r>
        <w:rPr>
          <w:spacing w:val="-4"/>
        </w:rPr>
        <w:t>年度财务费用较</w:t>
      </w:r>
      <w:r>
        <w:rPr>
          <w:rFonts w:ascii="Times New Roman" w:hAnsi="Times New Roman" w:cs="Times New Roman" w:eastAsia="Times New Roman" w:hint="default"/>
          <w:spacing w:val="-4"/>
        </w:rPr>
        <w:t>2011</w:t>
      </w:r>
      <w:r>
        <w:rPr>
          <w:spacing w:val="-4"/>
        </w:rPr>
        <w:t>年增加</w:t>
      </w:r>
      <w:r>
        <w:rPr>
          <w:rFonts w:ascii="Times New Roman" w:hAnsi="Times New Roman" w:cs="Times New Roman" w:eastAsia="Times New Roman" w:hint="default"/>
          <w:spacing w:val="-4"/>
        </w:rPr>
        <w:t>54.99%</w:t>
      </w:r>
      <w:r>
        <w:rPr>
          <w:spacing w:val="-4"/>
        </w:rPr>
        <w:t>，主要原因为公司本年借款增长较多</w:t>
      </w:r>
      <w:r>
        <w:rPr>
          <w:rFonts w:ascii="Times New Roman" w:hAnsi="Times New Roman" w:cs="Times New Roman" w:eastAsia="Times New Roman" w:hint="default"/>
          <w:spacing w:val="-4"/>
        </w:rPr>
        <w:t>,</w:t>
      </w:r>
      <w:r>
        <w:rPr>
          <w:spacing w:val="-4"/>
        </w:rPr>
        <w:t>利息支出增加所致，其他</w:t>
      </w:r>
      <w:r>
        <w:rPr>
          <w:w w:val="100"/>
        </w:rPr>
        <w:t> </w:t>
      </w:r>
      <w:r>
        <w:rPr/>
        <w:t>费用变动不大。</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23"/>
        <w:jc w:val="left"/>
      </w:pPr>
      <w:r>
        <w:rPr>
          <w:rFonts w:ascii="Times New Roman" w:hAnsi="Times New Roman" w:cs="Times New Roman" w:eastAsia="Times New Roman" w:hint="default"/>
        </w:rPr>
        <w:t>2012</w:t>
      </w:r>
      <w:r>
        <w:rPr/>
        <w:t>年度公司研发投入金额</w:t>
      </w:r>
      <w:r>
        <w:rPr>
          <w:rFonts w:ascii="Times New Roman" w:hAnsi="Times New Roman" w:cs="Times New Roman" w:eastAsia="Times New Roman" w:hint="default"/>
        </w:rPr>
        <w:t>1,092.52</w:t>
      </w:r>
      <w:r>
        <w:rPr/>
        <w:t>万元，占当期营业收入的</w:t>
      </w:r>
      <w:r>
        <w:rPr>
          <w:rFonts w:ascii="Times New Roman" w:hAnsi="Times New Roman" w:cs="Times New Roman" w:eastAsia="Times New Roman" w:hint="default"/>
        </w:rPr>
        <w:t>1.77%</w:t>
      </w:r>
      <w:r>
        <w:rPr/>
        <w:t>，占</w:t>
      </w:r>
      <w:r>
        <w:rPr>
          <w:rFonts w:ascii="Times New Roman" w:hAnsi="Times New Roman" w:cs="Times New Roman" w:eastAsia="Times New Roman" w:hint="default"/>
        </w:rPr>
        <w:t>2012</w:t>
      </w:r>
      <w:r>
        <w:rPr/>
        <w:t>年末净资产的</w:t>
      </w:r>
      <w:r>
        <w:rPr>
          <w:rFonts w:ascii="Times New Roman" w:hAnsi="Times New Roman" w:cs="Times New Roman" w:eastAsia="Times New Roman" w:hint="default"/>
        </w:rPr>
        <w:t>1.32%</w:t>
      </w:r>
      <w:r>
        <w:rPr/>
        <w:t>。</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3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2869"/>
        <w:gridCol w:w="2172"/>
        <w:gridCol w:w="2340"/>
        <w:gridCol w:w="2187"/>
      </w:tblGrid>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686,163,572.14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689,092,907.05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-0.43%</w:t>
            </w:r>
          </w:p>
        </w:tc>
      </w:tr>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637,916,088.05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670,858,585.87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-4.91%</w:t>
            </w:r>
          </w:p>
        </w:tc>
      </w:tr>
      <w:tr>
        <w:trPr>
          <w:trHeight w:val="403"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48,247,484.09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18,234,321.18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164.6%</w:t>
            </w:r>
          </w:p>
        </w:tc>
      </w:tr>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1,585,610.24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14,692,462.08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-89.21%</w:t>
            </w:r>
          </w:p>
        </w:tc>
      </w:tr>
    </w:tbl>
    <w:p>
      <w:pPr>
        <w:spacing w:after="0" w:line="240" w:lineRule="auto"/>
        <w:jc w:val="right"/>
        <w:rPr>
          <w:rFonts w:ascii="Times New Roman" w:hAnsi="Times New Roman" w:cs="Times New Roman" w:eastAsia="Times New Roman" w:hint="default"/>
          <w:sz w:val="21"/>
          <w:szCs w:val="21"/>
        </w:rPr>
        <w:sectPr>
          <w:footerReference w:type="default" r:id="rId16"/>
          <w:pgSz w:w="11910" w:h="16840"/>
          <w:pgMar w:footer="1273" w:header="877" w:top="1060" w:bottom="1460" w:left="980" w:right="0"/>
          <w:pgNumType w:start="12"/>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2869"/>
        <w:gridCol w:w="2172"/>
        <w:gridCol w:w="2340"/>
        <w:gridCol w:w="2187"/>
      </w:tblGrid>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124,378,799.55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206,978,533.18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-39.91%</w:t>
            </w:r>
          </w:p>
        </w:tc>
      </w:tr>
      <w:tr>
        <w:trPr>
          <w:trHeight w:val="403"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-122,793,189.31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-192,286,071.10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36.14%</w:t>
            </w:r>
          </w:p>
        </w:tc>
      </w:tr>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639,808,664.54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307,015,242.00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108.4%</w:t>
            </w:r>
          </w:p>
        </w:tc>
      </w:tr>
      <w:tr>
        <w:trPr>
          <w:trHeight w:val="403"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333,798,750.84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203,401,180.67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pacing w:val="-2"/>
                <w:sz w:val="21"/>
              </w:rPr>
              <w:t>64.11%</w:t>
            </w:r>
          </w:p>
        </w:tc>
      </w:tr>
      <w:tr>
        <w:trPr>
          <w:trHeight w:val="401"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306,009,913.70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103,614,061.33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195.34%</w:t>
            </w:r>
          </w:p>
        </w:tc>
      </w:tr>
      <w:tr>
        <w:trPr>
          <w:trHeight w:val="403"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230,428,411.13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-71,613,010.64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421.77%</w:t>
            </w:r>
          </w:p>
        </w:tc>
      </w:tr>
    </w:tbl>
    <w:p>
      <w:pPr>
        <w:pStyle w:val="BodyText"/>
        <w:spacing w:line="240" w:lineRule="auto" w:before="28"/>
        <w:ind w:right="1123"/>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290" w:lineRule="auto" w:before="59"/>
        <w:ind w:left="633" w:right="1123" w:hanging="4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4"/>
        </w:rPr>
        <w:t>报告期内，公司经营活动产生的现金流量净额较去年增加</w:t>
      </w:r>
      <w:r>
        <w:rPr>
          <w:rFonts w:ascii="Times New Roman" w:hAnsi="Times New Roman" w:cs="Times New Roman" w:eastAsia="Times New Roman" w:hint="default"/>
          <w:spacing w:val="-4"/>
        </w:rPr>
        <w:t>164.6%</w:t>
      </w:r>
      <w:r>
        <w:rPr>
          <w:spacing w:val="-4"/>
        </w:rPr>
        <w:t>，主要原因是报告期内伴随销售规模</w:t>
      </w:r>
    </w:p>
    <w:p>
      <w:pPr>
        <w:pStyle w:val="BodyText"/>
        <w:spacing w:line="247" w:lineRule="exact"/>
        <w:ind w:right="1123"/>
        <w:jc w:val="left"/>
      </w:pPr>
      <w:r>
        <w:rPr/>
        <w:t>的不断扩大、应收账款回款的陆续增多以及支付供应商货款较去年同期减少所致。</w:t>
      </w:r>
    </w:p>
    <w:p>
      <w:pPr>
        <w:pStyle w:val="BodyText"/>
        <w:spacing w:line="256" w:lineRule="auto" w:before="78"/>
        <w:ind w:right="1123" w:firstLine="480"/>
        <w:jc w:val="left"/>
      </w:pPr>
      <w:r>
        <w:rPr>
          <w:spacing w:val="-4"/>
        </w:rPr>
        <w:t>报告期内，投资活动产生的现金流量净额与比去年增加</w:t>
      </w:r>
      <w:r>
        <w:rPr>
          <w:rFonts w:ascii="Times New Roman" w:hAnsi="Times New Roman" w:cs="Times New Roman" w:eastAsia="Times New Roman" w:hint="default"/>
          <w:spacing w:val="-4"/>
        </w:rPr>
        <w:t>36.14%</w:t>
      </w:r>
      <w:r>
        <w:rPr>
          <w:spacing w:val="-4"/>
        </w:rPr>
        <w:t>，主要是去年同期公司募集资金投资项</w:t>
      </w:r>
      <w:r>
        <w:rPr>
          <w:w w:val="100"/>
        </w:rPr>
        <w:t> </w:t>
      </w:r>
      <w:r>
        <w:rPr/>
        <w:t>目投入较多所致。</w:t>
      </w:r>
    </w:p>
    <w:p>
      <w:pPr>
        <w:pStyle w:val="BodyText"/>
        <w:spacing w:line="256" w:lineRule="auto" w:before="22"/>
        <w:ind w:right="1123" w:firstLine="480"/>
        <w:jc w:val="left"/>
      </w:pPr>
      <w:r>
        <w:rPr>
          <w:spacing w:val="-2"/>
        </w:rPr>
        <w:t>报告期内，筹资活动产生的现金流量净额较去年增加</w:t>
      </w:r>
      <w:r>
        <w:rPr>
          <w:rFonts w:ascii="Times New Roman" w:hAnsi="Times New Roman" w:cs="Times New Roman" w:eastAsia="Times New Roman" w:hint="default"/>
          <w:spacing w:val="-2"/>
        </w:rPr>
        <w:t>195.34%</w:t>
      </w:r>
      <w:r>
        <w:rPr>
          <w:spacing w:val="-2"/>
        </w:rPr>
        <w:t>，主要是报告期公司非公开发行股票募</w:t>
      </w:r>
      <w:r>
        <w:rPr>
          <w:w w:val="100"/>
        </w:rPr>
        <w:t> </w:t>
      </w:r>
      <w:r>
        <w:rPr/>
        <w:t>集资金到位所致。</w:t>
      </w:r>
    </w:p>
    <w:p>
      <w:pPr>
        <w:pStyle w:val="BodyText"/>
        <w:spacing w:line="256" w:lineRule="auto" w:before="63"/>
        <w:ind w:right="1123" w:firstLine="480"/>
        <w:jc w:val="left"/>
      </w:pPr>
      <w:r>
        <w:rPr>
          <w:spacing w:val="-2"/>
        </w:rPr>
        <w:t>报告期内，现金及现金等价物净增加额较去年增加</w:t>
      </w:r>
      <w:r>
        <w:rPr>
          <w:rFonts w:ascii="Times New Roman" w:hAnsi="Times New Roman" w:cs="Times New Roman" w:eastAsia="Times New Roman" w:hint="default"/>
          <w:spacing w:val="-2"/>
        </w:rPr>
        <w:t>421.77%</w:t>
      </w:r>
      <w:r>
        <w:rPr>
          <w:spacing w:val="-2"/>
        </w:rPr>
        <w:t>，主要是报告期内公司非公开发行股票募</w:t>
      </w:r>
      <w:r>
        <w:rPr>
          <w:w w:val="100"/>
        </w:rPr>
        <w:t> </w:t>
      </w:r>
      <w:r>
        <w:rPr/>
        <w:t>集资金到位所致。</w:t>
      </w:r>
    </w:p>
    <w:p>
      <w:pPr>
        <w:spacing w:line="240" w:lineRule="auto" w:before="0"/>
        <w:rPr>
          <w:rFonts w:ascii="宋体" w:hAnsi="宋体" w:cs="宋体" w:eastAsia="宋体" w:hint="default"/>
          <w:sz w:val="20"/>
          <w:szCs w:val="20"/>
        </w:rPr>
      </w:pPr>
    </w:p>
    <w:p>
      <w:pPr>
        <w:pStyle w:val="BodyText"/>
        <w:spacing w:line="240" w:lineRule="auto" w:before="154"/>
        <w:ind w:right="1123"/>
        <w:jc w:val="left"/>
      </w:pPr>
      <w:r>
        <w:rPr/>
        <w:t>报告期内公司经营活动的现金流量与本年度净利润存在重大差异的原因说明</w:t>
      </w:r>
    </w:p>
    <w:p>
      <w:pPr>
        <w:pStyle w:val="BodyText"/>
        <w:spacing w:line="240" w:lineRule="auto" w:before="75"/>
        <w:ind w:right="1123"/>
        <w:jc w:val="left"/>
      </w:pPr>
      <w:r>
        <w:rPr/>
        <w:t>□ 适用 √</w:t>
      </w:r>
      <w:r>
        <w:rPr>
          <w:spacing w:val="1"/>
        </w:rPr>
        <w:t> </w:t>
      </w:r>
      <w:r>
        <w:rPr/>
        <w:t>不适用</w:t>
      </w:r>
    </w:p>
    <w:p>
      <w:pPr>
        <w:spacing w:line="240" w:lineRule="auto" w:before="11"/>
        <w:rPr>
          <w:rFonts w:ascii="宋体" w:hAnsi="宋体" w:cs="宋体" w:eastAsia="宋体" w:hint="default"/>
          <w:sz w:val="23"/>
          <w:szCs w:val="23"/>
        </w:rPr>
      </w:pPr>
    </w:p>
    <w:p>
      <w:pPr>
        <w:pStyle w:val="Heading2"/>
        <w:spacing w:line="240" w:lineRule="auto" w:before="0"/>
        <w:ind w:right="1123"/>
        <w:jc w:val="left"/>
        <w:rPr>
          <w:b w:val="0"/>
          <w:bCs w:val="0"/>
        </w:rPr>
      </w:pPr>
      <w:r>
        <w:rPr/>
        <w:t>三、主营业务构成情况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3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475,908,605.16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360,490,582.15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96,743,774.44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89,805,761.14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16,500,773.85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11,772,324.95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246,016.42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铝防伪瓶盖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170,171,896.75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116,498,489.39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305,736,708.41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243,992,092.76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96,743,774.44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89,805,761.14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16,500,773.85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11,772,324.95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246,016.42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3"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155,894,282.92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128,426,064.23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433,518,101.05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333,888,620.43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bl>
    <w:p>
      <w:pPr>
        <w:pStyle w:val="BodyText"/>
        <w:spacing w:line="256" w:lineRule="auto" w:before="28"/>
        <w:ind w:right="1123"/>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r>
    </w:p>
    <w:p>
      <w:pPr>
        <w:spacing w:line="501" w:lineRule="auto" w:before="63"/>
        <w:ind w:left="152" w:right="81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before="89"/>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238"/>
        <w:gridCol w:w="1283"/>
        <w:gridCol w:w="1609"/>
        <w:gridCol w:w="1260"/>
        <w:gridCol w:w="1800"/>
        <w:gridCol w:w="1273"/>
        <w:gridCol w:w="1097"/>
      </w:tblGrid>
      <w:tr>
        <w:trPr>
          <w:trHeight w:val="206" w:hRule="exact"/>
        </w:trPr>
        <w:tc>
          <w:tcPr>
            <w:tcW w:w="1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0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48" w:right="96" w:hanging="360"/>
              <w:jc w:val="left"/>
              <w:rPr>
                <w:rFonts w:ascii="宋体" w:hAnsi="宋体" w:cs="宋体" w:eastAsia="宋体" w:hint="default"/>
                <w:sz w:val="18"/>
                <w:szCs w:val="18"/>
              </w:rPr>
            </w:pPr>
            <w:r>
              <w:rPr>
                <w:rFonts w:ascii="宋体" w:hAnsi="宋体" w:cs="宋体" w:eastAsia="宋体" w:hint="default"/>
                <w:sz w:val="18"/>
                <w:szCs w:val="18"/>
              </w:rPr>
              <w:t>重大变动说 明</w:t>
            </w:r>
          </w:p>
        </w:tc>
      </w:tr>
      <w:tr>
        <w:trPr>
          <w:trHeight w:val="190" w:hRule="exact"/>
        </w:trPr>
        <w:tc>
          <w:tcPr>
            <w:tcW w:w="1238" w:type="dxa"/>
            <w:vMerge w:val="restart"/>
            <w:tcBorders>
              <w:top w:val="nil" w:sz="6" w:space="0" w:color="auto"/>
              <w:left w:val="single" w:sz="4" w:space="0" w:color="000000"/>
              <w:right w:val="single" w:sz="4" w:space="0" w:color="000000"/>
            </w:tcBorders>
            <w:shd w:val="clear" w:color="auto" w:fill="D2D2D2"/>
          </w:tcPr>
          <w:p>
            <w:pPr/>
          </w:p>
        </w:tc>
        <w:tc>
          <w:tcPr>
            <w:tcW w:w="2891" w:type="dxa"/>
            <w:gridSpan w:val="2"/>
            <w:vMerge/>
            <w:tcBorders>
              <w:left w:val="single" w:sz="4" w:space="0" w:color="000000"/>
              <w:bottom w:val="single" w:sz="4" w:space="0" w:color="000000"/>
              <w:right w:val="single" w:sz="4" w:space="0" w:color="000000"/>
            </w:tcBorders>
            <w:shd w:val="clear" w:color="auto" w:fill="D2D2D2"/>
          </w:tcPr>
          <w:p>
            <w:pPr/>
          </w:p>
        </w:tc>
        <w:tc>
          <w:tcPr>
            <w:tcW w:w="3060" w:type="dxa"/>
            <w:gridSpan w:val="2"/>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r>
      <w:tr>
        <w:trPr>
          <w:trHeight w:val="202" w:hRule="exact"/>
        </w:trPr>
        <w:tc>
          <w:tcPr>
            <w:tcW w:w="1238" w:type="dxa"/>
            <w:vMerge/>
            <w:tcBorders>
              <w:left w:val="single" w:sz="4" w:space="0" w:color="000000"/>
              <w:bottom w:val="nil" w:sz="6" w:space="0" w:color="auto"/>
              <w:right w:val="single" w:sz="4" w:space="0" w:color="000000"/>
            </w:tcBorders>
            <w:shd w:val="clear" w:color="auto" w:fill="D2D2D2"/>
          </w:tcPr>
          <w:p>
            <w:pPr/>
          </w:p>
        </w:tc>
        <w:tc>
          <w:tcPr>
            <w:tcW w:w="12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 w:right="-15"/>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3" w:type="dxa"/>
            <w:vMerge/>
            <w:tcBorders>
              <w:left w:val="single" w:sz="4" w:space="0" w:color="000000"/>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r>
      <w:tr>
        <w:trPr>
          <w:trHeight w:val="206" w:hRule="exact"/>
        </w:trPr>
        <w:tc>
          <w:tcPr>
            <w:tcW w:w="1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1609"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348,023,240.02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131,163,097.54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15.87%</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13.29%</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85,319,157.45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61,417,561.37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163,401,696.25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147,213,050.11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17.82%</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247,910.16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688,756.19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13,287,495.00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13,287,495.00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437,515,141.00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369,279,926.81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44.69%</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40,875,949.94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14,855,072.52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w:t>
            </w:r>
          </w:p>
        </w:tc>
        <w:tc>
          <w:tcPr>
            <w:tcW w:w="127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097"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890"/>
        <w:gridCol w:w="1259"/>
        <w:gridCol w:w="1802"/>
        <w:gridCol w:w="1259"/>
        <w:gridCol w:w="1800"/>
        <w:gridCol w:w="1261"/>
        <w:gridCol w:w="1289"/>
      </w:tblGrid>
      <w:tr>
        <w:trPr>
          <w:trHeight w:val="206" w:hRule="exact"/>
        </w:trPr>
        <w:tc>
          <w:tcPr>
            <w:tcW w:w="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3"/>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890" w:type="dxa"/>
            <w:vMerge w:val="restart"/>
            <w:tcBorders>
              <w:top w:val="nil" w:sz="6" w:space="0" w:color="auto"/>
              <w:left w:val="single" w:sz="4" w:space="0" w:color="000000"/>
              <w:right w:val="single" w:sz="4" w:space="0" w:color="000000"/>
            </w:tcBorders>
            <w:shd w:val="clear" w:color="auto" w:fill="D2D2D2"/>
          </w:tcPr>
          <w:p>
            <w:pPr/>
          </w:p>
        </w:tc>
        <w:tc>
          <w:tcPr>
            <w:tcW w:w="3061" w:type="dxa"/>
            <w:gridSpan w:val="2"/>
            <w:vMerge/>
            <w:tcBorders>
              <w:left w:val="single" w:sz="4" w:space="0" w:color="000000"/>
              <w:bottom w:val="single" w:sz="4" w:space="0" w:color="000000"/>
              <w:right w:val="single" w:sz="4" w:space="0" w:color="000000"/>
            </w:tcBorders>
            <w:shd w:val="clear" w:color="auto" w:fill="D2D2D2"/>
          </w:tcPr>
          <w:p>
            <w:pPr/>
          </w:p>
        </w:tc>
        <w:tc>
          <w:tcPr>
            <w:tcW w:w="3059" w:type="dxa"/>
            <w:gridSpan w:val="2"/>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r>
      <w:tr>
        <w:trPr>
          <w:trHeight w:val="202" w:hRule="exact"/>
        </w:trPr>
        <w:tc>
          <w:tcPr>
            <w:tcW w:w="890" w:type="dxa"/>
            <w:vMerge/>
            <w:tcBorders>
              <w:left w:val="single" w:sz="4" w:space="0" w:color="000000"/>
              <w:bottom w:val="nil" w:sz="6" w:space="0" w:color="auto"/>
              <w:right w:val="single" w:sz="4" w:space="0" w:color="000000"/>
            </w:tcBorders>
            <w:shd w:val="clear" w:color="auto" w:fill="D2D2D2"/>
          </w:tcPr>
          <w:p>
            <w:pPr/>
          </w:p>
        </w:tc>
        <w:tc>
          <w:tcPr>
            <w:tcW w:w="12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占总资产比例（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1"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right w:val="single" w:sz="4" w:space="0" w:color="000000"/>
            </w:tcBorders>
            <w:shd w:val="clear" w:color="auto" w:fill="D2D2D2"/>
          </w:tcPr>
          <w:p>
            <w:pPr/>
          </w:p>
        </w:tc>
      </w:tr>
      <w:tr>
        <w:trPr>
          <w:trHeight w:val="206" w:hRule="exact"/>
        </w:trPr>
        <w:tc>
          <w:tcPr>
            <w:tcW w:w="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9" w:type="dxa"/>
            <w:vMerge/>
            <w:tcBorders>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c>
          <w:tcPr>
            <w:tcW w:w="1259" w:type="dxa"/>
            <w:vMerge/>
            <w:tcBorders>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275,000,000.00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199,100,000.00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w:t>
            </w:r>
          </w:p>
        </w:tc>
        <w:tc>
          <w:tcPr>
            <w:tcW w:w="1261"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-1.06%</w:t>
            </w:r>
          </w:p>
        </w:tc>
        <w:tc>
          <w:tcPr>
            <w:tcW w:w="1289"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1"/>
        <w:rPr>
          <w:rFonts w:ascii="宋体" w:hAnsi="宋体" w:cs="宋体" w:eastAsia="宋体" w:hint="default"/>
          <w:sz w:val="18"/>
          <w:szCs w:val="18"/>
        </w:rPr>
      </w:pPr>
    </w:p>
    <w:p>
      <w:pPr>
        <w:pStyle w:val="Heading2"/>
        <w:spacing w:line="240" w:lineRule="auto"/>
        <w:ind w:left="546" w:right="1123" w:hanging="395"/>
        <w:jc w:val="left"/>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left="575" w:right="1123" w:hanging="29"/>
        <w:jc w:val="left"/>
      </w:pPr>
      <w:r>
        <w:rPr>
          <w:rFonts w:ascii="Times New Roman" w:hAnsi="Times New Roman" w:cs="Times New Roman" w:eastAsia="Times New Roman" w:hint="default"/>
        </w:rPr>
        <w:t>1</w:t>
      </w:r>
      <w:r>
        <w:rPr/>
        <w:t>、公司的竞争地位</w:t>
      </w:r>
      <w:r>
        <w:rPr>
          <w:w w:val="100"/>
        </w:rPr>
        <w:t> </w:t>
      </w:r>
      <w:r>
        <w:rPr>
          <w:spacing w:val="-2"/>
        </w:rPr>
        <w:t>经中国包装联合会及所属金属容器委员会认定，公司是国内最大的铝板复合型防伪印刷和防伪瓶盖生</w:t>
      </w:r>
    </w:p>
    <w:p>
      <w:pPr>
        <w:pStyle w:val="BodyText"/>
        <w:spacing w:line="256" w:lineRule="auto" w:before="22"/>
        <w:ind w:right="1123"/>
        <w:jc w:val="left"/>
      </w:pPr>
      <w:r>
        <w:rPr>
          <w:spacing w:val="-1"/>
        </w:rPr>
        <w:t>产企业，公司先后被中国包装联合会、中国包装企业家联合会评为</w:t>
      </w:r>
      <w:r>
        <w:rPr>
          <w:rFonts w:ascii="Times New Roman" w:hAnsi="Times New Roman" w:cs="Times New Roman" w:eastAsia="Times New Roman" w:hint="default"/>
          <w:spacing w:val="-1"/>
        </w:rPr>
        <w:t>“</w:t>
      </w:r>
      <w:r>
        <w:rPr>
          <w:spacing w:val="-1"/>
        </w:rPr>
        <w:t>中国包装龙头企业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200</w:t>
      </w:r>
      <w:r>
        <w:rPr>
          <w:spacing w:val="-1"/>
        </w:rPr>
        <w:t>强先进</w:t>
      </w:r>
      <w:r>
        <w:rPr>
          <w:spacing w:val="-51"/>
        </w:rPr>
        <w:t> </w:t>
      </w:r>
      <w:r>
        <w:rPr>
          <w:spacing w:val="-51"/>
        </w:rPr>
      </w:r>
      <w:r>
        <w:rPr/>
        <w:t>包装企业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中国包装优秀企业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中国包装联合会防伪瓶盖研发中心</w:t>
      </w:r>
      <w:r>
        <w:rPr>
          <w:rFonts w:ascii="Times New Roman" w:hAnsi="Times New Roman" w:cs="Times New Roman" w:eastAsia="Times New Roman" w:hint="default"/>
        </w:rPr>
        <w:t>”</w:t>
      </w:r>
      <w:r>
        <w:rPr/>
        <w:t>。</w:t>
      </w:r>
    </w:p>
    <w:p>
      <w:pPr>
        <w:pStyle w:val="BodyText"/>
        <w:spacing w:line="266" w:lineRule="auto" w:before="5"/>
        <w:ind w:right="1126" w:firstLine="420"/>
        <w:jc w:val="both"/>
      </w:pPr>
      <w:r>
        <w:rPr>
          <w:spacing w:val="-2"/>
        </w:rPr>
        <w:t>公司自设立以来，产销规模已连续十年占据同行业第一的位置。截至目前，公司各类产品已销往全国</w:t>
      </w:r>
      <w:r>
        <w:rPr>
          <w:w w:val="100"/>
        </w:rPr>
        <w:t> </w:t>
      </w:r>
      <w:r>
        <w:rPr/>
        <w:t>二十八个省、自治区和直辖市，下游酿酒行业客户达</w:t>
      </w:r>
      <w:r>
        <w:rPr>
          <w:rFonts w:ascii="Times New Roman" w:hAnsi="Times New Roman" w:cs="Times New Roman" w:eastAsia="Times New Roman" w:hint="default"/>
        </w:rPr>
        <w:t>700</w:t>
      </w:r>
      <w:r>
        <w:rPr/>
        <w:t>余家，并远销俄罗斯、菲律宾、泰国、越南、缅</w:t>
      </w:r>
      <w:r>
        <w:rPr>
          <w:spacing w:val="-26"/>
        </w:rPr>
        <w:t> </w:t>
      </w:r>
      <w:r>
        <w:rPr>
          <w:spacing w:val="-26"/>
        </w:rPr>
      </w:r>
      <w:r>
        <w:rPr>
          <w:spacing w:val="-2"/>
        </w:rPr>
        <w:t>甸、澳大利亚以及非洲、南北美洲等海外市场，广泛应用于白兰地、威斯忌、葡萄酒、橄榄油、饮料等行</w:t>
      </w:r>
      <w:r>
        <w:rPr>
          <w:spacing w:val="-45"/>
        </w:rPr>
        <w:t> </w:t>
      </w:r>
      <w:r>
        <w:rPr>
          <w:spacing w:val="-45"/>
        </w:rPr>
      </w:r>
      <w:r>
        <w:rPr/>
        <w:t>业。</w:t>
      </w:r>
    </w:p>
    <w:p>
      <w:pPr>
        <w:pStyle w:val="BodyText"/>
        <w:spacing w:line="240" w:lineRule="auto" w:before="14"/>
        <w:ind w:left="635" w:right="1123"/>
        <w:jc w:val="left"/>
      </w:pPr>
      <w:r>
        <w:rPr>
          <w:rFonts w:ascii="Times New Roman" w:hAnsi="Times New Roman" w:cs="Times New Roman" w:eastAsia="Times New Roman" w:hint="default"/>
        </w:rPr>
        <w:t>2</w:t>
      </w:r>
      <w:r>
        <w:rPr/>
        <w:t>、一条龙服务优势</w:t>
      </w:r>
    </w:p>
    <w:p>
      <w:pPr>
        <w:spacing w:after="0" w:line="240" w:lineRule="auto"/>
        <w:jc w:val="left"/>
        <w:sectPr>
          <w:pgSz w:w="11910" w:h="16840"/>
          <w:pgMar w:header="877" w:footer="1273" w:top="1060" w:bottom="14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公司业务涵盖了防伪瓶盖制造领域的各个业务环节，包括铝板复合型防伪印刷、瓶盖制造、制盖机械</w:t>
      </w:r>
      <w:r>
        <w:rPr>
          <w:w w:val="100"/>
        </w:rPr>
        <w:t> </w:t>
      </w:r>
      <w:r>
        <w:rPr>
          <w:spacing w:val="-2"/>
        </w:rPr>
        <w:t>及模具制造、产品技术研发和售后技术服务为一体的一条龙服务，已形成制盖行业中完整的业务体系。公</w:t>
      </w:r>
      <w:r>
        <w:rPr>
          <w:spacing w:val="-43"/>
        </w:rPr>
        <w:t> </w:t>
      </w:r>
      <w:r>
        <w:rPr>
          <w:spacing w:val="-43"/>
        </w:rPr>
      </w:r>
      <w:r>
        <w:rPr>
          <w:spacing w:val="-2"/>
        </w:rPr>
        <w:t>司完整的产业链不但为下游客户提供了优质、快速的服务，而且还为同行业其他厂家提供从铝板复合型防</w:t>
      </w:r>
      <w:r>
        <w:rPr>
          <w:spacing w:val="-43"/>
        </w:rPr>
        <w:t> </w:t>
      </w:r>
      <w:r>
        <w:rPr>
          <w:spacing w:val="-43"/>
        </w:rPr>
      </w:r>
      <w:r>
        <w:rPr>
          <w:spacing w:val="-2"/>
        </w:rPr>
        <w:t>伪印刷、机械模具等产品到技术服务等全方位服务，拓宽了公司的业务发展空间，有利于形成新的业绩增</w:t>
      </w:r>
      <w:r>
        <w:rPr>
          <w:spacing w:val="-43"/>
        </w:rPr>
        <w:t> </w:t>
      </w:r>
      <w:r>
        <w:rPr>
          <w:spacing w:val="-43"/>
        </w:rPr>
      </w:r>
      <w:r>
        <w:rPr/>
        <w:t>长点，进一步巩固公司在同行业的领先地位。</w:t>
      </w:r>
    </w:p>
    <w:p>
      <w:pPr>
        <w:pStyle w:val="BodyText"/>
        <w:spacing w:line="256" w:lineRule="auto" w:before="7"/>
        <w:ind w:left="573" w:right="1123" w:firstLine="62"/>
        <w:jc w:val="left"/>
      </w:pPr>
      <w:r>
        <w:rPr>
          <w:rFonts w:ascii="Times New Roman" w:hAnsi="Times New Roman" w:cs="Times New Roman" w:eastAsia="Times New Roman" w:hint="default"/>
        </w:rPr>
        <w:t>3</w:t>
      </w:r>
      <w:r>
        <w:rPr/>
        <w:t>、装备优势</w:t>
      </w:r>
      <w:r>
        <w:rPr>
          <w:w w:val="100"/>
        </w:rPr>
        <w:t> </w:t>
      </w:r>
      <w:r>
        <w:rPr>
          <w:spacing w:val="-2"/>
        </w:rPr>
        <w:t>公司拥有国际、国内同行业最先进的生产设备。在铝板复合型防伪印刷环节，公司从国外先后引进了</w:t>
      </w:r>
    </w:p>
    <w:p>
      <w:pPr>
        <w:pStyle w:val="BodyText"/>
        <w:spacing w:line="268" w:lineRule="auto" w:before="22"/>
        <w:ind w:right="1126"/>
        <w:jc w:val="both"/>
      </w:pPr>
      <w:r>
        <w:rPr>
          <w:spacing w:val="-2"/>
        </w:rPr>
        <w:t>十余条先进生产线，与国外制盖同行装备实力相当；在瓶盖冲制环节，公司拥有国内外同行业中自动化程</w:t>
      </w:r>
      <w:r>
        <w:rPr>
          <w:spacing w:val="-44"/>
        </w:rPr>
        <w:t> </w:t>
      </w:r>
      <w:r>
        <w:rPr>
          <w:spacing w:val="-44"/>
        </w:rPr>
      </w:r>
      <w:r>
        <w:rPr>
          <w:spacing w:val="-2"/>
        </w:rPr>
        <w:t>度最高的铝防伪瓶盖生产线，同时还拥有具有独立知识产权的</w:t>
      </w:r>
      <w:r>
        <w:rPr>
          <w:rFonts w:ascii="Times New Roman" w:hAnsi="Times New Roman" w:cs="Times New Roman" w:eastAsia="Times New Roman" w:hint="default"/>
          <w:spacing w:val="-2"/>
        </w:rPr>
        <w:t>10</w:t>
      </w:r>
      <w:r>
        <w:rPr>
          <w:spacing w:val="-2"/>
        </w:rPr>
        <w:t>头全自动高速瓶盖生产线，是国内同行业</w:t>
      </w:r>
      <w:r>
        <w:rPr>
          <w:spacing w:val="-40"/>
        </w:rPr>
        <w:t> </w:t>
      </w:r>
      <w:r>
        <w:rPr>
          <w:spacing w:val="-40"/>
        </w:rPr>
      </w:r>
      <w:r>
        <w:rPr>
          <w:spacing w:val="-2"/>
        </w:rPr>
        <w:t>中唯一一家引进、采用物理发泡生产线生产垫片、全球唯一一家引进柔印机进行印刷的企业。随着公司首</w:t>
      </w:r>
      <w:r>
        <w:rPr>
          <w:spacing w:val="-44"/>
        </w:rPr>
        <w:t> </w:t>
      </w:r>
      <w:r>
        <w:rPr>
          <w:spacing w:val="-44"/>
        </w:rPr>
      </w:r>
      <w:r>
        <w:rPr>
          <w:spacing w:val="-2"/>
        </w:rPr>
        <w:t>次公开发行募集资金投资项目的实施及非公开发行募集资金项目的开展，公司在实施规模化生产的优势更</w:t>
      </w:r>
      <w:r>
        <w:rPr>
          <w:spacing w:val="-43"/>
        </w:rPr>
        <w:t> </w:t>
      </w:r>
      <w:r>
        <w:rPr>
          <w:spacing w:val="-43"/>
        </w:rPr>
      </w:r>
      <w:r>
        <w:rPr/>
        <w:t>加明显。</w:t>
      </w:r>
    </w:p>
    <w:p>
      <w:pPr>
        <w:pStyle w:val="BodyText"/>
        <w:spacing w:line="256" w:lineRule="auto" w:before="12"/>
        <w:ind w:left="573" w:right="1123" w:firstLine="62"/>
        <w:jc w:val="left"/>
      </w:pPr>
      <w:r>
        <w:rPr>
          <w:rFonts w:ascii="Times New Roman" w:hAnsi="Times New Roman" w:cs="Times New Roman" w:eastAsia="Times New Roman" w:hint="default"/>
        </w:rPr>
        <w:t>4</w:t>
      </w:r>
      <w:r>
        <w:rPr/>
        <w:t>、技术创新优势</w:t>
      </w:r>
      <w:r>
        <w:rPr>
          <w:w w:val="100"/>
        </w:rPr>
        <w:t> </w:t>
      </w:r>
      <w:r>
        <w:rPr>
          <w:spacing w:val="-4"/>
        </w:rPr>
        <w:t>创新是公司取得不断发展的巨大推动力。公司提倡</w:t>
      </w:r>
      <w:r>
        <w:rPr>
          <w:rFonts w:ascii="Times New Roman" w:hAnsi="Times New Roman" w:cs="Times New Roman" w:eastAsia="Times New Roman" w:hint="default"/>
          <w:spacing w:val="-4"/>
        </w:rPr>
        <w:t>“</w:t>
      </w:r>
      <w:r>
        <w:rPr>
          <w:spacing w:val="-4"/>
        </w:rPr>
        <w:t>奉献、创新</w:t>
      </w:r>
      <w:r>
        <w:rPr>
          <w:rFonts w:ascii="Times New Roman" w:hAnsi="Times New Roman" w:cs="Times New Roman" w:eastAsia="Times New Roman" w:hint="default"/>
          <w:spacing w:val="-4"/>
        </w:rPr>
        <w:t>”</w:t>
      </w:r>
      <w:r>
        <w:rPr>
          <w:spacing w:val="-4"/>
        </w:rPr>
        <w:t>精神，</w:t>
      </w:r>
      <w:r>
        <w:rPr>
          <w:rFonts w:ascii="Times New Roman" w:hAnsi="Times New Roman" w:cs="Times New Roman" w:eastAsia="Times New Roman" w:hint="default"/>
          <w:spacing w:val="-4"/>
        </w:rPr>
        <w:t>“</w:t>
      </w:r>
      <w:r>
        <w:rPr>
          <w:spacing w:val="-4"/>
        </w:rPr>
        <w:t>敬佩成功、鼓励冒险、宽容失</w:t>
      </w:r>
    </w:p>
    <w:p>
      <w:pPr>
        <w:pStyle w:val="BodyText"/>
        <w:spacing w:line="266" w:lineRule="auto" w:before="5"/>
        <w:ind w:right="1105"/>
        <w:jc w:val="both"/>
      </w:pPr>
      <w:r>
        <w:rPr/>
        <w:t>败</w:t>
      </w:r>
      <w:r>
        <w:rPr>
          <w:rFonts w:ascii="Times New Roman" w:hAnsi="Times New Roman" w:cs="Times New Roman" w:eastAsia="Times New Roman" w:hint="default"/>
        </w:rPr>
        <w:t>”</w:t>
      </w:r>
      <w:r>
        <w:rPr/>
        <w:t>，做到用人所长、用人所愿、人尽其才。公司从经营理念、管理制度和激励机制等方面营造了鼓励全</w:t>
      </w:r>
      <w:r>
        <w:rPr>
          <w:spacing w:val="-18"/>
        </w:rPr>
        <w:t> </w:t>
      </w:r>
      <w:r>
        <w:rPr>
          <w:spacing w:val="-18"/>
        </w:rPr>
      </w:r>
      <w:r>
        <w:rPr>
          <w:spacing w:val="-2"/>
        </w:rPr>
        <w:t>员创新的氛围，建立了基层一线技术人员、研发中心和与科研院所、高等院校开展合作的多层次的研发体</w:t>
      </w:r>
      <w:r>
        <w:rPr>
          <w:spacing w:val="-45"/>
        </w:rPr>
        <w:t> </w:t>
      </w:r>
      <w:r>
        <w:rPr>
          <w:spacing w:val="-45"/>
        </w:rPr>
      </w:r>
      <w:r>
        <w:rPr>
          <w:spacing w:val="-2"/>
        </w:rPr>
        <w:t>系。在多年的生产实践中，公司围绕着瓶盖生产过程所涉及的各个技术环节，进行了不断的改进与革新，</w:t>
      </w:r>
      <w:r>
        <w:rPr>
          <w:spacing w:val="-21"/>
        </w:rPr>
        <w:t> </w:t>
      </w:r>
      <w:r>
        <w:rPr>
          <w:spacing w:val="-21"/>
        </w:rPr>
      </w:r>
      <w:r>
        <w:rPr/>
        <w:t>引领同行业先进水平和技术潮流。</w:t>
      </w:r>
    </w:p>
    <w:p>
      <w:pPr>
        <w:pStyle w:val="BodyText"/>
        <w:spacing w:line="256" w:lineRule="auto" w:before="14"/>
        <w:ind w:left="573" w:right="1123" w:firstLine="62"/>
        <w:jc w:val="left"/>
      </w:pPr>
      <w:r>
        <w:rPr>
          <w:rFonts w:ascii="Times New Roman" w:hAnsi="Times New Roman" w:cs="Times New Roman" w:eastAsia="Times New Roman" w:hint="default"/>
        </w:rPr>
        <w:t>5</w:t>
      </w:r>
      <w:r>
        <w:rPr/>
        <w:t>、占据国内铝板复合型防伪印刷制高点的战略优势</w:t>
      </w:r>
      <w:r>
        <w:rPr>
          <w:w w:val="100"/>
        </w:rPr>
        <w:t> </w:t>
      </w:r>
      <w:r>
        <w:rPr>
          <w:spacing w:val="-2"/>
        </w:rPr>
        <w:t>公司是国内同行业中规模最大的铝板复合型防伪印刷企业，其生产规模占据同行业</w:t>
      </w:r>
      <w:r>
        <w:rPr>
          <w:rFonts w:ascii="Times New Roman" w:hAnsi="Times New Roman" w:cs="Times New Roman" w:eastAsia="Times New Roman" w:hint="default"/>
          <w:spacing w:val="-2"/>
        </w:rPr>
        <w:t>30%</w:t>
      </w:r>
      <w:r>
        <w:rPr>
          <w:spacing w:val="-2"/>
        </w:rPr>
        <w:t>左右的市场份</w:t>
      </w:r>
    </w:p>
    <w:p>
      <w:pPr>
        <w:pStyle w:val="BodyText"/>
        <w:spacing w:line="240" w:lineRule="auto" w:before="5"/>
        <w:ind w:right="0"/>
        <w:jc w:val="both"/>
      </w:pPr>
      <w:r>
        <w:rPr/>
        <w:t>额。</w:t>
      </w:r>
    </w:p>
    <w:p>
      <w:pPr>
        <w:pStyle w:val="BodyText"/>
        <w:spacing w:line="273" w:lineRule="auto" w:before="37"/>
        <w:ind w:right="1126" w:firstLine="420"/>
        <w:jc w:val="both"/>
      </w:pPr>
      <w:r>
        <w:rPr>
          <w:spacing w:val="-2"/>
        </w:rPr>
        <w:t>铝板复合型防伪印刷是生产铝防伪瓶盖的中间环节，由于我国铝板防伪印刷设备尚依赖于从国外进口</w:t>
      </w:r>
      <w:r>
        <w:rPr>
          <w:w w:val="100"/>
        </w:rPr>
        <w:t> </w:t>
      </w:r>
      <w:r>
        <w:rPr>
          <w:spacing w:val="-2"/>
        </w:rPr>
        <w:t>以及所存在的资金与技术壁垒等因素，我国仅有少数制盖企业拥有铝板防伪印刷装备。公司在为下游行业</w:t>
      </w:r>
      <w:r>
        <w:rPr>
          <w:spacing w:val="-43"/>
        </w:rPr>
        <w:t> </w:t>
      </w:r>
      <w:r>
        <w:rPr>
          <w:spacing w:val="-43"/>
        </w:rPr>
      </w:r>
      <w:r>
        <w:rPr>
          <w:spacing w:val="-2"/>
        </w:rPr>
        <w:t>提供瓶盖产品的同时，为同行业其他制盖企业提供防伪印刷铝板，有利于调节和稳定防伪印刷铝板的市场</w:t>
      </w:r>
      <w:r>
        <w:rPr>
          <w:spacing w:val="-43"/>
        </w:rPr>
        <w:t> </w:t>
      </w:r>
      <w:r>
        <w:rPr>
          <w:spacing w:val="-43"/>
        </w:rPr>
      </w:r>
      <w:r>
        <w:rPr/>
        <w:t>供应，进一步增强公司在同行业中的影响力，战略优势明显。</w:t>
      </w:r>
    </w:p>
    <w:p>
      <w:pPr>
        <w:pStyle w:val="BodyText"/>
        <w:spacing w:line="256" w:lineRule="auto" w:before="7"/>
        <w:ind w:left="573" w:right="1123" w:firstLine="62"/>
        <w:jc w:val="left"/>
      </w:pPr>
      <w:r>
        <w:rPr>
          <w:rFonts w:ascii="Times New Roman" w:hAnsi="Times New Roman" w:cs="Times New Roman" w:eastAsia="Times New Roman" w:hint="default"/>
        </w:rPr>
        <w:t>6</w:t>
      </w:r>
      <w:r>
        <w:rPr/>
        <w:t>、市场开拓优势</w:t>
      </w:r>
      <w:r>
        <w:rPr>
          <w:w w:val="100"/>
        </w:rPr>
        <w:t> </w:t>
      </w:r>
      <w:r>
        <w:rPr>
          <w:spacing w:val="-2"/>
        </w:rPr>
        <w:t>公司依托强大的业务体系后盾，在传统直销的基础上，以</w:t>
      </w:r>
      <w:r>
        <w:rPr>
          <w:rFonts w:ascii="Times New Roman" w:hAnsi="Times New Roman" w:cs="Times New Roman" w:eastAsia="Times New Roman" w:hint="default"/>
          <w:spacing w:val="-2"/>
        </w:rPr>
        <w:t>“</w:t>
      </w:r>
      <w:r>
        <w:rPr>
          <w:spacing w:val="-2"/>
        </w:rPr>
        <w:t>零距离服务、就近服务</w:t>
      </w:r>
      <w:r>
        <w:rPr>
          <w:rFonts w:ascii="Times New Roman" w:hAnsi="Times New Roman" w:cs="Times New Roman" w:eastAsia="Times New Roman" w:hint="default"/>
          <w:spacing w:val="-2"/>
        </w:rPr>
        <w:t>”</w:t>
      </w:r>
      <w:r>
        <w:rPr>
          <w:spacing w:val="-2"/>
        </w:rPr>
        <w:t>的理念，进一步发</w:t>
      </w:r>
    </w:p>
    <w:p>
      <w:pPr>
        <w:pStyle w:val="BodyText"/>
        <w:spacing w:line="256" w:lineRule="auto" w:before="5"/>
        <w:ind w:right="0"/>
        <w:jc w:val="left"/>
      </w:pPr>
      <w:r>
        <w:rPr>
          <w:spacing w:val="-3"/>
        </w:rPr>
        <w:t>展了在</w:t>
      </w:r>
      <w:r>
        <w:rPr>
          <w:rFonts w:ascii="Times New Roman" w:hAnsi="Times New Roman" w:cs="Times New Roman" w:eastAsia="Times New Roman" w:hint="default"/>
          <w:spacing w:val="-3"/>
        </w:rPr>
        <w:t>“</w:t>
      </w:r>
      <w:r>
        <w:rPr>
          <w:spacing w:val="-3"/>
        </w:rPr>
        <w:t>北京红星、牛栏山</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四川剑南春、全兴、泸州老窖、沱牌、丰谷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湖北劲酒、枝江大曲</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新</w:t>
      </w:r>
      <w:r>
        <w:rPr>
          <w:spacing w:val="-18"/>
        </w:rPr>
        <w:t> </w:t>
      </w:r>
      <w:r>
        <w:rPr>
          <w:spacing w:val="-6"/>
        </w:rPr>
        <w:t>疆伊力特</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安徽古井贡、金种子</w:t>
      </w:r>
      <w:r>
        <w:rPr>
          <w:rFonts w:ascii="Times New Roman" w:hAnsi="Times New Roman" w:cs="Times New Roman" w:eastAsia="Times New Roman" w:hint="default"/>
          <w:spacing w:val="-6"/>
        </w:rPr>
        <w:t>”</w:t>
      </w:r>
      <w:r>
        <w:rPr>
          <w:spacing w:val="-6"/>
        </w:rPr>
        <w:t>等大客户所在地设厂的经营模式，形成了以点带面的区域市场开拓体系。</w:t>
      </w:r>
    </w:p>
    <w:p>
      <w:pPr>
        <w:pStyle w:val="BodyText"/>
        <w:spacing w:line="273" w:lineRule="auto" w:before="5"/>
        <w:ind w:right="1126" w:firstLine="420"/>
        <w:jc w:val="both"/>
      </w:pPr>
      <w:r>
        <w:rPr>
          <w:spacing w:val="-2"/>
        </w:rPr>
        <w:t>同时，公司充分发挥所形成的技术优势积极开发国际市场，公司出口业务逐年上升，公司的复合型防</w:t>
      </w:r>
      <w:r>
        <w:rPr>
          <w:w w:val="100"/>
        </w:rPr>
        <w:t> </w:t>
      </w:r>
      <w:r>
        <w:rPr/>
        <w:t>伪印刷铝板和防伪瓶盖已进入俄罗斯、东南亚、中亚、澳大利亚、非洲、南北美洲等海外市场。</w:t>
      </w:r>
    </w:p>
    <w:p>
      <w:pPr>
        <w:pStyle w:val="BodyText"/>
        <w:spacing w:line="273" w:lineRule="auto" w:before="7"/>
        <w:ind w:right="1126" w:firstLine="420"/>
        <w:jc w:val="both"/>
      </w:pPr>
      <w:r>
        <w:rPr>
          <w:spacing w:val="-2"/>
        </w:rPr>
        <w:t>另外，公司密切关注铝防伪瓶盖在国外发达国家啤酒、葡萄酒等传统包装领域的应用与发展趋势，积</w:t>
      </w:r>
      <w:r>
        <w:rPr>
          <w:w w:val="100"/>
        </w:rPr>
        <w:t> </w:t>
      </w:r>
      <w:r>
        <w:rPr>
          <w:spacing w:val="-2"/>
        </w:rPr>
        <w:t>极推动铝防伪瓶盖在我国相关领域的市场开拓。公司已成功为蓝带啤酒配套了铝防伪瓶盖包装，还新增了</w:t>
      </w:r>
      <w:r>
        <w:rPr>
          <w:spacing w:val="-43"/>
        </w:rPr>
        <w:t> </w:t>
      </w:r>
      <w:r>
        <w:rPr>
          <w:spacing w:val="-43"/>
        </w:rPr>
      </w:r>
      <w:r>
        <w:rPr/>
        <w:t>保健饮料瓶盖、食用油盖等产品。</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变动幅度</w:t>
            </w:r>
          </w:p>
        </w:tc>
      </w:tr>
    </w:tbl>
    <w:p>
      <w:pPr>
        <w:spacing w:after="0" w:line="240" w:lineRule="auto"/>
        <w:jc w:val="center"/>
        <w:rPr>
          <w:rFonts w:ascii="宋体" w:hAnsi="宋体" w:cs="宋体" w:eastAsia="宋体" w:hint="default"/>
          <w:sz w:val="21"/>
          <w:szCs w:val="21"/>
        </w:rPr>
        <w:sectPr>
          <w:pgSz w:w="11910" w:h="16840"/>
          <w:pgMar w:header="877" w:footer="1273"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3"/>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pict>
          <v:shape style="position:absolute;margin-left:147.979996pt;margin-top:51.143665pt;width:84.3pt;height:17.650pt;mso-position-horizontal-relative:page;mso-position-vertical-relative:paragraph;z-index:-6729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91.449997pt;margin-top:51.143665pt;width:84.15pt;height:17.650pt;mso-position-horizontal-relative:page;mso-position-vertical-relative:paragraph;z-index:-6729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8.450012pt;margin-top:51.143665pt;width:84.05pt;height:17.650pt;mso-position-horizontal-relative:page;mso-position-vertical-relative:paragraph;z-index:-67290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869"/>
        <w:gridCol w:w="881"/>
        <w:gridCol w:w="869"/>
        <w:gridCol w:w="871"/>
        <w:gridCol w:w="866"/>
        <w:gridCol w:w="869"/>
        <w:gridCol w:w="869"/>
        <w:gridCol w:w="866"/>
        <w:gridCol w:w="869"/>
        <w:gridCol w:w="869"/>
        <w:gridCol w:w="854"/>
      </w:tblGrid>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7"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2" w:right="125"/>
              <w:jc w:val="left"/>
              <w:rPr>
                <w:rFonts w:ascii="宋体" w:hAnsi="宋体" w:cs="宋体" w:eastAsia="宋体" w:hint="default"/>
                <w:sz w:val="18"/>
                <w:szCs w:val="18"/>
              </w:rPr>
            </w:pPr>
            <w:r>
              <w:rPr>
                <w:rFonts w:ascii="宋体" w:hAnsi="宋体" w:cs="宋体" w:eastAsia="宋体" w:hint="default"/>
                <w:sz w:val="18"/>
                <w:szCs w:val="18"/>
              </w:rPr>
              <w:t>姜格庄农 村信用社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2,737,495.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2,737,495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164,249.70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自筹资金 购买</w:t>
            </w:r>
          </w:p>
        </w:tc>
      </w:tr>
      <w:tr>
        <w:trPr>
          <w:trHeight w:val="1964" w:hRule="exact"/>
        </w:trPr>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12" w:right="125"/>
              <w:jc w:val="both"/>
              <w:rPr>
                <w:rFonts w:ascii="宋体" w:hAnsi="宋体" w:cs="宋体" w:eastAsia="宋体" w:hint="default"/>
                <w:sz w:val="18"/>
                <w:szCs w:val="18"/>
              </w:rPr>
            </w:pPr>
            <w:r>
              <w:rPr>
                <w:rFonts w:ascii="宋体" w:hAnsi="宋体" w:cs="宋体" w:eastAsia="宋体" w:hint="default"/>
                <w:sz w:val="18"/>
                <w:szCs w:val="18"/>
              </w:rPr>
              <w:t>成都商业 银行股份 有限公司 蒲江鹤山 分理处分 红</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550,000.00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自筹资金 购买</w:t>
            </w:r>
          </w:p>
        </w:tc>
      </w:tr>
      <w:tr>
        <w:trPr>
          <w:trHeight w:val="713" w:hRule="exact"/>
        </w:trPr>
        <w:tc>
          <w:tcPr>
            <w:tcW w:w="1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3,287,495</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3,287,495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3,287,495.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164,249.70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077"/>
        <w:gridCol w:w="5479"/>
      </w:tblGrid>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25,279.99</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r>
      <w:tr>
        <w:trPr>
          <w:trHeight w:val="396"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3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uto" w:before="8"/>
              <w:ind w:left="12" w:right="19"/>
              <w:jc w:val="left"/>
              <w:rPr>
                <w:rFonts w:ascii="宋体" w:hAnsi="宋体" w:cs="宋体" w:eastAsia="宋体" w:hint="default"/>
                <w:sz w:val="21"/>
                <w:szCs w:val="21"/>
              </w:rPr>
            </w:pPr>
            <w:r>
              <w:rPr>
                <w:rFonts w:ascii="宋体" w:hAnsi="宋体" w:cs="宋体" w:eastAsia="宋体" w:hint="default"/>
                <w:sz w:val="18"/>
                <w:szCs w:val="18"/>
              </w:rPr>
              <w:t>本次非公开发行募集资金主要投入毫州丽鹏制盖有限公司高档组合式防伪瓶盖技术制造项目、瓶盖厂新增年产</w:t>
            </w:r>
            <w:r>
              <w:rPr>
                <w:rFonts w:ascii="Times New Roman" w:hAnsi="Times New Roman" w:cs="Times New Roman" w:eastAsia="Times New Roman" w:hint="default"/>
                <w:sz w:val="18"/>
                <w:szCs w:val="18"/>
              </w:rPr>
              <w:t>2</w:t>
            </w:r>
            <w:r>
              <w:rPr>
                <w:rFonts w:ascii="宋体" w:hAnsi="宋体" w:cs="宋体" w:eastAsia="宋体" w:hint="default"/>
                <w:sz w:val="18"/>
                <w:szCs w:val="18"/>
              </w:rPr>
              <w:t>亿只组合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式防伪瓶盖生产线建设项目和模具制造生产线扩建项目共三个项目，报告期根据投资计划进行投资建设</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769"/>
        <w:gridCol w:w="780"/>
        <w:gridCol w:w="781"/>
        <w:gridCol w:w="780"/>
        <w:gridCol w:w="778"/>
        <w:gridCol w:w="780"/>
        <w:gridCol w:w="780"/>
        <w:gridCol w:w="780"/>
        <w:gridCol w:w="781"/>
        <w:gridCol w:w="780"/>
        <w:gridCol w:w="780"/>
      </w:tblGrid>
      <w:tr>
        <w:trPr>
          <w:trHeight w:val="133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8" w:type="dxa"/>
            <w:gridSpan w:val="11"/>
            <w:tcBorders>
              <w:top w:val="single" w:sz="4" w:space="0" w:color="000000"/>
              <w:left w:val="single" w:sz="4" w:space="0" w:color="000000"/>
              <w:bottom w:val="single" w:sz="8" w:space="0" w:color="CCE8CF"/>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毫州丽鹏制盖有限公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5" w:right="0"/>
              <w:jc w:val="left"/>
              <w:rPr>
                <w:rFonts w:ascii="Times New Roman" w:hAnsi="Times New Roman" w:cs="Times New Roman" w:eastAsia="Times New Roman" w:hint="default"/>
                <w:sz w:val="18"/>
                <w:szCs w:val="18"/>
              </w:rPr>
            </w:pPr>
            <w:r>
              <w:rPr>
                <w:rFonts w:ascii="Times New Roman"/>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12,000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1.73%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73" w:top="1060" w:bottom="1460" w:left="980" w:right="0"/>
        </w:sectPr>
      </w:pPr>
    </w:p>
    <w:p>
      <w:pPr>
        <w:spacing w:line="240" w:lineRule="auto" w:before="6"/>
        <w:rPr>
          <w:rFonts w:ascii="宋体" w:hAnsi="宋体" w:cs="宋体" w:eastAsia="宋体" w:hint="default"/>
          <w:sz w:val="28"/>
          <w:szCs w:val="28"/>
        </w:rPr>
      </w:pPr>
    </w:p>
    <w:tbl>
      <w:tblPr>
        <w:tblW w:w="0" w:type="auto"/>
        <w:jc w:val="left"/>
        <w:tblInd w:w="223" w:type="dxa"/>
        <w:tblLayout w:type="fixed"/>
        <w:tblCellMar>
          <w:top w:w="0" w:type="dxa"/>
          <w:left w:w="0" w:type="dxa"/>
          <w:bottom w:w="0" w:type="dxa"/>
          <w:right w:w="0" w:type="dxa"/>
        </w:tblCellMar>
        <w:tblLook w:val="01E0"/>
      </w:tblPr>
      <w:tblGrid>
        <w:gridCol w:w="1758"/>
        <w:gridCol w:w="791"/>
        <w:gridCol w:w="781"/>
        <w:gridCol w:w="780"/>
        <w:gridCol w:w="778"/>
        <w:gridCol w:w="780"/>
        <w:gridCol w:w="780"/>
        <w:gridCol w:w="780"/>
        <w:gridCol w:w="781"/>
        <w:gridCol w:w="780"/>
        <w:gridCol w:w="780"/>
      </w:tblGrid>
      <w:tr>
        <w:trPr>
          <w:trHeight w:val="675" w:hRule="exact"/>
        </w:trPr>
        <w:tc>
          <w:tcPr>
            <w:tcW w:w="17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8"/>
              <w:ind w:left="24" w:right="102"/>
              <w:jc w:val="left"/>
              <w:rPr>
                <w:rFonts w:ascii="宋体" w:hAnsi="宋体" w:cs="宋体" w:eastAsia="宋体" w:hint="default"/>
                <w:sz w:val="18"/>
                <w:szCs w:val="18"/>
              </w:rPr>
            </w:pPr>
            <w:r>
              <w:rPr>
                <w:rFonts w:ascii="宋体" w:hAnsi="宋体" w:cs="宋体" w:eastAsia="宋体" w:hint="default"/>
                <w:sz w:val="18"/>
                <w:szCs w:val="18"/>
              </w:rPr>
              <w:t>司高档组合式防伪瓶 盖技术改造项目</w:t>
            </w:r>
          </w:p>
        </w:tc>
        <w:tc>
          <w:tcPr>
            <w:tcW w:w="79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瓶盖厂新增年产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只组合式防伪瓶盖生 产线建设项目</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3,693.99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3,693.99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模具制造生产线扩建 项目</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6" w:hRule="exact"/>
        </w:trPr>
        <w:tc>
          <w:tcPr>
            <w:tcW w:w="1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7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gridSpan w:val="10"/>
            <w:vMerge/>
            <w:tcBorders>
              <w:left w:val="single" w:sz="9" w:space="0" w:color="D2D2D2"/>
              <w:bottom w:val="single" w:sz="4" w:space="0" w:color="000000"/>
              <w:right w:val="single" w:sz="4" w:space="0" w:color="000000"/>
            </w:tcBorders>
          </w:tcPr>
          <w:p>
            <w:pPr/>
          </w:p>
        </w:tc>
      </w:tr>
      <w:tr>
        <w:trPr>
          <w:trHeight w:val="509" w:hRule="exact"/>
        </w:trPr>
        <w:tc>
          <w:tcPr>
            <w:tcW w:w="1758" w:type="dxa"/>
            <w:vMerge/>
            <w:tcBorders>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在本次非公开发行募集资金到位前，公司自筹资金预先投入</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45,162,227.73</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元，本报告期公司已用募</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集资金置换先期投入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32,312,138.99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04" w:hRule="exact"/>
        </w:trPr>
        <w:tc>
          <w:tcPr>
            <w:tcW w:w="1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shd w:val="clear" w:color="auto" w:fill="CCE8CF"/>
          </w:tcPr>
          <w:p>
            <w:pPr/>
          </w:p>
        </w:tc>
      </w:tr>
      <w:tr>
        <w:trPr>
          <w:trHeight w:val="716"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line="506" w:lineRule="auto" w:before="36"/>
        <w:ind w:left="192" w:right="792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、主要子公司、参股公司分析</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主要子公司、参股公司情况</w:t>
      </w:r>
    </w:p>
    <w:p>
      <w:pPr>
        <w:spacing w:before="72"/>
        <w:ind w:left="0" w:right="987" w:firstLine="0"/>
        <w:jc w:val="right"/>
        <w:rPr>
          <w:rFonts w:ascii="宋体" w:hAnsi="宋体" w:cs="宋体" w:eastAsia="宋体" w:hint="default"/>
          <w:sz w:val="18"/>
          <w:szCs w:val="18"/>
        </w:rPr>
      </w:pPr>
      <w:r>
        <w:rPr/>
        <w:pict>
          <v:shape style="position:absolute;margin-left:52.259998pt;margin-top:-7.128272pt;width:491pt;height:210.1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5"/>
                    <w:gridCol w:w="670"/>
                    <w:gridCol w:w="643"/>
                    <w:gridCol w:w="1049"/>
                    <w:gridCol w:w="946"/>
                    <w:gridCol w:w="1155"/>
                    <w:gridCol w:w="1157"/>
                    <w:gridCol w:w="1154"/>
                    <w:gridCol w:w="1049"/>
                    <w:gridCol w:w="1037"/>
                  </w:tblGrid>
                  <w:tr>
                    <w:trPr>
                      <w:trHeight w:val="708"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3"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0" w:right="68" w:hanging="272"/>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净资产（元）</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33"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3"/>
                          <w:ind w:left="25" w:right="188"/>
                          <w:jc w:val="both"/>
                          <w:rPr>
                            <w:rFonts w:ascii="宋体" w:hAnsi="宋体" w:cs="宋体" w:eastAsia="宋体" w:hint="default"/>
                            <w:sz w:val="18"/>
                            <w:szCs w:val="18"/>
                          </w:rPr>
                        </w:pPr>
                        <w:r>
                          <w:rPr>
                            <w:rFonts w:ascii="宋体" w:hAnsi="宋体" w:cs="宋体" w:eastAsia="宋体" w:hint="default"/>
                            <w:sz w:val="18"/>
                            <w:szCs w:val="18"/>
                          </w:rPr>
                          <w:t>成都海川 制盖有限 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4" w:lineRule="auto" w:before="133"/>
                          <w:ind w:left="23" w:right="20"/>
                          <w:jc w:val="left"/>
                          <w:rPr>
                            <w:rFonts w:ascii="宋体" w:hAnsi="宋体" w:cs="宋体" w:eastAsia="宋体" w:hint="default"/>
                            <w:sz w:val="18"/>
                            <w:szCs w:val="18"/>
                          </w:rPr>
                        </w:pPr>
                        <w:r>
                          <w:rPr>
                            <w:rFonts w:ascii="宋体" w:hAnsi="宋体" w:cs="宋体" w:eastAsia="宋体" w:hint="default"/>
                            <w:spacing w:val="-15"/>
                            <w:sz w:val="18"/>
                            <w:szCs w:val="18"/>
                          </w:rPr>
                          <w:t>防伪瓶盖、复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合型防伪印 刷铝板</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78,890,930.68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52,089,790.57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77,367,600.12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4,924,496.22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3,867,961.66</w:t>
                        </w:r>
                      </w:p>
                    </w:tc>
                  </w:tr>
                  <w:tr>
                    <w:trPr>
                      <w:trHeight w:val="1025"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5" w:right="188"/>
                          <w:jc w:val="both"/>
                          <w:rPr>
                            <w:rFonts w:ascii="宋体" w:hAnsi="宋体" w:cs="宋体" w:eastAsia="宋体" w:hint="default"/>
                            <w:sz w:val="18"/>
                            <w:szCs w:val="18"/>
                          </w:rPr>
                        </w:pPr>
                        <w:r>
                          <w:rPr>
                            <w:rFonts w:ascii="宋体" w:hAnsi="宋体" w:cs="宋体" w:eastAsia="宋体" w:hint="default"/>
                            <w:sz w:val="18"/>
                            <w:szCs w:val="18"/>
                          </w:rPr>
                          <w:t>大冶市劲 鹏制盖有 限公司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60,954,784.41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59,058,091.15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69,074,527.63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6,460,515.38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4,760,716.85</w:t>
                        </w:r>
                      </w:p>
                    </w:tc>
                  </w:tr>
                  <w:tr>
                    <w:trPr>
                      <w:trHeight w:val="1027"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5" w:right="188"/>
                          <w:jc w:val="both"/>
                          <w:rPr>
                            <w:rFonts w:ascii="宋体" w:hAnsi="宋体" w:cs="宋体" w:eastAsia="宋体" w:hint="default"/>
                            <w:sz w:val="18"/>
                            <w:szCs w:val="18"/>
                          </w:rPr>
                        </w:pPr>
                        <w:r>
                          <w:rPr>
                            <w:rFonts w:ascii="宋体" w:hAnsi="宋体" w:cs="宋体" w:eastAsia="宋体" w:hint="default"/>
                            <w:sz w:val="18"/>
                            <w:szCs w:val="18"/>
                          </w:rPr>
                          <w:t>烟台和俊 制盖有限 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247.26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万美 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49,558,096.42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30,749,273.82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110,267,297.8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3,380,011.76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2,935,694.06</w:t>
                        </w:r>
                      </w:p>
                    </w:tc>
                  </w:tr>
                  <w:tr>
                    <w:trPr>
                      <w:trHeight w:val="401"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5" w:right="0"/>
                          <w:jc w:val="left"/>
                          <w:rPr>
                            <w:rFonts w:ascii="宋体" w:hAnsi="宋体" w:cs="宋体" w:eastAsia="宋体" w:hint="default"/>
                            <w:sz w:val="18"/>
                            <w:szCs w:val="18"/>
                          </w:rPr>
                        </w:pPr>
                        <w:r>
                          <w:rPr>
                            <w:rFonts w:ascii="宋体" w:hAnsi="宋体" w:cs="宋体" w:eastAsia="宋体" w:hint="default"/>
                            <w:sz w:val="18"/>
                            <w:szCs w:val="18"/>
                          </w:rPr>
                          <w:t>北京鹏和</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金属制</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12,947,233.70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8,439,645.46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23,104,383.74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3,621,011.21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2,764,870.14</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73" w:top="1060" w:bottom="1460" w:left="94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945"/>
        <w:gridCol w:w="670"/>
        <w:gridCol w:w="643"/>
        <w:gridCol w:w="1049"/>
        <w:gridCol w:w="946"/>
        <w:gridCol w:w="1155"/>
        <w:gridCol w:w="1157"/>
        <w:gridCol w:w="1154"/>
        <w:gridCol w:w="1049"/>
        <w:gridCol w:w="1037"/>
      </w:tblGrid>
      <w:tr>
        <w:trPr>
          <w:trHeight w:val="987"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8"/>
              <w:ind w:left="25" w:right="188"/>
              <w:jc w:val="both"/>
              <w:rPr>
                <w:rFonts w:ascii="宋体" w:hAnsi="宋体" w:cs="宋体" w:eastAsia="宋体" w:hint="default"/>
                <w:sz w:val="18"/>
                <w:szCs w:val="18"/>
              </w:rPr>
            </w:pPr>
            <w:r>
              <w:rPr>
                <w:rFonts w:ascii="宋体" w:hAnsi="宋体" w:cs="宋体" w:eastAsia="宋体" w:hint="default"/>
                <w:sz w:val="18"/>
                <w:szCs w:val="18"/>
              </w:rPr>
              <w:t>祥包装制 品有限公 司</w:t>
            </w:r>
          </w:p>
        </w:tc>
        <w:tc>
          <w:tcPr>
            <w:tcW w:w="67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5" w:right="188"/>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23,428,530.47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14,474,374.58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23,730,394.26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5,166,026.08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3,808,248.57</w:t>
            </w:r>
          </w:p>
        </w:tc>
      </w:tr>
      <w:tr>
        <w:trPr>
          <w:trHeight w:val="1027"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5" w:right="187"/>
              <w:jc w:val="both"/>
              <w:rPr>
                <w:rFonts w:ascii="宋体" w:hAnsi="宋体" w:cs="宋体" w:eastAsia="宋体" w:hint="default"/>
                <w:sz w:val="18"/>
                <w:szCs w:val="18"/>
              </w:rPr>
            </w:pPr>
            <w:r>
              <w:rPr>
                <w:rFonts w:ascii="宋体" w:hAnsi="宋体" w:cs="宋体" w:eastAsia="宋体" w:hint="default"/>
                <w:sz w:val="18"/>
                <w:szCs w:val="18"/>
              </w:rPr>
              <w:t>亳州丽鹏 制盖有限 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4" w:lineRule="auto" w:before="128"/>
              <w:ind w:left="23" w:right="20"/>
              <w:jc w:val="left"/>
              <w:rPr>
                <w:rFonts w:ascii="宋体" w:hAnsi="宋体" w:cs="宋体" w:eastAsia="宋体" w:hint="default"/>
                <w:sz w:val="18"/>
                <w:szCs w:val="18"/>
              </w:rPr>
            </w:pPr>
            <w:r>
              <w:rPr>
                <w:rFonts w:ascii="宋体" w:hAnsi="宋体" w:cs="宋体" w:eastAsia="宋体" w:hint="default"/>
                <w:spacing w:val="-15"/>
                <w:sz w:val="18"/>
                <w:szCs w:val="18"/>
              </w:rPr>
              <w:t>防伪瓶盖、复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合型防伪印 刷铝板</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196,413,413.6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134,490,524.6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28,195,392.39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-2,840,884.0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-2,547,822.4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5" w:right="188"/>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65,148,571.22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64,585,552.81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15,565,404.39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-3,501,365.8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-3,322,941.1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5" w:right="188"/>
              <w:jc w:val="both"/>
              <w:rPr>
                <w:rFonts w:ascii="宋体" w:hAnsi="宋体" w:cs="宋体" w:eastAsia="宋体" w:hint="default"/>
                <w:sz w:val="18"/>
                <w:szCs w:val="18"/>
              </w:rPr>
            </w:pPr>
            <w:r>
              <w:rPr>
                <w:rFonts w:ascii="宋体" w:hAnsi="宋体" w:cs="宋体" w:eastAsia="宋体" w:hint="default"/>
                <w:sz w:val="18"/>
                <w:szCs w:val="18"/>
              </w:rPr>
              <w:t>烟台丽鹏 包装有限 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金属制 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9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21,171,830.30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9,814,310.04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-243,908.62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-185,689.96</w:t>
            </w:r>
          </w:p>
        </w:tc>
      </w:tr>
    </w:tbl>
    <w:p>
      <w:pPr>
        <w:spacing w:line="240" w:lineRule="auto" w:before="2"/>
        <w:rPr>
          <w:rFonts w:ascii="宋体" w:hAnsi="宋体" w:cs="宋体" w:eastAsia="宋体" w:hint="default"/>
          <w:sz w:val="26"/>
          <w:szCs w:val="26"/>
        </w:rPr>
      </w:pPr>
    </w:p>
    <w:p>
      <w:pPr>
        <w:pStyle w:val="BodyText"/>
        <w:spacing w:line="240" w:lineRule="auto" w:before="36"/>
        <w:ind w:left="192" w:right="0"/>
        <w:jc w:val="left"/>
      </w:pPr>
      <w:r>
        <w:rPr/>
        <w:t>报告期内取得和处置子公司的情况</w:t>
      </w:r>
    </w:p>
    <w:p>
      <w:pPr>
        <w:pStyle w:val="BodyText"/>
        <w:spacing w:line="240" w:lineRule="auto" w:before="78"/>
        <w:ind w:left="192" w:right="7922"/>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223" w:type="dxa"/>
        <w:tblLayout w:type="fixed"/>
        <w:tblCellMar>
          <w:top w:w="0" w:type="dxa"/>
          <w:left w:w="0" w:type="dxa"/>
          <w:bottom w:w="0" w:type="dxa"/>
          <w:right w:w="0" w:type="dxa"/>
        </w:tblCellMar>
        <w:tblLook w:val="01E0"/>
      </w:tblPr>
      <w:tblGrid>
        <w:gridCol w:w="2391"/>
        <w:gridCol w:w="2393"/>
        <w:gridCol w:w="2393"/>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876" w:right="31" w:hanging="841"/>
              <w:jc w:val="left"/>
              <w:rPr>
                <w:rFonts w:ascii="宋体" w:hAnsi="宋体" w:cs="宋体" w:eastAsia="宋体" w:hint="default"/>
                <w:sz w:val="21"/>
                <w:szCs w:val="21"/>
              </w:rPr>
            </w:pPr>
            <w:r>
              <w:rPr>
                <w:rFonts w:ascii="宋体" w:hAnsi="宋体" w:cs="宋体" w:eastAsia="宋体" w:hint="default"/>
                <w:spacing w:val="-2"/>
                <w:sz w:val="21"/>
                <w:szCs w:val="21"/>
              </w:rPr>
              <w:t>报告期内取得和处置子公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876" w:right="31" w:hanging="841"/>
              <w:jc w:val="left"/>
              <w:rPr>
                <w:rFonts w:ascii="宋体" w:hAnsi="宋体" w:cs="宋体" w:eastAsia="宋体" w:hint="default"/>
                <w:sz w:val="21"/>
                <w:szCs w:val="21"/>
              </w:rPr>
            </w:pPr>
            <w:r>
              <w:rPr>
                <w:rFonts w:ascii="宋体" w:hAnsi="宋体" w:cs="宋体" w:eastAsia="宋体" w:hint="default"/>
                <w:spacing w:val="-2"/>
                <w:sz w:val="21"/>
                <w:szCs w:val="21"/>
              </w:rPr>
              <w:t>报告期内取得和处置子公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司方式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烟台丽鹏包装有限公司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73" w:lineRule="auto" w:before="28"/>
              <w:ind w:left="23" w:right="43"/>
              <w:jc w:val="both"/>
              <w:rPr>
                <w:rFonts w:ascii="宋体" w:hAnsi="宋体" w:cs="宋体" w:eastAsia="宋体" w:hint="default"/>
                <w:sz w:val="21"/>
                <w:szCs w:val="21"/>
              </w:rPr>
            </w:pPr>
            <w:r>
              <w:rPr>
                <w:rFonts w:ascii="宋体" w:hAnsi="宋体" w:cs="宋体" w:eastAsia="宋体" w:hint="default"/>
                <w:spacing w:val="-2"/>
                <w:sz w:val="21"/>
                <w:szCs w:val="21"/>
              </w:rPr>
              <w:t>烟台丽鹏位于烟台市芝罘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港保税区内，相关产品可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享受保税区优惠政策。</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投资设立</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pacing w:val="-2"/>
                <w:sz w:val="21"/>
                <w:szCs w:val="21"/>
              </w:rPr>
              <w:t>目前对公司整体生产和业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绩影响较小。</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92" w:right="7922"/>
        <w:jc w:val="left"/>
        <w:rPr>
          <w:b w:val="0"/>
          <w:bCs w:val="0"/>
        </w:rPr>
      </w:pPr>
      <w:r>
        <w:rPr/>
        <w:t>七、公司未来发展的展望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left="673" w:right="0"/>
        <w:jc w:val="left"/>
      </w:pPr>
      <w:r>
        <w:rPr/>
        <w:t>（一）公司所处行业的发展趋势</w:t>
      </w:r>
      <w:r>
        <w:rPr>
          <w:w w:val="100"/>
        </w:rPr>
        <w:t> </w:t>
      </w:r>
      <w:r>
        <w:rPr>
          <w:spacing w:val="-4"/>
        </w:rPr>
        <w:t>金属包装是包装工业的重要组成部分，其以特有的加固性、密封性、美观性和环保节能而成为不可替</w:t>
      </w:r>
    </w:p>
    <w:p>
      <w:pPr>
        <w:pStyle w:val="BodyText"/>
        <w:spacing w:line="261" w:lineRule="auto" w:before="7"/>
        <w:ind w:left="192" w:right="0"/>
        <w:jc w:val="left"/>
      </w:pPr>
      <w:r>
        <w:rPr/>
        <w:t>代的包装方式。随着宏观经济的持续增长，人均可支配收入的逐步提升，食品与快消品行业的平稳成长，</w:t>
      </w:r>
      <w:r>
        <w:rPr>
          <w:w w:val="100"/>
        </w:rPr>
        <w:t> </w:t>
      </w:r>
      <w:r>
        <w:rPr>
          <w:spacing w:val="-2"/>
        </w:rPr>
        <w:t>金属包装的应用领域和市场规模持续扩大。根据中国包装联合会金属容器委员会预测，到</w:t>
      </w:r>
      <w:r>
        <w:rPr>
          <w:rFonts w:ascii="Times New Roman" w:hAnsi="Times New Roman" w:cs="Times New Roman" w:eastAsia="Times New Roman" w:hint="default"/>
          <w:spacing w:val="-2"/>
        </w:rPr>
        <w:t>2015</w:t>
      </w:r>
      <w:r>
        <w:rPr>
          <w:spacing w:val="-2"/>
        </w:rPr>
        <w:t>年，中国金</w:t>
      </w:r>
      <w:r>
        <w:rPr>
          <w:spacing w:val="-40"/>
        </w:rPr>
        <w:t> </w:t>
      </w:r>
      <w:r>
        <w:rPr>
          <w:spacing w:val="-40"/>
        </w:rPr>
      </w:r>
      <w:r>
        <w:rPr>
          <w:spacing w:val="-4"/>
        </w:rPr>
        <w:t>属包装市场规模将达到</w:t>
      </w:r>
      <w:r>
        <w:rPr>
          <w:rFonts w:ascii="Times New Roman" w:hAnsi="Times New Roman" w:cs="Times New Roman" w:eastAsia="Times New Roman" w:hint="default"/>
          <w:spacing w:val="-4"/>
        </w:rPr>
        <w:t>967</w:t>
      </w:r>
      <w:r>
        <w:rPr>
          <w:spacing w:val="-4"/>
        </w:rPr>
        <w:t>亿元，较</w:t>
      </w:r>
      <w:r>
        <w:rPr>
          <w:rFonts w:ascii="Times New Roman" w:hAnsi="Times New Roman" w:cs="Times New Roman" w:eastAsia="Times New Roman" w:hint="default"/>
          <w:spacing w:val="-4"/>
        </w:rPr>
        <w:t>2010</w:t>
      </w:r>
      <w:r>
        <w:rPr>
          <w:spacing w:val="-4"/>
        </w:rPr>
        <w:t>年将增长</w:t>
      </w:r>
      <w:r>
        <w:rPr>
          <w:rFonts w:ascii="Times New Roman" w:hAnsi="Times New Roman" w:cs="Times New Roman" w:eastAsia="Times New Roman" w:hint="default"/>
          <w:spacing w:val="-4"/>
        </w:rPr>
        <w:t>57%</w:t>
      </w:r>
      <w:r>
        <w:rPr>
          <w:spacing w:val="-4"/>
        </w:rPr>
        <w:t>，预计未来</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10</w:t>
      </w:r>
      <w:r>
        <w:rPr>
          <w:spacing w:val="-4"/>
        </w:rPr>
        <w:t>年将是金属包装发展的战略机遇期。</w:t>
      </w:r>
      <w:r>
        <w:rPr>
          <w:spacing w:val="1"/>
        </w:rPr>
        <w:t> </w:t>
      </w:r>
      <w:r>
        <w:rPr>
          <w:spacing w:val="1"/>
        </w:rPr>
      </w:r>
      <w:r>
        <w:rPr/>
        <w:t>行业目前呈现以下发展趋势：</w:t>
      </w:r>
    </w:p>
    <w:p>
      <w:pPr>
        <w:pStyle w:val="BodyText"/>
        <w:spacing w:line="240" w:lineRule="auto" w:before="19"/>
        <w:ind w:left="673" w:right="0"/>
        <w:jc w:val="left"/>
      </w:pPr>
      <w:r>
        <w:rPr>
          <w:rFonts w:ascii="Times New Roman" w:hAnsi="Times New Roman" w:cs="Times New Roman" w:eastAsia="Times New Roman" w:hint="default"/>
        </w:rPr>
        <w:t>1</w:t>
      </w:r>
      <w:r>
        <w:rPr/>
        <w:t>、国家对食品安全的关注使金属包装的应用前景更为广阔；</w:t>
      </w:r>
    </w:p>
    <w:p>
      <w:pPr>
        <w:pStyle w:val="BodyText"/>
        <w:spacing w:line="240" w:lineRule="auto" w:before="21"/>
        <w:ind w:left="673" w:right="0"/>
        <w:jc w:val="left"/>
      </w:pPr>
      <w:r>
        <w:rPr>
          <w:rFonts w:ascii="Times New Roman" w:hAnsi="Times New Roman" w:cs="Times New Roman" w:eastAsia="Times New Roman" w:hint="default"/>
        </w:rPr>
        <w:t>2</w:t>
      </w:r>
      <w:r>
        <w:rPr/>
        <w:t>、节能降耗政策的实施加速金属包装减薄技术的广泛应用；</w:t>
      </w:r>
    </w:p>
    <w:p>
      <w:pPr>
        <w:pStyle w:val="BodyText"/>
        <w:spacing w:line="240" w:lineRule="auto" w:before="21"/>
        <w:ind w:left="673" w:right="0"/>
        <w:jc w:val="left"/>
      </w:pPr>
      <w:r>
        <w:rPr>
          <w:rFonts w:ascii="Times New Roman" w:hAnsi="Times New Roman" w:cs="Times New Roman" w:eastAsia="Times New Roman" w:hint="default"/>
        </w:rPr>
        <w:t>3</w:t>
      </w:r>
      <w:r>
        <w:rPr/>
        <w:t>、大力发展循环经济发展绿色、环保包装成为行业发展趋势；</w:t>
      </w:r>
    </w:p>
    <w:p>
      <w:pPr>
        <w:pStyle w:val="BodyText"/>
        <w:spacing w:line="240" w:lineRule="auto" w:before="21"/>
        <w:ind w:left="673" w:right="0"/>
        <w:jc w:val="left"/>
      </w:pPr>
      <w:r>
        <w:rPr>
          <w:rFonts w:ascii="Times New Roman" w:hAnsi="Times New Roman" w:cs="Times New Roman" w:eastAsia="Times New Roman" w:hint="default"/>
        </w:rPr>
        <w:t>4</w:t>
      </w:r>
      <w:r>
        <w:rPr/>
        <w:t>、转方式调结构的时代需求促进金属包装行业实现规模化、集约化的跨越式发展。</w:t>
      </w:r>
    </w:p>
    <w:p>
      <w:pPr>
        <w:pStyle w:val="BodyText"/>
        <w:spacing w:line="240" w:lineRule="auto" w:before="21"/>
        <w:ind w:left="673" w:right="0"/>
        <w:jc w:val="left"/>
      </w:pPr>
      <w:r>
        <w:rPr/>
        <w:t>（二）公司发展战略及经营计划</w:t>
      </w:r>
    </w:p>
    <w:p>
      <w:pPr>
        <w:pStyle w:val="BodyText"/>
        <w:spacing w:line="240" w:lineRule="auto" w:before="37"/>
        <w:ind w:left="673" w:right="7922"/>
        <w:jc w:val="left"/>
      </w:pPr>
      <w:r>
        <w:rPr>
          <w:rFonts w:ascii="Times New Roman" w:hAnsi="Times New Roman" w:cs="Times New Roman" w:eastAsia="Times New Roman" w:hint="default"/>
        </w:rPr>
        <w:t>1</w:t>
      </w:r>
      <w:r>
        <w:rPr/>
        <w:t>、公司发展战略</w:t>
      </w:r>
    </w:p>
    <w:p>
      <w:pPr>
        <w:pStyle w:val="BodyText"/>
        <w:spacing w:line="264" w:lineRule="auto" w:before="21"/>
        <w:ind w:left="192" w:right="1127" w:firstLine="480"/>
        <w:jc w:val="both"/>
      </w:pPr>
      <w:r>
        <w:rPr>
          <w:spacing w:val="-2"/>
        </w:rPr>
        <w:t>（</w:t>
      </w:r>
      <w:r>
        <w:rPr>
          <w:rFonts w:ascii="Times New Roman" w:hAnsi="Times New Roman" w:cs="Times New Roman" w:eastAsia="Times New Roman" w:hint="default"/>
          <w:spacing w:val="-2"/>
        </w:rPr>
        <w:t>1</w:t>
      </w:r>
      <w:r>
        <w:rPr>
          <w:spacing w:val="-2"/>
        </w:rPr>
        <w:t>）以科学发展观为指引，在进一步提高现有产品市场占有率、积极开拓国内外市场、巩固公司行</w:t>
      </w:r>
      <w:r>
        <w:rPr>
          <w:w w:val="100"/>
        </w:rPr>
        <w:t> </w:t>
      </w:r>
      <w:r>
        <w:rPr>
          <w:spacing w:val="-2"/>
        </w:rPr>
        <w:t>业中龙头地位的基础上，充分发挥公司在创新、研发、生产、完整业务链方面的整体优势，打造具有丽鹏</w:t>
      </w:r>
      <w:r>
        <w:rPr>
          <w:spacing w:val="-43"/>
        </w:rPr>
        <w:t> </w:t>
      </w:r>
      <w:r>
        <w:rPr>
          <w:spacing w:val="-43"/>
        </w:rPr>
      </w:r>
      <w:r>
        <w:rPr>
          <w:spacing w:val="-2"/>
        </w:rPr>
        <w:t>特色、不可复制的核心竞争力；积极开拓防伪瓶盖在啤酒、葡萄酒、医药、饮料、食用等包装领域潜在的</w:t>
      </w:r>
    </w:p>
    <w:p>
      <w:pPr>
        <w:spacing w:after="0" w:line="264" w:lineRule="auto"/>
        <w:jc w:val="both"/>
        <w:sectPr>
          <w:pgSz w:w="11910" w:h="16840"/>
          <w:pgMar w:header="877" w:footer="1273" w:top="1060" w:bottom="1460" w:left="940" w:right="0"/>
        </w:sectPr>
      </w:pPr>
    </w:p>
    <w:p>
      <w:pPr>
        <w:spacing w:line="240" w:lineRule="auto" w:before="10"/>
        <w:rPr>
          <w:rFonts w:ascii="宋体" w:hAnsi="宋体" w:cs="宋体" w:eastAsia="宋体" w:hint="default"/>
          <w:sz w:val="24"/>
          <w:szCs w:val="24"/>
        </w:rPr>
      </w:pPr>
    </w:p>
    <w:p>
      <w:pPr>
        <w:pStyle w:val="BodyText"/>
        <w:spacing w:line="256" w:lineRule="auto" w:before="36"/>
        <w:ind w:right="1123"/>
        <w:jc w:val="left"/>
      </w:pPr>
      <w:r>
        <w:rPr>
          <w:spacing w:val="-2"/>
        </w:rPr>
        <w:t>巨大市场，力争把防伪瓶盖这个</w:t>
      </w:r>
      <w:r>
        <w:rPr>
          <w:rFonts w:ascii="Times New Roman" w:hAnsi="Times New Roman" w:cs="Times New Roman" w:eastAsia="Times New Roman" w:hint="default"/>
          <w:spacing w:val="-2"/>
        </w:rPr>
        <w:t>“</w:t>
      </w:r>
      <w:r>
        <w:rPr>
          <w:spacing w:val="-2"/>
        </w:rPr>
        <w:t>大市场</w:t>
      </w:r>
      <w:r>
        <w:rPr>
          <w:rFonts w:ascii="Times New Roman" w:hAnsi="Times New Roman" w:cs="Times New Roman" w:eastAsia="Times New Roman" w:hint="default"/>
          <w:spacing w:val="-2"/>
        </w:rPr>
        <w:t>”</w:t>
      </w:r>
      <w:r>
        <w:rPr>
          <w:spacing w:val="-2"/>
        </w:rPr>
        <w:t>中的</w:t>
      </w:r>
      <w:r>
        <w:rPr>
          <w:rFonts w:ascii="Times New Roman" w:hAnsi="Times New Roman" w:cs="Times New Roman" w:eastAsia="Times New Roman" w:hint="default"/>
          <w:spacing w:val="-2"/>
        </w:rPr>
        <w:t>“</w:t>
      </w:r>
      <w:r>
        <w:rPr>
          <w:spacing w:val="-2"/>
        </w:rPr>
        <w:t>小商品</w:t>
      </w:r>
      <w:r>
        <w:rPr>
          <w:rFonts w:ascii="Times New Roman" w:hAnsi="Times New Roman" w:cs="Times New Roman" w:eastAsia="Times New Roman" w:hint="default"/>
          <w:spacing w:val="-2"/>
        </w:rPr>
        <w:t>”</w:t>
      </w:r>
      <w:r>
        <w:rPr>
          <w:spacing w:val="-2"/>
        </w:rPr>
        <w:t>做精做细、做大做强；全面提升企业的增长速度、</w:t>
      </w:r>
      <w:r>
        <w:rPr>
          <w:spacing w:val="-18"/>
        </w:rPr>
        <w:t> </w:t>
      </w:r>
      <w:r>
        <w:rPr>
          <w:spacing w:val="-18"/>
        </w:rPr>
      </w:r>
      <w:r>
        <w:rPr/>
        <w:t>运行质量、效益水平和核心竞争力，争做世界一流企业。</w:t>
      </w:r>
    </w:p>
    <w:p>
      <w:pPr>
        <w:pStyle w:val="BodyText"/>
        <w:spacing w:line="261" w:lineRule="auto" w:before="22"/>
        <w:ind w:right="1080" w:firstLine="480"/>
        <w:jc w:val="both"/>
      </w:pPr>
      <w:r>
        <w:rPr>
          <w:spacing w:val="-2"/>
        </w:rPr>
        <w:t>（</w:t>
      </w:r>
      <w:r>
        <w:rPr>
          <w:rFonts w:ascii="Times New Roman" w:hAnsi="Times New Roman" w:cs="Times New Roman" w:eastAsia="Times New Roman" w:hint="default"/>
          <w:spacing w:val="-2"/>
        </w:rPr>
        <w:t>2</w:t>
      </w:r>
      <w:r>
        <w:rPr>
          <w:spacing w:val="-2"/>
        </w:rPr>
        <w:t>）以</w:t>
      </w:r>
      <w:r>
        <w:rPr>
          <w:rFonts w:ascii="Times New Roman" w:hAnsi="Times New Roman" w:cs="Times New Roman" w:eastAsia="Times New Roman" w:hint="default"/>
          <w:spacing w:val="-2"/>
        </w:rPr>
        <w:t>“</w:t>
      </w:r>
      <w:r>
        <w:rPr>
          <w:spacing w:val="-2"/>
        </w:rPr>
        <w:t>立足报国、服务社会、回报股东、造福职工</w:t>
      </w:r>
      <w:r>
        <w:rPr>
          <w:rFonts w:ascii="Times New Roman" w:hAnsi="Times New Roman" w:cs="Times New Roman" w:eastAsia="Times New Roman" w:hint="default"/>
          <w:spacing w:val="-2"/>
        </w:rPr>
        <w:t>”</w:t>
      </w:r>
      <w:r>
        <w:rPr>
          <w:spacing w:val="-2"/>
        </w:rPr>
        <w:t>为宗旨，以</w:t>
      </w:r>
      <w:r>
        <w:rPr>
          <w:rFonts w:ascii="Times New Roman" w:hAnsi="Times New Roman" w:cs="Times New Roman" w:eastAsia="Times New Roman" w:hint="default"/>
          <w:spacing w:val="-2"/>
        </w:rPr>
        <w:t>“</w:t>
      </w:r>
      <w:r>
        <w:rPr>
          <w:spacing w:val="-2"/>
        </w:rPr>
        <w:t>一处工厂、一所学校、一座军营、</w:t>
      </w:r>
      <w:r>
        <w:rPr>
          <w:w w:val="100"/>
        </w:rPr>
        <w:t> </w:t>
      </w:r>
      <w:r>
        <w:rPr>
          <w:spacing w:val="-3"/>
        </w:rPr>
        <w:t>一个家庭</w:t>
      </w:r>
      <w:r>
        <w:rPr>
          <w:rFonts w:ascii="Times New Roman" w:hAnsi="Times New Roman" w:cs="Times New Roman" w:eastAsia="Times New Roman" w:hint="default"/>
          <w:spacing w:val="-3"/>
        </w:rPr>
        <w:t>”</w:t>
      </w:r>
      <w:r>
        <w:rPr>
          <w:spacing w:val="-3"/>
        </w:rPr>
        <w:t>为理念，弘扬</w:t>
      </w:r>
      <w:r>
        <w:rPr>
          <w:rFonts w:ascii="Times New Roman" w:hAnsi="Times New Roman" w:cs="Times New Roman" w:eastAsia="Times New Roman" w:hint="default"/>
          <w:spacing w:val="-3"/>
        </w:rPr>
        <w:t>“</w:t>
      </w:r>
      <w:r>
        <w:rPr>
          <w:spacing w:val="-3"/>
        </w:rPr>
        <w:t>三个对待、三个不断、三个保证</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w:t>
      </w:r>
      <w:r>
        <w:rPr>
          <w:spacing w:val="-3"/>
        </w:rPr>
        <w:t>三三法宝</w:t>
      </w:r>
      <w:r>
        <w:rPr>
          <w:rFonts w:ascii="Times New Roman" w:hAnsi="Times New Roman" w:cs="Times New Roman" w:eastAsia="Times New Roman" w:hint="default"/>
          <w:spacing w:val="-3"/>
        </w:rPr>
        <w:t>”</w:t>
      </w:r>
      <w:r>
        <w:rPr>
          <w:spacing w:val="-3"/>
        </w:rPr>
        <w:t>精髓，注重文化的传承、员工利益</w:t>
      </w:r>
      <w:r>
        <w:rPr>
          <w:spacing w:val="-37"/>
        </w:rPr>
        <w:t> </w:t>
      </w:r>
      <w:r>
        <w:rPr>
          <w:spacing w:val="-37"/>
        </w:rPr>
      </w:r>
      <w:r>
        <w:rPr>
          <w:spacing w:val="-2"/>
        </w:rPr>
        <w:t>和社会责任。按照上市公司要求，继续完善公司治理和内控管理体系，全面提高规范运作水平，进一步巩</w:t>
      </w:r>
      <w:r>
        <w:rPr>
          <w:spacing w:val="-50"/>
        </w:rPr>
        <w:t> </w:t>
      </w:r>
      <w:r>
        <w:rPr>
          <w:spacing w:val="-50"/>
        </w:rPr>
      </w:r>
      <w:r>
        <w:rPr/>
        <w:t>固公司在证券市场的良好形象，实现持久的全体股东利益最大化。</w:t>
      </w:r>
    </w:p>
    <w:p>
      <w:pPr>
        <w:pStyle w:val="BodyText"/>
        <w:spacing w:line="264" w:lineRule="auto" w:before="18"/>
        <w:ind w:right="0" w:firstLine="480"/>
        <w:jc w:val="left"/>
      </w:pPr>
      <w:r>
        <w:rPr>
          <w:spacing w:val="-4"/>
        </w:rPr>
        <w:t>（</w:t>
      </w:r>
      <w:r>
        <w:rPr>
          <w:rFonts w:ascii="Times New Roman" w:hAnsi="Times New Roman" w:cs="Times New Roman" w:eastAsia="Times New Roman" w:hint="default"/>
          <w:spacing w:val="-4"/>
        </w:rPr>
        <w:t>3</w:t>
      </w:r>
      <w:r>
        <w:rPr>
          <w:spacing w:val="-4"/>
        </w:rPr>
        <w:t>）通过体制创新、机制创新、管理创新，为公司长远发展提供保障并实现企业组织运营的科学化、</w:t>
      </w:r>
      <w:r>
        <w:rPr>
          <w:w w:val="100"/>
        </w:rPr>
        <w:t> </w:t>
      </w:r>
      <w:r>
        <w:rPr>
          <w:spacing w:val="-2"/>
        </w:rPr>
        <w:t>规范化。公司将坚持不懈地开展自主创新，推动技术进步，坚持由劳动密集型的生产方式向科技密集型转</w:t>
      </w:r>
      <w:r>
        <w:rPr>
          <w:spacing w:val="-43"/>
        </w:rPr>
        <w:t> </w:t>
      </w:r>
      <w:r>
        <w:rPr>
          <w:spacing w:val="-43"/>
        </w:rPr>
      </w:r>
      <w:r>
        <w:rPr/>
        <w:t>变，走高速自动化的连线生产方式，全面提升产品的质量、效率、效益水平。</w:t>
      </w:r>
    </w:p>
    <w:p>
      <w:pPr>
        <w:pStyle w:val="BodyText"/>
        <w:spacing w:line="256" w:lineRule="auto" w:before="16"/>
        <w:ind w:left="633" w:right="508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年经营目标</w:t>
      </w:r>
      <w:r>
        <w:rPr>
          <w:w w:val="100"/>
        </w:rPr>
        <w:t> </w:t>
      </w:r>
      <w:r>
        <w:rPr>
          <w:spacing w:val="-2"/>
        </w:rPr>
        <w:t>产量目标：本年度计划生产各种防伪瓶盖</w:t>
      </w:r>
      <w:r>
        <w:rPr>
          <w:rFonts w:ascii="Times New Roman" w:hAnsi="Times New Roman" w:cs="Times New Roman" w:eastAsia="Times New Roman" w:hint="default"/>
          <w:spacing w:val="-2"/>
        </w:rPr>
        <w:t>25</w:t>
      </w:r>
      <w:r>
        <w:rPr>
          <w:spacing w:val="-2"/>
        </w:rPr>
        <w:t>万只。</w:t>
      </w:r>
    </w:p>
    <w:p>
      <w:pPr>
        <w:pStyle w:val="BodyText"/>
        <w:spacing w:line="273" w:lineRule="auto" w:before="5"/>
        <w:ind w:left="633" w:right="0"/>
        <w:jc w:val="left"/>
      </w:pPr>
      <w:r>
        <w:rPr>
          <w:spacing w:val="-2"/>
        </w:rPr>
        <w:t>市场目标：紧随国内外现有客户的发展脚步，努力开发新客户、开辟新市场、建立新的利润增长点。</w:t>
      </w:r>
      <w:r>
        <w:rPr>
          <w:spacing w:val="-27"/>
        </w:rPr>
        <w:t> </w:t>
      </w:r>
      <w:r>
        <w:rPr>
          <w:spacing w:val="-27"/>
        </w:rPr>
      </w:r>
      <w:r>
        <w:rPr/>
        <w:t>效益目标：本年度计划实现营业收入</w:t>
      </w:r>
      <w:r>
        <w:rPr>
          <w:rFonts w:ascii="Times New Roman" w:hAnsi="Times New Roman" w:cs="Times New Roman" w:eastAsia="Times New Roman" w:hint="default"/>
        </w:rPr>
        <w:t>6.5</w:t>
      </w:r>
      <w:r>
        <w:rPr/>
        <w:t>亿，其中：主营业务收入</w:t>
      </w:r>
      <w:r>
        <w:rPr>
          <w:rFonts w:ascii="Times New Roman" w:hAnsi="Times New Roman" w:cs="Times New Roman" w:eastAsia="Times New Roman" w:hint="default"/>
        </w:rPr>
        <w:t>6.2</w:t>
      </w:r>
      <w:r>
        <w:rPr/>
        <w:t>亿元。</w:t>
      </w:r>
    </w:p>
    <w:p>
      <w:pPr>
        <w:pStyle w:val="BodyText"/>
        <w:spacing w:line="279" w:lineRule="exact"/>
        <w:ind w:left="633" w:right="1123"/>
        <w:jc w:val="left"/>
      </w:pPr>
      <w:r>
        <w:rPr>
          <w:rFonts w:ascii="Times New Roman" w:hAnsi="Times New Roman" w:cs="Times New Roman" w:eastAsia="Times New Roman" w:hint="default"/>
        </w:rPr>
        <w:t>3</w:t>
      </w:r>
      <w:r>
        <w:rPr/>
        <w:t>、风险因素及对策</w:t>
      </w:r>
    </w:p>
    <w:p>
      <w:pPr>
        <w:pStyle w:val="BodyText"/>
        <w:spacing w:line="256" w:lineRule="auto" w:before="21"/>
        <w:ind w:left="738" w:right="1123" w:hanging="106"/>
        <w:jc w:val="left"/>
      </w:pPr>
      <w:r>
        <w:rPr/>
        <w:t>（</w:t>
      </w:r>
      <w:r>
        <w:rPr>
          <w:rFonts w:ascii="Times New Roman" w:hAnsi="Times New Roman" w:cs="Times New Roman" w:eastAsia="Times New Roman" w:hint="default"/>
        </w:rPr>
        <w:t>1</w:t>
      </w:r>
      <w:r>
        <w:rPr/>
        <w:t>）原材料价格波动风险</w:t>
      </w:r>
      <w:r>
        <w:rPr>
          <w:w w:val="100"/>
        </w:rPr>
        <w:t> </w:t>
      </w:r>
      <w:r>
        <w:rPr>
          <w:spacing w:val="-2"/>
        </w:rPr>
        <w:t>公司生产所需主要原材料为铝板、涂料、油墨和塑料等。铝作为基础原材料，价格随宏观经济波动</w:t>
      </w:r>
    </w:p>
    <w:p>
      <w:pPr>
        <w:pStyle w:val="BodyText"/>
        <w:spacing w:line="256" w:lineRule="auto" w:before="22"/>
        <w:ind w:right="1123"/>
        <w:jc w:val="left"/>
      </w:pPr>
      <w:r>
        <w:rPr>
          <w:spacing w:val="-2"/>
        </w:rPr>
        <w:t>呈现出相应的周期性变动规律，</w:t>
      </w:r>
      <w:r>
        <w:rPr>
          <w:rFonts w:ascii="Times New Roman" w:hAnsi="Times New Roman" w:cs="Times New Roman" w:eastAsia="Times New Roman" w:hint="default"/>
          <w:spacing w:val="-2"/>
        </w:rPr>
        <w:t>2012</w:t>
      </w:r>
      <w:r>
        <w:rPr>
          <w:spacing w:val="-2"/>
        </w:rPr>
        <w:t>年涂料、油墨和塑料等原材料也因石油、化工原料价格的变化而出现</w:t>
      </w:r>
      <w:r>
        <w:rPr>
          <w:spacing w:val="-40"/>
        </w:rPr>
        <w:t> </w:t>
      </w:r>
      <w:r>
        <w:rPr>
          <w:spacing w:val="-40"/>
        </w:rPr>
      </w:r>
      <w:r>
        <w:rPr/>
        <w:t>一定程度的波动。</w:t>
      </w:r>
    </w:p>
    <w:p>
      <w:pPr>
        <w:pStyle w:val="BodyText"/>
        <w:spacing w:line="273" w:lineRule="auto" w:before="22"/>
        <w:ind w:right="1126" w:firstLine="480"/>
        <w:jc w:val="both"/>
      </w:pPr>
      <w:r>
        <w:rPr>
          <w:spacing w:val="-4"/>
        </w:rPr>
        <w:t>针对这一风险，公司通过比价采购、技术改造、内部挖潜等措施，努力提高原材料利用率。公司设有</w:t>
      </w:r>
      <w:r>
        <w:rPr>
          <w:w w:val="100"/>
        </w:rPr>
        <w:t> </w:t>
      </w:r>
      <w:r>
        <w:rPr>
          <w:spacing w:val="-2"/>
        </w:rPr>
        <w:t>采购部，由专人负责原材料市场波动，通过分析把握价格变动趋势，适时增加或减少原材料储备，降低平</w:t>
      </w:r>
      <w:r>
        <w:rPr>
          <w:spacing w:val="-50"/>
        </w:rPr>
        <w:t> </w:t>
      </w:r>
      <w:r>
        <w:rPr>
          <w:spacing w:val="-50"/>
        </w:rPr>
      </w:r>
      <w:r>
        <w:rPr/>
        <w:t>均生产成本。</w:t>
      </w:r>
    </w:p>
    <w:p>
      <w:pPr>
        <w:pStyle w:val="BodyText"/>
        <w:spacing w:line="256" w:lineRule="auto" w:before="7"/>
        <w:ind w:left="635" w:right="1123"/>
        <w:jc w:val="left"/>
      </w:pPr>
      <w:r>
        <w:rPr/>
        <w:t>（</w:t>
      </w:r>
      <w:r>
        <w:rPr>
          <w:rFonts w:ascii="Times New Roman" w:hAnsi="Times New Roman" w:cs="Times New Roman" w:eastAsia="Times New Roman" w:hint="default"/>
        </w:rPr>
        <w:t>2</w:t>
      </w:r>
      <w:r>
        <w:rPr/>
        <w:t>）人力资源水平对公司发展的影响</w:t>
      </w:r>
      <w:r>
        <w:rPr>
          <w:w w:val="100"/>
        </w:rPr>
        <w:t> </w:t>
      </w:r>
      <w:r>
        <w:rPr>
          <w:spacing w:val="-4"/>
        </w:rPr>
        <w:t>随着业务的拓展和产销规模的不断扩大，公司将需要大量生产、管理、技术、营销人员，这不仅是对</w:t>
      </w:r>
    </w:p>
    <w:p>
      <w:pPr>
        <w:pStyle w:val="BodyText"/>
        <w:spacing w:line="273" w:lineRule="auto" w:before="22"/>
        <w:ind w:right="1123"/>
        <w:jc w:val="left"/>
      </w:pPr>
      <w:r>
        <w:rPr>
          <w:spacing w:val="-2"/>
        </w:rPr>
        <w:t>人力资源的规划、招聘、培养和晋升机制提出了更高的要求，同时随着劳动力成本的不断上涨，将直接导</w:t>
      </w:r>
      <w:r>
        <w:rPr>
          <w:spacing w:val="-47"/>
        </w:rPr>
        <w:t> </w:t>
      </w:r>
      <w:r>
        <w:rPr>
          <w:spacing w:val="-47"/>
        </w:rPr>
      </w:r>
      <w:r>
        <w:rPr/>
        <w:t>致产品成本的上升，进而影响公司的发展和产品的竞争力。</w:t>
      </w:r>
    </w:p>
    <w:p>
      <w:pPr>
        <w:pStyle w:val="BodyText"/>
        <w:spacing w:line="273" w:lineRule="auto" w:before="7"/>
        <w:ind w:right="1105" w:firstLine="482"/>
        <w:jc w:val="both"/>
      </w:pPr>
      <w:r>
        <w:rPr>
          <w:spacing w:val="-4"/>
        </w:rPr>
        <w:t>面对以上风险，公司将一方面走产学研之路，充分利用大专院校人才优势，借为己用，同时采取委培</w:t>
      </w:r>
      <w:r>
        <w:rPr>
          <w:w w:val="100"/>
        </w:rPr>
        <w:t> </w:t>
      </w:r>
      <w:r>
        <w:rPr>
          <w:spacing w:val="-2"/>
        </w:rPr>
        <w:t>方式由合作方院校加大公司内部人才培养；另一方面加大外部人才引进力度，缓解人力资源的需求压力，</w:t>
      </w:r>
      <w:r>
        <w:rPr>
          <w:spacing w:val="-21"/>
        </w:rPr>
        <w:t> </w:t>
      </w:r>
      <w:r>
        <w:rPr>
          <w:spacing w:val="-21"/>
        </w:rPr>
      </w:r>
      <w:r>
        <w:rPr/>
        <w:t>完善和丰富人才结构。同时强化品牌经营和品质管理，全面提升综合竞争力。</w:t>
      </w:r>
    </w:p>
    <w:p>
      <w:pPr>
        <w:pStyle w:val="BodyText"/>
        <w:spacing w:line="256" w:lineRule="auto" w:before="7"/>
        <w:ind w:left="633" w:right="1123" w:firstLine="2"/>
        <w:jc w:val="left"/>
      </w:pPr>
      <w:r>
        <w:rPr/>
        <w:t>（</w:t>
      </w:r>
      <w:r>
        <w:rPr>
          <w:rFonts w:ascii="Times New Roman" w:hAnsi="Times New Roman" w:cs="Times New Roman" w:eastAsia="Times New Roman" w:hint="default"/>
        </w:rPr>
        <w:t>3</w:t>
      </w:r>
      <w:r>
        <w:rPr/>
        <w:t>）汇率变动风险</w:t>
      </w:r>
      <w:r>
        <w:rPr>
          <w:w w:val="100"/>
        </w:rPr>
        <w:t> </w:t>
      </w:r>
      <w:r>
        <w:rPr>
          <w:spacing w:val="-2"/>
        </w:rPr>
        <w:t>自</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日起，我国开始实行以市场供求为基础，参考一揽子货币进行调节、有管理的浮动汇</w:t>
      </w:r>
    </w:p>
    <w:p>
      <w:pPr>
        <w:pStyle w:val="BodyText"/>
        <w:spacing w:line="273" w:lineRule="auto" w:before="5"/>
        <w:ind w:right="1123"/>
        <w:jc w:val="left"/>
      </w:pPr>
      <w:r>
        <w:rPr>
          <w:spacing w:val="-2"/>
        </w:rPr>
        <w:t>率制度。人民币汇率形成机制改革后，人民币总体呈升值趋势，对国内企业产品出口造成一定的影响。随</w:t>
      </w:r>
      <w:r>
        <w:rPr>
          <w:spacing w:val="-47"/>
        </w:rPr>
        <w:t> </w:t>
      </w:r>
      <w:r>
        <w:rPr>
          <w:spacing w:val="-47"/>
        </w:rPr>
      </w:r>
      <w:r>
        <w:rPr/>
        <w:t>着公司出口业务规模的不断扩大，公司面临着汇率变动及人民币升值的风险。</w:t>
      </w:r>
    </w:p>
    <w:p>
      <w:pPr>
        <w:pStyle w:val="BodyText"/>
        <w:spacing w:line="273" w:lineRule="auto" w:before="7"/>
        <w:ind w:right="1128" w:firstLine="480"/>
        <w:jc w:val="both"/>
      </w:pPr>
      <w:r>
        <w:rPr>
          <w:spacing w:val="-4"/>
        </w:rPr>
        <w:t>针对这一风险，公司将根据国内外市场供求的变化情况，合理安排外币与人民币资金的运用；通过与</w:t>
      </w:r>
      <w:r>
        <w:rPr>
          <w:w w:val="100"/>
        </w:rPr>
        <w:t> </w:t>
      </w:r>
      <w:r>
        <w:rPr>
          <w:spacing w:val="-2"/>
        </w:rPr>
        <w:t>结算银行密切合作，采取出口押汇、远期结汇、调整负债结构、适当增加外币贷款等金融工具控制汇率风</w:t>
      </w:r>
      <w:r>
        <w:rPr>
          <w:spacing w:val="-47"/>
        </w:rPr>
        <w:t> </w:t>
      </w:r>
      <w:r>
        <w:rPr>
          <w:spacing w:val="-47"/>
        </w:rPr>
      </w:r>
      <w:r>
        <w:rPr>
          <w:spacing w:val="-2"/>
        </w:rPr>
        <w:t>险。同时，公司将通过与长期客户积极沟通，通过合同约定升值预期等多种方式，进一步规避人民币升值</w:t>
      </w:r>
      <w:r>
        <w:rPr>
          <w:spacing w:val="-47"/>
        </w:rPr>
        <w:t> </w:t>
      </w:r>
      <w:r>
        <w:rPr>
          <w:spacing w:val="-47"/>
        </w:rPr>
      </w:r>
      <w:r>
        <w:rPr/>
        <w:t>风险。</w:t>
      </w:r>
    </w:p>
    <w:p>
      <w:pPr>
        <w:spacing w:line="240" w:lineRule="auto" w:before="8"/>
        <w:rPr>
          <w:rFonts w:ascii="宋体" w:hAnsi="宋体" w:cs="宋体" w:eastAsia="宋体" w:hint="default"/>
          <w:sz w:val="21"/>
          <w:szCs w:val="21"/>
        </w:rPr>
      </w:pPr>
    </w:p>
    <w:p>
      <w:pPr>
        <w:pStyle w:val="Heading2"/>
        <w:spacing w:line="240" w:lineRule="auto" w:before="0"/>
        <w:ind w:right="1123"/>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4"/>
          <w:szCs w:val="24"/>
        </w:rPr>
      </w:pPr>
    </w:p>
    <w:p>
      <w:pPr>
        <w:pStyle w:val="BodyText"/>
        <w:spacing w:line="501" w:lineRule="auto"/>
        <w:ind w:right="1123" w:firstLine="420"/>
        <w:jc w:val="left"/>
      </w:pPr>
      <w:r>
        <w:rPr>
          <w:spacing w:val="-2"/>
        </w:rPr>
        <w:t>与上年度财务报告相比，报告期合并报表范围增加一个全资子公司烟台丽鹏包装有限公司。</w:t>
      </w:r>
      <w:r>
        <w:rPr>
          <w:w w:val="100"/>
        </w:rPr>
        <w:t> </w:t>
      </w:r>
      <w:r>
        <w:rPr>
          <w:rFonts w:ascii="宋体" w:hAnsi="宋体" w:cs="宋体" w:eastAsia="宋体" w:hint="default"/>
          <w:b/>
          <w:bCs/>
          <w:sz w:val="24"/>
          <w:szCs w:val="24"/>
        </w:rPr>
        <w:t>九、公司利润分配及分红派息情况</w:t>
      </w:r>
      <w:r>
        <w:rPr>
          <w:rFonts w:ascii="宋体" w:hAnsi="宋体" w:cs="宋体" w:eastAsia="宋体" w:hint="default"/>
          <w:b/>
          <w:bCs/>
          <w:w w:val="99"/>
          <w:sz w:val="24"/>
          <w:szCs w:val="24"/>
        </w:rPr>
        <w:t> </w:t>
      </w:r>
      <w:r>
        <w:rPr/>
        <w:t>报告期内利润分配政策特别是现金分红政策的制定、执行或调整情况</w:t>
      </w:r>
    </w:p>
    <w:p>
      <w:pPr>
        <w:spacing w:after="0" w:line="501" w:lineRule="auto"/>
        <w:jc w:val="left"/>
        <w:sectPr>
          <w:pgSz w:w="11910" w:h="16840"/>
          <w:pgMar w:header="877" w:footer="1273" w:top="1060" w:bottom="14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报告期内，根据中国证监会、深圳证券交易所和山东证监局的有关规定，公司对《公司章程》中关于</w:t>
      </w:r>
      <w:r>
        <w:rPr>
          <w:w w:val="100"/>
        </w:rPr>
        <w:t> </w:t>
      </w:r>
      <w:r>
        <w:rPr>
          <w:spacing w:val="-2"/>
        </w:rPr>
        <w:t>利润分配政策的部分条款作出修改，对现金分红政策进行了进一步的细化，并制定了《分红政策及未来三</w:t>
      </w:r>
      <w:r>
        <w:rPr>
          <w:spacing w:val="-43"/>
        </w:rPr>
        <w:t> </w:t>
      </w:r>
      <w:r>
        <w:rPr>
          <w:spacing w:val="-43"/>
        </w:rPr>
      </w:r>
      <w:r>
        <w:rPr>
          <w:spacing w:val="-2"/>
        </w:rPr>
        <w:t>年股东回报规划》。《公司章程》的修改及相关制度规划的建立已提交公司第二届董事会第十一次会议和</w:t>
      </w:r>
      <w:r>
        <w:rPr>
          <w:spacing w:val="-44"/>
        </w:rPr>
        <w:t> </w:t>
      </w:r>
      <w:r>
        <w:rPr>
          <w:spacing w:val="-44"/>
        </w:rPr>
      </w:r>
      <w:r>
        <w:rPr>
          <w:rFonts w:ascii="宋体" w:hAnsi="宋体" w:cs="宋体" w:eastAsia="宋体" w:hint="default"/>
        </w:rPr>
        <w:t>2012</w:t>
      </w:r>
      <w:r>
        <w:rPr/>
        <w:t>年第一次临时股东大会审议通过。决策程序透明，符合相关要求的规定。</w:t>
      </w:r>
    </w:p>
    <w:p>
      <w:pPr>
        <w:pStyle w:val="BodyText"/>
        <w:spacing w:line="273" w:lineRule="auto" w:before="7"/>
        <w:ind w:right="1126" w:firstLine="420"/>
        <w:jc w:val="both"/>
      </w:pPr>
      <w:r>
        <w:rPr>
          <w:spacing w:val="-2"/>
        </w:rPr>
        <w:t>公司《分红政策及未来三年股东回报规划》符合《公司章程》的规定，明确规定了利润分配的程序和</w:t>
      </w:r>
      <w:r>
        <w:rPr>
          <w:w w:val="100"/>
        </w:rPr>
        <w:t> </w:t>
      </w:r>
      <w:r>
        <w:rPr>
          <w:spacing w:val="-2"/>
        </w:rPr>
        <w:t>形式、实施现金分红和股票分红的条件、现金分红的比例及现金分红政策的决策程序和机制。独立董事按</w:t>
      </w:r>
      <w:r>
        <w:rPr>
          <w:spacing w:val="-45"/>
        </w:rPr>
        <w:t> </w:t>
      </w:r>
      <w:r>
        <w:rPr>
          <w:spacing w:val="-45"/>
        </w:rPr>
      </w:r>
      <w:r>
        <w:rPr/>
        <w:t>要求发表了独立意见，同时听取了中小股东的意见和诉求，维护了中小股东的合法权益。</w:t>
      </w:r>
    </w:p>
    <w:p>
      <w:pPr>
        <w:spacing w:line="240" w:lineRule="auto" w:before="7"/>
        <w:rPr>
          <w:rFonts w:ascii="宋体" w:hAnsi="宋体" w:cs="宋体" w:eastAsia="宋体" w:hint="default"/>
          <w:sz w:val="27"/>
          <w:szCs w:val="27"/>
        </w:rPr>
      </w:pPr>
    </w:p>
    <w:p>
      <w:pPr>
        <w:pStyle w:val="BodyText"/>
        <w:spacing w:line="240" w:lineRule="auto"/>
        <w:ind w:right="1123"/>
        <w:jc w:val="left"/>
      </w:pPr>
      <w:r>
        <w:rPr/>
        <w:t>本年度利润分配及资本公积金转增股本预案</w:t>
      </w:r>
    </w:p>
    <w:p>
      <w:pPr>
        <w:pStyle w:val="BodyText"/>
        <w:spacing w:line="240" w:lineRule="auto" w:before="75"/>
        <w:ind w:right="1123"/>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44"/>
        <w:ind w:left="0" w:right="1133" w:firstLine="0"/>
        <w:jc w:val="right"/>
        <w:rPr>
          <w:rFonts w:ascii="宋体" w:hAnsi="宋体" w:cs="宋体" w:eastAsia="宋体" w:hint="default"/>
          <w:sz w:val="18"/>
          <w:szCs w:val="18"/>
        </w:rPr>
      </w:pPr>
      <w:r>
        <w:rPr/>
        <w:pict>
          <v:shape style="position:absolute;margin-left:57pt;margin-top:-156.998276pt;width:478.7pt;height:192.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106,338,461.00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31,901,538.30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84,677,796.01</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，派发现</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金股利共计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pacing w:val="-3"/>
                            <w:sz w:val="18"/>
                            <w:szCs w:val="18"/>
                          </w:rPr>
                          <w:t>剩</w:t>
                        </w:r>
                        <w:r>
                          <w:rPr>
                            <w:rFonts w:ascii="宋体" w:hAnsi="宋体" w:cs="宋体" w:eastAsia="宋体" w:hint="default"/>
                            <w:sz w:val="18"/>
                            <w:szCs w:val="18"/>
                          </w:rPr>
                          <w:t>余未分配利润结转下一年度</w:t>
                        </w:r>
                        <w:r>
                          <w:rPr>
                            <w:rFonts w:ascii="宋体" w:hAnsi="宋体" w:cs="宋体" w:eastAsia="宋体" w:hint="default"/>
                            <w:spacing w:val="10"/>
                            <w:sz w:val="18"/>
                            <w:szCs w:val="18"/>
                          </w:rPr>
                          <w:t>；</w:t>
                        </w:r>
                        <w:r>
                          <w:rPr>
                            <w:rFonts w:ascii="宋体" w:hAnsi="宋体" w:cs="宋体" w:eastAsia="宋体" w:hint="default"/>
                            <w:sz w:val="18"/>
                            <w:szCs w:val="18"/>
                          </w:rPr>
                          <w:t>以截至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向全体股东以资本公积每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股，转增后总股本将为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191,409,229.8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2"/>
        <w:rPr>
          <w:rFonts w:ascii="宋体" w:hAnsi="宋体" w:cs="宋体" w:eastAsia="宋体" w:hint="default"/>
          <w:sz w:val="29"/>
          <w:szCs w:val="29"/>
        </w:rPr>
      </w:pPr>
    </w:p>
    <w:p>
      <w:pPr>
        <w:pStyle w:val="BodyText"/>
        <w:spacing w:line="240" w:lineRule="auto" w:before="36"/>
        <w:ind w:right="0"/>
        <w:jc w:val="both"/>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p>
    <w:p>
      <w:pPr>
        <w:pStyle w:val="BodyText"/>
        <w:spacing w:line="256" w:lineRule="auto" w:before="21"/>
        <w:ind w:right="1128" w:firstLine="420"/>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27</w:t>
      </w:r>
      <w:r>
        <w:rPr>
          <w:spacing w:val="-6"/>
        </w:rPr>
        <w:t>日，公司</w:t>
      </w:r>
      <w:r>
        <w:rPr>
          <w:rFonts w:ascii="Times New Roman" w:hAnsi="Times New Roman" w:cs="Times New Roman" w:eastAsia="Times New Roman" w:hint="default"/>
          <w:spacing w:val="-6"/>
        </w:rPr>
        <w:t>2010</w:t>
      </w:r>
      <w:r>
        <w:rPr>
          <w:spacing w:val="-6"/>
        </w:rPr>
        <w:t>年年度股东大会审议通过了《关于公司</w:t>
      </w:r>
      <w:r>
        <w:rPr>
          <w:rFonts w:ascii="Times New Roman" w:hAnsi="Times New Roman" w:cs="Times New Roman" w:eastAsia="Times New Roman" w:hint="default"/>
          <w:spacing w:val="-6"/>
        </w:rPr>
        <w:t>2010</w:t>
      </w:r>
      <w:r>
        <w:rPr>
          <w:spacing w:val="-6"/>
        </w:rPr>
        <w:t>年度利润分配预案》，以</w:t>
      </w:r>
      <w:r>
        <w:rPr>
          <w:rFonts w:ascii="Times New Roman" w:hAnsi="Times New Roman" w:cs="Times New Roman" w:eastAsia="Times New Roman" w:hint="default"/>
          <w:spacing w:val="-6"/>
        </w:rPr>
        <w:t>2010</w:t>
      </w:r>
      <w:r>
        <w:rPr>
          <w:rFonts w:ascii="Times New Roman" w:hAnsi="Times New Roman" w:cs="Times New Roman" w:eastAsia="Times New Roman" w:hint="default"/>
          <w:w w:val="100"/>
        </w:rPr>
        <w:t> </w:t>
      </w:r>
      <w:r>
        <w:rPr>
          <w:spacing w:val="-2"/>
        </w:rPr>
        <w:t>年末总股本</w:t>
      </w:r>
      <w:r>
        <w:rPr>
          <w:rFonts w:ascii="Times New Roman" w:hAnsi="Times New Roman" w:cs="Times New Roman" w:eastAsia="Times New Roman" w:hint="default"/>
          <w:spacing w:val="-2"/>
        </w:rPr>
        <w:t>53,500,000</w:t>
      </w:r>
      <w:r>
        <w:rPr>
          <w:spacing w:val="-2"/>
        </w:rPr>
        <w:t>股为基数，向全体股东按每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w:t>
      </w:r>
      <w:r>
        <w:rPr>
          <w:spacing w:val="-2"/>
        </w:rPr>
        <w:t>元（含税），同时，以资本公积金向</w:t>
      </w:r>
      <w:r>
        <w:rPr>
          <w:spacing w:val="-36"/>
        </w:rPr>
        <w:t> </w:t>
      </w:r>
      <w:r>
        <w:rPr>
          <w:spacing w:val="-36"/>
        </w:rPr>
      </w:r>
      <w:r>
        <w:rPr>
          <w:spacing w:val="-2"/>
        </w:rPr>
        <w:t>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股，共计分配</w:t>
      </w:r>
      <w:r>
        <w:rPr>
          <w:rFonts w:ascii="Times New Roman" w:hAnsi="Times New Roman" w:cs="Times New Roman" w:eastAsia="Times New Roman" w:hint="default"/>
          <w:spacing w:val="-2"/>
        </w:rPr>
        <w:t>5,350,000</w:t>
      </w:r>
      <w:r>
        <w:rPr>
          <w:spacing w:val="-2"/>
        </w:rPr>
        <w:t>元</w:t>
      </w:r>
      <w:r>
        <w:rPr>
          <w:rFonts w:ascii="Times New Roman" w:hAnsi="Times New Roman" w:cs="Times New Roman" w:eastAsia="Times New Roman" w:hint="default"/>
          <w:spacing w:val="-2"/>
        </w:rPr>
        <w:t>,</w:t>
      </w:r>
      <w:r>
        <w:rPr>
          <w:spacing w:val="-2"/>
        </w:rPr>
        <w:t>转增后总股本为</w:t>
      </w:r>
      <w:r>
        <w:rPr>
          <w:rFonts w:ascii="Times New Roman" w:hAnsi="Times New Roman" w:cs="Times New Roman" w:eastAsia="Times New Roman" w:hint="default"/>
          <w:spacing w:val="-2"/>
        </w:rPr>
        <w:t>85,600,000</w:t>
      </w:r>
      <w:r>
        <w:rPr>
          <w:spacing w:val="-2"/>
        </w:rPr>
        <w:t>股。</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日，公司实施</w:t>
      </w:r>
      <w:r>
        <w:rPr>
          <w:spacing w:val="4"/>
        </w:rPr>
        <w:t> </w:t>
      </w:r>
      <w:r>
        <w:rPr>
          <w:spacing w:val="4"/>
        </w:rPr>
      </w:r>
      <w:r>
        <w:rPr/>
        <w:t>了该方案。</w:t>
      </w:r>
    </w:p>
    <w:p>
      <w:pPr>
        <w:pStyle w:val="BodyText"/>
        <w:spacing w:line="256" w:lineRule="auto" w:before="22"/>
        <w:ind w:right="1123"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日，公司</w:t>
      </w:r>
      <w:r>
        <w:rPr>
          <w:rFonts w:ascii="Times New Roman" w:hAnsi="Times New Roman" w:cs="Times New Roman" w:eastAsia="Times New Roman" w:hint="default"/>
          <w:spacing w:val="-2"/>
        </w:rPr>
        <w:t>2011</w:t>
      </w:r>
      <w:r>
        <w:rPr>
          <w:spacing w:val="-2"/>
        </w:rPr>
        <w:t>年年度股东大会审议通过了《公司</w:t>
      </w:r>
      <w:r>
        <w:rPr>
          <w:rFonts w:ascii="Times New Roman" w:hAnsi="Times New Roman" w:cs="Times New Roman" w:eastAsia="Times New Roman" w:hint="default"/>
          <w:spacing w:val="-2"/>
        </w:rPr>
        <w:t>2011</w:t>
      </w:r>
      <w:r>
        <w:rPr>
          <w:spacing w:val="-2"/>
        </w:rPr>
        <w:t>年度利润分配预案》，以</w:t>
      </w:r>
      <w:r>
        <w:rPr>
          <w:rFonts w:ascii="Times New Roman" w:hAnsi="Times New Roman" w:cs="Times New Roman" w:eastAsia="Times New Roman" w:hint="default"/>
          <w:spacing w:val="-2"/>
        </w:rPr>
        <w:t>2011</w:t>
      </w:r>
      <w:r>
        <w:rPr>
          <w:spacing w:val="-2"/>
        </w:rPr>
        <w:t>年</w:t>
      </w:r>
      <w:r>
        <w:rPr>
          <w:w w:val="100"/>
        </w:rPr>
        <w:t> </w:t>
      </w:r>
      <w:r>
        <w:rPr>
          <w:spacing w:val="-2"/>
        </w:rPr>
        <w:t>末总股本</w:t>
      </w:r>
      <w:r>
        <w:rPr>
          <w:rFonts w:ascii="Times New Roman" w:hAnsi="Times New Roman" w:cs="Times New Roman" w:eastAsia="Times New Roman" w:hint="default"/>
          <w:spacing w:val="-2"/>
        </w:rPr>
        <w:t>85,600,000</w:t>
      </w:r>
      <w:r>
        <w:rPr>
          <w:spacing w:val="-2"/>
        </w:rPr>
        <w:t>股为基数，向全体股东按每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1.00</w:t>
      </w:r>
      <w:r>
        <w:rPr>
          <w:spacing w:val="-2"/>
        </w:rPr>
        <w:t>元（含税），共计分配</w:t>
      </w:r>
      <w:r>
        <w:rPr>
          <w:rFonts w:ascii="Times New Roman" w:hAnsi="Times New Roman" w:cs="Times New Roman" w:eastAsia="Times New Roman" w:hint="default"/>
          <w:spacing w:val="-2"/>
        </w:rPr>
        <w:t>8,560,000</w:t>
      </w:r>
      <w:r>
        <w:rPr>
          <w:spacing w:val="-2"/>
        </w:rPr>
        <w:t>元；</w:t>
      </w:r>
      <w:r>
        <w:rPr>
          <w:spacing w:val="7"/>
        </w:rPr>
        <w:t> </w:t>
      </w:r>
      <w:r>
        <w:rPr/>
        <w:t>本次不进行资本公积转增股本和送红股。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日，公司实施了该方案。</w:t>
      </w:r>
    </w:p>
    <w:p>
      <w:pPr>
        <w:pStyle w:val="BodyText"/>
        <w:spacing w:line="240" w:lineRule="auto" w:before="5"/>
        <w:ind w:left="573" w:right="11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年度利润分配预案：以截至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106,338,461</w:t>
      </w:r>
      <w:r>
        <w:rPr/>
        <w:t>股为基数，向全体股东每</w:t>
      </w:r>
    </w:p>
    <w:p>
      <w:pPr>
        <w:pStyle w:val="BodyText"/>
        <w:spacing w:line="256" w:lineRule="auto" w:before="21"/>
        <w:ind w:right="1126"/>
        <w:jc w:val="both"/>
      </w:pPr>
      <w:r>
        <w:rPr>
          <w:rFonts w:ascii="Times New Roman" w:hAnsi="Times New Roman" w:cs="Times New Roman" w:eastAsia="Times New Roman" w:hint="default"/>
        </w:rPr>
        <w:t>10 </w:t>
      </w:r>
      <w:r>
        <w:rPr/>
        <w:t>股派发现金股利</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元（含税），派发现金股利共计</w:t>
      </w:r>
      <w:r>
        <w:rPr>
          <w:rFonts w:ascii="Times New Roman" w:hAnsi="Times New Roman" w:cs="Times New Roman" w:eastAsia="Times New Roman" w:hint="default"/>
        </w:rPr>
        <w:t>31,901,538.3</w:t>
      </w:r>
      <w:r>
        <w:rPr/>
        <w:t>元，剩余未分配利润结转下一年度；</w:t>
      </w:r>
      <w:r>
        <w:rPr>
          <w:w w:val="100"/>
        </w:rPr>
        <w:t> </w:t>
      </w:r>
      <w:r>
        <w:rPr/>
        <w:t>以截至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106,338,461</w:t>
      </w:r>
      <w:r>
        <w:rPr/>
        <w:t>股为基数，向全体股东以资本公积每</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股转增</w:t>
      </w:r>
      <w:r>
        <w:rPr>
          <w:rFonts w:ascii="Times New Roman" w:hAnsi="Times New Roman" w:cs="Times New Roman" w:eastAsia="Times New Roman" w:hint="default"/>
        </w:rPr>
        <w:t>8</w:t>
      </w:r>
      <w:r>
        <w:rPr/>
        <w:t>股，转增后</w:t>
      </w:r>
      <w:r>
        <w:rPr>
          <w:w w:val="100"/>
        </w:rPr>
        <w:t> </w:t>
      </w:r>
      <w:r>
        <w:rPr/>
        <w:t>总股本将为</w:t>
      </w:r>
      <w:r>
        <w:rPr>
          <w:rFonts w:ascii="Times New Roman" w:hAnsi="Times New Roman" w:cs="Times New Roman" w:eastAsia="Times New Roman" w:hint="default"/>
        </w:rPr>
        <w:t>191,409,229.8</w:t>
      </w:r>
      <w:r>
        <w:rPr/>
        <w:t>股。</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73" w:top="1060" w:bottom="1460" w:left="980" w:right="0"/>
        </w:sectPr>
      </w:pPr>
    </w:p>
    <w:p>
      <w:pPr>
        <w:pStyle w:val="BodyText"/>
        <w:spacing w:line="240" w:lineRule="auto" w:before="36"/>
        <w:ind w:right="0"/>
        <w:jc w:val="left"/>
      </w:pPr>
      <w:r>
        <w:rPr>
          <w:spacing w:val="-2"/>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676" w:space="6244"/>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31,901,538.30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41,175,191.23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13,327,525.46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64.23%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30,192,707.34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t>公司报告期内盈利且母公司未分配利润为正但未提出现金红利分配预案</w:t>
      </w:r>
    </w:p>
    <w:p>
      <w:pPr>
        <w:pStyle w:val="BodyText"/>
        <w:spacing w:line="240" w:lineRule="auto" w:before="78"/>
        <w:ind w:right="1123"/>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2"/>
        <w:spacing w:line="240" w:lineRule="auto" w:before="0"/>
        <w:ind w:right="1123"/>
        <w:jc w:val="left"/>
        <w:rPr>
          <w:b w:val="0"/>
          <w:bCs w:val="0"/>
        </w:rPr>
      </w:pPr>
      <w:r>
        <w:rPr/>
        <w:t>十、社会责任情况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420"/>
        <w:jc w:val="both"/>
      </w:pPr>
      <w:r>
        <w:rPr>
          <w:spacing w:val="-2"/>
        </w:rPr>
        <w:t>作为一家上市公司，在发展壮大的过程中，在实践中追求企业与员工、社会、自然的和谐发展，以实</w:t>
      </w:r>
      <w:r>
        <w:rPr>
          <w:w w:val="100"/>
        </w:rPr>
        <w:t> </w:t>
      </w:r>
      <w:r>
        <w:rPr/>
        <w:t>际行动回报社会，创建和谐的企业发展环境，践行社会责任。</w:t>
      </w:r>
    </w:p>
    <w:p>
      <w:pPr>
        <w:pStyle w:val="BodyText"/>
        <w:spacing w:line="273" w:lineRule="auto" w:before="48"/>
        <w:ind w:right="1129" w:firstLine="420"/>
        <w:jc w:val="both"/>
      </w:pPr>
      <w:r>
        <w:rPr>
          <w:spacing w:val="-2"/>
        </w:rPr>
        <w:t>保障股东特别是中小股东的权益，是公司最基本的社会责任。公司严格按照《公司章程》、《股东大</w:t>
      </w:r>
      <w:r>
        <w:rPr>
          <w:w w:val="100"/>
        </w:rPr>
        <w:t> </w:t>
      </w:r>
      <w:r>
        <w:rPr>
          <w:spacing w:val="-2"/>
        </w:rPr>
        <w:t>会议事规则》的规定和要求，规范股东大会的召集、召开、表决程序，通过合法有效的方式，让更多的股</w:t>
      </w:r>
      <w:r>
        <w:rPr>
          <w:spacing w:val="-45"/>
        </w:rPr>
        <w:t> </w:t>
      </w:r>
      <w:r>
        <w:rPr>
          <w:spacing w:val="-45"/>
        </w:rPr>
      </w:r>
      <w:r>
        <w:rPr>
          <w:spacing w:val="-2"/>
        </w:rPr>
        <w:t>东能够参加股东大会，确保股东对公司重大事项的知情权、参与权和表决权；认真履行信息披露义务，秉</w:t>
      </w:r>
      <w:r>
        <w:rPr>
          <w:spacing w:val="-47"/>
        </w:rPr>
        <w:t> </w:t>
      </w:r>
      <w:r>
        <w:rPr>
          <w:spacing w:val="-47"/>
        </w:rPr>
      </w:r>
      <w:r>
        <w:rPr/>
        <w:t>持公平、公正、公开的原则对待全体投资者。</w:t>
      </w:r>
    </w:p>
    <w:p>
      <w:pPr>
        <w:pStyle w:val="BodyText"/>
        <w:spacing w:line="273" w:lineRule="auto" w:before="48"/>
        <w:ind w:right="1126" w:firstLine="420"/>
        <w:jc w:val="both"/>
      </w:pPr>
      <w:r>
        <w:rPr>
          <w:spacing w:val="-2"/>
        </w:rPr>
        <w:t>公司秉承“立足报国、服务社会、回报股东、造福职工”的宗旨，坚持以人为本，把对员工负责视为</w:t>
      </w:r>
      <w:r>
        <w:rPr>
          <w:w w:val="100"/>
        </w:rPr>
        <w:t> </w:t>
      </w:r>
      <w:r>
        <w:rPr>
          <w:spacing w:val="-2"/>
        </w:rPr>
        <w:t>自身的责任，把为员工创造未来当成长期坚持的重要使命。公司提出对待职工的“三三法宝”——对待我</w:t>
      </w:r>
      <w:r>
        <w:rPr>
          <w:spacing w:val="-45"/>
        </w:rPr>
        <w:t> </w:t>
      </w:r>
      <w:r>
        <w:rPr>
          <w:spacing w:val="-45"/>
        </w:rPr>
      </w:r>
      <w:r>
        <w:rPr>
          <w:spacing w:val="-2"/>
        </w:rPr>
        <w:t>们的员工像对待我们的父母一样，像对待我们的子女一样，像对待我们的兄弟姐妹一样；不断改善职工的</w:t>
      </w:r>
      <w:r>
        <w:rPr>
          <w:spacing w:val="-42"/>
        </w:rPr>
        <w:t> </w:t>
      </w:r>
      <w:r>
        <w:rPr>
          <w:spacing w:val="-42"/>
        </w:rPr>
      </w:r>
      <w:r>
        <w:rPr>
          <w:spacing w:val="-2"/>
        </w:rPr>
        <w:t>工作环境，不断降低职工的劳动强度，不断提高职工的工资福利；保证让我们的职工体面的活着，快乐的</w:t>
      </w:r>
      <w:r>
        <w:rPr>
          <w:spacing w:val="-50"/>
        </w:rPr>
        <w:t> </w:t>
      </w:r>
      <w:r>
        <w:rPr>
          <w:spacing w:val="-50"/>
        </w:rPr>
      </w:r>
      <w:r>
        <w:rPr>
          <w:spacing w:val="-2"/>
        </w:rPr>
        <w:t>工作，幸福的生活。公司注重对员工职业发展进行规划，为员工提供平等的发展机会，尊重和维护员工的</w:t>
      </w:r>
      <w:r>
        <w:rPr>
          <w:spacing w:val="-47"/>
        </w:rPr>
        <w:t> </w:t>
      </w:r>
      <w:r>
        <w:rPr>
          <w:spacing w:val="-47"/>
        </w:rPr>
      </w:r>
      <w:r>
        <w:rPr/>
        <w:t>个人利益。</w:t>
      </w:r>
    </w:p>
    <w:p>
      <w:pPr>
        <w:pStyle w:val="BodyText"/>
        <w:spacing w:line="273" w:lineRule="auto" w:before="46"/>
        <w:ind w:right="1127" w:firstLine="420"/>
        <w:jc w:val="both"/>
      </w:pPr>
      <w:r>
        <w:rPr>
          <w:spacing w:val="-2"/>
        </w:rPr>
        <w:t>公司坚持“客户至上”原则，为客户提供优质的产品；加强与供应商的沟通合作，实现互惠共赢；严</w:t>
      </w:r>
      <w:r>
        <w:rPr>
          <w:w w:val="100"/>
        </w:rPr>
        <w:t> </w:t>
      </w:r>
      <w:r>
        <w:rPr/>
        <w:t>格把控产品质量，注重产品安全，保护消费者利益。</w:t>
      </w:r>
    </w:p>
    <w:p>
      <w:pPr>
        <w:pStyle w:val="BodyText"/>
        <w:spacing w:line="273" w:lineRule="auto" w:before="48"/>
        <w:ind w:right="1131" w:firstLine="420"/>
        <w:jc w:val="both"/>
      </w:pPr>
      <w:r>
        <w:rPr>
          <w:spacing w:val="-3"/>
        </w:rPr>
        <w:t>未来，公司将积极履行社会责任，在兼顾环境保护的同时，致力于打造广受客户青睐、赢得社会信赖</w:t>
      </w:r>
      <w:r>
        <w:rPr>
          <w:w w:val="100"/>
        </w:rPr>
        <w:t> </w:t>
      </w:r>
      <w:r>
        <w:rPr/>
        <w:t>的知名品牌，实现商业利益与社会责任的高度统一。</w:t>
      </w:r>
    </w:p>
    <w:p>
      <w:pPr>
        <w:spacing w:line="240" w:lineRule="auto" w:before="8"/>
        <w:rPr>
          <w:rFonts w:ascii="宋体" w:hAnsi="宋体" w:cs="宋体" w:eastAsia="宋体" w:hint="default"/>
          <w:sz w:val="21"/>
          <w:szCs w:val="21"/>
        </w:rPr>
      </w:pPr>
    </w:p>
    <w:p>
      <w:pPr>
        <w:pStyle w:val="Heading2"/>
        <w:spacing w:line="240" w:lineRule="auto" w:before="0"/>
        <w:ind w:right="1123"/>
        <w:jc w:val="left"/>
        <w:rPr>
          <w:b w:val="0"/>
          <w:bCs w:val="0"/>
        </w:rPr>
      </w:pPr>
      <w:r>
        <w:rPr/>
        <w:t>十一、报告期内接待调研、沟通、采访等活动登记表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44"/>
        <w:ind w:left="0" w:right="1102" w:firstLine="0"/>
        <w:jc w:val="right"/>
        <w:rPr>
          <w:rFonts w:ascii="宋体" w:hAnsi="宋体" w:cs="宋体" w:eastAsia="宋体" w:hint="default"/>
          <w:sz w:val="18"/>
          <w:szCs w:val="18"/>
        </w:rPr>
      </w:pPr>
      <w:r>
        <w:rPr/>
        <w:pict>
          <v:shape style="position:absolute;margin-left:58.080002pt;margin-top:-210.458282pt;width:479.3pt;height:297.2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09"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23"/>
                          <w:jc w:val="left"/>
                          <w:rPr>
                            <w:rFonts w:ascii="宋体" w:hAnsi="宋体" w:cs="宋体" w:eastAsia="宋体" w:hint="default"/>
                            <w:sz w:val="18"/>
                            <w:szCs w:val="18"/>
                          </w:rPr>
                        </w:pPr>
                        <w:r>
                          <w:rPr>
                            <w:rFonts w:ascii="宋体" w:hAnsi="宋体" w:cs="宋体" w:eastAsia="宋体" w:hint="default"/>
                            <w:sz w:val="18"/>
                            <w:szCs w:val="18"/>
                          </w:rPr>
                          <w:t>浙商证券有限责任 公司研究员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公司生产经营情况、行业 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国泰君安证券研究 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公司经营情况、市场开拓 情况、募投项目达产情况</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常州投资集团有限 公司研究员、北京 京富融源投资管理 有限公司研究员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0"/>
                          <w:jc w:val="left"/>
                          <w:rPr>
                            <w:rFonts w:ascii="宋体" w:hAnsi="宋体" w:cs="宋体" w:eastAsia="宋体" w:hint="default"/>
                            <w:sz w:val="18"/>
                            <w:szCs w:val="18"/>
                          </w:rPr>
                        </w:pPr>
                        <w:r>
                          <w:rPr>
                            <w:rFonts w:ascii="宋体" w:hAnsi="宋体" w:cs="宋体" w:eastAsia="宋体" w:hint="default"/>
                            <w:sz w:val="18"/>
                            <w:szCs w:val="18"/>
                          </w:rPr>
                          <w:t>公司生产经营情况、行业 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中信证券股份有限 公司高级经理</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公司经营情况、行业情况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华夏基金管理有限 公司研究员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公司未来发展、竞争对手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生产经营</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北京盛世景投资管 理有限公司投资经 理</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竞争优势、产品情况、市 场布局等</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73"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浙商证券有限责任 公司研究副总监、 研究员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非公开发行进展情况、行 业发展前景、公司经营情 况</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华泰证券股份有限 公司投资主办、光 大证券股份有限公 司分析师</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70"/>
              <w:jc w:val="left"/>
              <w:rPr>
                <w:rFonts w:ascii="宋体" w:hAnsi="宋体" w:cs="宋体" w:eastAsia="宋体" w:hint="default"/>
                <w:sz w:val="18"/>
                <w:szCs w:val="18"/>
              </w:rPr>
            </w:pPr>
            <w:r>
              <w:rPr>
                <w:rFonts w:ascii="宋体" w:hAnsi="宋体" w:cs="宋体" w:eastAsia="宋体" w:hint="default"/>
                <w:sz w:val="18"/>
                <w:szCs w:val="18"/>
              </w:rPr>
              <w:t>主要客户情况、产品开发 情况、其他领域拓展情况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山东丽鹏股份有限 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上海泽熙投资管理 有限公司研究员</w:t>
            </w:r>
          </w:p>
        </w:tc>
        <w:tc>
          <w:tcPr>
            <w:tcW w:w="20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公司竞争优势、非公开发 行募投项目针对市场情况</w:t>
            </w:r>
          </w:p>
        </w:tc>
      </w:tr>
    </w:tbl>
    <w:p>
      <w:pPr>
        <w:spacing w:after="0" w:line="316" w:lineRule="auto"/>
        <w:jc w:val="left"/>
        <w:rPr>
          <w:rFonts w:ascii="宋体" w:hAnsi="宋体" w:cs="宋体" w:eastAsia="宋体" w:hint="default"/>
          <w:sz w:val="18"/>
          <w:szCs w:val="18"/>
        </w:rPr>
        <w:sectPr>
          <w:pgSz w:w="11910" w:h="16840"/>
          <w:pgMar w:header="877" w:footer="1273"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97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3"/>
        <w:jc w:val="left"/>
        <w:rPr>
          <w:b w:val="0"/>
          <w:bCs w:val="0"/>
        </w:rPr>
      </w:pPr>
      <w:r>
        <w:rPr/>
        <w:t>一、承诺事项履行情况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194"/>
        <w:gridCol w:w="1273"/>
        <w:gridCol w:w="1277"/>
        <w:gridCol w:w="1278"/>
        <w:gridCol w:w="1279"/>
        <w:gridCol w:w="1267"/>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18"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孙世尧、于志 </w:t>
            </w:r>
            <w:r>
              <w:rPr>
                <w:rFonts w:ascii="宋体" w:hAnsi="宋体" w:cs="宋体" w:eastAsia="宋体" w:hint="default"/>
                <w:spacing w:val="-7"/>
                <w:sz w:val="18"/>
                <w:szCs w:val="18"/>
              </w:rPr>
              <w:t>芬、霍文菊、孙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鲲鹏、孙红丽；</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自股份公司股 票上市之日起 三十六个月内， 不转让或者委 托他人管理已 持有的股份公 </w:t>
            </w:r>
            <w:r>
              <w:rPr>
                <w:rFonts w:ascii="宋体" w:hAnsi="宋体" w:cs="宋体" w:eastAsia="宋体" w:hint="default"/>
                <w:spacing w:val="-6"/>
                <w:sz w:val="18"/>
                <w:szCs w:val="18"/>
              </w:rPr>
              <w:t>司的股份，也不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由股份公司收 购该部分股份。</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30"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8"/>
              <w:ind w:left="25" w:right="19"/>
              <w:jc w:val="left"/>
              <w:rPr>
                <w:rFonts w:ascii="宋体" w:hAnsi="宋体" w:cs="宋体" w:eastAsia="宋体" w:hint="default"/>
                <w:sz w:val="18"/>
                <w:szCs w:val="18"/>
              </w:rPr>
            </w:pPr>
            <w:r>
              <w:rPr>
                <w:rFonts w:ascii="宋体" w:hAnsi="宋体" w:cs="宋体" w:eastAsia="宋体" w:hint="default"/>
                <w:sz w:val="18"/>
                <w:szCs w:val="18"/>
              </w:rPr>
              <w:t>孙世尧、曲维 </w:t>
            </w:r>
            <w:r>
              <w:rPr>
                <w:rFonts w:ascii="宋体" w:hAnsi="宋体" w:cs="宋体" w:eastAsia="宋体" w:hint="default"/>
                <w:spacing w:val="-7"/>
                <w:sz w:val="18"/>
                <w:szCs w:val="18"/>
              </w:rPr>
              <w:t>强、孙鲲鹏、霍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文菊</w:t>
            </w:r>
          </w:p>
        </w:tc>
        <w:tc>
          <w:tcPr>
            <w:tcW w:w="1277" w:type="dxa"/>
            <w:tcBorders>
              <w:top w:val="single" w:sz="4" w:space="0" w:color="000000"/>
              <w:left w:val="single" w:sz="4" w:space="0" w:color="000000"/>
              <w:bottom w:val="single" w:sz="4" w:space="0" w:color="000000"/>
              <w:right w:val="single" w:sz="9" w:space="0" w:color="FFFFFF"/>
            </w:tcBorders>
            <w:shd w:val="clear" w:color="auto" w:fill="CCE8CF"/>
          </w:tcPr>
          <w:p>
            <w:pPr>
              <w:pStyle w:val="TableParagraph"/>
              <w:spacing w:line="316" w:lineRule="auto" w:before="8"/>
              <w:ind w:left="23" w:right="-40"/>
              <w:jc w:val="left"/>
              <w:rPr>
                <w:rFonts w:ascii="宋体" w:hAnsi="宋体" w:cs="宋体" w:eastAsia="宋体" w:hint="default"/>
                <w:sz w:val="18"/>
                <w:szCs w:val="18"/>
              </w:rPr>
            </w:pPr>
            <w:r>
              <w:rPr>
                <w:rFonts w:ascii="宋体" w:hAnsi="宋体" w:cs="宋体" w:eastAsia="宋体" w:hint="default"/>
                <w:sz w:val="18"/>
                <w:szCs w:val="18"/>
              </w:rPr>
              <w:t>除前述锁定期 </w:t>
            </w:r>
            <w:r>
              <w:rPr>
                <w:rFonts w:ascii="宋体" w:hAnsi="宋体" w:cs="宋体" w:eastAsia="宋体" w:hint="default"/>
                <w:spacing w:val="-6"/>
                <w:sz w:val="18"/>
                <w:szCs w:val="18"/>
              </w:rPr>
              <w:t>外，在任职期间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每年转让的股 份不超过其持 有股份公司股 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在离职后半年 </w:t>
            </w:r>
            <w:r>
              <w:rPr>
                <w:rFonts w:ascii="宋体" w:hAnsi="宋体" w:cs="宋体" w:eastAsia="宋体" w:hint="default"/>
                <w:spacing w:val="-6"/>
                <w:sz w:val="18"/>
                <w:szCs w:val="18"/>
              </w:rPr>
              <w:t>内，不转让所持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有的股份公司 股份。</w:t>
            </w:r>
          </w:p>
        </w:tc>
        <w:tc>
          <w:tcPr>
            <w:tcW w:w="127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14" w:space="0" w:color="CCE8C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14" w:space="0" w:color="CCE8C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14" w:space="0" w:color="CCE8CF"/>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50"/>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14" w:space="0" w:color="CCE8C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273" w:top="1060" w:bottom="146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123"/>
        <w:jc w:val="left"/>
        <w:rPr>
          <w:b w:val="0"/>
          <w:bCs w:val="0"/>
        </w:rPr>
      </w:pPr>
      <w:r>
        <w:rPr/>
        <w:t>二、聘任、解聘会计师事务所情况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现聘任的会计事务所</w:t>
      </w:r>
    </w:p>
    <w:p>
      <w:pPr>
        <w:spacing w:line="240" w:lineRule="auto" w:before="10"/>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3887"/>
        <w:gridCol w:w="5682"/>
      </w:tblGrid>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山东汇德会计师事务所有限公司</w:t>
            </w:r>
          </w:p>
        </w:tc>
      </w:tr>
      <w:tr>
        <w:trPr>
          <w:trHeight w:val="401"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50</w:t>
            </w:r>
          </w:p>
        </w:tc>
      </w:tr>
      <w:tr>
        <w:trPr>
          <w:trHeight w:val="403" w:hRule="exact"/>
        </w:trPr>
        <w:tc>
          <w:tcPr>
            <w:tcW w:w="3887"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1" w:hRule="exact"/>
        </w:trPr>
        <w:tc>
          <w:tcPr>
            <w:tcW w:w="3887"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王丽敏、刘学伟</w:t>
            </w:r>
          </w:p>
        </w:tc>
      </w:tr>
    </w:tbl>
    <w:p>
      <w:pPr>
        <w:pStyle w:val="BodyText"/>
        <w:spacing w:line="240" w:lineRule="auto" w:before="28"/>
        <w:ind w:right="1123"/>
        <w:jc w:val="left"/>
      </w:pPr>
      <w:r>
        <w:rPr/>
        <w:t>当期是否改聘会计师事务所</w:t>
      </w:r>
    </w:p>
    <w:p>
      <w:pPr>
        <w:pStyle w:val="BodyText"/>
        <w:spacing w:line="307" w:lineRule="auto" w:before="78"/>
        <w:ind w:right="5085"/>
        <w:jc w:val="left"/>
      </w:pPr>
      <w:r>
        <w:rPr/>
        <w:t>□ 是 √ 否</w:t>
      </w:r>
      <w:r>
        <w:rPr>
          <w:spacing w:val="-104"/>
        </w:rPr>
        <w:t> </w:t>
      </w:r>
      <w:r>
        <w:rPr>
          <w:spacing w:val="-104"/>
        </w:rPr>
      </w:r>
      <w:r>
        <w:rPr>
          <w:spacing w:val="-2"/>
        </w:rPr>
        <w:t>聘请内部控制审计会计师事务所、财务顾问或保荐人情况</w:t>
      </w:r>
    </w:p>
    <w:p>
      <w:pPr>
        <w:pStyle w:val="BodyText"/>
        <w:spacing w:line="307" w:lineRule="auto" w:before="19"/>
        <w:ind w:left="573" w:right="1123" w:hanging="421"/>
        <w:jc w:val="left"/>
      </w:pPr>
      <w:r>
        <w:rPr/>
        <w:t>√ 适用 □ 不适用</w:t>
      </w:r>
      <w:r>
        <w:rPr>
          <w:spacing w:val="-104"/>
        </w:rPr>
        <w:t> </w:t>
      </w:r>
      <w:r>
        <w:rPr>
          <w:spacing w:val="-104"/>
        </w:rPr>
      </w:r>
      <w:r>
        <w:rPr>
          <w:spacing w:val="-2"/>
        </w:rPr>
        <w:t>本年度，公司因非公开发行股票事项，聘请太平洋证券股份有限公司为保荐人，期间共支付保荐费和</w:t>
      </w:r>
    </w:p>
    <w:p>
      <w:pPr>
        <w:pStyle w:val="BodyText"/>
        <w:spacing w:line="269" w:lineRule="exact"/>
        <w:ind w:right="1123"/>
        <w:jc w:val="left"/>
      </w:pPr>
      <w:r>
        <w:rPr/>
        <w:t>承销费用</w:t>
      </w:r>
      <w:r>
        <w:rPr>
          <w:rFonts w:ascii="Times New Roman" w:hAnsi="Times New Roman" w:cs="Times New Roman" w:eastAsia="Times New Roman" w:hint="default"/>
        </w:rPr>
        <w:t>1,200</w:t>
      </w:r>
      <w:r>
        <w:rPr/>
        <w:t>万元。</w:t>
      </w:r>
    </w:p>
    <w:p>
      <w:pPr>
        <w:spacing w:line="240" w:lineRule="auto" w:before="8"/>
        <w:rPr>
          <w:rFonts w:ascii="宋体" w:hAnsi="宋体" w:cs="宋体" w:eastAsia="宋体" w:hint="default"/>
          <w:sz w:val="22"/>
          <w:szCs w:val="22"/>
        </w:rPr>
      </w:pPr>
    </w:p>
    <w:p>
      <w:pPr>
        <w:pStyle w:val="Heading2"/>
        <w:spacing w:line="240" w:lineRule="auto" w:before="0"/>
        <w:ind w:right="1123"/>
        <w:jc w:val="left"/>
        <w:rPr>
          <w:b w:val="0"/>
          <w:bCs w:val="0"/>
        </w:rPr>
      </w:pPr>
      <w:r>
        <w:rPr/>
        <w:t>三、公司子公司重要事项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23"/>
        <w:jc w:val="left"/>
      </w:pPr>
      <w:r>
        <w:rPr/>
        <w:t>公司子公司无重要事项。</w:t>
      </w:r>
    </w:p>
    <w:p>
      <w:pPr>
        <w:spacing w:after="0" w:line="240" w:lineRule="auto"/>
        <w:jc w:val="left"/>
        <w:sectPr>
          <w:pgSz w:w="11910" w:h="16840"/>
          <w:pgMar w:header="877" w:footer="1273"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97" w:type="dxa"/>
        <w:tblLayout w:type="fixed"/>
        <w:tblCellMar>
          <w:top w:w="0" w:type="dxa"/>
          <w:left w:w="0" w:type="dxa"/>
          <w:bottom w:w="0" w:type="dxa"/>
          <w:right w:w="0" w:type="dxa"/>
        </w:tblCellMar>
        <w:tblLook w:val="01E0"/>
      </w:tblPr>
      <w:tblGrid>
        <w:gridCol w:w="1740"/>
        <w:gridCol w:w="1125"/>
        <w:gridCol w:w="686"/>
        <w:gridCol w:w="1001"/>
        <w:gridCol w:w="620"/>
        <w:gridCol w:w="1068"/>
        <w:gridCol w:w="552"/>
        <w:gridCol w:w="901"/>
        <w:gridCol w:w="1046"/>
        <w:gridCol w:w="814"/>
      </w:tblGrid>
      <w:tr>
        <w:trPr>
          <w:trHeight w:val="206" w:hRule="exact"/>
        </w:trPr>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740" w:type="dxa"/>
            <w:vMerge w:val="restart"/>
            <w:tcBorders>
              <w:top w:val="nil" w:sz="6" w:space="0" w:color="auto"/>
              <w:left w:val="single" w:sz="4" w:space="0" w:color="000000"/>
              <w:right w:val="single" w:sz="4" w:space="0" w:color="000000"/>
            </w:tcBorders>
            <w:shd w:val="clear" w:color="auto" w:fill="D2D2D2"/>
          </w:tcPr>
          <w:p>
            <w:pPr/>
          </w:p>
        </w:tc>
        <w:tc>
          <w:tcPr>
            <w:tcW w:w="1811" w:type="dxa"/>
            <w:gridSpan w:val="2"/>
            <w:vMerge/>
            <w:tcBorders>
              <w:left w:val="single" w:sz="4" w:space="0" w:color="000000"/>
              <w:bottom w:val="single" w:sz="4" w:space="0" w:color="000000"/>
              <w:right w:val="single" w:sz="4" w:space="0" w:color="000000"/>
            </w:tcBorders>
            <w:shd w:val="clear" w:color="auto" w:fill="D2D2D2"/>
          </w:tcPr>
          <w:p>
            <w:pPr/>
          </w:p>
        </w:tc>
        <w:tc>
          <w:tcPr>
            <w:tcW w:w="4141" w:type="dxa"/>
            <w:gridSpan w:val="5"/>
            <w:vMerge/>
            <w:tcBorders>
              <w:left w:val="single" w:sz="4" w:space="0" w:color="000000"/>
              <w:bottom w:val="single" w:sz="4" w:space="0" w:color="000000"/>
              <w:right w:val="single" w:sz="4" w:space="0" w:color="000000"/>
            </w:tcBorders>
            <w:shd w:val="clear" w:color="auto" w:fill="D2D2D2"/>
          </w:tcPr>
          <w:p>
            <w:pPr/>
          </w:p>
        </w:tc>
        <w:tc>
          <w:tcPr>
            <w:tcW w:w="186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740" w:type="dxa"/>
            <w:vMerge/>
            <w:tcBorders>
              <w:left w:val="single" w:sz="4" w:space="0" w:color="000000"/>
              <w:bottom w:val="nil" w:sz="6" w:space="0" w:color="auto"/>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62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20,738,461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20,738,461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67,538,461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63.43%</w:t>
            </w:r>
          </w:p>
        </w:tc>
      </w:tr>
      <w:tr>
        <w:trPr>
          <w:trHeight w:val="40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1,938,461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1,938,461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1,938,461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r>
      <w:tr>
        <w:trPr>
          <w:trHeight w:val="401"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58.3%</w:t>
            </w:r>
          </w:p>
        </w:tc>
      </w:tr>
      <w:tr>
        <w:trPr>
          <w:trHeight w:val="40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722,000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43,922,000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r>
      <w:tr>
        <w:trPr>
          <w:trHeight w:val="40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45.33%</w:t>
            </w:r>
          </w:p>
        </w:tc>
      </w:tr>
      <w:tr>
        <w:trPr>
          <w:trHeight w:val="401"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45.33%</w:t>
            </w:r>
          </w:p>
        </w:tc>
      </w:tr>
      <w:tr>
        <w:trPr>
          <w:trHeight w:val="40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20,738,461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20,738,461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106,338,461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28"/>
        <w:ind w:right="1123"/>
        <w:jc w:val="left"/>
      </w:pPr>
      <w:r>
        <w:rPr/>
        <w:t>股份变动的原因</w:t>
      </w:r>
    </w:p>
    <w:p>
      <w:pPr>
        <w:pStyle w:val="BodyText"/>
        <w:spacing w:line="290" w:lineRule="auto" w:before="76"/>
        <w:ind w:right="1123"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月，公司非公开发行股票数量</w:t>
      </w:r>
      <w:r>
        <w:rPr>
          <w:rFonts w:ascii="Times New Roman" w:hAnsi="Times New Roman" w:cs="Times New Roman" w:eastAsia="Times New Roman" w:hint="default"/>
          <w:spacing w:val="-2"/>
        </w:rPr>
        <w:t>20,738,461</w:t>
      </w:r>
      <w:r>
        <w:rPr>
          <w:spacing w:val="-2"/>
        </w:rPr>
        <w:t>股，总股本由</w:t>
      </w:r>
      <w:r>
        <w:rPr>
          <w:rFonts w:ascii="Times New Roman" w:hAnsi="Times New Roman" w:cs="Times New Roman" w:eastAsia="Times New Roman" w:hint="default"/>
          <w:spacing w:val="-2"/>
        </w:rPr>
        <w:t>85,600,000</w:t>
      </w:r>
      <w:r>
        <w:rPr>
          <w:spacing w:val="-2"/>
        </w:rPr>
        <w:t>股增至</w:t>
      </w:r>
      <w:r>
        <w:rPr>
          <w:rFonts w:ascii="Times New Roman" w:hAnsi="Times New Roman" w:cs="Times New Roman" w:eastAsia="Times New Roman" w:hint="default"/>
          <w:spacing w:val="-2"/>
        </w:rPr>
        <w:t>106,338,461</w:t>
      </w:r>
      <w:r>
        <w:rPr>
          <w:spacing w:val="-2"/>
        </w:rPr>
        <w:t>股；</w:t>
      </w:r>
      <w:r>
        <w:rPr>
          <w:spacing w:val="-3"/>
          <w:w w:val="100"/>
        </w:rPr>
        <w:t> </w:t>
      </w:r>
      <w:r>
        <w:rPr/>
        <w:t>股份变动的批准情况</w:t>
      </w:r>
    </w:p>
    <w:p>
      <w:pPr>
        <w:pStyle w:val="BodyText"/>
        <w:spacing w:line="307" w:lineRule="auto" w:before="34"/>
        <w:ind w:left="573" w:right="1123" w:hanging="421"/>
        <w:jc w:val="left"/>
      </w:pPr>
      <w:r>
        <w:rPr/>
        <w:t>√ 适用 □ 不适用</w:t>
      </w:r>
      <w:r>
        <w:rPr>
          <w:spacing w:val="-104"/>
        </w:rPr>
        <w:t> </w:t>
      </w:r>
      <w:r>
        <w:rPr>
          <w:spacing w:val="-104"/>
        </w:rPr>
      </w:r>
      <w:r>
        <w:rPr>
          <w:spacing w:val="-2"/>
        </w:rPr>
        <w:t>公司非公开发行申请于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日获得中国证监会发行审核委员会审核通过。</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日，中</w:t>
      </w:r>
    </w:p>
    <w:p>
      <w:pPr>
        <w:pStyle w:val="BodyText"/>
        <w:spacing w:line="231" w:lineRule="exact"/>
        <w:ind w:right="1123"/>
        <w:jc w:val="left"/>
      </w:pPr>
      <w:r>
        <w:rPr/>
        <w:t>国证券监督管理委员会核发《关于核准山东丽鹏股份有限公司非公开发行股票的批复》（证监许可</w:t>
      </w:r>
    </w:p>
    <w:p>
      <w:pPr>
        <w:pStyle w:val="BodyText"/>
        <w:spacing w:line="273" w:lineRule="auto" w:before="37"/>
        <w:ind w:right="1123"/>
        <w:jc w:val="left"/>
      </w:pPr>
      <w:r>
        <w:rPr>
          <w:rFonts w:ascii="Times New Roman" w:hAnsi="Times New Roman" w:cs="Times New Roman" w:eastAsia="Times New Roman" w:hint="default"/>
          <w:spacing w:val="-3"/>
        </w:rPr>
        <w:t>[2012]1328</w:t>
      </w:r>
      <w:r>
        <w:rPr>
          <w:spacing w:val="-3"/>
        </w:rPr>
        <w:t>号），核准公司非公开发行不超过</w:t>
      </w:r>
      <w:r>
        <w:rPr>
          <w:rFonts w:ascii="Times New Roman" w:hAnsi="Times New Roman" w:cs="Times New Roman" w:eastAsia="Times New Roman" w:hint="default"/>
          <w:spacing w:val="-3"/>
        </w:rPr>
        <w:t>26,245,211</w:t>
      </w:r>
      <w:r>
        <w:rPr>
          <w:spacing w:val="-3"/>
        </w:rPr>
        <w:t>股新股。</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10</w:t>
      </w:r>
      <w:r>
        <w:rPr>
          <w:spacing w:val="-3"/>
        </w:rPr>
        <w:t>月，公司实施了非公开发行股票</w:t>
      </w:r>
      <w:r>
        <w:rPr>
          <w:spacing w:val="7"/>
        </w:rPr>
        <w:t> </w:t>
      </w:r>
      <w:r>
        <w:rPr>
          <w:spacing w:val="7"/>
        </w:rPr>
      </w:r>
      <w:r>
        <w:rPr/>
        <w:t>方案，发行价格</w:t>
      </w:r>
      <w:r>
        <w:rPr>
          <w:rFonts w:ascii="Times New Roman" w:hAnsi="Times New Roman" w:cs="Times New Roman" w:eastAsia="Times New Roman" w:hint="default"/>
        </w:rPr>
        <w:t>13.00</w:t>
      </w:r>
      <w:r>
        <w:rPr/>
        <w:t>元</w:t>
      </w:r>
      <w:r>
        <w:rPr>
          <w:rFonts w:ascii="Times New Roman" w:hAnsi="Times New Roman" w:cs="Times New Roman" w:eastAsia="Times New Roman" w:hint="default"/>
        </w:rPr>
        <w:t>/</w:t>
      </w:r>
      <w:r>
        <w:rPr/>
        <w:t>股，发行数量</w:t>
      </w:r>
      <w:r>
        <w:rPr>
          <w:rFonts w:ascii="Times New Roman" w:hAnsi="Times New Roman" w:cs="Times New Roman" w:eastAsia="Times New Roman" w:hint="default"/>
        </w:rPr>
        <w:t>20,738,461</w:t>
      </w:r>
      <w:r>
        <w:rPr/>
        <w:t>股，总股本由</w:t>
      </w:r>
      <w:r>
        <w:rPr>
          <w:rFonts w:ascii="Times New Roman" w:hAnsi="Times New Roman" w:cs="Times New Roman" w:eastAsia="Times New Roman" w:hint="default"/>
        </w:rPr>
        <w:t>85,600,000</w:t>
      </w:r>
      <w:r>
        <w:rPr/>
        <w:t>股增至</w:t>
      </w:r>
      <w:r>
        <w:rPr>
          <w:rFonts w:ascii="Times New Roman" w:hAnsi="Times New Roman" w:cs="Times New Roman" w:eastAsia="Times New Roman" w:hint="default"/>
        </w:rPr>
        <w:t>106,338,461</w:t>
      </w:r>
      <w:r>
        <w:rPr/>
        <w:t>股。</w:t>
      </w:r>
      <w:r>
        <w:rPr>
          <w:w w:val="100"/>
        </w:rPr>
        <w:t> </w:t>
      </w:r>
      <w:r>
        <w:rPr/>
        <w:t>股份变动的过户情况</w:t>
      </w:r>
    </w:p>
    <w:p>
      <w:pPr>
        <w:pStyle w:val="BodyText"/>
        <w:spacing w:line="273" w:lineRule="auto" w:before="48"/>
        <w:ind w:right="1123" w:firstLine="420"/>
        <w:jc w:val="left"/>
      </w:pPr>
      <w:r>
        <w:rPr/>
        <w:t>本次发行新增股份已于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日在中国证券登记结算有限责任公司深圳分公司办理完毕登记托</w:t>
      </w:r>
      <w:r>
        <w:rPr>
          <w:w w:val="100"/>
        </w:rPr>
        <w:t> </w:t>
      </w:r>
      <w:r>
        <w:rPr/>
        <w:t>管相关事宜，并于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日在深圳证券交易所上市。</w:t>
      </w:r>
      <w:r>
        <w:rPr>
          <w:w w:val="100"/>
        </w:rPr>
        <w:t> </w:t>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290" w:lineRule="auto" w:before="48"/>
        <w:ind w:left="573" w:right="1123"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本年</w:t>
      </w:r>
      <w:r>
        <w:rPr>
          <w:rFonts w:ascii="Times New Roman" w:hAnsi="Times New Roman" w:cs="Times New Roman" w:eastAsia="Times New Roman" w:hint="default"/>
          <w:spacing w:val="-2"/>
        </w:rPr>
        <w:t>10</w:t>
      </w:r>
      <w:r>
        <w:rPr>
          <w:spacing w:val="-2"/>
        </w:rPr>
        <w:t>月份经批准向特定对象非公开发行股票</w:t>
      </w:r>
      <w:r>
        <w:rPr>
          <w:rFonts w:ascii="Times New Roman" w:hAnsi="Times New Roman" w:cs="Times New Roman" w:eastAsia="Times New Roman" w:hint="default"/>
          <w:spacing w:val="-2"/>
        </w:rPr>
        <w:t>20,738,461</w:t>
      </w:r>
      <w:r>
        <w:rPr>
          <w:spacing w:val="-2"/>
        </w:rPr>
        <w:t>股，假设按股份变动前</w:t>
      </w:r>
      <w:r>
        <w:rPr>
          <w:rFonts w:ascii="Times New Roman" w:hAnsi="Times New Roman" w:cs="Times New Roman" w:eastAsia="Times New Roman" w:hint="default"/>
          <w:spacing w:val="-2"/>
        </w:rPr>
        <w:t>85,600,000</w:t>
      </w:r>
      <w:r>
        <w:rPr>
          <w:spacing w:val="-2"/>
        </w:rPr>
        <w:t>股计算，每</w:t>
      </w:r>
    </w:p>
    <w:p>
      <w:pPr>
        <w:pStyle w:val="BodyText"/>
        <w:spacing w:line="263" w:lineRule="exact"/>
        <w:ind w:right="1123"/>
        <w:jc w:val="left"/>
      </w:pPr>
      <w:r>
        <w:rPr/>
        <w:t>股收益为</w:t>
      </w:r>
      <w:r>
        <w:rPr>
          <w:rFonts w:ascii="Times New Roman" w:hAnsi="Times New Roman" w:cs="Times New Roman" w:eastAsia="Times New Roman" w:hint="default"/>
        </w:rPr>
        <w:t>0.48</w:t>
      </w:r>
      <w:r>
        <w:rPr/>
        <w:t>元，稀释每股收益为</w:t>
      </w:r>
      <w:r>
        <w:rPr>
          <w:rFonts w:ascii="Times New Roman" w:hAnsi="Times New Roman" w:cs="Times New Roman" w:eastAsia="Times New Roman" w:hint="default"/>
        </w:rPr>
        <w:t>0.48</w:t>
      </w:r>
      <w:r>
        <w:rPr/>
        <w:t>元，归属于每股股东的净资产为</w:t>
      </w:r>
      <w:r>
        <w:rPr>
          <w:rFonts w:ascii="Times New Roman" w:hAnsi="Times New Roman" w:cs="Times New Roman" w:eastAsia="Times New Roman" w:hint="default"/>
        </w:rPr>
        <w:t>6.42</w:t>
      </w:r>
      <w:r>
        <w:rPr/>
        <w:t>元。</w:t>
      </w:r>
    </w:p>
    <w:p>
      <w:pPr>
        <w:pStyle w:val="BodyText"/>
        <w:spacing w:line="307" w:lineRule="auto" w:before="62"/>
        <w:ind w:left="573" w:right="6135" w:hanging="421"/>
        <w:jc w:val="left"/>
      </w:pPr>
      <w:r>
        <w:rPr>
          <w:spacing w:val="-2"/>
        </w:rPr>
        <w:t>公司认为必要或证券监管机构要求披露的其他内容</w:t>
      </w:r>
      <w:r>
        <w:rPr>
          <w:spacing w:val="-62"/>
        </w:rPr>
        <w:t> </w:t>
      </w:r>
      <w:r>
        <w:rPr>
          <w:spacing w:val="-62"/>
        </w:rPr>
      </w:r>
      <w:r>
        <w:rPr/>
        <w:t>无。</w:t>
      </w:r>
    </w:p>
    <w:p>
      <w:pPr>
        <w:spacing w:after="0" w:line="307" w:lineRule="auto"/>
        <w:jc w:val="left"/>
        <w:sectPr>
          <w:pgSz w:w="11910" w:h="16840"/>
          <w:pgMar w:header="877" w:footer="1273" w:top="1060" w:bottom="1460" w:left="980" w:right="0"/>
        </w:sectPr>
      </w:pPr>
    </w:p>
    <w:p>
      <w:pPr>
        <w:spacing w:line="240" w:lineRule="auto" w:before="8"/>
        <w:rPr>
          <w:rFonts w:ascii="宋体" w:hAnsi="宋体" w:cs="宋体" w:eastAsia="宋体" w:hint="default"/>
          <w:sz w:val="23"/>
          <w:szCs w:val="23"/>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047"/>
        <w:gridCol w:w="1688"/>
        <w:gridCol w:w="1367"/>
        <w:gridCol w:w="1085"/>
        <w:gridCol w:w="1649"/>
        <w:gridCol w:w="1592"/>
        <w:gridCol w:w="1145"/>
      </w:tblGrid>
      <w:tr>
        <w:trPr>
          <w:trHeight w:val="715"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股票及其衍 生证券名称</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8"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6"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20" w:hRule="exact"/>
        </w:trPr>
        <w:tc>
          <w:tcPr>
            <w:tcW w:w="10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4" w:right="111"/>
              <w:jc w:val="left"/>
              <w:rPr>
                <w:rFonts w:ascii="宋体" w:hAnsi="宋体" w:cs="宋体" w:eastAsia="宋体"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13,500,000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人民币普通 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20,738,461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20,738,461</w:t>
            </w:r>
          </w:p>
        </w:tc>
        <w:tc>
          <w:tcPr>
            <w:tcW w:w="11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9"/>
        <w:ind w:right="1123"/>
        <w:jc w:val="left"/>
      </w:pPr>
      <w:r>
        <w:rPr/>
        <w:t>前三年历次证券发行情况的说明</w:t>
      </w:r>
    </w:p>
    <w:p>
      <w:pPr>
        <w:pStyle w:val="BodyText"/>
        <w:spacing w:line="240" w:lineRule="auto" w:before="78"/>
        <w:ind w:left="573" w:right="1123"/>
        <w:jc w:val="left"/>
      </w:pPr>
      <w:r>
        <w:rPr/>
        <w:t>（</w:t>
      </w:r>
      <w:r>
        <w:rPr>
          <w:rFonts w:ascii="Times New Roman" w:hAnsi="Times New Roman" w:cs="Times New Roman" w:eastAsia="Times New Roman" w:hint="default"/>
        </w:rPr>
        <w:t>1</w:t>
      </w:r>
      <w:r>
        <w:rPr/>
        <w:t>）首次公开发行股票情况</w:t>
      </w:r>
    </w:p>
    <w:p>
      <w:pPr>
        <w:pStyle w:val="BodyText"/>
        <w:spacing w:line="256" w:lineRule="auto" w:before="21"/>
        <w:ind w:right="1123" w:firstLine="420"/>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日，中国证券监督管理委员会以《关于核准山东丽鹏股份有限公司首次公开发行股票的</w:t>
      </w:r>
      <w:r>
        <w:rPr>
          <w:w w:val="100"/>
        </w:rPr>
        <w:t> </w:t>
      </w:r>
      <w:r>
        <w:rPr/>
        <w:t>批复》（证监许可</w:t>
      </w:r>
      <w:r>
        <w:rPr>
          <w:rFonts w:ascii="Times New Roman" w:hAnsi="Times New Roman" w:cs="Times New Roman" w:eastAsia="Times New Roman" w:hint="default"/>
        </w:rPr>
        <w:t>[2010]238</w:t>
      </w:r>
      <w:r>
        <w:rPr/>
        <w:t>号），核准公司公开公司民币普通股股票不超过</w:t>
      </w:r>
      <w:r>
        <w:rPr>
          <w:rFonts w:ascii="Times New Roman" w:hAnsi="Times New Roman" w:cs="Times New Roman" w:eastAsia="Times New Roman" w:hint="default"/>
        </w:rPr>
        <w:t>1,350</w:t>
      </w:r>
      <w:r>
        <w:rPr/>
        <w:t>万股。</w:t>
      </w:r>
    </w:p>
    <w:p>
      <w:pPr>
        <w:pStyle w:val="BodyText"/>
        <w:spacing w:line="261" w:lineRule="auto" w:before="5"/>
        <w:ind w:right="0" w:firstLine="420"/>
        <w:jc w:val="left"/>
      </w:pPr>
      <w:r>
        <w:rPr>
          <w:spacing w:val="-8"/>
          <w:w w:val="100"/>
        </w:rPr>
        <w:t>公司采取网下向配售对象询价（以下简称</w:t>
      </w:r>
      <w:r>
        <w:rPr>
          <w:rFonts w:ascii="Times New Roman" w:hAnsi="Times New Roman" w:cs="Times New Roman" w:eastAsia="Times New Roman" w:hint="default"/>
          <w:spacing w:val="-8"/>
          <w:w w:val="100"/>
        </w:rPr>
        <w:t>“</w:t>
      </w:r>
      <w:r>
        <w:rPr>
          <w:spacing w:val="-8"/>
          <w:w w:val="100"/>
        </w:rPr>
        <w:t>网下配售</w:t>
      </w:r>
      <w:r>
        <w:rPr>
          <w:rFonts w:ascii="Times New Roman" w:hAnsi="Times New Roman" w:cs="Times New Roman" w:eastAsia="Times New Roman" w:hint="default"/>
          <w:spacing w:val="-8"/>
          <w:w w:val="100"/>
        </w:rPr>
        <w:t>”</w:t>
      </w:r>
      <w:r>
        <w:rPr>
          <w:spacing w:val="-8"/>
          <w:w w:val="100"/>
        </w:rPr>
        <w:t>）和网上向社会公众投资者定价发行（以下简称</w:t>
      </w:r>
      <w:r>
        <w:rPr>
          <w:rFonts w:ascii="Times New Roman" w:hAnsi="Times New Roman" w:cs="Times New Roman" w:eastAsia="Times New Roman" w:hint="default"/>
          <w:spacing w:val="-8"/>
          <w:w w:val="100"/>
        </w:rPr>
        <w:t>“</w:t>
      </w:r>
      <w:r>
        <w:rPr>
          <w:spacing w:val="-8"/>
          <w:w w:val="100"/>
        </w:rPr>
        <w:t>网</w:t>
      </w:r>
      <w:r>
        <w:rPr>
          <w:w w:val="100"/>
        </w:rPr>
        <w:t> </w:t>
      </w:r>
      <w:r>
        <w:rPr>
          <w:spacing w:val="-3"/>
        </w:rPr>
        <w:t>上发行）相结合的方式，公开发行</w:t>
      </w:r>
      <w:r>
        <w:rPr>
          <w:rFonts w:ascii="Times New Roman" w:hAnsi="Times New Roman" w:cs="Times New Roman" w:eastAsia="Times New Roman" w:hint="default"/>
          <w:spacing w:val="-3"/>
        </w:rPr>
        <w:t>1,350</w:t>
      </w:r>
      <w:r>
        <w:rPr>
          <w:spacing w:val="-3"/>
        </w:rPr>
        <w:t>万股，发行价格为</w:t>
      </w:r>
      <w:r>
        <w:rPr>
          <w:rFonts w:ascii="Times New Roman" w:hAnsi="Times New Roman" w:cs="Times New Roman" w:eastAsia="Times New Roman" w:hint="default"/>
          <w:spacing w:val="-3"/>
        </w:rPr>
        <w:t>23.80</w:t>
      </w:r>
      <w:r>
        <w:rPr>
          <w:spacing w:val="-3"/>
        </w:rPr>
        <w:t>元</w:t>
      </w:r>
      <w:r>
        <w:rPr>
          <w:rFonts w:ascii="Times New Roman" w:hAnsi="Times New Roman" w:cs="Times New Roman" w:eastAsia="Times New Roman" w:hint="default"/>
          <w:spacing w:val="-3"/>
        </w:rPr>
        <w:t>/</w:t>
      </w:r>
      <w:r>
        <w:rPr>
          <w:spacing w:val="-3"/>
        </w:rPr>
        <w:t>股。本次发行股票于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8</w:t>
      </w:r>
      <w:r>
        <w:rPr>
          <w:spacing w:val="-3"/>
        </w:rPr>
        <w:t>日完成。</w:t>
      </w:r>
      <w:r>
        <w:rPr>
          <w:spacing w:val="-29"/>
        </w:rPr>
        <w:t> </w:t>
      </w:r>
      <w:r>
        <w:rPr>
          <w:spacing w:val="-29"/>
        </w:rPr>
      </w:r>
      <w:r>
        <w:rPr>
          <w:spacing w:val="-2"/>
        </w:rPr>
        <w:t>公司首次公开发行股票完成后，经深圳证券交易所《关于山东丽鹏股份有限公司人民币普通股股票上市的</w:t>
      </w:r>
      <w:r>
        <w:rPr>
          <w:spacing w:val="-42"/>
        </w:rPr>
        <w:t> </w:t>
      </w:r>
      <w:r>
        <w:rPr>
          <w:spacing w:val="-42"/>
        </w:rPr>
      </w:r>
      <w:r>
        <w:rPr/>
        <w:t>通知》（深证上</w:t>
      </w:r>
      <w:r>
        <w:rPr>
          <w:rFonts w:ascii="Times New Roman" w:hAnsi="Times New Roman" w:cs="Times New Roman" w:eastAsia="Times New Roman" w:hint="default"/>
        </w:rPr>
        <w:t>[2010]88</w:t>
      </w:r>
      <w:r>
        <w:rPr/>
        <w:t>号）同意，公司股票于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日在深圳证券交易所中小企业板挂牌交易。</w:t>
      </w:r>
    </w:p>
    <w:p>
      <w:pPr>
        <w:pStyle w:val="BodyText"/>
        <w:spacing w:line="256" w:lineRule="auto"/>
        <w:ind w:left="573" w:right="1123"/>
        <w:jc w:val="left"/>
      </w:pPr>
      <w:r>
        <w:rPr/>
        <w:t>（</w:t>
      </w:r>
      <w:r>
        <w:rPr>
          <w:rFonts w:ascii="Times New Roman" w:hAnsi="Times New Roman" w:cs="Times New Roman" w:eastAsia="Times New Roman" w:hint="default"/>
        </w:rPr>
        <w:t>2</w:t>
      </w:r>
      <w:r>
        <w:rPr/>
        <w:t>）非公开发行股票情况</w:t>
      </w:r>
      <w:r>
        <w:rPr>
          <w:w w:val="100"/>
        </w:rPr>
        <w:t> </w:t>
      </w:r>
      <w:r>
        <w:rPr>
          <w:spacing w:val="-2"/>
        </w:rPr>
        <w:t>公司非公开发行申请于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日获得中国证监会发行审核委员会审核通过。</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日，中</w:t>
      </w:r>
    </w:p>
    <w:p>
      <w:pPr>
        <w:pStyle w:val="BodyText"/>
        <w:spacing w:line="240" w:lineRule="auto" w:before="5"/>
        <w:ind w:right="1123"/>
        <w:jc w:val="left"/>
      </w:pPr>
      <w:r>
        <w:rPr/>
        <w:t>国证券监督管理委员会核发《关于核准山东丽鹏股份有限公司非公开发行股票的批复》（证监许可</w:t>
      </w:r>
    </w:p>
    <w:p>
      <w:pPr>
        <w:pStyle w:val="BodyText"/>
        <w:spacing w:line="256" w:lineRule="auto" w:before="37"/>
        <w:ind w:left="573" w:right="1123" w:hanging="421"/>
        <w:jc w:val="left"/>
        <w:rPr>
          <w:rFonts w:ascii="Times New Roman" w:hAnsi="Times New Roman" w:cs="Times New Roman" w:eastAsia="Times New Roman" w:hint="default"/>
        </w:rPr>
      </w:pPr>
      <w:r>
        <w:rPr>
          <w:rFonts w:ascii="Times New Roman" w:hAnsi="Times New Roman" w:cs="Times New Roman" w:eastAsia="Times New Roman" w:hint="default"/>
        </w:rPr>
        <w:t>[2012]1328</w:t>
      </w:r>
      <w:r>
        <w:rPr/>
        <w:t>号），核准公司非公开发行不超过</w:t>
      </w:r>
      <w:r>
        <w:rPr>
          <w:rFonts w:ascii="Times New Roman" w:hAnsi="Times New Roman" w:cs="Times New Roman" w:eastAsia="Times New Roman" w:hint="default"/>
        </w:rPr>
        <w:t>26,245,211</w:t>
      </w:r>
      <w:r>
        <w:rPr/>
        <w:t>股新股。</w:t>
      </w:r>
      <w:r>
        <w:rPr>
          <w:w w:val="100"/>
        </w:rPr>
        <w:t> </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10</w:t>
      </w:r>
      <w:r>
        <w:rPr>
          <w:spacing w:val="-4"/>
        </w:rPr>
        <w:t>月，公司实施了非公开发行股票方案，以发行价格</w:t>
      </w:r>
      <w:r>
        <w:rPr>
          <w:rFonts w:ascii="Times New Roman" w:hAnsi="Times New Roman" w:cs="Times New Roman" w:eastAsia="Times New Roman" w:hint="default"/>
          <w:spacing w:val="-4"/>
        </w:rPr>
        <w:t>13.00</w:t>
      </w:r>
      <w:r>
        <w:rPr>
          <w:spacing w:val="-4"/>
        </w:rPr>
        <w:t>元</w:t>
      </w:r>
      <w:r>
        <w:rPr>
          <w:rFonts w:ascii="Times New Roman" w:hAnsi="Times New Roman" w:cs="Times New Roman" w:eastAsia="Times New Roman" w:hint="default"/>
          <w:spacing w:val="-4"/>
        </w:rPr>
        <w:t>/</w:t>
      </w:r>
      <w:r>
        <w:rPr>
          <w:spacing w:val="-4"/>
        </w:rPr>
        <w:t>股向</w:t>
      </w:r>
      <w:r>
        <w:rPr>
          <w:rFonts w:ascii="Times New Roman" w:hAnsi="Times New Roman" w:cs="Times New Roman" w:eastAsia="Times New Roman" w:hint="default"/>
          <w:spacing w:val="-4"/>
        </w:rPr>
        <w:t>7</w:t>
      </w:r>
      <w:r>
        <w:rPr>
          <w:spacing w:val="-4"/>
        </w:rPr>
        <w:t>名特定投资者发行</w:t>
      </w:r>
      <w:r>
        <w:rPr>
          <w:rFonts w:ascii="Times New Roman" w:hAnsi="Times New Roman" w:cs="Times New Roman" w:eastAsia="Times New Roman" w:hint="default"/>
          <w:spacing w:val="-4"/>
        </w:rPr>
        <w:t>20,738,461</w:t>
      </w:r>
    </w:p>
    <w:p>
      <w:pPr>
        <w:pStyle w:val="BodyText"/>
        <w:spacing w:line="256" w:lineRule="auto" w:before="5"/>
        <w:ind w:right="1123"/>
        <w:jc w:val="left"/>
        <w:rPr>
          <w:sz w:val="18"/>
          <w:szCs w:val="18"/>
        </w:rPr>
      </w:pPr>
      <w:r>
        <w:rPr>
          <w:spacing w:val="-2"/>
        </w:rPr>
        <w:t>股新股。本次发行新增股份已于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日在中国证券登记结算有限责任公司深圳分公司办理完毕登</w:t>
      </w:r>
      <w:r>
        <w:rPr>
          <w:spacing w:val="-15"/>
        </w:rPr>
        <w:t> </w:t>
      </w:r>
      <w:r>
        <w:rPr>
          <w:spacing w:val="-15"/>
        </w:rPr>
      </w:r>
      <w:r>
        <w:rPr/>
        <w:t>记托管相关事宜，并于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日在深圳证券交易所上市</w:t>
      </w:r>
      <w:r>
        <w:rPr>
          <w:sz w:val="18"/>
          <w:szCs w:val="18"/>
        </w:rPr>
        <w:t>。</w:t>
      </w:r>
    </w:p>
    <w:p>
      <w:pPr>
        <w:spacing w:line="240" w:lineRule="auto" w:before="4"/>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5085"/>
        <w:jc w:val="left"/>
      </w:pPr>
      <w:r>
        <w:rPr/>
        <w:t>（</w:t>
      </w:r>
      <w:r>
        <w:rPr>
          <w:rFonts w:ascii="Times New Roman" w:hAnsi="Times New Roman" w:cs="Times New Roman" w:eastAsia="Times New Roman" w:hint="default"/>
        </w:rPr>
        <w:t>1</w:t>
      </w:r>
      <w:r>
        <w:rPr/>
        <w:t>）股本结构变动情况</w:t>
      </w:r>
      <w:r>
        <w:rPr>
          <w:w w:val="100"/>
        </w:rPr>
        <w:t> </w:t>
      </w:r>
      <w:r>
        <w:rPr>
          <w:spacing w:val="-2"/>
        </w:rPr>
        <w:t>本次非公开发行前后公司股本结构变动情况如下：</w:t>
      </w:r>
    </w:p>
    <w:p>
      <w:pPr>
        <w:spacing w:line="240" w:lineRule="auto" w:before="9"/>
        <w:rPr>
          <w:rFonts w:ascii="宋体" w:hAnsi="宋体" w:cs="宋体" w:eastAsia="宋体" w:hint="default"/>
          <w:sz w:val="2"/>
          <w:szCs w:val="2"/>
        </w:rPr>
      </w:pPr>
    </w:p>
    <w:tbl>
      <w:tblPr>
        <w:tblW w:w="0" w:type="auto"/>
        <w:jc w:val="left"/>
        <w:tblInd w:w="549" w:type="dxa"/>
        <w:tblLayout w:type="fixed"/>
        <w:tblCellMar>
          <w:top w:w="0" w:type="dxa"/>
          <w:left w:w="0" w:type="dxa"/>
          <w:bottom w:w="0" w:type="dxa"/>
          <w:right w:w="0" w:type="dxa"/>
        </w:tblCellMar>
        <w:tblLook w:val="01E0"/>
      </w:tblPr>
      <w:tblGrid>
        <w:gridCol w:w="2554"/>
        <w:gridCol w:w="1411"/>
        <w:gridCol w:w="956"/>
        <w:gridCol w:w="1411"/>
        <w:gridCol w:w="1544"/>
        <w:gridCol w:w="958"/>
      </w:tblGrid>
      <w:tr>
        <w:trPr>
          <w:trHeight w:val="348" w:hRule="exact"/>
        </w:trPr>
        <w:tc>
          <w:tcPr>
            <w:tcW w:w="2554" w:type="dxa"/>
            <w:vMerge w:val="restart"/>
            <w:tcBorders>
              <w:top w:val="single" w:sz="6" w:space="0" w:color="000000"/>
              <w:left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股份类别</w:t>
            </w:r>
          </w:p>
        </w:tc>
        <w:tc>
          <w:tcPr>
            <w:tcW w:w="2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变动前</w:t>
            </w:r>
          </w:p>
        </w:tc>
        <w:tc>
          <w:tcPr>
            <w:tcW w:w="1411" w:type="dxa"/>
            <w:vMerge w:val="restart"/>
            <w:tcBorders>
              <w:top w:val="single" w:sz="6" w:space="0" w:color="000000"/>
              <w:left w:val="single" w:sz="6" w:space="0" w:color="000000"/>
              <w:right w:val="single" w:sz="6" w:space="0" w:color="000000"/>
            </w:tcBorders>
          </w:tcPr>
          <w:p>
            <w:pPr>
              <w:pStyle w:val="TableParagraph"/>
              <w:spacing w:line="274" w:lineRule="exact"/>
              <w:ind w:left="381" w:right="0"/>
              <w:jc w:val="left"/>
              <w:rPr>
                <w:rFonts w:ascii="宋体" w:hAnsi="宋体" w:cs="宋体" w:eastAsia="宋体" w:hint="default"/>
                <w:sz w:val="21"/>
                <w:szCs w:val="21"/>
              </w:rPr>
            </w:pPr>
            <w:r>
              <w:rPr>
                <w:rFonts w:ascii="宋体" w:hAnsi="宋体" w:cs="宋体" w:eastAsia="宋体" w:hint="default"/>
                <w:sz w:val="21"/>
                <w:szCs w:val="21"/>
              </w:rPr>
              <w:t>变动数</w:t>
            </w: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变动后</w:t>
            </w:r>
          </w:p>
        </w:tc>
      </w:tr>
      <w:tr>
        <w:trPr>
          <w:trHeight w:val="346" w:hRule="exact"/>
        </w:trPr>
        <w:tc>
          <w:tcPr>
            <w:tcW w:w="2554" w:type="dxa"/>
            <w:vMerge/>
            <w:tcBorders>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股份数</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11" w:type="dxa"/>
            <w:vMerge/>
            <w:tcBorders>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股份数</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有限售条件的流通股合计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46,800,000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54.67%</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20,738,461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67,538,461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63.51%</w:t>
            </w:r>
          </w:p>
        </w:tc>
      </w:tr>
      <w:tr>
        <w:trPr>
          <w:trHeight w:val="346"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无限售条件的流通股合计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38,800,000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45.33%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38,800,000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36.49%</w:t>
            </w:r>
          </w:p>
        </w:tc>
      </w:tr>
      <w:tr>
        <w:trPr>
          <w:trHeight w:val="348"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股份合计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85,600,000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20,738,461</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106,338,461</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56" w:lineRule="auto"/>
        <w:ind w:left="573" w:right="1123"/>
        <w:jc w:val="left"/>
      </w:pPr>
      <w:r>
        <w:rPr/>
        <w:t>（</w:t>
      </w:r>
      <w:r>
        <w:rPr>
          <w:rFonts w:ascii="Times New Roman" w:hAnsi="Times New Roman" w:cs="Times New Roman" w:eastAsia="Times New Roman" w:hint="default"/>
        </w:rPr>
        <w:t>2</w:t>
      </w:r>
      <w:r>
        <w:rPr/>
        <w:t>）资产结构变动情况</w:t>
      </w:r>
      <w:r>
        <w:rPr>
          <w:w w:val="100"/>
        </w:rPr>
        <w:t> </w:t>
      </w:r>
      <w:r>
        <w:rPr>
          <w:spacing w:val="-2"/>
        </w:rPr>
        <w:t>本次发行完成后，公司的总资产和归属于母公司所有者权益均有所增加。本次发行募集资金净额</w:t>
      </w:r>
    </w:p>
    <w:p>
      <w:pPr>
        <w:pStyle w:val="BodyText"/>
        <w:spacing w:line="256" w:lineRule="auto" w:before="22"/>
        <w:ind w:right="1123"/>
        <w:jc w:val="left"/>
      </w:pPr>
      <w:r>
        <w:rPr>
          <w:rFonts w:ascii="Times New Roman" w:hAnsi="Times New Roman" w:cs="Times New Roman" w:eastAsia="Times New Roman" w:hint="default"/>
          <w:spacing w:val="-3"/>
        </w:rPr>
        <w:t>257,599,993.00</w:t>
      </w:r>
      <w:r>
        <w:rPr>
          <w:spacing w:val="-3"/>
        </w:rPr>
        <w:t>元，截止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日的财务报表数据如下：公司的总资产增加到</w:t>
      </w:r>
      <w:r>
        <w:rPr>
          <w:rFonts w:ascii="Times New Roman" w:hAnsi="Times New Roman" w:cs="Times New Roman" w:eastAsia="Times New Roman" w:hint="default"/>
          <w:spacing w:val="-3"/>
        </w:rPr>
        <w:t>1,193,508,794.06</w:t>
      </w:r>
      <w:r>
        <w:rPr>
          <w:spacing w:val="-3"/>
        </w:rPr>
        <w:t>元，增</w:t>
      </w:r>
      <w:r>
        <w:rPr>
          <w:spacing w:val="6"/>
        </w:rPr>
        <w:t> </w:t>
      </w:r>
      <w:r>
        <w:rPr>
          <w:spacing w:val="6"/>
        </w:rPr>
      </w:r>
      <w:r>
        <w:rPr/>
        <w:t>加比率为</w:t>
      </w:r>
      <w:r>
        <w:rPr>
          <w:rFonts w:ascii="Times New Roman" w:hAnsi="Times New Roman" w:cs="Times New Roman" w:eastAsia="Times New Roman" w:hint="default"/>
        </w:rPr>
        <w:t>44.45%</w:t>
      </w:r>
      <w:r>
        <w:rPr/>
        <w:t>，归属于母公司所有者权益增加到</w:t>
      </w:r>
      <w:r>
        <w:rPr>
          <w:rFonts w:ascii="Times New Roman" w:hAnsi="Times New Roman" w:cs="Times New Roman" w:eastAsia="Times New Roman" w:hint="default"/>
        </w:rPr>
        <w:t>802,783,945.38</w:t>
      </w:r>
      <w:r>
        <w:rPr/>
        <w:t>元，增加比率为</w:t>
      </w:r>
      <w:r>
        <w:rPr>
          <w:rFonts w:ascii="Times New Roman" w:hAnsi="Times New Roman" w:cs="Times New Roman" w:eastAsia="Times New Roman" w:hint="default"/>
        </w:rPr>
        <w:t>55.20%</w:t>
      </w:r>
      <w:r>
        <w:rPr/>
        <w:t>，合并资产负债</w:t>
      </w:r>
      <w:r>
        <w:rPr>
          <w:w w:val="100"/>
        </w:rPr>
        <w:t> </w:t>
      </w:r>
      <w:r>
        <w:rPr/>
        <w:t>率从</w:t>
      </w:r>
      <w:r>
        <w:rPr>
          <w:rFonts w:ascii="Times New Roman" w:hAnsi="Times New Roman" w:cs="Times New Roman" w:eastAsia="Times New Roman" w:hint="default"/>
        </w:rPr>
        <w:t>34.90%</w:t>
      </w:r>
      <w:r>
        <w:rPr/>
        <w:t>下降到</w:t>
      </w:r>
      <w:r>
        <w:rPr>
          <w:rFonts w:ascii="Times New Roman" w:hAnsi="Times New Roman" w:cs="Times New Roman" w:eastAsia="Times New Roman" w:hint="default"/>
        </w:rPr>
        <w:t>30.65%</w:t>
      </w:r>
      <w:r>
        <w:rPr/>
        <w:t>。</w:t>
      </w:r>
    </w:p>
    <w:p>
      <w:pPr>
        <w:spacing w:after="0" w:line="256" w:lineRule="auto"/>
        <w:jc w:val="left"/>
        <w:sectPr>
          <w:pgSz w:w="11910" w:h="16840"/>
          <w:pgMar w:header="877" w:footer="1273" w:top="1060" w:bottom="1460" w:left="980" w:right="0"/>
        </w:sectPr>
      </w:pPr>
    </w:p>
    <w:p>
      <w:pPr>
        <w:spacing w:line="240" w:lineRule="auto" w:before="8"/>
        <w:rPr>
          <w:rFonts w:ascii="宋体" w:hAnsi="宋体" w:cs="宋体" w:eastAsia="宋体" w:hint="default"/>
          <w:sz w:val="23"/>
          <w:szCs w:val="23"/>
        </w:rPr>
      </w:pPr>
      <w:r>
        <w:rPr/>
        <w:pict>
          <v:shape style="position:absolute;margin-left:178.223007pt;margin-top:545.349976pt;width:355.55pt;height:22.05pt;mso-position-horizontal-relative:page;mso-position-vertical-relative:page;z-index:-672808"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r>
        <w:rPr/>
        <w:pict>
          <v:group style="position:absolute;margin-left:460.320007pt;margin-top:764.919983pt;width:135pt;height:77pt;mso-position-horizontal-relative:page;mso-position-vertical-relative:page;z-index:-67276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w:t>
                    </w:r>
                  </w:p>
                </w:txbxContent>
              </v:textbox>
              <w10:wrap type="none"/>
            </v:shape>
            <w10:wrap type="none"/>
          </v:group>
        </w:pict>
      </w:r>
    </w:p>
    <w:p>
      <w:pPr>
        <w:pStyle w:val="Heading2"/>
        <w:spacing w:line="240" w:lineRule="auto"/>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5"/>
        <w:gridCol w:w="875"/>
        <w:gridCol w:w="509"/>
        <w:gridCol w:w="672"/>
        <w:gridCol w:w="980"/>
        <w:gridCol w:w="1076"/>
        <w:gridCol w:w="904"/>
        <w:gridCol w:w="455"/>
        <w:gridCol w:w="445"/>
        <w:gridCol w:w="929"/>
      </w:tblGrid>
      <w:tr>
        <w:trPr>
          <w:trHeight w:val="406"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4"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34" w:right="0"/>
              <w:jc w:val="left"/>
              <w:rPr>
                <w:rFonts w:ascii="Times New Roman" w:hAnsi="Times New Roman" w:cs="Times New Roman" w:eastAsia="Times New Roman" w:hint="default"/>
                <w:sz w:val="18"/>
                <w:szCs w:val="18"/>
              </w:rPr>
            </w:pPr>
            <w:r>
              <w:rPr>
                <w:rFonts w:ascii="Times New Roman"/>
                <w:sz w:val="18"/>
              </w:rPr>
              <w:t>10,268</w:t>
            </w:r>
          </w:p>
        </w:tc>
        <w:tc>
          <w:tcPr>
            <w:tcW w:w="4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9,257</w:t>
            </w:r>
          </w:p>
        </w:tc>
      </w:tr>
      <w:tr>
        <w:trPr>
          <w:trHeight w:val="39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7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8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5" w:right="43"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6" w:type="dxa"/>
            <w:vMerge/>
            <w:tcBorders>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1829" w:type="dxa"/>
            <w:gridSpan w:val="3"/>
            <w:vMerge/>
            <w:tcBorders>
              <w:left w:val="single" w:sz="4" w:space="0" w:color="000000"/>
              <w:right w:val="single" w:sz="4" w:space="0" w:color="000000"/>
            </w:tcBorders>
            <w:shd w:val="clear" w:color="auto" w:fill="D2D2D2"/>
          </w:tcPr>
          <w:p>
            <w:pPr/>
          </w:p>
        </w:tc>
      </w:tr>
      <w:tr>
        <w:trPr>
          <w:trHeight w:val="140"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5" w:type="dxa"/>
            <w:vMerge/>
            <w:tcBorders>
              <w:left w:val="single" w:sz="4" w:space="0" w:color="000000"/>
              <w:right w:val="single" w:sz="4" w:space="0" w:color="000000"/>
            </w:tcBorders>
            <w:shd w:val="clear" w:color="auto" w:fill="D2D2D2"/>
          </w:tcPr>
          <w:p>
            <w:pPr/>
          </w:p>
        </w:tc>
        <w:tc>
          <w:tcPr>
            <w:tcW w:w="1181"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182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75" w:type="dxa"/>
            <w:vMerge/>
            <w:tcBorders>
              <w:left w:val="single" w:sz="4" w:space="0" w:color="000000"/>
              <w:right w:val="single" w:sz="4" w:space="0" w:color="000000"/>
            </w:tcBorders>
            <w:shd w:val="clear" w:color="auto" w:fill="D2D2D2"/>
          </w:tcPr>
          <w:p>
            <w:pPr/>
          </w:p>
        </w:tc>
        <w:tc>
          <w:tcPr>
            <w:tcW w:w="1181"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8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7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875" w:type="dxa"/>
            <w:vMerge/>
            <w:tcBorders>
              <w:left w:val="single" w:sz="4" w:space="0" w:color="000000"/>
              <w:bottom w:val="nil" w:sz="6" w:space="0" w:color="auto"/>
              <w:right w:val="single" w:sz="4" w:space="0" w:color="000000"/>
            </w:tcBorders>
            <w:shd w:val="clear" w:color="auto" w:fill="D2D2D2"/>
          </w:tcPr>
          <w:p>
            <w:pPr/>
          </w:p>
        </w:tc>
        <w:tc>
          <w:tcPr>
            <w:tcW w:w="1181" w:type="dxa"/>
            <w:gridSpan w:val="2"/>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00" w:type="dxa"/>
            <w:gridSpan w:val="2"/>
            <w:vMerge/>
            <w:tcBorders>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00" w:type="dxa"/>
            <w:gridSpan w:val="2"/>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22.57%</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24,000,000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8" w:space="0" w:color="D2D2D2"/>
              <w:left w:val="single" w:sz="4" w:space="0" w:color="000000"/>
              <w:bottom w:val="single" w:sz="4" w:space="0" w:color="000000"/>
              <w:right w:val="single" w:sz="4" w:space="0" w:color="000000"/>
            </w:tcBorders>
          </w:tcPr>
          <w:p>
            <w:pPr/>
          </w:p>
        </w:tc>
        <w:tc>
          <w:tcPr>
            <w:tcW w:w="929" w:type="dxa"/>
            <w:tcBorders>
              <w:top w:val="single" w:sz="48" w:space="0" w:color="D2D2D2"/>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烟台坤德投资有 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7,200,000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南京瑞森投资管 理合伙企业（有 限合伙）</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5,000,000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5,000,000</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4,800,000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4,800,000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4,800,000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4,800,000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4,542,600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-257,400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3,600,000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942,600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烟台明华投资有 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4,254,297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-1,468,460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4,251,297</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新疆中乾景隆中 和股权投资合伙 </w:t>
            </w:r>
            <w:r>
              <w:rPr>
                <w:rFonts w:ascii="宋体" w:hAnsi="宋体" w:cs="宋体" w:eastAsia="宋体" w:hint="default"/>
                <w:spacing w:val="-7"/>
                <w:sz w:val="18"/>
                <w:szCs w:val="18"/>
              </w:rPr>
              <w:t>企业（有限合伙</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3,202,300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3,202,300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3,000,000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202,300</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875" w:type="dxa"/>
            <w:tcBorders>
              <w:top w:val="single" w:sz="4" w:space="0" w:color="000000"/>
              <w:left w:val="single" w:sz="13" w:space="0" w:color="D2D2D2"/>
              <w:bottom w:val="single" w:sz="4" w:space="0" w:color="000000"/>
              <w:right w:val="nil" w:sz="6" w:space="0" w:color="auto"/>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09" w:type="dxa"/>
            <w:tcBorders>
              <w:top w:val="single" w:sz="4" w:space="0" w:color="000000"/>
              <w:left w:val="nil" w:sz="6" w:space="0" w:color="auto"/>
              <w:bottom w:val="single" w:sz="4" w:space="0" w:color="000000"/>
              <w:right w:val="nil" w:sz="6" w:space="0" w:color="auto"/>
            </w:tcBorders>
            <w:shd w:val="clear" w:color="auto" w:fill="CCE8CF"/>
          </w:tcPr>
          <w:p>
            <w:pPr/>
          </w:p>
        </w:tc>
        <w:tc>
          <w:tcPr>
            <w:tcW w:w="672" w:type="dxa"/>
            <w:tcBorders>
              <w:top w:val="single" w:sz="4" w:space="0" w:color="000000"/>
              <w:left w:val="nil" w:sz="6" w:space="0" w:color="auto"/>
              <w:bottom w:val="single" w:sz="4" w:space="0" w:color="000000"/>
              <w:right w:val="nil" w:sz="6" w:space="0" w:color="auto"/>
            </w:tcBorders>
            <w:shd w:val="clear" w:color="auto" w:fill="CCE8CF"/>
          </w:tcPr>
          <w:p>
            <w:pPr/>
          </w:p>
        </w:tc>
        <w:tc>
          <w:tcPr>
            <w:tcW w:w="980" w:type="dxa"/>
            <w:tcBorders>
              <w:top w:val="single" w:sz="4" w:space="0" w:color="000000"/>
              <w:left w:val="nil" w:sz="6" w:space="0" w:color="auto"/>
              <w:bottom w:val="single" w:sz="4" w:space="0" w:color="000000"/>
              <w:right w:val="nil" w:sz="6" w:space="0" w:color="auto"/>
            </w:tcBorders>
            <w:shd w:val="clear" w:color="auto" w:fill="CCE8CF"/>
          </w:tcPr>
          <w:p>
            <w:pPr/>
          </w:p>
        </w:tc>
        <w:tc>
          <w:tcPr>
            <w:tcW w:w="1076" w:type="dxa"/>
            <w:tcBorders>
              <w:top w:val="single" w:sz="4" w:space="0" w:color="000000"/>
              <w:left w:val="nil" w:sz="6" w:space="0" w:color="auto"/>
              <w:bottom w:val="single" w:sz="4" w:space="0" w:color="000000"/>
              <w:right w:val="nil" w:sz="6" w:space="0" w:color="auto"/>
            </w:tcBorders>
            <w:shd w:val="clear" w:color="auto" w:fill="CCE8CF"/>
          </w:tcPr>
          <w:p>
            <w:pPr/>
          </w:p>
        </w:tc>
        <w:tc>
          <w:tcPr>
            <w:tcW w:w="904" w:type="dxa"/>
            <w:tcBorders>
              <w:top w:val="single" w:sz="4" w:space="0" w:color="000000"/>
              <w:left w:val="nil" w:sz="6" w:space="0" w:color="auto"/>
              <w:bottom w:val="single" w:sz="4" w:space="0" w:color="000000"/>
              <w:right w:val="nil" w:sz="6" w:space="0" w:color="auto"/>
            </w:tcBorders>
            <w:shd w:val="clear" w:color="auto" w:fill="CCE8CF"/>
          </w:tcPr>
          <w:p>
            <w:pPr/>
          </w:p>
        </w:tc>
        <w:tc>
          <w:tcPr>
            <w:tcW w:w="455" w:type="dxa"/>
            <w:tcBorders>
              <w:top w:val="single" w:sz="4" w:space="0" w:color="000000"/>
              <w:left w:val="nil" w:sz="6" w:space="0" w:color="auto"/>
              <w:bottom w:val="single" w:sz="4" w:space="0" w:color="000000"/>
              <w:right w:val="nil" w:sz="6" w:space="0" w:color="auto"/>
            </w:tcBorders>
            <w:shd w:val="clear" w:color="auto" w:fill="CCE8CF"/>
          </w:tcPr>
          <w:p>
            <w:pPr/>
          </w:p>
        </w:tc>
        <w:tc>
          <w:tcPr>
            <w:tcW w:w="445" w:type="dxa"/>
            <w:tcBorders>
              <w:top w:val="single" w:sz="4" w:space="0" w:color="000000"/>
              <w:left w:val="nil" w:sz="6" w:space="0" w:color="auto"/>
              <w:bottom w:val="single" w:sz="4" w:space="0" w:color="000000"/>
              <w:right w:val="nil" w:sz="6" w:space="0" w:color="auto"/>
            </w:tcBorders>
            <w:shd w:val="clear" w:color="auto" w:fill="CCE8CF"/>
          </w:tcPr>
          <w:p>
            <w:pPr/>
          </w:p>
        </w:tc>
        <w:tc>
          <w:tcPr>
            <w:tcW w:w="929" w:type="dxa"/>
            <w:tcBorders>
              <w:top w:val="single" w:sz="4" w:space="0" w:color="000000"/>
              <w:left w:val="nil" w:sz="6" w:space="0" w:color="auto"/>
              <w:bottom w:val="single" w:sz="4" w:space="0" w:color="000000"/>
              <w:right w:val="single" w:sz="4" w:space="0" w:color="000000"/>
            </w:tcBorders>
            <w:shd w:val="clear" w:color="auto" w:fill="CCE8CF"/>
          </w:tcPr>
          <w:p>
            <w:pPr/>
          </w:p>
        </w:tc>
      </w:tr>
      <w:tr>
        <w:trPr>
          <w:trHeight w:val="161"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5" w:type="dxa"/>
            <w:gridSpan w:val="9"/>
            <w:vMerge w:val="restart"/>
            <w:tcBorders>
              <w:top w:val="single" w:sz="4" w:space="0" w:color="000000"/>
              <w:left w:val="single" w:sz="10" w:space="0" w:color="D2D2D2"/>
              <w:right w:val="single" w:sz="4" w:space="0" w:color="000000"/>
            </w:tcBorders>
            <w:shd w:val="clear" w:color="auto" w:fill="CCE8CF"/>
          </w:tcPr>
          <w:p>
            <w:pPr>
              <w:pStyle w:val="TableParagraph"/>
              <w:spacing w:line="316" w:lineRule="auto" w:before="49"/>
              <w:ind w:left="20" w:right="-33"/>
              <w:jc w:val="both"/>
              <w:rPr>
                <w:rFonts w:ascii="宋体" w:hAnsi="宋体" w:cs="宋体" w:eastAsia="宋体" w:hint="default"/>
                <w:sz w:val="18"/>
                <w:szCs w:val="18"/>
              </w:rPr>
            </w:pPr>
            <w:r>
              <w:rPr>
                <w:rFonts w:ascii="宋体" w:hAnsi="宋体" w:cs="宋体" w:eastAsia="宋体" w:hint="default"/>
                <w:spacing w:val="-2"/>
                <w:sz w:val="18"/>
                <w:szCs w:val="18"/>
              </w:rPr>
              <w:t>公司股东孙世尧系于志芬的丈夫、孙红丽及孙鲲鹏的父亲，于志芬系孙红丽及孙鲲鹏的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母亲，孙红丽系孙鲲鹏的姐姐，霍文菊系孙世尧内弟之妻，孙世尧、于志芬、霍文菊、 孙红丽和孙鲲鹏为一致行动人。</w:t>
            </w:r>
          </w:p>
        </w:tc>
      </w:tr>
      <w:tr>
        <w:trPr>
          <w:trHeight w:val="703" w:hRule="exact"/>
        </w:trPr>
        <w:tc>
          <w:tcPr>
            <w:tcW w:w="27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5" w:type="dxa"/>
            <w:gridSpan w:val="9"/>
            <w:vMerge/>
            <w:tcBorders>
              <w:left w:val="single" w:sz="10" w:space="0" w:color="D2D2D2"/>
              <w:right w:val="single" w:sz="4" w:space="0" w:color="000000"/>
            </w:tcBorders>
            <w:shd w:val="clear" w:color="auto" w:fill="CCE8CF"/>
          </w:tcPr>
          <w:p>
            <w:pPr/>
          </w:p>
        </w:tc>
      </w:tr>
      <w:tr>
        <w:trPr>
          <w:trHeight w:val="161"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5" w:type="dxa"/>
            <w:gridSpan w:val="9"/>
            <w:vMerge/>
            <w:tcBorders>
              <w:left w:val="single" w:sz="10" w:space="0" w:color="D2D2D2"/>
              <w:bottom w:val="single" w:sz="4" w:space="0" w:color="000000"/>
              <w:right w:val="single" w:sz="4" w:space="0" w:color="000000"/>
            </w:tcBorders>
            <w:shd w:val="clear" w:color="auto" w:fill="CCE8CF"/>
          </w:tcPr>
          <w:p>
            <w:pP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6" w:type="dxa"/>
            <w:gridSpan w:val="2"/>
            <w:vMerge/>
            <w:tcBorders>
              <w:left w:val="single" w:sz="4" w:space="0" w:color="000000"/>
              <w:bottom w:val="nil" w:sz="6" w:space="0" w:color="auto"/>
              <w:right w:val="single" w:sz="4" w:space="0" w:color="000000"/>
            </w:tcBorders>
            <w:shd w:val="clear" w:color="auto" w:fill="D2D2D2"/>
          </w:tcPr>
          <w:p>
            <w:pPr/>
          </w:p>
        </w:tc>
        <w:tc>
          <w:tcPr>
            <w:tcW w:w="4112" w:type="dxa"/>
            <w:gridSpan w:val="5"/>
            <w:vMerge/>
            <w:tcBorders>
              <w:left w:val="single" w:sz="4" w:space="0" w:color="000000"/>
              <w:bottom w:val="nil" w:sz="6" w:space="0" w:color="auto"/>
              <w:right w:val="single" w:sz="4" w:space="0" w:color="000000"/>
            </w:tcBorders>
            <w:shd w:val="clear" w:color="auto" w:fill="D2D2D2"/>
          </w:tcPr>
          <w:p>
            <w:pPr/>
          </w:p>
        </w:tc>
        <w:tc>
          <w:tcPr>
            <w:tcW w:w="13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59" w:type="dxa"/>
            <w:gridSpan w:val="2"/>
            <w:vMerge/>
            <w:tcBorders>
              <w:left w:val="single" w:sz="4" w:space="0" w:color="000000"/>
              <w:bottom w:val="single" w:sz="4" w:space="0" w:color="000000"/>
              <w:right w:val="single" w:sz="4" w:space="0" w:color="000000"/>
            </w:tcBorders>
            <w:shd w:val="clear" w:color="auto" w:fill="D2D2D2"/>
          </w:tcPr>
          <w:p>
            <w:pPr/>
          </w:p>
        </w:tc>
        <w:tc>
          <w:tcPr>
            <w:tcW w:w="1374"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烟台坤德投资有限公司</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7,200,000</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烟台明华投资有限公司</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4,254,297</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4,254,297</w:t>
            </w:r>
          </w:p>
        </w:tc>
      </w:tr>
      <w:tr>
        <w:trPr>
          <w:trHeight w:val="401"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刘索玲</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41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942,600</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942,600</w:t>
            </w:r>
          </w:p>
        </w:tc>
      </w:tr>
    </w:tbl>
    <w:p>
      <w:pPr>
        <w:spacing w:after="0" w:line="240" w:lineRule="auto"/>
        <w:jc w:val="left"/>
        <w:rPr>
          <w:rFonts w:ascii="Times New Roman" w:hAnsi="Times New Roman" w:cs="Times New Roman" w:eastAsia="Times New Roman" w:hint="default"/>
          <w:sz w:val="18"/>
          <w:szCs w:val="18"/>
        </w:rPr>
        <w:sectPr>
          <w:headerReference w:type="default" r:id="rId17"/>
          <w:footerReference w:type="default" r:id="rId1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30"/>
        <w:gridCol w:w="4104"/>
        <w:gridCol w:w="1369"/>
        <w:gridCol w:w="1368"/>
      </w:tblGrid>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陈溪福</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389,400</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中融增强</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384,310</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新疆中乾景隆中和股权投资合伙 企业（有限合伙）</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202,300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洪子平</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牛庆莲</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刘滨峰</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141,700</w:t>
            </w:r>
          </w:p>
        </w:tc>
      </w:tr>
      <w:tr>
        <w:trPr>
          <w:trHeight w:val="1339"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名股东之间不存在关联关系，也不构成一致行动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名无限售流通股股东之间是否构成关联关系和一致行动关系。</w:t>
            </w:r>
          </w:p>
        </w:tc>
      </w:tr>
      <w:tr>
        <w:trPr>
          <w:trHeight w:val="714"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line="506" w:lineRule="auto" w:before="36"/>
        <w:ind w:left="152" w:right="8752" w:firstLine="0"/>
        <w:jc w:val="left"/>
        <w:rPr>
          <w:rFonts w:ascii="宋体" w:hAnsi="宋体" w:cs="宋体" w:eastAsia="宋体" w:hint="default"/>
          <w:sz w:val="21"/>
          <w:szCs w:val="21"/>
        </w:rPr>
      </w:pPr>
      <w:r>
        <w:rPr/>
        <w:pict>
          <v:shape style="position:absolute;margin-left:56.400002pt;margin-top:50.723679pt;width:479.3pt;height:8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3"/>
                    <w:gridCol w:w="2148"/>
                    <w:gridCol w:w="3629"/>
                  </w:tblGrid>
                  <w:tr>
                    <w:trPr>
                      <w:trHeight w:val="397" w:hRule="exact"/>
                    </w:trPr>
                    <w:tc>
                      <w:tcPr>
                        <w:tcW w:w="3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55"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5"/>
                          <w:jc w:val="center"/>
                          <w:rPr>
                            <w:rFonts w:ascii="宋体" w:hAnsi="宋体" w:cs="宋体" w:eastAsia="宋体" w:hint="default"/>
                            <w:sz w:val="21"/>
                            <w:szCs w:val="21"/>
                          </w:rPr>
                        </w:pPr>
                        <w:r>
                          <w:rPr>
                            <w:rFonts w:ascii="宋体" w:hAnsi="宋体" w:cs="宋体" w:eastAsia="宋体" w:hint="default"/>
                            <w:sz w:val="21"/>
                            <w:szCs w:val="21"/>
                          </w:rPr>
                          <w:t>国籍</w:t>
                        </w:r>
                      </w:p>
                    </w:tc>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38"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7" w:hRule="exact"/>
                    </w:trPr>
                    <w:tc>
                      <w:tcPr>
                        <w:tcW w:w="37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孙世尧</w:t>
                        </w:r>
                      </w:p>
                    </w:tc>
                    <w:tc>
                      <w:tcPr>
                        <w:tcW w:w="21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3"/>
                          <w:ind w:left="11"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62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33"/>
                          <w:ind w:left="1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2" w:hRule="exact"/>
                    </w:trPr>
                    <w:tc>
                      <w:tcPr>
                        <w:tcW w:w="379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5778"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left="11" w:right="0"/>
                          <w:jc w:val="left"/>
                          <w:rPr>
                            <w:rFonts w:ascii="宋体" w:hAnsi="宋体" w:cs="宋体" w:eastAsia="宋体" w:hint="default"/>
                            <w:sz w:val="21"/>
                            <w:szCs w:val="21"/>
                          </w:rPr>
                        </w:pPr>
                        <w:r>
                          <w:rPr>
                            <w:rFonts w:ascii="宋体" w:hAnsi="宋体" w:cs="宋体" w:eastAsia="宋体" w:hint="default"/>
                            <w:sz w:val="21"/>
                            <w:szCs w:val="21"/>
                          </w:rPr>
                          <w:t>山东丽鹏股份有限公司董事长</w:t>
                        </w:r>
                      </w:p>
                    </w:tc>
                  </w:tr>
                  <w:tr>
                    <w:trPr>
                      <w:trHeight w:val="403" w:hRule="exact"/>
                    </w:trPr>
                    <w:tc>
                      <w:tcPr>
                        <w:tcW w:w="379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5778"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1123"/>
        <w:jc w:val="left"/>
      </w:pPr>
      <w:r>
        <w:rPr/>
        <w:t>报告期控股股东变更</w:t>
      </w:r>
    </w:p>
    <w:p>
      <w:pPr>
        <w:spacing w:line="520" w:lineRule="auto" w:before="75"/>
        <w:ind w:left="152" w:right="8541" w:firstLine="0"/>
        <w:jc w:val="left"/>
        <w:rPr>
          <w:rFonts w:ascii="宋体" w:hAnsi="宋体" w:cs="宋体" w:eastAsia="宋体" w:hint="default"/>
          <w:sz w:val="21"/>
          <w:szCs w:val="21"/>
        </w:rPr>
      </w:pPr>
      <w:r>
        <w:rPr/>
        <w:pict>
          <v:shape style="position:absolute;margin-left:57pt;margin-top:83.213669pt;width:478.7pt;height:192.5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5"/>
                    <w:gridCol w:w="2045"/>
                    <w:gridCol w:w="4189"/>
                  </w:tblGrid>
                  <w:tr>
                    <w:trPr>
                      <w:trHeight w:val="39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6"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孙世尧</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8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霍文菊</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8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于志芬</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8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孙红丽</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8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孙鲲鹏</w:t>
                        </w:r>
                      </w:p>
                    </w:tc>
                    <w:tc>
                      <w:tcPr>
                        <w:tcW w:w="2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8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332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孙世尧自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年至今担任公司董事长；霍文菊自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年至今担任</w:t>
                        </w:r>
                      </w:p>
                      <w:p>
                        <w:pPr>
                          <w:pStyle w:val="TableParagraph"/>
                          <w:spacing w:line="256" w:lineRule="auto" w:before="21"/>
                          <w:ind w:left="23" w:right="50"/>
                          <w:jc w:val="left"/>
                          <w:rPr>
                            <w:rFonts w:ascii="宋体" w:hAnsi="宋体" w:cs="宋体" w:eastAsia="宋体" w:hint="default"/>
                            <w:sz w:val="21"/>
                            <w:szCs w:val="21"/>
                          </w:rPr>
                        </w:pPr>
                        <w:r>
                          <w:rPr>
                            <w:rFonts w:ascii="宋体" w:hAnsi="宋体" w:cs="宋体" w:eastAsia="宋体" w:hint="default"/>
                            <w:sz w:val="21"/>
                            <w:szCs w:val="21"/>
                          </w:rPr>
                          <w:t>公司监事会主席；孙鲲鹏自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年任公司董事，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至今任公司副董事长；于志芬、孙红丽暂未就业。</w:t>
                        </w:r>
                      </w:p>
                    </w:tc>
                  </w:tr>
                  <w:tr>
                    <w:trPr>
                      <w:trHeight w:val="401" w:hRule="exact"/>
                    </w:trPr>
                    <w:tc>
                      <w:tcPr>
                        <w:tcW w:w="332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after="0" w:line="520" w:lineRule="auto"/>
        <w:jc w:val="left"/>
        <w:rPr>
          <w:rFonts w:ascii="宋体" w:hAnsi="宋体" w:cs="宋体" w:eastAsia="宋体" w:hint="default"/>
          <w:sz w:val="21"/>
          <w:szCs w:val="21"/>
        </w:rPr>
        <w:sectPr>
          <w:footerReference w:type="default" r:id="rId19"/>
          <w:pgSz w:w="11910" w:h="16840"/>
          <w:pgMar w:footer="1272" w:header="877" w:top="1060" w:bottom="1460" w:left="980" w:right="0"/>
          <w:pgNumType w:start="28"/>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3325;top:14;width:2;height:354" coordorigin="3325,14" coordsize="2,354">
              <v:shape style="position:absolute;left:3325;top:14;width:2;height:354" coordorigin="3325,14" coordsize="0,354" path="m3325,14l3325,368e" filled="false" stroked="true" strokeweight="1.2pt" strokecolor="#d2d2d2">
                <v:path arrowok="t"/>
              </v:shape>
            </v:group>
            <v:group style="position:absolute;left:34;top:14;width:3280;height:354" coordorigin="34,14" coordsize="3280,354">
              <v:shape style="position:absolute;left:34;top:14;width:3280;height:354" coordorigin="34,14" coordsize="3280,354" path="m34,368l3313,368,3313,14,34,14,34,368xe" filled="true" fillcolor="#d2d2d2" stroked="false">
                <v:path arrowok="t"/>
                <v:fill type="solid"/>
              </v:shape>
            </v:group>
            <v:group style="position:absolute;left:3347;top:14;width:6225;height:354" coordorigin="3347,14" coordsize="6225,354">
              <v:shape style="position:absolute;left:3347;top:14;width:6225;height:354" coordorigin="3347,14" coordsize="6225,354" path="m3347,368l9571,368,9571,14,3347,14,3347,368xe" filled="true" fillcolor="#cce8cf" stroked="false">
                <v:path arrowok="t"/>
                <v:fill type="solid"/>
              </v:shape>
            </v:group>
            <v:group style="position:absolute;left:10;top:10;width:3328;height:2" coordorigin="10,10" coordsize="3328,2">
              <v:shape style="position:absolute;left:10;top:10;width:3328;height:2" coordorigin="10,10" coordsize="3328,0" path="m10,10l3337,10e" filled="false" stroked="true" strokeweight=".48pt" strokecolor="#000000">
                <v:path arrowok="t"/>
              </v:shape>
            </v:group>
            <v:group style="position:absolute;left:3347;top:10;width:6225;height:2" coordorigin="3347,10" coordsize="6225,2">
              <v:shape style="position:absolute;left:3347;top:10;width:6225;height:2" coordorigin="3347,10" coordsize="6225,0" path="m3347,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328;height:2" coordorigin="10,372" coordsize="3328,2">
              <v:shape style="position:absolute;left:10;top:372;width:3328;height:2" coordorigin="10,372" coordsize="3328,0" path="m10,372l3337,372e" filled="false" stroked="true" strokeweight=".48pt" strokecolor="#000000">
                <v:path arrowok="t"/>
              </v:shape>
            </v:group>
            <v:group style="position:absolute;left:3342;top:5;width:2;height:373" coordorigin="3342,5" coordsize="2,373">
              <v:shape style="position:absolute;left:3342;top:5;width:2;height:373" coordorigin="3342,5" coordsize="0,373" path="m3342,5l3342,377e" filled="false" stroked="true" strokeweight=".48pt" strokecolor="#000000">
                <v:path arrowok="t"/>
              </v:shape>
            </v:group>
            <v:group style="position:absolute;left:3347;top:372;width:6225;height:2" coordorigin="3347,372" coordsize="6225,2">
              <v:shape style="position:absolute;left:3347;top:372;width:6225;height:2" coordorigin="3347,372" coordsize="6225,0" path="m3347,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8pt" strokecolor="#000000">
                <v:path arrowok="t"/>
              </v:shape>
              <v:shape style="position:absolute;left:6;top:10;width:3336;height:363" type="#_x0000_t202" filled="false" stroked="false">
                <v:textbox inset="0,0,0,0">
                  <w:txbxContent>
                    <w:p>
                      <w:pPr>
                        <w:spacing w:line="267" w:lineRule="exact"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23"/>
        <w:ind w:right="1123"/>
        <w:jc w:val="left"/>
      </w:pPr>
      <w:r>
        <w:rPr/>
        <w:t>报告期实际控制人变更</w:t>
      </w:r>
    </w:p>
    <w:p>
      <w:pPr>
        <w:pStyle w:val="BodyText"/>
        <w:spacing w:line="307" w:lineRule="auto" w:before="75"/>
        <w:ind w:right="5085"/>
        <w:jc w:val="left"/>
      </w:pPr>
      <w:r>
        <w:rPr/>
        <w:t>□ 适用 √ 不适用</w:t>
      </w:r>
      <w:r>
        <w:rPr>
          <w:spacing w:val="-104"/>
        </w:rPr>
        <w:t> </w:t>
      </w:r>
      <w:r>
        <w:rPr>
          <w:spacing w:val="-104"/>
        </w:rPr>
      </w:r>
      <w:r>
        <w:rPr>
          <w:spacing w:val="-2"/>
        </w:rPr>
        <w:t>公司与实际控制人之间的产权及控制关系的方框图</w:t>
      </w:r>
    </w:p>
    <w:p>
      <w:pPr>
        <w:spacing w:line="240" w:lineRule="auto" w:before="8"/>
        <w:rPr>
          <w:rFonts w:ascii="宋体" w:hAnsi="宋体" w:cs="宋体" w:eastAsia="宋体" w:hint="default"/>
          <w:sz w:val="22"/>
          <w:szCs w:val="22"/>
        </w:rPr>
      </w:pPr>
    </w:p>
    <w:p>
      <w:pPr>
        <w:spacing w:line="3225" w:lineRule="exact"/>
        <w:ind w:left="230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383279" cy="20478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0" cstate="print"/>
                    <a:stretch>
                      <a:fillRect/>
                    </a:stretch>
                  </pic:blipFill>
                  <pic:spPr>
                    <a:xfrm>
                      <a:off x="0" y="0"/>
                      <a:ext cx="3383279" cy="204787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6"/>
        <w:rPr>
          <w:rFonts w:ascii="宋体" w:hAnsi="宋体" w:cs="宋体" w:eastAsia="宋体" w:hint="default"/>
          <w:sz w:val="22"/>
          <w:szCs w:val="22"/>
        </w:rPr>
      </w:pPr>
    </w:p>
    <w:p>
      <w:pPr>
        <w:pStyle w:val="BodyText"/>
        <w:spacing w:line="240" w:lineRule="auto"/>
        <w:ind w:right="1123"/>
        <w:jc w:val="left"/>
      </w:pPr>
      <w:r>
        <w:rPr/>
        <w:t>实际控制人通过信托或其他资产管理方式控制公司</w:t>
      </w:r>
    </w:p>
    <w:p>
      <w:pPr>
        <w:spacing w:line="240" w:lineRule="auto" w:before="12"/>
        <w:rPr>
          <w:rFonts w:ascii="宋体" w:hAnsi="宋体" w:cs="宋体" w:eastAsia="宋体" w:hint="default"/>
          <w:sz w:val="17"/>
          <w:szCs w:val="17"/>
        </w:rPr>
      </w:pPr>
    </w:p>
    <w:p>
      <w:pPr>
        <w:pStyle w:val="BodyText"/>
        <w:spacing w:line="240" w:lineRule="auto"/>
        <w:ind w:right="1123"/>
        <w:jc w:val="left"/>
      </w:pPr>
      <w:r>
        <w:rPr/>
        <w:t>□ 适用 √</w:t>
      </w:r>
      <w:r>
        <w:rPr>
          <w:spacing w:val="1"/>
        </w:rPr>
        <w:t> </w:t>
      </w:r>
      <w:r>
        <w:rPr/>
        <w:t>不适用</w:t>
      </w:r>
    </w:p>
    <w:p>
      <w:pPr>
        <w:spacing w:after="0" w:line="240" w:lineRule="auto"/>
        <w:jc w:val="left"/>
        <w:sectPr>
          <w:pgSz w:w="11910" w:h="16840"/>
          <w:pgMar w:header="877" w:footer="1272" w:top="1060" w:bottom="1540" w:left="980" w:right="0"/>
        </w:sectPr>
      </w:pPr>
    </w:p>
    <w:p>
      <w:pPr>
        <w:spacing w:line="240" w:lineRule="auto" w:before="0"/>
        <w:rPr>
          <w:rFonts w:ascii="宋体" w:hAnsi="宋体" w:cs="宋体" w:eastAsia="宋体" w:hint="default"/>
          <w:sz w:val="20"/>
          <w:szCs w:val="20"/>
        </w:rPr>
      </w:pPr>
      <w:r>
        <w:rPr/>
        <w:pict>
          <v:shape style="position:absolute;margin-left:101.660004pt;margin-top:264.475616pt;width:84.15pt;height:22.3pt;mso-position-horizontal-relative:page;mso-position-vertical-relative:page;z-index:-67264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副董事长、</w:t>
                  </w:r>
                </w:p>
              </w:txbxContent>
            </v:textbox>
            <w10:wrap type="none"/>
          </v:shape>
        </w:pict>
      </w:r>
      <w:r>
        <w:rPr/>
        <w:pict>
          <v:group style="position:absolute;margin-left:144.020004pt;margin-top:259.219971pt;width:43pt;height:28.05pt;mso-position-horizontal-relative:page;mso-position-vertical-relative:page;z-index:-672616" coordorigin="2880,5184" coordsize="860,561">
            <v:group style="position:absolute;left:2880;top:5184;width:860;height:156" coordorigin="2880,5184" coordsize="860,156">
              <v:shape style="position:absolute;left:2880;top:5184;width:860;height:156" coordorigin="2880,5184" coordsize="860,156" path="m2880,5340l3740,5340,3740,5184,2880,5184,2880,5340xe" filled="true" fillcolor="#ffffff" stroked="false">
                <v:path arrowok="t"/>
                <v:fill type="solid"/>
              </v:shape>
            </v:group>
            <v:group style="position:absolute;left:2891;top:5341;width:2;height:395" coordorigin="2891,5341" coordsize="2,395">
              <v:shape style="position:absolute;left:2891;top:5341;width:2;height:395" coordorigin="2891,5341" coordsize="0,395" path="m2891,5341l2891,5735e" filled="false" stroked="true" strokeweight="1.08pt" strokecolor="#ffffff">
                <v:path arrowok="t"/>
              </v:shape>
            </v:group>
            <v:group style="position:absolute;left:2902;top:5341;width:814;height:395" coordorigin="2902,5341" coordsize="814,395">
              <v:shape style="position:absolute;left:2902;top:5341;width:814;height:395" coordorigin="2902,5341" coordsize="814,395" path="m2902,5735l3716,5735,3716,5341,2902,5341,2902,573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102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4,542,600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战淑萍</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邢路坤</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7"/>
        <w:gridCol w:w="869"/>
        <w:gridCol w:w="869"/>
        <w:gridCol w:w="869"/>
        <w:gridCol w:w="871"/>
        <w:gridCol w:w="869"/>
      </w:tblGrid>
      <w:tr>
        <w:trPr>
          <w:trHeight w:val="713"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38,142,600</w:t>
            </w:r>
          </w:p>
        </w:tc>
      </w:tr>
    </w:tbl>
    <w:p>
      <w:pPr>
        <w:spacing w:line="240" w:lineRule="auto" w:before="2"/>
        <w:rPr>
          <w:rFonts w:ascii="宋体" w:hAnsi="宋体" w:cs="宋体" w:eastAsia="宋体" w:hint="default"/>
          <w:b/>
          <w:bCs/>
          <w:sz w:val="18"/>
          <w:szCs w:val="18"/>
        </w:rPr>
      </w:pPr>
    </w:p>
    <w:p>
      <w:pPr>
        <w:pStyle w:val="Heading2"/>
        <w:spacing w:line="240" w:lineRule="auto"/>
        <w:ind w:right="1123"/>
        <w:jc w:val="left"/>
        <w:rPr>
          <w:b w:val="0"/>
          <w:bCs w:val="0"/>
        </w:rPr>
      </w:pPr>
      <w:r>
        <w:rPr/>
        <w:pict>
          <v:shape style="position:absolute;margin-left:101.660004pt;margin-top:-98.15876pt;width:84.15pt;height:22.2pt;mso-position-horizontal-relative:page;mso-position-vertical-relative:paragraph;z-index:-6725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财务总监、</w:t>
                  </w:r>
                </w:p>
              </w:txbxContent>
            </v:textbox>
            <w10:wrap type="none"/>
          </v:shape>
        </w:pict>
      </w:r>
      <w:r>
        <w:rPr/>
        <w:pict>
          <v:group style="position:absolute;margin-left:144.020004pt;margin-top:-103.384384pt;width:43pt;height:27.95pt;mso-position-horizontal-relative:page;mso-position-vertical-relative:paragraph;z-index:-672568" coordorigin="2880,-2068" coordsize="860,559">
            <v:group style="position:absolute;left:2880;top:-2068;width:860;height:156" coordorigin="2880,-2068" coordsize="860,156">
              <v:shape style="position:absolute;left:2880;top:-2068;width:860;height:156" coordorigin="2880,-2068" coordsize="860,156" path="m2880,-1912l3740,-1912,3740,-2068,2880,-2068,2880,-1912xe" filled="true" fillcolor="#ffffff" stroked="false">
                <v:path arrowok="t"/>
                <v:fill type="solid"/>
              </v:shape>
            </v:group>
            <v:group style="position:absolute;left:2891;top:-1912;width:2;height:392" coordorigin="2891,-1912" coordsize="2,392">
              <v:shape style="position:absolute;left:2891;top:-1912;width:2;height:392" coordorigin="2891,-1912" coordsize="0,392" path="m2891,-1912l2891,-1520e" filled="false" stroked="true" strokeweight="1.08pt" strokecolor="#ffffff">
                <v:path arrowok="t"/>
              </v:shape>
            </v:group>
            <v:group style="position:absolute;left:2902;top:-1912;width:814;height:392" coordorigin="2902,-1912" coordsize="814,392">
              <v:shape style="position:absolute;left:2902;top:-1912;width:814;height:392" coordorigin="2902,-1912" coordsize="814,392" path="m2902,-1520l3716,-1520,3716,-1912,2902,-1912,2902,-1520xe" filled="true" fillcolor="#ffffff" stroked="false">
                <v:path arrowok="t"/>
                <v:fill type="solid"/>
              </v:shape>
            </v:group>
            <w10:wrap type="none"/>
          </v:group>
        </w:pict>
      </w:r>
      <w:r>
        <w:rPr/>
        <w:t>二、任职情况</w:t>
      </w:r>
      <w:r>
        <w:rPr>
          <w:b w:val="0"/>
          <w:bCs w:val="0"/>
        </w:rPr>
      </w:r>
    </w:p>
    <w:p>
      <w:pPr>
        <w:spacing w:line="240" w:lineRule="auto" w:before="9"/>
        <w:rPr>
          <w:rFonts w:ascii="宋体" w:hAnsi="宋体" w:cs="宋体" w:eastAsia="宋体" w:hint="default"/>
          <w:b/>
          <w:bCs/>
          <w:sz w:val="24"/>
          <w:szCs w:val="24"/>
        </w:rPr>
      </w:pPr>
    </w:p>
    <w:p>
      <w:pPr>
        <w:pStyle w:val="BodyText"/>
        <w:spacing w:line="290" w:lineRule="auto"/>
        <w:ind w:right="5085"/>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r>
        <w:rPr>
          <w:w w:val="100"/>
        </w:rPr>
        <w:t> </w:t>
      </w:r>
      <w:r>
        <w:rPr>
          <w:rFonts w:ascii="宋体" w:hAnsi="宋体" w:cs="宋体" w:eastAsia="宋体" w:hint="default"/>
        </w:rPr>
        <w:t>1</w:t>
      </w:r>
      <w:r>
        <w:rPr/>
        <w:t>、董事</w:t>
      </w:r>
    </w:p>
    <w:p>
      <w:pPr>
        <w:pStyle w:val="BodyText"/>
        <w:spacing w:line="273" w:lineRule="auto" w:before="34"/>
        <w:ind w:right="0" w:firstLine="482"/>
        <w:jc w:val="left"/>
      </w:pPr>
      <w:r>
        <w:rPr/>
        <w:t>孙世尧先生：中国国籍，无永久境外居留权，</w:t>
      </w:r>
      <w:r>
        <w:rPr>
          <w:rFonts w:ascii="宋体" w:hAnsi="宋体" w:cs="宋体" w:eastAsia="宋体" w:hint="default"/>
        </w:rPr>
        <w:t>1947</w:t>
      </w:r>
      <w:r>
        <w:rPr/>
        <w:t>年</w:t>
      </w:r>
      <w:r>
        <w:rPr>
          <w:rFonts w:ascii="宋体" w:hAnsi="宋体" w:cs="宋体" w:eastAsia="宋体" w:hint="default"/>
        </w:rPr>
        <w:t>3</w:t>
      </w:r>
      <w:r>
        <w:rPr/>
        <w:t>月出生，高中学历，曾任烟台市牟平区姜格庄</w:t>
      </w:r>
      <w:r>
        <w:rPr>
          <w:w w:val="100"/>
        </w:rPr>
        <w:t> </w:t>
      </w:r>
      <w:r>
        <w:rPr>
          <w:spacing w:val="-2"/>
        </w:rPr>
        <w:t>镇第一中学教师，烟台市牟平区龙泉镇崂夼村冲压模具厂厂长，烟台市丽鹏包装有限责任公司董事长，山</w:t>
      </w:r>
      <w:r>
        <w:rPr>
          <w:spacing w:val="-43"/>
        </w:rPr>
        <w:t> </w:t>
      </w:r>
      <w:r>
        <w:rPr>
          <w:spacing w:val="-43"/>
        </w:rPr>
      </w:r>
      <w:r>
        <w:rPr/>
        <w:t>东丽鹏包装有限公司董事长，成都海川制盖有限公司执行董事，大冶市劲鹏制盖有限公司执行董事，烟台</w:t>
      </w:r>
      <w:r>
        <w:rPr>
          <w:w w:val="100"/>
        </w:rPr>
        <w:t> </w:t>
      </w:r>
      <w:r>
        <w:rPr>
          <w:spacing w:val="-5"/>
        </w:rPr>
        <w:t>市总商会副会长，烟台市牟平区总商会会长，中国包装联合会第六届常务理事，先后被中国包装技术协会、 </w:t>
      </w:r>
      <w:r>
        <w:rPr>
          <w:spacing w:val="-5"/>
        </w:rPr>
      </w:r>
      <w:r>
        <w:rPr/>
        <w:t>中国包装企业家联合会评为“全国跨世纪优秀包装企业家”、“中国当代优秀包装企业家”，被山东省人</w:t>
      </w:r>
      <w:r>
        <w:rPr>
          <w:w w:val="100"/>
        </w:rPr>
        <w:t> </w:t>
      </w:r>
      <w:r>
        <w:rPr/>
        <w:t>民政府授予“山东省先进工作者”称号，被烟台市人民政府授予“烟台市捐资助学先进个人”荣誉称号，</w:t>
      </w:r>
      <w:r>
        <w:rPr>
          <w:w w:val="100"/>
        </w:rPr>
        <w:t> </w:t>
      </w:r>
      <w:r>
        <w:rPr/>
        <w:t>被烟台市慈善总会选为“烟台市慈善总会荣誉理事”，现任公司董事长，烟台和俊制盖有限公司董事长，</w:t>
      </w:r>
      <w:r>
        <w:rPr>
          <w:w w:val="100"/>
        </w:rPr>
        <w:t> </w:t>
      </w:r>
      <w:r>
        <w:rPr>
          <w:spacing w:val="-2"/>
        </w:rPr>
        <w:t>山东省党代会代表，烟台市人大代表，烟台市工商业联合会执行委员会顾问、中国包装联合会第七届理事</w:t>
      </w:r>
      <w:r>
        <w:rPr>
          <w:spacing w:val="-43"/>
        </w:rPr>
        <w:t> </w:t>
      </w:r>
      <w:r>
        <w:rPr>
          <w:spacing w:val="-43"/>
        </w:rPr>
      </w:r>
      <w:r>
        <w:rPr/>
        <w:t>会常务理事，中国包装联合会金属容器委员会第七届委员会副主任委员。</w:t>
      </w:r>
    </w:p>
    <w:p>
      <w:pPr>
        <w:pStyle w:val="BodyText"/>
        <w:spacing w:line="273" w:lineRule="auto" w:before="46"/>
        <w:ind w:right="1105" w:firstLine="482"/>
        <w:jc w:val="both"/>
      </w:pPr>
      <w:r>
        <w:rPr>
          <w:spacing w:val="-1"/>
        </w:rPr>
        <w:t>曲维强先生：中国国籍，无永久境外居留权，</w:t>
      </w:r>
      <w:r>
        <w:rPr>
          <w:rFonts w:ascii="宋体" w:hAnsi="宋体" w:cs="宋体" w:eastAsia="宋体" w:hint="default"/>
          <w:spacing w:val="-1"/>
        </w:rPr>
        <w:t>1961</w:t>
      </w:r>
      <w:r>
        <w:rPr>
          <w:spacing w:val="-1"/>
        </w:rPr>
        <w:t>年</w:t>
      </w:r>
      <w:r>
        <w:rPr>
          <w:rFonts w:ascii="宋体" w:hAnsi="宋体" w:cs="宋体" w:eastAsia="宋体" w:hint="default"/>
          <w:spacing w:val="-1"/>
        </w:rPr>
        <w:t>5</w:t>
      </w:r>
      <w:r>
        <w:rPr>
          <w:spacing w:val="-1"/>
        </w:rPr>
        <w:t>月出生，高中学历，曾任烟台市牟平区姜格庄</w:t>
      </w:r>
      <w:r>
        <w:rPr>
          <w:w w:val="100"/>
        </w:rPr>
        <w:t> </w:t>
      </w:r>
      <w:r>
        <w:rPr>
          <w:spacing w:val="-2"/>
        </w:rPr>
        <w:t>镇北头小学教师，烟台市牟平区龙泉镇崂夼村冲压模具厂副厂长，烟台市丽鹏包装有限责任公司总经理，</w:t>
      </w:r>
      <w:r>
        <w:rPr>
          <w:spacing w:val="-21"/>
        </w:rPr>
        <w:t> </w:t>
      </w:r>
      <w:r>
        <w:rPr>
          <w:spacing w:val="-21"/>
        </w:rPr>
      </w:r>
      <w:r>
        <w:rPr>
          <w:spacing w:val="-2"/>
        </w:rPr>
        <w:t>山东丽鹏包装有限公司董事、总裁，新疆军鹏制盖有限公司董事长、亳州鑫鹏制盖有限公司董事长，被烟</w:t>
      </w:r>
      <w:r>
        <w:rPr>
          <w:spacing w:val="-47"/>
        </w:rPr>
        <w:t> </w:t>
      </w:r>
      <w:r>
        <w:rPr>
          <w:spacing w:val="-47"/>
        </w:rPr>
      </w:r>
      <w:r>
        <w:rPr>
          <w:spacing w:val="-2"/>
        </w:rPr>
        <w:t>台市政府授予“</w:t>
      </w:r>
      <w:r>
        <w:rPr>
          <w:rFonts w:ascii="宋体" w:hAnsi="宋体" w:cs="宋体" w:eastAsia="宋体" w:hint="default"/>
          <w:spacing w:val="-2"/>
        </w:rPr>
        <w:t>2010</w:t>
      </w:r>
      <w:r>
        <w:rPr>
          <w:spacing w:val="-2"/>
        </w:rPr>
        <w:t>年度烟台市市长质量贡献奖”，现任公司副董事长、总裁、党委书记，烟台和俊制盖</w:t>
      </w:r>
      <w:r>
        <w:rPr>
          <w:spacing w:val="-37"/>
        </w:rPr>
        <w:t> </w:t>
      </w:r>
      <w:r>
        <w:rPr>
          <w:spacing w:val="-37"/>
        </w:rPr>
      </w:r>
      <w:r>
        <w:rPr/>
        <w:t>有限公司董事，牟平区人大常委、烟台市牟平区工商业联合会副会长。</w:t>
      </w:r>
    </w:p>
    <w:p>
      <w:pPr>
        <w:pStyle w:val="BodyText"/>
        <w:spacing w:line="273" w:lineRule="auto" w:before="48"/>
        <w:ind w:right="1126" w:firstLine="482"/>
        <w:jc w:val="both"/>
      </w:pPr>
      <w:r>
        <w:rPr>
          <w:spacing w:val="-1"/>
        </w:rPr>
        <w:t>孙鲲鹏先生：中国国籍，无永久境外居留权，</w:t>
      </w:r>
      <w:r>
        <w:rPr>
          <w:rFonts w:ascii="宋体" w:hAnsi="宋体" w:cs="宋体" w:eastAsia="宋体" w:hint="default"/>
          <w:spacing w:val="-1"/>
        </w:rPr>
        <w:t>1977</w:t>
      </w:r>
      <w:r>
        <w:rPr>
          <w:spacing w:val="-1"/>
        </w:rPr>
        <w:t>年</w:t>
      </w:r>
      <w:r>
        <w:rPr>
          <w:rFonts w:ascii="宋体" w:hAnsi="宋体" w:cs="宋体" w:eastAsia="宋体" w:hint="default"/>
          <w:spacing w:val="-1"/>
        </w:rPr>
        <w:t>7</w:t>
      </w:r>
      <w:r>
        <w:rPr>
          <w:spacing w:val="-1"/>
        </w:rPr>
        <w:t>月出生，大专学历，曾任山东丽鹏包装有限公</w:t>
      </w:r>
      <w:r>
        <w:rPr>
          <w:w w:val="100"/>
        </w:rPr>
        <w:t> </w:t>
      </w:r>
      <w:r>
        <w:rPr/>
        <w:t>司董事、北京鹏和祥包装制品有限公司董事长，现任公司副董事长。</w:t>
      </w:r>
    </w:p>
    <w:p>
      <w:pPr>
        <w:pStyle w:val="BodyText"/>
        <w:spacing w:line="273" w:lineRule="auto" w:before="48"/>
        <w:ind w:right="1126" w:firstLine="482"/>
        <w:jc w:val="both"/>
      </w:pPr>
      <w:r>
        <w:rPr>
          <w:spacing w:val="-4"/>
        </w:rPr>
        <w:t>罗田先生：中国国籍，无永久境外居留权，</w:t>
      </w:r>
      <w:r>
        <w:rPr>
          <w:rFonts w:ascii="宋体" w:hAnsi="宋体" w:cs="宋体" w:eastAsia="宋体" w:hint="default"/>
          <w:spacing w:val="-4"/>
        </w:rPr>
        <w:t>1963</w:t>
      </w:r>
      <w:r>
        <w:rPr>
          <w:spacing w:val="-4"/>
        </w:rPr>
        <w:t>年</w:t>
      </w:r>
      <w:r>
        <w:rPr>
          <w:rFonts w:ascii="宋体" w:hAnsi="宋体" w:cs="宋体" w:eastAsia="宋体" w:hint="default"/>
          <w:spacing w:val="-4"/>
        </w:rPr>
        <w:t>12</w:t>
      </w:r>
      <w:r>
        <w:rPr>
          <w:spacing w:val="-4"/>
        </w:rPr>
        <w:t>月出生，大专学历，现任公司董事，成都海川制</w:t>
      </w:r>
      <w:r>
        <w:rPr>
          <w:w w:val="100"/>
        </w:rPr>
        <w:t> </w:t>
      </w:r>
      <w:r>
        <w:rPr>
          <w:spacing w:val="-2"/>
        </w:rPr>
        <w:t>盖有限公司董事长、四川泸州丽鹏制盖有限公司董事长，四川省成都市蒲江县人大代表，蒲江县商会副会</w:t>
      </w:r>
      <w:r>
        <w:rPr>
          <w:spacing w:val="-43"/>
        </w:rPr>
        <w:t> </w:t>
      </w:r>
      <w:r>
        <w:rPr>
          <w:spacing w:val="-43"/>
        </w:rPr>
      </w:r>
      <w:r>
        <w:rPr/>
        <w:t>长。</w:t>
      </w:r>
    </w:p>
    <w:p>
      <w:pPr>
        <w:pStyle w:val="BodyText"/>
        <w:spacing w:line="273" w:lineRule="auto" w:before="46"/>
        <w:ind w:right="1128" w:firstLine="482"/>
        <w:jc w:val="both"/>
      </w:pPr>
      <w:r>
        <w:rPr>
          <w:spacing w:val="-4"/>
        </w:rPr>
        <w:t>李波先生：中国国籍，无永久境外居留权，</w:t>
      </w:r>
      <w:r>
        <w:rPr>
          <w:rFonts w:ascii="宋体" w:hAnsi="宋体" w:cs="宋体" w:eastAsia="宋体" w:hint="default"/>
          <w:spacing w:val="-4"/>
        </w:rPr>
        <w:t>1965</w:t>
      </w:r>
      <w:r>
        <w:rPr>
          <w:spacing w:val="-4"/>
        </w:rPr>
        <w:t>年</w:t>
      </w:r>
      <w:r>
        <w:rPr>
          <w:rFonts w:ascii="宋体" w:hAnsi="宋体" w:cs="宋体" w:eastAsia="宋体" w:hint="default"/>
          <w:spacing w:val="-4"/>
        </w:rPr>
        <w:t>10</w:t>
      </w:r>
      <w:r>
        <w:rPr>
          <w:spacing w:val="-4"/>
        </w:rPr>
        <w:t>月出生，中专学历，曾任烟台市丽鹏包装有限责</w:t>
      </w:r>
      <w:r>
        <w:rPr>
          <w:w w:val="100"/>
        </w:rPr>
        <w:t> </w:t>
      </w:r>
      <w:r>
        <w:rPr>
          <w:spacing w:val="-2"/>
        </w:rPr>
        <w:t>任公司技术开发部经理，山东丽鹏包装有限公司瓶盖厂厂长、机械模具厂厂长、技术开发部经理、公司副</w:t>
      </w:r>
      <w:r>
        <w:rPr>
          <w:spacing w:val="-47"/>
        </w:rPr>
        <w:t> </w:t>
      </w:r>
      <w:r>
        <w:rPr>
          <w:spacing w:val="-47"/>
        </w:rPr>
      </w:r>
      <w:r>
        <w:rPr/>
        <w:t>总裁，现任公司董事、印铁厂厂长。</w:t>
      </w:r>
    </w:p>
    <w:p>
      <w:pPr>
        <w:pStyle w:val="BodyText"/>
        <w:spacing w:line="273" w:lineRule="auto" w:before="48"/>
        <w:ind w:right="1127" w:firstLine="473"/>
        <w:jc w:val="both"/>
      </w:pPr>
      <w:r>
        <w:rPr>
          <w:spacing w:val="-3"/>
        </w:rPr>
        <w:t>刘宗江先生：中国国籍，无永久境外居留权，</w:t>
      </w:r>
      <w:r>
        <w:rPr>
          <w:rFonts w:ascii="宋体" w:hAnsi="宋体" w:cs="宋体" w:eastAsia="宋体" w:hint="default"/>
          <w:spacing w:val="-3"/>
        </w:rPr>
        <w:t>1976</w:t>
      </w:r>
      <w:r>
        <w:rPr>
          <w:spacing w:val="-3"/>
        </w:rPr>
        <w:t>年</w:t>
      </w:r>
      <w:r>
        <w:rPr>
          <w:rFonts w:ascii="宋体" w:hAnsi="宋体" w:cs="宋体" w:eastAsia="宋体" w:hint="default"/>
          <w:spacing w:val="-3"/>
        </w:rPr>
        <w:t>10</w:t>
      </w:r>
      <w:r>
        <w:rPr>
          <w:spacing w:val="-3"/>
        </w:rPr>
        <w:t>月出生，本科学历，曾任山东丽鹏包装有限公</w:t>
      </w:r>
      <w:r>
        <w:rPr>
          <w:w w:val="100"/>
        </w:rPr>
        <w:t> </w:t>
      </w:r>
      <w:r>
        <w:rPr>
          <w:spacing w:val="-2"/>
        </w:rPr>
        <w:t>司国际贸易部经理、销售部副经理，山东丽鹏股份有限公司监事、国际贸易部经理、销售部副经理，现任</w:t>
      </w:r>
      <w:r>
        <w:rPr>
          <w:spacing w:val="-43"/>
        </w:rPr>
        <w:t> </w:t>
      </w:r>
      <w:r>
        <w:rPr>
          <w:spacing w:val="-43"/>
        </w:rPr>
      </w:r>
      <w:r>
        <w:rPr/>
        <w:t>公司董事、国际贸易部经理、烟台丽鹏包装有限公司执行董事。</w:t>
      </w:r>
    </w:p>
    <w:p>
      <w:pPr>
        <w:pStyle w:val="BodyText"/>
        <w:spacing w:line="273" w:lineRule="auto" w:before="7"/>
        <w:ind w:right="1105" w:firstLine="473"/>
        <w:jc w:val="both"/>
      </w:pPr>
      <w:r>
        <w:rPr/>
        <w:t>王利女士：中国国籍，无永久境外居留权，</w:t>
      </w:r>
      <w:r>
        <w:rPr>
          <w:rFonts w:ascii="宋体" w:hAnsi="宋体" w:cs="宋体" w:eastAsia="宋体" w:hint="default"/>
        </w:rPr>
        <w:t>1969</w:t>
      </w:r>
      <w:r>
        <w:rPr/>
        <w:t>年</w:t>
      </w:r>
      <w:r>
        <w:rPr>
          <w:rFonts w:ascii="宋体" w:hAnsi="宋体" w:cs="宋体" w:eastAsia="宋体" w:hint="default"/>
        </w:rPr>
        <w:t>5</w:t>
      </w:r>
      <w:r>
        <w:rPr/>
        <w:t>月出生，硕士学位，先后在中国包装总公司、中</w:t>
      </w:r>
      <w:r>
        <w:rPr>
          <w:w w:val="100"/>
        </w:rPr>
        <w:t> </w:t>
      </w:r>
      <w:r>
        <w:rPr>
          <w:spacing w:val="-2"/>
        </w:rPr>
        <w:t>国包装科学技术研究所从事印刷技术工作、科技部质量处从事包装行业质量标准化和包装产品生产许可证</w:t>
      </w:r>
      <w:r>
        <w:rPr>
          <w:spacing w:val="-43"/>
        </w:rPr>
        <w:t> </w:t>
      </w:r>
      <w:r>
        <w:rPr>
          <w:spacing w:val="-43"/>
        </w:rPr>
      </w:r>
      <w:r>
        <w:rPr>
          <w:spacing w:val="-2"/>
        </w:rPr>
        <w:t>工作、质量部从事包装行业质量标准化和包装产品生产许可证工作、全国包装改进办公室从事包装行业质</w:t>
      </w:r>
      <w:r>
        <w:rPr>
          <w:spacing w:val="-42"/>
        </w:rPr>
        <w:t> </w:t>
      </w:r>
      <w:r>
        <w:rPr>
          <w:spacing w:val="-42"/>
        </w:rPr>
      </w:r>
      <w:r>
        <w:rPr>
          <w:spacing w:val="-2"/>
        </w:rPr>
        <w:t>量标准化工作、中包认证中心有限公司从事包装产品质量认证工作和包装标准化工作，并任总经理助理、</w:t>
      </w:r>
      <w:r>
        <w:rPr>
          <w:spacing w:val="-21"/>
        </w:rPr>
        <w:t> </w:t>
      </w:r>
      <w:r>
        <w:rPr>
          <w:spacing w:val="-21"/>
        </w:rPr>
      </w:r>
      <w:r>
        <w:rPr>
          <w:spacing w:val="-2"/>
        </w:rPr>
        <w:t>标准部部长，现任公司独立董事、中国包装联合会常务副秘书长、全国包装标准化技术委员会副主任委员</w:t>
      </w:r>
      <w:r>
        <w:rPr>
          <w:spacing w:val="-43"/>
        </w:rPr>
        <w:t> </w:t>
      </w:r>
      <w:r>
        <w:rPr>
          <w:spacing w:val="-43"/>
        </w:rPr>
      </w:r>
      <w:r>
        <w:rPr/>
        <w:t>兼秘书长、全国物流标准化技术委员会委员和全国危险化学品管理标准化技术委员会委员。</w:t>
      </w:r>
    </w:p>
    <w:p>
      <w:pPr>
        <w:pStyle w:val="BodyText"/>
        <w:spacing w:line="273" w:lineRule="auto" w:before="7"/>
        <w:ind w:right="1127" w:firstLine="482"/>
        <w:jc w:val="both"/>
      </w:pPr>
      <w:r>
        <w:rPr>
          <w:spacing w:val="-2"/>
        </w:rPr>
        <w:t>吴贤国先生：中国国籍，无永久境外居留权，</w:t>
      </w:r>
      <w:r>
        <w:rPr>
          <w:rFonts w:ascii="宋体" w:hAnsi="宋体" w:cs="宋体" w:eastAsia="宋体" w:hint="default"/>
          <w:spacing w:val="-2"/>
        </w:rPr>
        <w:t>1971</w:t>
      </w:r>
      <w:r>
        <w:rPr>
          <w:spacing w:val="-2"/>
        </w:rPr>
        <w:t>年</w:t>
      </w:r>
      <w:r>
        <w:rPr>
          <w:rFonts w:ascii="宋体" w:hAnsi="宋体" w:cs="宋体" w:eastAsia="宋体" w:hint="default"/>
          <w:spacing w:val="-2"/>
        </w:rPr>
        <w:t>2</w:t>
      </w:r>
      <w:r>
        <w:rPr>
          <w:spacing w:val="-2"/>
        </w:rPr>
        <w:t>月出生，本科学历，主任记者。曾任山东烟台</w:t>
      </w:r>
      <w:r>
        <w:rPr>
          <w:w w:val="100"/>
        </w:rPr>
        <w:t> </w:t>
      </w:r>
      <w:r>
        <w:rPr>
          <w:spacing w:val="-2"/>
        </w:rPr>
        <w:t>开发区建筑设计院助理工程师、烟台日报社记者、副主任、主任、《今日莱州》总编辑、《华夏酒报》总</w:t>
      </w:r>
    </w:p>
    <w:p>
      <w:pPr>
        <w:spacing w:after="0" w:line="273" w:lineRule="auto"/>
        <w:jc w:val="both"/>
        <w:sectPr>
          <w:pgSz w:w="11910" w:h="16840"/>
          <w:pgMar w:header="877" w:footer="1272" w:top="1060" w:bottom="146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67252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w:t>
                    </w:r>
                  </w:p>
                </w:txbxContent>
              </v:textbox>
              <w10:wrap type="none"/>
            </v:shape>
            <w10:wrap type="none"/>
          </v:group>
        </w:pict>
      </w:r>
    </w:p>
    <w:p>
      <w:pPr>
        <w:pStyle w:val="BodyText"/>
        <w:spacing w:line="273" w:lineRule="auto" w:before="36"/>
        <w:ind w:left="635" w:right="1123" w:hanging="483"/>
        <w:jc w:val="left"/>
      </w:pPr>
      <w:r>
        <w:rPr/>
        <w:t>编辑、北京华夏酒报文化传媒有限公司总经理，现任公司独立董事、《今晨</w:t>
      </w:r>
      <w:r>
        <w:rPr>
          <w:rFonts w:ascii="宋体" w:hAnsi="宋体" w:cs="宋体" w:eastAsia="宋体" w:hint="default"/>
        </w:rPr>
        <w:t>6</w:t>
      </w:r>
      <w:r>
        <w:rPr/>
        <w:t>点》副总编辑。</w:t>
      </w:r>
      <w:r>
        <w:rPr>
          <w:w w:val="100"/>
        </w:rPr>
        <w:t> </w:t>
      </w:r>
      <w:r>
        <w:rPr>
          <w:spacing w:val="-1"/>
        </w:rPr>
        <w:t>战淑萍女士：中国国籍，无永久境外居留权，</w:t>
      </w:r>
      <w:r>
        <w:rPr>
          <w:rFonts w:ascii="宋体" w:hAnsi="宋体" w:cs="宋体" w:eastAsia="宋体" w:hint="default"/>
          <w:spacing w:val="-1"/>
        </w:rPr>
        <w:t>1956</w:t>
      </w:r>
      <w:r>
        <w:rPr>
          <w:spacing w:val="-1"/>
        </w:rPr>
        <w:t>年</w:t>
      </w:r>
      <w:r>
        <w:rPr>
          <w:rFonts w:ascii="宋体" w:hAnsi="宋体" w:cs="宋体" w:eastAsia="宋体" w:hint="default"/>
          <w:spacing w:val="-1"/>
        </w:rPr>
        <w:t>7</w:t>
      </w:r>
      <w:r>
        <w:rPr>
          <w:spacing w:val="-1"/>
        </w:rPr>
        <w:t>月出生，大学学历，高级会计师。曾任山东乾</w:t>
      </w:r>
    </w:p>
    <w:p>
      <w:pPr>
        <w:pStyle w:val="BodyText"/>
        <w:spacing w:line="273" w:lineRule="auto" w:before="7"/>
        <w:ind w:right="1126"/>
        <w:jc w:val="both"/>
      </w:pPr>
      <w:r>
        <w:rPr>
          <w:spacing w:val="-2"/>
        </w:rPr>
        <w:t>聚会计师事务所副所长、天同证券有限责任公司投资银行部首席会计师、保龄宝生物股份有限公司独立董</w:t>
      </w:r>
      <w:r>
        <w:rPr>
          <w:spacing w:val="-43"/>
        </w:rPr>
        <w:t> </w:t>
      </w:r>
      <w:r>
        <w:rPr>
          <w:spacing w:val="-43"/>
        </w:rPr>
      </w:r>
      <w:r>
        <w:rPr>
          <w:spacing w:val="-2"/>
        </w:rPr>
        <w:t>事，现任公司独立董事，山东东方海洋科技股份有限公司董事、副总经理兼财务总监，中国海洋学会海洋</w:t>
      </w:r>
      <w:r>
        <w:rPr>
          <w:spacing w:val="-46"/>
        </w:rPr>
        <w:t> </w:t>
      </w:r>
      <w:r>
        <w:rPr>
          <w:spacing w:val="-46"/>
        </w:rPr>
      </w:r>
      <w:r>
        <w:rPr>
          <w:spacing w:val="-2"/>
        </w:rPr>
        <w:t>经济分会常务理事，山东益生种畜禽股份有限公司独立董事，山东隆基机械股份有限公司独立董事，山东</w:t>
      </w:r>
      <w:r>
        <w:rPr>
          <w:spacing w:val="-43"/>
        </w:rPr>
        <w:t> </w:t>
      </w:r>
      <w:r>
        <w:rPr>
          <w:spacing w:val="-43"/>
        </w:rPr>
      </w:r>
      <w:r>
        <w:rPr/>
        <w:t>金创股份有限公司独立董事。</w:t>
      </w:r>
    </w:p>
    <w:p>
      <w:pPr>
        <w:pStyle w:val="BodyText"/>
        <w:spacing w:line="240" w:lineRule="auto" w:before="7"/>
        <w:ind w:right="1123"/>
        <w:jc w:val="left"/>
      </w:pPr>
      <w:r>
        <w:rPr>
          <w:rFonts w:ascii="宋体" w:hAnsi="宋体" w:cs="宋体" w:eastAsia="宋体" w:hint="default"/>
        </w:rPr>
        <w:t>2</w:t>
      </w:r>
      <w:r>
        <w:rPr/>
        <w:t>、监事</w:t>
      </w:r>
    </w:p>
    <w:p>
      <w:pPr>
        <w:pStyle w:val="BodyText"/>
        <w:spacing w:line="273" w:lineRule="auto" w:before="37"/>
        <w:ind w:right="1126" w:firstLine="473"/>
        <w:jc w:val="both"/>
      </w:pPr>
      <w:r>
        <w:rPr>
          <w:spacing w:val="-1"/>
        </w:rPr>
        <w:t>霍文菊女士：中国国籍，无永久境外居留权，</w:t>
      </w:r>
      <w:r>
        <w:rPr>
          <w:rFonts w:ascii="宋体" w:hAnsi="宋体" w:cs="宋体" w:eastAsia="宋体" w:hint="default"/>
          <w:spacing w:val="-1"/>
        </w:rPr>
        <w:t>1964</w:t>
      </w:r>
      <w:r>
        <w:rPr>
          <w:spacing w:val="-1"/>
        </w:rPr>
        <w:t>年</w:t>
      </w:r>
      <w:r>
        <w:rPr>
          <w:rFonts w:ascii="宋体" w:hAnsi="宋体" w:cs="宋体" w:eastAsia="宋体" w:hint="default"/>
          <w:spacing w:val="-1"/>
        </w:rPr>
        <w:t>2</w:t>
      </w:r>
      <w:r>
        <w:rPr>
          <w:spacing w:val="-1"/>
        </w:rPr>
        <w:t>月出生，初中学历，曾任烟台市牟平区龙泉镇</w:t>
      </w:r>
      <w:r>
        <w:rPr>
          <w:w w:val="100"/>
        </w:rPr>
        <w:t> </w:t>
      </w:r>
      <w:r>
        <w:rPr>
          <w:spacing w:val="-2"/>
        </w:rPr>
        <w:t>崂夼村冲压模具厂会计，烟台市丽鹏包装有限责任公司董事、副总经理、财务负责人，山东丽鹏包装有限</w:t>
      </w:r>
      <w:r>
        <w:rPr>
          <w:spacing w:val="-47"/>
        </w:rPr>
        <w:t> </w:t>
      </w:r>
      <w:r>
        <w:rPr>
          <w:spacing w:val="-47"/>
        </w:rPr>
      </w:r>
      <w:r>
        <w:rPr/>
        <w:t>公司监事会主席，现任公司监事会主席。</w:t>
      </w:r>
    </w:p>
    <w:p>
      <w:pPr>
        <w:pStyle w:val="BodyText"/>
        <w:spacing w:line="273" w:lineRule="auto" w:before="7"/>
        <w:ind w:right="1126" w:firstLine="482"/>
        <w:jc w:val="both"/>
      </w:pPr>
      <w:r>
        <w:rPr>
          <w:spacing w:val="-1"/>
        </w:rPr>
        <w:t>曲德堂先生：中国国籍，无永久境外居留权，</w:t>
      </w:r>
      <w:r>
        <w:rPr>
          <w:rFonts w:ascii="宋体" w:hAnsi="宋体" w:cs="宋体" w:eastAsia="宋体" w:hint="default"/>
          <w:spacing w:val="-1"/>
        </w:rPr>
        <w:t>1965</w:t>
      </w:r>
      <w:r>
        <w:rPr>
          <w:spacing w:val="-1"/>
        </w:rPr>
        <w:t>年</w:t>
      </w:r>
      <w:r>
        <w:rPr>
          <w:rFonts w:ascii="宋体" w:hAnsi="宋体" w:cs="宋体" w:eastAsia="宋体" w:hint="default"/>
          <w:spacing w:val="-1"/>
        </w:rPr>
        <w:t>9</w:t>
      </w:r>
      <w:r>
        <w:rPr>
          <w:spacing w:val="-1"/>
        </w:rPr>
        <w:t>月出生，中专学历，曾任山东丽鹏包装有限公</w:t>
      </w:r>
      <w:r>
        <w:rPr>
          <w:w w:val="100"/>
        </w:rPr>
        <w:t> </w:t>
      </w:r>
      <w:r>
        <w:rPr>
          <w:spacing w:val="-2"/>
        </w:rPr>
        <w:t>司机械模具厂班长、车间主任、副厂长，山东丽鹏股份有限公司机械模具厂厂长，现任公司监事、铝塑厂</w:t>
      </w:r>
      <w:r>
        <w:rPr>
          <w:spacing w:val="-42"/>
        </w:rPr>
        <w:t> </w:t>
      </w:r>
      <w:r>
        <w:rPr>
          <w:spacing w:val="-42"/>
        </w:rPr>
      </w:r>
      <w:r>
        <w:rPr/>
        <w:t>厂长。</w:t>
      </w:r>
    </w:p>
    <w:p>
      <w:pPr>
        <w:pStyle w:val="BodyText"/>
        <w:spacing w:line="273" w:lineRule="auto" w:before="7"/>
        <w:ind w:right="1147" w:firstLine="482"/>
        <w:jc w:val="both"/>
      </w:pPr>
      <w:r>
        <w:rPr>
          <w:spacing w:val="-2"/>
        </w:rPr>
        <w:t>于善晓先生：中国国籍，无永久境外居留权，</w:t>
      </w:r>
      <w:r>
        <w:rPr>
          <w:rFonts w:ascii="宋体" w:hAnsi="宋体" w:cs="宋体" w:eastAsia="宋体" w:hint="default"/>
          <w:spacing w:val="-2"/>
        </w:rPr>
        <w:t>1977</w:t>
      </w:r>
      <w:r>
        <w:rPr>
          <w:spacing w:val="-2"/>
        </w:rPr>
        <w:t>年</w:t>
      </w:r>
      <w:r>
        <w:rPr>
          <w:rFonts w:ascii="宋体" w:hAnsi="宋体" w:cs="宋体" w:eastAsia="宋体" w:hint="default"/>
          <w:spacing w:val="-2"/>
        </w:rPr>
        <w:t>5</w:t>
      </w:r>
      <w:r>
        <w:rPr>
          <w:spacing w:val="-2"/>
        </w:rPr>
        <w:t>月出生，专科学历，曾任山东丽鹏包装有限公</w:t>
      </w:r>
      <w:r>
        <w:rPr>
          <w:w w:val="100"/>
        </w:rPr>
        <w:t> </w:t>
      </w:r>
      <w:r>
        <w:rPr/>
        <w:t>司质检员、质检主任、质保部主任、铝塑厂厂长，现任公司监事、行政管理部经理。</w:t>
      </w:r>
    </w:p>
    <w:p>
      <w:pPr>
        <w:pStyle w:val="BodyText"/>
        <w:spacing w:line="240" w:lineRule="auto" w:before="7"/>
        <w:ind w:right="1123"/>
        <w:jc w:val="left"/>
      </w:pPr>
      <w:r>
        <w:rPr>
          <w:rFonts w:ascii="宋体" w:hAnsi="宋体" w:cs="宋体" w:eastAsia="宋体" w:hint="default"/>
        </w:rPr>
        <w:t>3</w:t>
      </w:r>
      <w:r>
        <w:rPr/>
        <w:t>、高级管理人员</w:t>
      </w:r>
    </w:p>
    <w:p>
      <w:pPr>
        <w:pStyle w:val="BodyText"/>
        <w:spacing w:line="307" w:lineRule="auto" w:before="78"/>
        <w:ind w:left="635" w:right="1123"/>
        <w:jc w:val="left"/>
      </w:pPr>
      <w:r>
        <w:rPr/>
        <w:t>曲维强先生：详见“董事”部分。</w:t>
      </w:r>
      <w:r>
        <w:rPr>
          <w:w w:val="100"/>
        </w:rPr>
        <w:t> </w:t>
      </w:r>
      <w:r>
        <w:rPr>
          <w:spacing w:val="-1"/>
        </w:rPr>
        <w:t>邢路坤先生：中国国籍，无永久境外居留权，</w:t>
      </w:r>
      <w:r>
        <w:rPr>
          <w:rFonts w:ascii="宋体" w:hAnsi="宋体" w:cs="宋体" w:eastAsia="宋体" w:hint="default"/>
          <w:spacing w:val="-1"/>
        </w:rPr>
        <w:t>1959</w:t>
      </w:r>
      <w:r>
        <w:rPr>
          <w:spacing w:val="-1"/>
        </w:rPr>
        <w:t>年</w:t>
      </w:r>
      <w:r>
        <w:rPr>
          <w:rFonts w:ascii="宋体" w:hAnsi="宋体" w:cs="宋体" w:eastAsia="宋体" w:hint="default"/>
          <w:spacing w:val="-1"/>
        </w:rPr>
        <w:t>4</w:t>
      </w:r>
      <w:r>
        <w:rPr>
          <w:spacing w:val="-1"/>
        </w:rPr>
        <w:t>月出生，大专学历，曾任烟台市罐头厂技术厂</w:t>
      </w:r>
    </w:p>
    <w:p>
      <w:pPr>
        <w:pStyle w:val="BodyText"/>
        <w:spacing w:line="253" w:lineRule="exact"/>
        <w:ind w:right="0"/>
        <w:jc w:val="left"/>
      </w:pPr>
      <w:r>
        <w:rPr/>
        <w:t>长，山东丽鹏包装有限公司副总裁、运营部经理，现任公司副总裁、运营部经理，中国包装联合会金属容</w:t>
      </w:r>
    </w:p>
    <w:p>
      <w:pPr>
        <w:pStyle w:val="BodyText"/>
        <w:spacing w:line="307" w:lineRule="auto" w:before="37"/>
        <w:ind w:left="635" w:right="1123" w:hanging="483"/>
        <w:jc w:val="left"/>
      </w:pPr>
      <w:r>
        <w:rPr/>
        <w:t>器委员会技术专家。</w:t>
      </w:r>
      <w:r>
        <w:rPr>
          <w:w w:val="100"/>
        </w:rPr>
        <w:t> </w:t>
      </w:r>
      <w:r>
        <w:rPr>
          <w:spacing w:val="-1"/>
        </w:rPr>
        <w:t>张本杰先生：中国国籍，无永久境外居留权，</w:t>
      </w:r>
      <w:r>
        <w:rPr>
          <w:rFonts w:ascii="宋体" w:hAnsi="宋体" w:cs="宋体" w:eastAsia="宋体" w:hint="default"/>
          <w:spacing w:val="-1"/>
        </w:rPr>
        <w:t>1969</w:t>
      </w:r>
      <w:r>
        <w:rPr>
          <w:spacing w:val="-1"/>
        </w:rPr>
        <w:t>年</w:t>
      </w:r>
      <w:r>
        <w:rPr>
          <w:rFonts w:ascii="宋体" w:hAnsi="宋体" w:cs="宋体" w:eastAsia="宋体" w:hint="default"/>
          <w:spacing w:val="-1"/>
        </w:rPr>
        <w:t>7</w:t>
      </w:r>
      <w:r>
        <w:rPr>
          <w:spacing w:val="-1"/>
        </w:rPr>
        <w:t>月出生，大专学历，曾任烟台市丽鹏包装有限</w:t>
      </w:r>
    </w:p>
    <w:p>
      <w:pPr>
        <w:pStyle w:val="BodyText"/>
        <w:spacing w:line="253" w:lineRule="exact"/>
        <w:ind w:right="0"/>
        <w:jc w:val="left"/>
      </w:pPr>
      <w:r>
        <w:rPr>
          <w:spacing w:val="-5"/>
        </w:rPr>
        <w:t>责任公司总经理办公室主任，山东丽鹏包装有限公司总裁办公室主任、生产业务部经理、经营管理部经理、</w:t>
      </w:r>
    </w:p>
    <w:p>
      <w:pPr>
        <w:pStyle w:val="BodyText"/>
        <w:spacing w:line="273" w:lineRule="auto" w:before="37"/>
        <w:ind w:right="1123"/>
        <w:jc w:val="left"/>
      </w:pPr>
      <w:r>
        <w:rPr>
          <w:spacing w:val="-2"/>
        </w:rPr>
        <w:t>销售部经理、公司副总裁、亳州丽鹏制盖有限公司董事长，现任公司副总裁、国内贸易部部经理，北京鹏</w:t>
      </w:r>
      <w:r>
        <w:rPr>
          <w:spacing w:val="-42"/>
        </w:rPr>
        <w:t> </w:t>
      </w:r>
      <w:r>
        <w:rPr>
          <w:spacing w:val="-42"/>
        </w:rPr>
      </w:r>
      <w:r>
        <w:rPr/>
        <w:t>和祥包装制品有限公司董事长。</w:t>
      </w:r>
    </w:p>
    <w:p>
      <w:pPr>
        <w:pStyle w:val="BodyText"/>
        <w:spacing w:line="273" w:lineRule="auto" w:before="48"/>
        <w:ind w:right="1157" w:firstLine="473"/>
        <w:jc w:val="both"/>
      </w:pPr>
      <w:r>
        <w:rPr>
          <w:spacing w:val="-2"/>
        </w:rPr>
        <w:t>李海霞女士：中国国籍，无永久境外居留权，</w:t>
      </w:r>
      <w:r>
        <w:rPr>
          <w:rFonts w:ascii="宋体" w:hAnsi="宋体" w:cs="宋体" w:eastAsia="宋体" w:hint="default"/>
          <w:spacing w:val="-2"/>
        </w:rPr>
        <w:t>1976</w:t>
      </w:r>
      <w:r>
        <w:rPr>
          <w:spacing w:val="-2"/>
        </w:rPr>
        <w:t>年</w:t>
      </w:r>
      <w:r>
        <w:rPr>
          <w:rFonts w:ascii="宋体" w:hAnsi="宋体" w:cs="宋体" w:eastAsia="宋体" w:hint="default"/>
          <w:spacing w:val="-2"/>
        </w:rPr>
        <w:t>5</w:t>
      </w:r>
      <w:r>
        <w:rPr>
          <w:spacing w:val="-2"/>
        </w:rPr>
        <w:t>月出生，本科学历，曾任山东丽鹏包装有限公</w:t>
      </w:r>
      <w:r>
        <w:rPr>
          <w:w w:val="100"/>
        </w:rPr>
        <w:t> </w:t>
      </w:r>
      <w:r>
        <w:rPr/>
        <w:t>司总裁办公室主任、行政管理部经理、公司副总裁，现任公司副总裁、董事会秘书、党委副书记。</w:t>
      </w:r>
    </w:p>
    <w:p>
      <w:pPr>
        <w:pStyle w:val="BodyText"/>
        <w:spacing w:line="290" w:lineRule="auto" w:before="48"/>
        <w:ind w:right="1107" w:firstLine="482"/>
        <w:jc w:val="right"/>
      </w:pPr>
      <w:r>
        <w:rPr>
          <w:spacing w:val="-4"/>
        </w:rPr>
        <w:t>王国祝先生：中国国籍，无永久境外居留权，</w:t>
      </w:r>
      <w:r>
        <w:rPr>
          <w:rFonts w:ascii="宋体" w:hAnsi="宋体" w:cs="宋体" w:eastAsia="宋体" w:hint="default"/>
          <w:spacing w:val="-4"/>
        </w:rPr>
        <w:t>1976</w:t>
      </w:r>
      <w:r>
        <w:rPr>
          <w:spacing w:val="-4"/>
        </w:rPr>
        <w:t>年</w:t>
      </w:r>
      <w:r>
        <w:rPr>
          <w:rFonts w:ascii="宋体" w:hAnsi="宋体" w:cs="宋体" w:eastAsia="宋体" w:hint="default"/>
          <w:spacing w:val="-4"/>
        </w:rPr>
        <w:t>11</w:t>
      </w:r>
      <w:r>
        <w:rPr>
          <w:spacing w:val="-4"/>
        </w:rPr>
        <w:t>月出生，大专学历，曾任山东丽鹏包装有限公</w:t>
      </w:r>
      <w:r>
        <w:rPr>
          <w:w w:val="100"/>
        </w:rPr>
        <w:t> </w:t>
      </w:r>
      <w:r>
        <w:rPr>
          <w:spacing w:val="-2"/>
        </w:rPr>
        <w:t>司财务部副经理、经理、公司副总裁，现任公司副总裁、财务负责人、大冶市劲鹏制盖有限公司董事长。</w:t>
      </w:r>
      <w:r>
        <w:rPr>
          <w:spacing w:val="-46"/>
        </w:rPr>
        <w:t> </w:t>
      </w:r>
      <w:r>
        <w:rPr>
          <w:spacing w:val="-46"/>
        </w:rPr>
      </w:r>
      <w:r>
        <w:rPr/>
        <w:t>王德泰先生：中国国籍，无永久境外居留权，</w:t>
      </w:r>
      <w:r>
        <w:rPr>
          <w:rFonts w:ascii="宋体" w:hAnsi="宋体" w:cs="宋体" w:eastAsia="宋体" w:hint="default"/>
        </w:rPr>
        <w:t>1971</w:t>
      </w:r>
      <w:r>
        <w:rPr/>
        <w:t>年</w:t>
      </w:r>
      <w:r>
        <w:rPr>
          <w:rFonts w:ascii="宋体" w:hAnsi="宋体" w:cs="宋体" w:eastAsia="宋体" w:hint="default"/>
        </w:rPr>
        <w:t>6</w:t>
      </w:r>
      <w:r>
        <w:rPr/>
        <w:t>月出生，中专学历，曾任山东丽鹏包装有限公</w:t>
      </w:r>
    </w:p>
    <w:p>
      <w:pPr>
        <w:pStyle w:val="BodyText"/>
        <w:spacing w:line="273" w:lineRule="auto"/>
        <w:ind w:right="1123"/>
        <w:jc w:val="left"/>
      </w:pPr>
      <w:r>
        <w:rPr>
          <w:spacing w:val="-2"/>
        </w:rPr>
        <w:t>司机械模具厂厂长助理、厂长，山东丽鹏股份有限公司运营部副经理、瓶盖厂厂长，现任公司副总裁、研</w:t>
      </w:r>
      <w:r>
        <w:rPr>
          <w:spacing w:val="-43"/>
        </w:rPr>
        <w:t> </w:t>
      </w:r>
      <w:r>
        <w:rPr>
          <w:spacing w:val="-43"/>
        </w:rPr>
      </w:r>
      <w:r>
        <w:rPr/>
        <w:t>发制造中心经理。</w:t>
      </w:r>
    </w:p>
    <w:p>
      <w:pPr>
        <w:spacing w:line="240" w:lineRule="auto" w:before="0"/>
        <w:rPr>
          <w:rFonts w:ascii="宋体" w:hAnsi="宋体" w:cs="宋体" w:eastAsia="宋体" w:hint="default"/>
          <w:sz w:val="20"/>
          <w:szCs w:val="20"/>
        </w:rPr>
      </w:pPr>
    </w:p>
    <w:p>
      <w:pPr>
        <w:pStyle w:val="BodyText"/>
        <w:spacing w:line="240" w:lineRule="auto" w:before="137"/>
        <w:ind w:right="1123"/>
        <w:jc w:val="left"/>
      </w:pPr>
      <w:r>
        <w:rPr/>
        <w:t>在股东单位任职情况</w:t>
      </w:r>
    </w:p>
    <w:p>
      <w:pPr>
        <w:pStyle w:val="BodyText"/>
        <w:spacing w:line="292" w:lineRule="auto" w:before="78"/>
        <w:ind w:right="8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在其他单位任职情况</w:t>
      </w:r>
    </w:p>
    <w:p>
      <w:pPr>
        <w:pStyle w:val="BodyText"/>
        <w:spacing w:line="240" w:lineRule="auto" w:before="2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9"/>
        <w:gridCol w:w="2341"/>
        <w:gridCol w:w="1260"/>
        <w:gridCol w:w="1611"/>
        <w:gridCol w:w="1325"/>
        <w:gridCol w:w="1594"/>
      </w:tblGrid>
      <w:tr>
        <w:trPr>
          <w:trHeight w:val="70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3"/>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720" w:hRule="exact"/>
        </w:trPr>
        <w:tc>
          <w:tcPr>
            <w:tcW w:w="14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孙世尧</w:t>
            </w:r>
          </w:p>
        </w:tc>
        <w:tc>
          <w:tcPr>
            <w:tcW w:w="23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烟台和俊制盖有限公司</w:t>
            </w:r>
          </w:p>
        </w:tc>
        <w:tc>
          <w:tcPr>
            <w:tcW w:w="1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曲维强</w:t>
            </w:r>
          </w:p>
        </w:tc>
        <w:tc>
          <w:tcPr>
            <w:tcW w:w="23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烟台和俊制盖有限公司</w:t>
            </w:r>
          </w:p>
        </w:tc>
        <w:tc>
          <w:tcPr>
            <w:tcW w:w="1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headerReference w:type="default" r:id="rId21"/>
          <w:footerReference w:type="default" r:id="rId2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28"/>
        <w:gridCol w:w="2341"/>
        <w:gridCol w:w="1249"/>
        <w:gridCol w:w="1622"/>
        <w:gridCol w:w="1325"/>
        <w:gridCol w:w="1594"/>
      </w:tblGrid>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CCE8CF"/>
          </w:tcPr>
          <w:p>
            <w:pPr/>
          </w:p>
        </w:tc>
        <w:tc>
          <w:tcPr>
            <w:tcW w:w="2341" w:type="dxa"/>
            <w:tcBorders>
              <w:top w:val="single" w:sz="4" w:space="0" w:color="000000"/>
              <w:left w:val="single" w:sz="4" w:space="0" w:color="000000"/>
              <w:bottom w:val="nil" w:sz="6" w:space="0" w:color="auto"/>
              <w:right w:val="single" w:sz="4" w:space="0" w:color="000000"/>
            </w:tcBorders>
            <w:shd w:val="clear" w:color="auto" w:fill="CCE8CF"/>
          </w:tcPr>
          <w:p>
            <w:pPr/>
          </w:p>
        </w:tc>
        <w:tc>
          <w:tcPr>
            <w:tcW w:w="1249" w:type="dxa"/>
            <w:tcBorders>
              <w:top w:val="single" w:sz="4" w:space="0" w:color="000000"/>
              <w:left w:val="single" w:sz="4" w:space="0" w:color="000000"/>
              <w:bottom w:val="nil" w:sz="6" w:space="0" w:color="auto"/>
              <w:right w:val="single" w:sz="4" w:space="0" w:color="000000"/>
            </w:tcBorders>
            <w:shd w:val="clear" w:color="auto" w:fill="CCE8CF"/>
          </w:tcPr>
          <w:p>
            <w:pPr/>
          </w:p>
        </w:tc>
        <w:tc>
          <w:tcPr>
            <w:tcW w:w="1622" w:type="dxa"/>
            <w:vMerge w:val="restart"/>
            <w:tcBorders>
              <w:top w:val="single" w:sz="4" w:space="0" w:color="000000"/>
              <w:left w:val="single" w:sz="9" w:space="0" w:color="CCE8CF"/>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罗田</w:t>
            </w:r>
          </w:p>
        </w:tc>
        <w:tc>
          <w:tcPr>
            <w:tcW w:w="23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成都海川制盖有限公司</w:t>
            </w:r>
          </w:p>
        </w:tc>
        <w:tc>
          <w:tcPr>
            <w:tcW w:w="124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2" w:type="dxa"/>
            <w:vMerge/>
            <w:tcBorders>
              <w:left w:val="single" w:sz="9" w:space="0" w:color="CCE8CF"/>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428" w:type="dxa"/>
            <w:tcBorders>
              <w:top w:val="nil" w:sz="6" w:space="0" w:color="auto"/>
              <w:left w:val="single" w:sz="4" w:space="0" w:color="000000"/>
              <w:bottom w:val="single" w:sz="4" w:space="0" w:color="000000"/>
              <w:right w:val="single" w:sz="4" w:space="0" w:color="000000"/>
            </w:tcBorders>
            <w:shd w:val="clear" w:color="auto" w:fill="CCE8CF"/>
          </w:tcPr>
          <w:p>
            <w:pPr/>
          </w:p>
        </w:tc>
        <w:tc>
          <w:tcPr>
            <w:tcW w:w="2341" w:type="dxa"/>
            <w:tcBorders>
              <w:top w:val="nil" w:sz="6" w:space="0" w:color="auto"/>
              <w:left w:val="single" w:sz="4" w:space="0" w:color="000000"/>
              <w:bottom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single" w:sz="4" w:space="0" w:color="000000"/>
              <w:right w:val="single" w:sz="4" w:space="0" w:color="000000"/>
            </w:tcBorders>
            <w:shd w:val="clear" w:color="auto" w:fill="CCE8CF"/>
          </w:tcPr>
          <w:p>
            <w:pPr/>
          </w:p>
        </w:tc>
        <w:tc>
          <w:tcPr>
            <w:tcW w:w="1622" w:type="dxa"/>
            <w:vMerge/>
            <w:tcBorders>
              <w:left w:val="single" w:sz="9" w:space="0" w:color="CCE8CF"/>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428" w:type="dxa"/>
            <w:tcBorders>
              <w:top w:val="single" w:sz="4" w:space="0" w:color="000000"/>
              <w:left w:val="single" w:sz="4" w:space="0" w:color="000000"/>
              <w:bottom w:val="nil" w:sz="6" w:space="0" w:color="auto"/>
              <w:right w:val="single" w:sz="4" w:space="0" w:color="000000"/>
            </w:tcBorders>
            <w:shd w:val="clear" w:color="auto" w:fill="CCE8CF"/>
          </w:tcPr>
          <w:p>
            <w:pPr/>
          </w:p>
        </w:tc>
        <w:tc>
          <w:tcPr>
            <w:tcW w:w="2341" w:type="dxa"/>
            <w:vMerge w:val="restart"/>
            <w:tcBorders>
              <w:top w:val="single" w:sz="4" w:space="0" w:color="000000"/>
              <w:left w:val="single" w:sz="4" w:space="0" w:color="000000"/>
              <w:right w:val="single" w:sz="4" w:space="0" w:color="000000"/>
            </w:tcBorders>
            <w:shd w:val="clear" w:color="auto" w:fill="CCE8CF"/>
          </w:tcPr>
          <w:p>
            <w:pPr>
              <w:pStyle w:val="TableParagraph"/>
              <w:spacing w:line="271" w:lineRule="auto" w:before="29"/>
              <w:ind w:left="24" w:right="202"/>
              <w:jc w:val="left"/>
              <w:rPr>
                <w:rFonts w:ascii="宋体" w:hAnsi="宋体" w:cs="宋体" w:eastAsia="宋体" w:hint="default"/>
                <w:sz w:val="21"/>
                <w:szCs w:val="21"/>
              </w:rPr>
            </w:pPr>
            <w:r>
              <w:rPr>
                <w:rFonts w:ascii="宋体" w:hAnsi="宋体" w:cs="宋体" w:eastAsia="宋体" w:hint="default"/>
                <w:spacing w:val="-2"/>
                <w:sz w:val="21"/>
                <w:szCs w:val="21"/>
              </w:rPr>
              <w:t>四川泸州丽鹏制盖有限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249" w:type="dxa"/>
            <w:tcBorders>
              <w:top w:val="single" w:sz="4" w:space="0" w:color="000000"/>
              <w:left w:val="single" w:sz="4" w:space="0" w:color="000000"/>
              <w:bottom w:val="nil" w:sz="6" w:space="0" w:color="auto"/>
              <w:right w:val="single" w:sz="4" w:space="0" w:color="000000"/>
            </w:tcBorders>
            <w:shd w:val="clear" w:color="auto" w:fill="CCE8CF"/>
          </w:tcPr>
          <w:p>
            <w:pPr/>
          </w:p>
        </w:tc>
        <w:tc>
          <w:tcPr>
            <w:tcW w:w="1622" w:type="dxa"/>
            <w:vMerge w:val="restart"/>
            <w:tcBorders>
              <w:top w:val="single" w:sz="4" w:space="0" w:color="000000"/>
              <w:left w:val="single" w:sz="9" w:space="0" w:color="CCE8CF"/>
              <w:right w:val="single" w:sz="4" w:space="0" w:color="000000"/>
            </w:tcBorders>
          </w:tcPr>
          <w:p>
            <w:pPr>
              <w:pStyle w:val="TableParagraph"/>
              <w:spacing w:line="240" w:lineRule="auto" w:before="29"/>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24</w:t>
            </w:r>
            <w:r>
              <w:rPr>
                <w:rFonts w:ascii="Times New Roman" w:hAnsi="Times New Roman" w:cs="Times New Roman" w:eastAsia="Times New Roman" w:hint="default"/>
                <w:sz w:val="21"/>
                <w:szCs w:val="21"/>
              </w:rPr>
            </w:r>
          </w:p>
          <w:p>
            <w:pPr>
              <w:pStyle w:val="TableParagraph"/>
              <w:spacing w:line="240" w:lineRule="auto" w:before="19"/>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罗田</w:t>
            </w:r>
          </w:p>
        </w:tc>
        <w:tc>
          <w:tcPr>
            <w:tcW w:w="2341" w:type="dxa"/>
            <w:vMerge/>
            <w:tcBorders>
              <w:left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2" w:type="dxa"/>
            <w:vMerge/>
            <w:tcBorders>
              <w:left w:val="single" w:sz="9" w:space="0" w:color="CCE8CF"/>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CCE8CF"/>
          </w:tcPr>
          <w:p>
            <w:pPr/>
          </w:p>
        </w:tc>
        <w:tc>
          <w:tcPr>
            <w:tcW w:w="2341" w:type="dxa"/>
            <w:vMerge/>
            <w:tcBorders>
              <w:left w:val="single" w:sz="4" w:space="0" w:color="000000"/>
              <w:bottom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single" w:sz="4" w:space="0" w:color="000000"/>
              <w:right w:val="single" w:sz="4" w:space="0" w:color="000000"/>
            </w:tcBorders>
            <w:shd w:val="clear" w:color="auto" w:fill="CCE8CF"/>
          </w:tcPr>
          <w:p>
            <w:pPr/>
          </w:p>
        </w:tc>
        <w:tc>
          <w:tcPr>
            <w:tcW w:w="1622" w:type="dxa"/>
            <w:vMerge/>
            <w:tcBorders>
              <w:left w:val="single" w:sz="9" w:space="0" w:color="CCE8CF"/>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CCE8CF"/>
          </w:tcPr>
          <w:p>
            <w:pPr/>
          </w:p>
        </w:tc>
        <w:tc>
          <w:tcPr>
            <w:tcW w:w="2341" w:type="dxa"/>
            <w:vMerge w:val="restart"/>
            <w:tcBorders>
              <w:top w:val="single" w:sz="4" w:space="0" w:color="000000"/>
              <w:left w:val="single" w:sz="4" w:space="0" w:color="000000"/>
              <w:right w:val="single" w:sz="4" w:space="0" w:color="000000"/>
            </w:tcBorders>
            <w:shd w:val="clear" w:color="auto" w:fill="CCE8CF"/>
          </w:tcPr>
          <w:p>
            <w:pPr>
              <w:pStyle w:val="TableParagraph"/>
              <w:spacing w:line="273" w:lineRule="auto" w:before="28"/>
              <w:ind w:left="24" w:right="202"/>
              <w:jc w:val="left"/>
              <w:rPr>
                <w:rFonts w:ascii="宋体" w:hAnsi="宋体" w:cs="宋体" w:eastAsia="宋体" w:hint="default"/>
                <w:sz w:val="21"/>
                <w:szCs w:val="21"/>
              </w:rPr>
            </w:pPr>
            <w:r>
              <w:rPr>
                <w:rFonts w:ascii="宋体" w:hAnsi="宋体" w:cs="宋体" w:eastAsia="宋体" w:hint="default"/>
                <w:spacing w:val="-2"/>
                <w:sz w:val="21"/>
                <w:szCs w:val="21"/>
              </w:rPr>
              <w:t>北京鹏和祥包装制品有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49" w:type="dxa"/>
            <w:tcBorders>
              <w:top w:val="single" w:sz="4" w:space="0" w:color="000000"/>
              <w:left w:val="single" w:sz="4" w:space="0" w:color="000000"/>
              <w:bottom w:val="nil" w:sz="6" w:space="0" w:color="auto"/>
              <w:right w:val="single" w:sz="4" w:space="0" w:color="000000"/>
            </w:tcBorders>
            <w:shd w:val="clear" w:color="auto" w:fill="CCE8CF"/>
          </w:tcPr>
          <w:p>
            <w:pPr/>
          </w:p>
        </w:tc>
        <w:tc>
          <w:tcPr>
            <w:tcW w:w="1622" w:type="dxa"/>
            <w:vMerge w:val="restart"/>
            <w:tcBorders>
              <w:top w:val="single" w:sz="4" w:space="0" w:color="000000"/>
              <w:left w:val="single" w:sz="9" w:space="0" w:color="CCE8CF"/>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07</w:t>
            </w:r>
            <w:r>
              <w:rPr>
                <w:rFonts w:ascii="Times New Roman" w:hAnsi="Times New Roman" w:cs="Times New Roman" w:eastAsia="Times New Roman" w:hint="default"/>
                <w:sz w:val="21"/>
                <w:szCs w:val="21"/>
              </w:rPr>
            </w:r>
          </w:p>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张本杰</w:t>
            </w:r>
          </w:p>
        </w:tc>
        <w:tc>
          <w:tcPr>
            <w:tcW w:w="2341" w:type="dxa"/>
            <w:vMerge/>
            <w:tcBorders>
              <w:left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2" w:type="dxa"/>
            <w:vMerge/>
            <w:tcBorders>
              <w:left w:val="single" w:sz="9" w:space="0" w:color="CCE8CF"/>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428" w:type="dxa"/>
            <w:tcBorders>
              <w:top w:val="nil" w:sz="6" w:space="0" w:color="auto"/>
              <w:left w:val="single" w:sz="4" w:space="0" w:color="000000"/>
              <w:bottom w:val="single" w:sz="4" w:space="0" w:color="000000"/>
              <w:right w:val="single" w:sz="4" w:space="0" w:color="000000"/>
            </w:tcBorders>
            <w:shd w:val="clear" w:color="auto" w:fill="CCE8CF"/>
          </w:tcPr>
          <w:p>
            <w:pPr/>
          </w:p>
        </w:tc>
        <w:tc>
          <w:tcPr>
            <w:tcW w:w="2341" w:type="dxa"/>
            <w:vMerge/>
            <w:tcBorders>
              <w:left w:val="single" w:sz="4" w:space="0" w:color="000000"/>
              <w:bottom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single" w:sz="4" w:space="0" w:color="000000"/>
              <w:right w:val="single" w:sz="4" w:space="0" w:color="000000"/>
            </w:tcBorders>
            <w:shd w:val="clear" w:color="auto" w:fill="CCE8CF"/>
          </w:tcPr>
          <w:p>
            <w:pPr/>
          </w:p>
        </w:tc>
        <w:tc>
          <w:tcPr>
            <w:tcW w:w="1622" w:type="dxa"/>
            <w:vMerge/>
            <w:tcBorders>
              <w:left w:val="single" w:sz="9" w:space="0" w:color="CCE8CF"/>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428" w:type="dxa"/>
            <w:tcBorders>
              <w:top w:val="single" w:sz="4" w:space="0" w:color="000000"/>
              <w:left w:val="single" w:sz="4" w:space="0" w:color="000000"/>
              <w:bottom w:val="nil" w:sz="6" w:space="0" w:color="auto"/>
              <w:right w:val="single" w:sz="4" w:space="0" w:color="000000"/>
            </w:tcBorders>
            <w:shd w:val="clear" w:color="auto" w:fill="CCE8CF"/>
          </w:tcPr>
          <w:p>
            <w:pPr/>
          </w:p>
        </w:tc>
        <w:tc>
          <w:tcPr>
            <w:tcW w:w="2341" w:type="dxa"/>
            <w:vMerge w:val="restart"/>
            <w:tcBorders>
              <w:top w:val="single" w:sz="4" w:space="0" w:color="000000"/>
              <w:left w:val="single" w:sz="4" w:space="0" w:color="000000"/>
              <w:right w:val="single" w:sz="4" w:space="0" w:color="000000"/>
            </w:tcBorders>
            <w:shd w:val="clear" w:color="auto" w:fill="CCE8CF"/>
          </w:tcPr>
          <w:p>
            <w:pPr>
              <w:pStyle w:val="TableParagraph"/>
              <w:spacing w:line="271" w:lineRule="auto" w:before="29"/>
              <w:ind w:left="24" w:right="202"/>
              <w:jc w:val="left"/>
              <w:rPr>
                <w:rFonts w:ascii="宋体" w:hAnsi="宋体" w:cs="宋体" w:eastAsia="宋体" w:hint="default"/>
                <w:sz w:val="21"/>
                <w:szCs w:val="21"/>
              </w:rPr>
            </w:pPr>
            <w:r>
              <w:rPr>
                <w:rFonts w:ascii="宋体" w:hAnsi="宋体" w:cs="宋体" w:eastAsia="宋体" w:hint="default"/>
                <w:spacing w:val="-2"/>
                <w:sz w:val="21"/>
                <w:szCs w:val="21"/>
              </w:rPr>
              <w:t>大冶市劲鹏制盖有限公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49" w:type="dxa"/>
            <w:tcBorders>
              <w:top w:val="single" w:sz="4" w:space="0" w:color="000000"/>
              <w:left w:val="single" w:sz="4" w:space="0" w:color="000000"/>
              <w:bottom w:val="nil" w:sz="6" w:space="0" w:color="auto"/>
              <w:right w:val="single" w:sz="4" w:space="0" w:color="000000"/>
            </w:tcBorders>
            <w:shd w:val="clear" w:color="auto" w:fill="CCE8CF"/>
          </w:tcPr>
          <w:p>
            <w:pPr/>
          </w:p>
        </w:tc>
        <w:tc>
          <w:tcPr>
            <w:tcW w:w="1622" w:type="dxa"/>
            <w:vMerge w:val="restart"/>
            <w:tcBorders>
              <w:top w:val="single" w:sz="4" w:space="0" w:color="000000"/>
              <w:left w:val="single" w:sz="9" w:space="0" w:color="CCE8CF"/>
              <w:right w:val="single" w:sz="4" w:space="0" w:color="000000"/>
            </w:tcBorders>
          </w:tcPr>
          <w:p>
            <w:pPr>
              <w:pStyle w:val="TableParagraph"/>
              <w:spacing w:line="240" w:lineRule="auto" w:before="29"/>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02</w:t>
            </w:r>
            <w:r>
              <w:rPr>
                <w:rFonts w:ascii="Times New Roman" w:hAnsi="Times New Roman" w:cs="Times New Roman" w:eastAsia="Times New Roman" w:hint="default"/>
                <w:sz w:val="21"/>
                <w:szCs w:val="21"/>
              </w:rPr>
            </w:r>
          </w:p>
          <w:p>
            <w:pPr>
              <w:pStyle w:val="TableParagraph"/>
              <w:spacing w:line="240" w:lineRule="auto" w:before="19"/>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王国祝</w:t>
            </w:r>
          </w:p>
        </w:tc>
        <w:tc>
          <w:tcPr>
            <w:tcW w:w="2341" w:type="dxa"/>
            <w:vMerge/>
            <w:tcBorders>
              <w:left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2" w:type="dxa"/>
            <w:vMerge/>
            <w:tcBorders>
              <w:left w:val="single" w:sz="9" w:space="0" w:color="CCE8CF"/>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CCE8CF"/>
          </w:tcPr>
          <w:p>
            <w:pPr/>
          </w:p>
        </w:tc>
        <w:tc>
          <w:tcPr>
            <w:tcW w:w="2341" w:type="dxa"/>
            <w:vMerge/>
            <w:tcBorders>
              <w:left w:val="single" w:sz="4" w:space="0" w:color="000000"/>
              <w:bottom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single" w:sz="4" w:space="0" w:color="000000"/>
              <w:right w:val="single" w:sz="4" w:space="0" w:color="000000"/>
            </w:tcBorders>
            <w:shd w:val="clear" w:color="auto" w:fill="CCE8CF"/>
          </w:tcPr>
          <w:p>
            <w:pPr/>
          </w:p>
        </w:tc>
        <w:tc>
          <w:tcPr>
            <w:tcW w:w="1622" w:type="dxa"/>
            <w:vMerge/>
            <w:tcBorders>
              <w:left w:val="single" w:sz="9" w:space="0" w:color="CCE8CF"/>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CCE8CF"/>
          </w:tcPr>
          <w:p>
            <w:pPr/>
          </w:p>
        </w:tc>
        <w:tc>
          <w:tcPr>
            <w:tcW w:w="2341" w:type="dxa"/>
            <w:tcBorders>
              <w:top w:val="single" w:sz="4" w:space="0" w:color="000000"/>
              <w:left w:val="single" w:sz="4" w:space="0" w:color="000000"/>
              <w:bottom w:val="nil" w:sz="6" w:space="0" w:color="auto"/>
              <w:right w:val="single" w:sz="4" w:space="0" w:color="000000"/>
            </w:tcBorders>
            <w:shd w:val="clear" w:color="auto" w:fill="CCE8CF"/>
          </w:tcPr>
          <w:p>
            <w:pPr/>
          </w:p>
        </w:tc>
        <w:tc>
          <w:tcPr>
            <w:tcW w:w="1249" w:type="dxa"/>
            <w:tcBorders>
              <w:top w:val="single" w:sz="4" w:space="0" w:color="000000"/>
              <w:left w:val="single" w:sz="4" w:space="0" w:color="000000"/>
              <w:bottom w:val="nil" w:sz="6" w:space="0" w:color="auto"/>
              <w:right w:val="single" w:sz="4" w:space="0" w:color="000000"/>
            </w:tcBorders>
            <w:shd w:val="clear" w:color="auto" w:fill="CCE8CF"/>
          </w:tcPr>
          <w:p>
            <w:pPr/>
          </w:p>
        </w:tc>
        <w:tc>
          <w:tcPr>
            <w:tcW w:w="1622" w:type="dxa"/>
            <w:vMerge w:val="restart"/>
            <w:tcBorders>
              <w:top w:val="single" w:sz="4" w:space="0" w:color="000000"/>
              <w:left w:val="single" w:sz="9" w:space="0" w:color="CCE8CF"/>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刘宗江</w:t>
            </w:r>
          </w:p>
        </w:tc>
        <w:tc>
          <w:tcPr>
            <w:tcW w:w="234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烟台丽鹏包装有限公司</w:t>
            </w:r>
          </w:p>
        </w:tc>
        <w:tc>
          <w:tcPr>
            <w:tcW w:w="124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622" w:type="dxa"/>
            <w:vMerge/>
            <w:tcBorders>
              <w:left w:val="single" w:sz="9" w:space="0" w:color="CCE8CF"/>
              <w:right w:val="single" w:sz="4" w:space="0" w:color="000000"/>
            </w:tcBorders>
          </w:tcPr>
          <w:p>
            <w:pPr/>
          </w:p>
        </w:tc>
        <w:tc>
          <w:tcPr>
            <w:tcW w:w="132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2" w:hRule="exact"/>
        </w:trPr>
        <w:tc>
          <w:tcPr>
            <w:tcW w:w="1428" w:type="dxa"/>
            <w:tcBorders>
              <w:top w:val="nil" w:sz="6" w:space="0" w:color="auto"/>
              <w:left w:val="single" w:sz="4" w:space="0" w:color="000000"/>
              <w:bottom w:val="single" w:sz="4" w:space="0" w:color="000000"/>
              <w:right w:val="single" w:sz="4" w:space="0" w:color="000000"/>
            </w:tcBorders>
            <w:shd w:val="clear" w:color="auto" w:fill="CCE8CF"/>
          </w:tcPr>
          <w:p>
            <w:pPr/>
          </w:p>
        </w:tc>
        <w:tc>
          <w:tcPr>
            <w:tcW w:w="2341" w:type="dxa"/>
            <w:tcBorders>
              <w:top w:val="nil" w:sz="6" w:space="0" w:color="auto"/>
              <w:left w:val="single" w:sz="4" w:space="0" w:color="000000"/>
              <w:bottom w:val="single" w:sz="4" w:space="0" w:color="000000"/>
              <w:right w:val="single" w:sz="4" w:space="0" w:color="000000"/>
            </w:tcBorders>
            <w:shd w:val="clear" w:color="auto" w:fill="CCE8CF"/>
          </w:tcPr>
          <w:p>
            <w:pPr/>
          </w:p>
        </w:tc>
        <w:tc>
          <w:tcPr>
            <w:tcW w:w="1249" w:type="dxa"/>
            <w:tcBorders>
              <w:top w:val="nil" w:sz="6" w:space="0" w:color="auto"/>
              <w:left w:val="single" w:sz="4" w:space="0" w:color="000000"/>
              <w:bottom w:val="single" w:sz="4" w:space="0" w:color="000000"/>
              <w:right w:val="single" w:sz="4" w:space="0" w:color="000000"/>
            </w:tcBorders>
            <w:shd w:val="clear" w:color="auto" w:fill="CCE8CF"/>
          </w:tcPr>
          <w:p>
            <w:pPr/>
          </w:p>
        </w:tc>
        <w:tc>
          <w:tcPr>
            <w:tcW w:w="1622" w:type="dxa"/>
            <w:vMerge/>
            <w:tcBorders>
              <w:left w:val="single" w:sz="9" w:space="0" w:color="CCE8CF"/>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2" w:hRule="exact"/>
        </w:trPr>
        <w:tc>
          <w:tcPr>
            <w:tcW w:w="1428" w:type="dxa"/>
            <w:vMerge w:val="restart"/>
            <w:tcBorders>
              <w:top w:val="single" w:sz="4" w:space="0" w:color="000000"/>
              <w:left w:val="single" w:sz="4" w:space="0" w:color="000000"/>
              <w:right w:val="single" w:sz="9" w:space="0" w:color="CCE8CF"/>
            </w:tcBorders>
            <w:shd w:val="clear" w:color="auto" w:fill="D2D2D2"/>
          </w:tcPr>
          <w:p>
            <w:pPr>
              <w:pStyle w:val="TableParagraph"/>
              <w:spacing w:line="271" w:lineRule="auto" w:before="29"/>
              <w:ind w:left="12" w:right="136"/>
              <w:jc w:val="left"/>
              <w:rPr>
                <w:rFonts w:ascii="宋体" w:hAnsi="宋体" w:cs="宋体" w:eastAsia="宋体" w:hint="default"/>
                <w:sz w:val="21"/>
                <w:szCs w:val="21"/>
              </w:rPr>
            </w:pPr>
            <w:r>
              <w:rPr>
                <w:rFonts w:ascii="宋体" w:hAnsi="宋体" w:cs="宋体" w:eastAsia="宋体" w:hint="default"/>
                <w:sz w:val="21"/>
                <w:szCs w:val="21"/>
              </w:rPr>
              <w:t>在其他单位任</w:t>
            </w:r>
            <w:r>
              <w:rPr>
                <w:rFonts w:ascii="宋体" w:hAnsi="宋体" w:cs="宋体" w:eastAsia="宋体" w:hint="default"/>
                <w:w w:val="100"/>
                <w:sz w:val="21"/>
                <w:szCs w:val="21"/>
              </w:rPr>
              <w:t> </w:t>
            </w:r>
            <w:r>
              <w:rPr>
                <w:rFonts w:ascii="宋体" w:hAnsi="宋体" w:cs="宋体" w:eastAsia="宋体" w:hint="default"/>
                <w:sz w:val="21"/>
                <w:szCs w:val="21"/>
              </w:rPr>
              <w:t>职情况的说明</w:t>
            </w:r>
          </w:p>
        </w:tc>
        <w:tc>
          <w:tcPr>
            <w:tcW w:w="8130"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1428" w:type="dxa"/>
            <w:vMerge/>
            <w:tcBorders>
              <w:left w:val="single" w:sz="4" w:space="0" w:color="000000"/>
              <w:right w:val="single" w:sz="9" w:space="0" w:color="CCE8CF"/>
            </w:tcBorders>
            <w:shd w:val="clear" w:color="auto" w:fill="D2D2D2"/>
          </w:tcPr>
          <w:p>
            <w:pPr/>
          </w:p>
        </w:tc>
        <w:tc>
          <w:tcPr>
            <w:tcW w:w="8130"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61" w:hRule="exact"/>
        </w:trPr>
        <w:tc>
          <w:tcPr>
            <w:tcW w:w="1428" w:type="dxa"/>
            <w:vMerge/>
            <w:tcBorders>
              <w:left w:val="single" w:sz="4" w:space="0" w:color="000000"/>
              <w:bottom w:val="single" w:sz="4" w:space="0" w:color="000000"/>
              <w:right w:val="single" w:sz="9" w:space="0" w:color="CCE8CF"/>
            </w:tcBorders>
            <w:shd w:val="clear" w:color="auto" w:fill="D2D2D2"/>
          </w:tcPr>
          <w:p>
            <w:pPr/>
          </w:p>
        </w:tc>
        <w:tc>
          <w:tcPr>
            <w:tcW w:w="8130"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董事、监事、高级管理人员报酬的决策程序、确定依据</w:t>
      </w:r>
    </w:p>
    <w:p>
      <w:pPr>
        <w:pStyle w:val="BodyText"/>
        <w:spacing w:line="264" w:lineRule="auto" w:before="75"/>
        <w:ind w:right="1123" w:firstLine="420"/>
        <w:jc w:val="left"/>
      </w:pPr>
      <w:r>
        <w:rPr>
          <w:rFonts w:ascii="Times New Roman" w:hAnsi="Times New Roman" w:cs="Times New Roman" w:eastAsia="Times New Roman" w:hint="default"/>
        </w:rPr>
        <w:t>1</w:t>
      </w:r>
      <w:r>
        <w:rPr/>
        <w:t>、决策程序：根据公司章程规定和经营情况，公司董事、监事的报酬分别由董事会、监事会提出议</w:t>
      </w:r>
      <w:r>
        <w:rPr>
          <w:w w:val="100"/>
        </w:rPr>
        <w:t> </w:t>
      </w:r>
      <w:r>
        <w:rPr>
          <w:spacing w:val="-2"/>
        </w:rPr>
        <w:t>案，股东大会批准；公司总裁、副总裁、财务总监、董事会秘书等高级管理人员的报酬由公司董事会薪酬</w:t>
      </w:r>
      <w:r>
        <w:rPr>
          <w:spacing w:val="-43"/>
        </w:rPr>
        <w:t> </w:t>
      </w:r>
      <w:r>
        <w:rPr>
          <w:spacing w:val="-43"/>
        </w:rPr>
      </w:r>
      <w:r>
        <w:rPr/>
        <w:t>与考核委员会提出议案，报董事会批准。</w:t>
      </w:r>
    </w:p>
    <w:p>
      <w:pPr>
        <w:pStyle w:val="BodyText"/>
        <w:spacing w:line="256" w:lineRule="auto" w:before="16"/>
        <w:ind w:right="1123" w:firstLine="420"/>
        <w:jc w:val="left"/>
      </w:pPr>
      <w:r>
        <w:rPr>
          <w:rFonts w:ascii="Times New Roman" w:hAnsi="Times New Roman" w:cs="Times New Roman" w:eastAsia="Times New Roman" w:hint="default"/>
          <w:spacing w:val="-2"/>
        </w:rPr>
        <w:t>2</w:t>
      </w:r>
      <w:r>
        <w:rPr>
          <w:spacing w:val="-2"/>
        </w:rPr>
        <w:t>、确定依据：公司董事、监事、高级管理人员报酬根据公司总体发展战略和年度的经营目标以及其</w:t>
      </w:r>
      <w:r>
        <w:rPr>
          <w:w w:val="100"/>
        </w:rPr>
        <w:t> </w:t>
      </w:r>
      <w:r>
        <w:rPr/>
        <w:t>在公司担任的职务，按公司实际情况结合工资制度、考核办法获得劳动报酬。</w:t>
      </w:r>
    </w:p>
    <w:p>
      <w:pPr>
        <w:pStyle w:val="BodyText"/>
        <w:spacing w:line="240" w:lineRule="auto" w:before="63"/>
        <w:ind w:right="1123"/>
        <w:jc w:val="left"/>
      </w:pPr>
      <w:r>
        <w:rPr/>
        <w:t>公司报告期内董事、监事和高级管理人员报酬情况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副董事长、总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181,680.00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143,544.00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143,544.00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122,040.00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122,520.00</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战淑萍</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61,320.00</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85,560.00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邢路坤</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148,200.00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323" w:header="877" w:top="1060" w:bottom="1520" w:left="980" w:right="0"/>
          <w:pgNumType w:start="33"/>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145,800.00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134,520.00</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财务总监、副 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133,560.00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122,040.00</w:t>
            </w:r>
          </w:p>
        </w:tc>
      </w:tr>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2,162,784.00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2,162,784.00</w:t>
            </w:r>
          </w:p>
        </w:tc>
      </w:tr>
    </w:tbl>
    <w:p>
      <w:pPr>
        <w:pStyle w:val="BodyText"/>
        <w:spacing w:line="240" w:lineRule="auto" w:before="29"/>
        <w:ind w:right="1123"/>
        <w:jc w:val="left"/>
      </w:pPr>
      <w:r>
        <w:rPr/>
        <w:t>公司董事、监事、高级管理人员报告期内被授予的股权激励情况</w:t>
      </w:r>
    </w:p>
    <w:p>
      <w:pPr>
        <w:pStyle w:val="BodyText"/>
        <w:spacing w:line="240" w:lineRule="auto" w:before="7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2"/>
        <w:spacing w:line="240" w:lineRule="auto" w:before="0"/>
        <w:ind w:right="1123"/>
        <w:jc w:val="left"/>
        <w:rPr>
          <w:b w:val="0"/>
          <w:bCs w:val="0"/>
        </w:rPr>
      </w:pPr>
      <w:r>
        <w:rPr/>
        <w:t>四、公司员工情况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日，本公司员工总数为</w:t>
      </w:r>
      <w:r>
        <w:rPr>
          <w:rFonts w:ascii="Times New Roman" w:hAnsi="Times New Roman" w:cs="Times New Roman" w:eastAsia="Times New Roman" w:hint="default"/>
        </w:rPr>
        <w:t>1792</w:t>
      </w:r>
      <w:r>
        <w:rPr/>
        <w:t>人，构成情况如下：</w:t>
      </w:r>
    </w:p>
    <w:p>
      <w:pPr>
        <w:pStyle w:val="BodyText"/>
        <w:spacing w:line="240" w:lineRule="auto" w:before="21"/>
        <w:ind w:left="633" w:right="1123"/>
        <w:jc w:val="left"/>
      </w:pPr>
      <w:r>
        <w:rPr>
          <w:rFonts w:ascii="Times New Roman" w:hAnsi="Times New Roman" w:cs="Times New Roman" w:eastAsia="Times New Roman" w:hint="default"/>
        </w:rPr>
        <w:t>1</w:t>
      </w:r>
      <w:r>
        <w:rPr/>
        <w:t>、员工专业构成</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3"/>
      </w:tblGrid>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员工类别</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员工人数（人）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占员工总人数比例（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1095</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61.11</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财务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56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3.13</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66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3.68</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459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25.61</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行政</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116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6.47</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1792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10"/>
        <w:rPr>
          <w:rFonts w:ascii="宋体" w:hAnsi="宋体" w:cs="宋体" w:eastAsia="宋体" w:hint="default"/>
          <w:sz w:val="5"/>
          <w:szCs w:val="5"/>
        </w:rPr>
      </w:pPr>
    </w:p>
    <w:p>
      <w:pPr>
        <w:spacing w:line="3898" w:lineRule="exact"/>
        <w:ind w:left="15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065923" cy="247573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4" cstate="print"/>
                    <a:stretch>
                      <a:fillRect/>
                    </a:stretch>
                  </pic:blipFill>
                  <pic:spPr>
                    <a:xfrm>
                      <a:off x="0" y="0"/>
                      <a:ext cx="4065923" cy="2475738"/>
                    </a:xfrm>
                    <a:prstGeom prst="rect">
                      <a:avLst/>
                    </a:prstGeom>
                  </pic:spPr>
                </pic:pic>
              </a:graphicData>
            </a:graphic>
          </wp:inline>
        </w:drawing>
      </w:r>
      <w:r>
        <w:rPr>
          <w:rFonts w:ascii="宋体" w:hAnsi="宋体" w:cs="宋体" w:eastAsia="宋体" w:hint="default"/>
          <w:position w:val="-77"/>
          <w:sz w:val="20"/>
          <w:szCs w:val="20"/>
        </w:rPr>
      </w:r>
    </w:p>
    <w:p>
      <w:pPr>
        <w:pStyle w:val="BodyText"/>
        <w:spacing w:line="240" w:lineRule="auto" w:before="71"/>
        <w:ind w:left="633" w:right="1123"/>
        <w:jc w:val="left"/>
      </w:pPr>
      <w:r>
        <w:rPr>
          <w:rFonts w:ascii="Times New Roman" w:hAnsi="Times New Roman" w:cs="Times New Roman" w:eastAsia="Times New Roman" w:hint="default"/>
        </w:rPr>
        <w:t>2</w:t>
      </w:r>
      <w:r>
        <w:rPr/>
        <w:t>、员工教育程度</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3"/>
      </w:tblGrid>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员工类别</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员工人数（人）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占员工总人数比例（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本科及本科以上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80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4.46</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186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10.38</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1526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85.16</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1792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1323" w:top="1060" w:bottom="154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898" w:lineRule="exact"/>
        <w:ind w:left="15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065923" cy="247573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5" cstate="print"/>
                    <a:stretch>
                      <a:fillRect/>
                    </a:stretch>
                  </pic:blipFill>
                  <pic:spPr>
                    <a:xfrm>
                      <a:off x="0" y="0"/>
                      <a:ext cx="4065923" cy="2475738"/>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5"/>
        <w:rPr>
          <w:rFonts w:ascii="宋体" w:hAnsi="宋体" w:cs="宋体" w:eastAsia="宋体" w:hint="default"/>
          <w:sz w:val="26"/>
          <w:szCs w:val="26"/>
        </w:rPr>
      </w:pPr>
    </w:p>
    <w:p>
      <w:pPr>
        <w:pStyle w:val="BodyText"/>
        <w:spacing w:line="240" w:lineRule="auto" w:before="36"/>
        <w:ind w:right="1123"/>
        <w:jc w:val="left"/>
      </w:pPr>
      <w:r>
        <w:rPr>
          <w:rFonts w:ascii="宋体" w:hAnsi="宋体" w:cs="宋体" w:eastAsia="宋体" w:hint="default"/>
        </w:rPr>
        <w:t>3</w:t>
      </w:r>
      <w:r>
        <w:rPr/>
        <w:t>、</w:t>
      </w:r>
      <w:r>
        <w:rPr>
          <w:rFonts w:ascii="宋体" w:hAnsi="宋体" w:cs="宋体" w:eastAsia="宋体" w:hint="default"/>
        </w:rPr>
        <w:t>2012</w:t>
      </w:r>
      <w:r>
        <w:rPr/>
        <w:t>年企业薪酬成本</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9"/>
        <w:gridCol w:w="2136"/>
        <w:gridCol w:w="2126"/>
        <w:gridCol w:w="2127"/>
      </w:tblGrid>
      <w:tr>
        <w:trPr>
          <w:trHeight w:val="401"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1,347</w:t>
            </w:r>
          </w:p>
        </w:tc>
      </w:tr>
      <w:tr>
        <w:trPr>
          <w:trHeight w:val="401"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4,477</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13.55%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12.89%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11.24%</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21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23"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0" w:firstLine="420"/>
        <w:jc w:val="left"/>
      </w:pPr>
      <w:r>
        <w:rPr>
          <w:spacing w:val="-2"/>
        </w:rPr>
        <w:t>报告期内，公司严格按照《公司法》、《证券法》和中国证监会有关法律法规的要求，不断完善公司</w:t>
      </w:r>
      <w:r>
        <w:rPr>
          <w:w w:val="100"/>
        </w:rPr>
        <w:t> </w:t>
      </w:r>
      <w:r>
        <w:rPr>
          <w:spacing w:val="-5"/>
        </w:rPr>
        <w:t>法人治理结构，建立健全内部管理和控制制度，进一步提高公司治理水平。截至报告期末，公司运作规范，</w:t>
      </w:r>
      <w:r>
        <w:rPr>
          <w:spacing w:val="-12"/>
        </w:rPr>
        <w:t> </w:t>
      </w:r>
      <w:r>
        <w:rPr>
          <w:spacing w:val="-12"/>
        </w:rPr>
      </w:r>
      <w:r>
        <w:rPr>
          <w:spacing w:val="-2"/>
        </w:rPr>
        <w:t>信息披露规范，公司治理的实际状况基本符合中国证监会发布的有关上市公司治理的规范性文件要求，公</w:t>
      </w:r>
      <w:r>
        <w:rPr>
          <w:spacing w:val="-43"/>
        </w:rPr>
        <w:t> </w:t>
      </w:r>
      <w:r>
        <w:rPr>
          <w:spacing w:val="-43"/>
        </w:rPr>
      </w:r>
      <w:r>
        <w:rPr/>
        <w:t>司没有收到被监管部门采取行政监管措施的文件。</w:t>
      </w:r>
    </w:p>
    <w:p>
      <w:pPr>
        <w:pStyle w:val="BodyText"/>
        <w:spacing w:line="240" w:lineRule="auto" w:before="7"/>
        <w:ind w:left="573" w:right="1123"/>
        <w:jc w:val="left"/>
      </w:pPr>
      <w:r>
        <w:rPr/>
        <w:t>报告期内，公司修订了《公司章程》及《募集资金管理办法》。</w:t>
      </w:r>
    </w:p>
    <w:p>
      <w:pPr>
        <w:pStyle w:val="BodyText"/>
        <w:spacing w:line="273" w:lineRule="auto" w:before="37"/>
        <w:ind w:left="573" w:right="0"/>
        <w:jc w:val="left"/>
      </w:pPr>
      <w:r>
        <w:rPr/>
        <w:t>（一）关于股东与股东大会</w:t>
      </w:r>
      <w:r>
        <w:rPr>
          <w:w w:val="100"/>
        </w:rPr>
        <w:t> </w:t>
      </w:r>
      <w:r>
        <w:rPr>
          <w:spacing w:val="-5"/>
        </w:rPr>
        <w:t>报告期内，公司严格按照《公司法》、《证券法》、《深圳证券交易所股票上市规则》、《公司章程》</w:t>
      </w:r>
    </w:p>
    <w:p>
      <w:pPr>
        <w:pStyle w:val="BodyText"/>
        <w:spacing w:line="273" w:lineRule="auto" w:before="7"/>
        <w:ind w:right="1126"/>
        <w:jc w:val="both"/>
      </w:pPr>
      <w:r>
        <w:rPr>
          <w:spacing w:val="-2"/>
        </w:rPr>
        <w:t>和《股东大会议事规则》等相关法律法规要求召集、召开股东大会，并聘请律师出席见证。公司能够平等</w:t>
      </w:r>
      <w:r>
        <w:rPr>
          <w:spacing w:val="-43"/>
        </w:rPr>
        <w:t> </w:t>
      </w:r>
      <w:r>
        <w:rPr>
          <w:spacing w:val="-43"/>
        </w:rPr>
      </w:r>
      <w:r>
        <w:rPr>
          <w:spacing w:val="-2"/>
        </w:rPr>
        <w:t>对待所有股东，特别是确保中小股东享有平等地位，公司通过建立与股东沟通的有效渠道，以保证股东能</w:t>
      </w:r>
      <w:r>
        <w:rPr>
          <w:spacing w:val="-45"/>
        </w:rPr>
        <w:t> </w:t>
      </w:r>
      <w:r>
        <w:rPr>
          <w:spacing w:val="-45"/>
        </w:rPr>
      </w:r>
      <w:r>
        <w:rPr/>
        <w:t>够充分行使自己的权利。</w:t>
      </w:r>
    </w:p>
    <w:p>
      <w:pPr>
        <w:pStyle w:val="BodyText"/>
        <w:spacing w:line="273" w:lineRule="auto" w:before="7"/>
        <w:ind w:left="573" w:right="1123"/>
        <w:jc w:val="left"/>
      </w:pPr>
      <w:r>
        <w:rPr/>
        <w:t>（二）关于控股股东与公司</w:t>
      </w:r>
      <w:r>
        <w:rPr>
          <w:w w:val="100"/>
        </w:rPr>
        <w:t> </w:t>
      </w:r>
      <w:r>
        <w:rPr>
          <w:spacing w:val="-2"/>
        </w:rPr>
        <w:t>公司具有独立的业务及自主经营能力，公司控股股东严格规范自己的行为，通过股东大会依法行使出</w:t>
      </w:r>
    </w:p>
    <w:p>
      <w:pPr>
        <w:pStyle w:val="BodyText"/>
        <w:spacing w:line="264" w:lineRule="auto" w:before="7"/>
        <w:ind w:right="0"/>
        <w:jc w:val="left"/>
      </w:pPr>
      <w:r>
        <w:rPr>
          <w:spacing w:val="-5"/>
        </w:rPr>
        <w:t>资人的权利，没有超越股东大会直接或间接干预公司的决策和经营活动，公司未与控股股东进行关联交易，</w:t>
      </w:r>
      <w:r>
        <w:rPr>
          <w:spacing w:val="-3"/>
        </w:rPr>
        <w:t> </w:t>
      </w:r>
      <w:r>
        <w:rPr>
          <w:spacing w:val="-3"/>
        </w:rPr>
      </w:r>
      <w:r>
        <w:rPr/>
        <w:t>公司与控股股东在人员、资产、财务、机构、业务方面做到了</w:t>
      </w:r>
      <w:r>
        <w:rPr>
          <w:rFonts w:ascii="Times New Roman" w:hAnsi="Times New Roman" w:cs="Times New Roman" w:eastAsia="Times New Roman" w:hint="default"/>
        </w:rPr>
        <w:t>“</w:t>
      </w:r>
      <w:r>
        <w:rPr/>
        <w:t>五独立</w:t>
      </w:r>
      <w:r>
        <w:rPr>
          <w:rFonts w:ascii="Times New Roman" w:hAnsi="Times New Roman" w:cs="Times New Roman" w:eastAsia="Times New Roman" w:hint="default"/>
        </w:rPr>
        <w:t>”</w:t>
      </w:r>
      <w:r>
        <w:rPr/>
        <w:t>，公司董事会、监事会和内部经营</w:t>
      </w:r>
      <w:r>
        <w:rPr>
          <w:w w:val="100"/>
        </w:rPr>
        <w:t> </w:t>
      </w:r>
      <w:r>
        <w:rPr/>
        <w:t>管理机构根据各议事规则及公司制度独立运行。</w:t>
      </w:r>
    </w:p>
    <w:p>
      <w:pPr>
        <w:pStyle w:val="BodyText"/>
        <w:spacing w:line="273" w:lineRule="auto" w:before="16"/>
        <w:ind w:left="573" w:right="1123"/>
        <w:jc w:val="left"/>
      </w:pPr>
      <w:r>
        <w:rPr/>
        <w:t>（三）关于董事与董事会</w:t>
      </w:r>
      <w:r>
        <w:rPr>
          <w:w w:val="100"/>
        </w:rPr>
        <w:t> </w:t>
      </w:r>
      <w:r>
        <w:rPr>
          <w:spacing w:val="-2"/>
        </w:rPr>
        <w:t>报告期末公司董事会由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名。独立董事均为在金融、行业等方面的专业人</w:t>
      </w:r>
    </w:p>
    <w:p>
      <w:pPr>
        <w:pStyle w:val="BodyText"/>
        <w:spacing w:line="273" w:lineRule="auto"/>
        <w:ind w:right="1126"/>
        <w:jc w:val="both"/>
      </w:pPr>
      <w:r>
        <w:rPr>
          <w:spacing w:val="-2"/>
        </w:rPr>
        <w:t>士担任，保证了董事会决策的质量和水平，维护了公司和全体股东的权益，充分发挥了董事会在公司治理</w:t>
      </w:r>
      <w:r>
        <w:rPr>
          <w:spacing w:val="-43"/>
        </w:rPr>
        <w:t> </w:t>
      </w:r>
      <w:r>
        <w:rPr>
          <w:spacing w:val="-43"/>
        </w:rPr>
      </w:r>
      <w:r>
        <w:rPr>
          <w:spacing w:val="-2"/>
        </w:rPr>
        <w:t>中的核心作用。根据有关规定的要求，公司董事会下设四个专业委员会：战略委员会、审计委员会、提名</w:t>
      </w:r>
      <w:r>
        <w:rPr>
          <w:spacing w:val="-43"/>
        </w:rPr>
        <w:t> </w:t>
      </w:r>
      <w:r>
        <w:rPr>
          <w:spacing w:val="-43"/>
        </w:rPr>
      </w:r>
      <w:r>
        <w:rPr/>
        <w:t>委员会和薪酬与考核委员会。各委员会分工明确，权责分明，有效运作。</w:t>
      </w:r>
    </w:p>
    <w:p>
      <w:pPr>
        <w:pStyle w:val="BodyText"/>
        <w:spacing w:line="273" w:lineRule="auto" w:before="7"/>
        <w:ind w:left="573" w:right="1123"/>
        <w:jc w:val="left"/>
      </w:pPr>
      <w:r>
        <w:rPr/>
        <w:t>（四）关于监事与监事会</w:t>
      </w:r>
      <w:r>
        <w:rPr>
          <w:w w:val="100"/>
        </w:rPr>
        <w:t> </w:t>
      </w:r>
      <w:r>
        <w:rPr>
          <w:spacing w:val="-2"/>
        </w:rPr>
        <w:t>报告期内公司监事会由</w:t>
      </w:r>
      <w:r>
        <w:rPr>
          <w:rFonts w:ascii="Times New Roman" w:hAnsi="Times New Roman" w:cs="Times New Roman" w:eastAsia="Times New Roman" w:hint="default"/>
          <w:spacing w:val="-2"/>
        </w:rPr>
        <w:t>3</w:t>
      </w:r>
      <w:r>
        <w:rPr>
          <w:spacing w:val="-2"/>
        </w:rPr>
        <w:t>名监事组成，其中职工监事</w:t>
      </w:r>
      <w:r>
        <w:rPr>
          <w:rFonts w:ascii="Times New Roman" w:hAnsi="Times New Roman" w:cs="Times New Roman" w:eastAsia="Times New Roman" w:hint="default"/>
          <w:spacing w:val="-2"/>
        </w:rPr>
        <w:t>2</w:t>
      </w:r>
      <w:r>
        <w:rPr>
          <w:spacing w:val="-2"/>
        </w:rPr>
        <w:t>名，人员构成符合法律、法规的要求。公司监事</w:t>
      </w:r>
    </w:p>
    <w:p>
      <w:pPr>
        <w:pStyle w:val="BodyText"/>
        <w:spacing w:line="273" w:lineRule="auto"/>
        <w:ind w:right="1126"/>
        <w:jc w:val="both"/>
      </w:pPr>
      <w:r>
        <w:rPr>
          <w:spacing w:val="-2"/>
        </w:rPr>
        <w:t>能够认真履行职责，能够本着对股东负责的精神，对公司财务及董事、高级管理人员履行职责的合法合规</w:t>
      </w:r>
      <w:r>
        <w:rPr>
          <w:spacing w:val="-42"/>
        </w:rPr>
        <w:t> </w:t>
      </w:r>
      <w:r>
        <w:rPr>
          <w:spacing w:val="-42"/>
        </w:rPr>
      </w:r>
      <w:r>
        <w:rPr/>
        <w:t>性进行监督。</w:t>
      </w:r>
    </w:p>
    <w:p>
      <w:pPr>
        <w:pStyle w:val="BodyText"/>
        <w:spacing w:line="273" w:lineRule="auto" w:before="7"/>
        <w:ind w:left="573" w:right="0"/>
        <w:jc w:val="left"/>
      </w:pPr>
      <w:r>
        <w:rPr/>
        <w:t>（五）关于信息披露与透明度</w:t>
      </w:r>
      <w:r>
        <w:rPr>
          <w:w w:val="100"/>
        </w:rPr>
        <w:t> </w:t>
      </w:r>
      <w:r>
        <w:rPr>
          <w:spacing w:val="-5"/>
        </w:rPr>
        <w:t>报告期内，公司严格按照有关法律法规和公司《信息披露事务管理制度》的规定，履行信息披露义务；</w:t>
      </w:r>
    </w:p>
    <w:p>
      <w:pPr>
        <w:pStyle w:val="BodyText"/>
        <w:spacing w:line="273" w:lineRule="auto" w:before="7"/>
        <w:ind w:right="1127"/>
        <w:jc w:val="both"/>
      </w:pPr>
      <w:r>
        <w:rPr>
          <w:spacing w:val="-2"/>
        </w:rPr>
        <w:t>公司能真实、准确、完整、及时地披露信息，没有虚假记载、误导性陈述和重大遗漏，确保所有投资者有</w:t>
      </w:r>
      <w:r>
        <w:rPr>
          <w:spacing w:val="-42"/>
        </w:rPr>
        <w:t> </w:t>
      </w:r>
      <w:r>
        <w:rPr>
          <w:spacing w:val="-42"/>
        </w:rPr>
      </w:r>
      <w:r>
        <w:rPr/>
        <w:t>平等机会获取公司信息，增加了公司透明度，切实发挥了保护中小投资者知情权的作用。</w:t>
      </w:r>
    </w:p>
    <w:p>
      <w:pPr>
        <w:pStyle w:val="BodyText"/>
        <w:spacing w:line="273" w:lineRule="auto" w:before="7"/>
        <w:ind w:left="573" w:right="1123"/>
        <w:jc w:val="left"/>
      </w:pPr>
      <w:r>
        <w:rPr/>
        <w:t>（六）关于相关利益者</w:t>
      </w:r>
      <w:r>
        <w:rPr>
          <w:w w:val="100"/>
        </w:rPr>
        <w:t> </w:t>
      </w:r>
      <w:r>
        <w:rPr>
          <w:spacing w:val="-2"/>
        </w:rPr>
        <w:t>公司在保持稳健发展、实现股东利益最大化的同时，积极关注所在地区福利、公益事业等问题，重视</w:t>
      </w:r>
    </w:p>
    <w:p>
      <w:pPr>
        <w:pStyle w:val="BodyText"/>
        <w:spacing w:line="273" w:lineRule="auto" w:before="7"/>
        <w:ind w:right="1131"/>
        <w:jc w:val="both"/>
      </w:pPr>
      <w:r>
        <w:rPr>
          <w:spacing w:val="-2"/>
        </w:rPr>
        <w:t>社会责任，充分尊重和维护职工、债权人等利益相关者的合法权利，加强与各方的沟通和合作，共同推动</w:t>
      </w:r>
      <w:r>
        <w:rPr>
          <w:spacing w:val="-50"/>
        </w:rPr>
        <w:t> </w:t>
      </w:r>
      <w:r>
        <w:rPr>
          <w:spacing w:val="-50"/>
        </w:rPr>
      </w:r>
      <w:r>
        <w:rPr/>
        <w:t>公司持续、健康地发展。</w:t>
      </w:r>
    </w:p>
    <w:p>
      <w:pPr>
        <w:pStyle w:val="BodyText"/>
        <w:spacing w:line="273" w:lineRule="auto" w:before="7"/>
        <w:ind w:left="573" w:right="1123"/>
        <w:jc w:val="left"/>
      </w:pPr>
      <w:r>
        <w:rPr/>
        <w:t>（七）关于公司与投资者</w:t>
      </w:r>
      <w:r>
        <w:rPr>
          <w:w w:val="100"/>
        </w:rPr>
        <w:t> </w:t>
      </w:r>
      <w:r>
        <w:rPr>
          <w:spacing w:val="-2"/>
        </w:rPr>
        <w:t>公司重视与投资者关系的沟通与交流，公司证券部负责信息披露和投资者关系管理工作，加强与中小</w:t>
      </w:r>
    </w:p>
    <w:p>
      <w:pPr>
        <w:pStyle w:val="BodyText"/>
        <w:spacing w:line="273" w:lineRule="auto" w:before="7"/>
        <w:ind w:right="1126"/>
        <w:jc w:val="both"/>
      </w:pPr>
      <w:r>
        <w:rPr>
          <w:spacing w:val="-2"/>
        </w:rPr>
        <w:t>股东的沟通，认真听取股东各方对公司发展的建议和意见，及时反馈给董事会，切实保证中小股东的合法</w:t>
      </w:r>
      <w:r>
        <w:rPr>
          <w:spacing w:val="-42"/>
        </w:rPr>
        <w:t> </w:t>
      </w:r>
      <w:r>
        <w:rPr>
          <w:spacing w:val="-42"/>
        </w:rPr>
      </w:r>
      <w:r>
        <w:rPr/>
        <w:t>权益。</w:t>
      </w:r>
    </w:p>
    <w:p>
      <w:pPr>
        <w:pStyle w:val="BodyText"/>
        <w:spacing w:line="273" w:lineRule="auto" w:before="7"/>
        <w:ind w:left="573" w:right="1123"/>
        <w:jc w:val="left"/>
      </w:pPr>
      <w:r>
        <w:rPr/>
        <w:t>（八）关于内部审计制度</w:t>
      </w:r>
      <w:r>
        <w:rPr>
          <w:w w:val="100"/>
        </w:rPr>
        <w:t> </w:t>
      </w:r>
      <w:r>
        <w:rPr>
          <w:spacing w:val="-2"/>
        </w:rPr>
        <w:t>公司设立了内审部，配置了</w:t>
      </w:r>
      <w:r>
        <w:rPr>
          <w:rFonts w:ascii="Times New Roman" w:hAnsi="Times New Roman" w:cs="Times New Roman" w:eastAsia="Times New Roman" w:hint="default"/>
          <w:spacing w:val="-2"/>
        </w:rPr>
        <w:t>3</w:t>
      </w:r>
      <w:r>
        <w:rPr>
          <w:spacing w:val="-2"/>
        </w:rPr>
        <w:t>名专职审计人员，在董事会审计委员会的领导下对公司及子公司的经济</w:t>
      </w:r>
    </w:p>
    <w:p>
      <w:pPr>
        <w:spacing w:after="0" w:line="273" w:lineRule="auto"/>
        <w:jc w:val="left"/>
        <w:sectPr>
          <w:pgSz w:w="11910" w:h="16840"/>
          <w:pgMar w:header="877" w:footer="1323" w:top="1060" w:bottom="152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运行质量、经济效益、内控的制度和执行、各项费用的使用以及资产情况进行审计和监督。</w:t>
      </w:r>
    </w:p>
    <w:p>
      <w:pPr>
        <w:spacing w:line="240" w:lineRule="auto" w:before="11"/>
        <w:rPr>
          <w:rFonts w:ascii="宋体" w:hAnsi="宋体" w:cs="宋体" w:eastAsia="宋体" w:hint="default"/>
          <w:sz w:val="29"/>
          <w:szCs w:val="29"/>
        </w:rPr>
      </w:pPr>
    </w:p>
    <w:p>
      <w:pPr>
        <w:pStyle w:val="BodyText"/>
        <w:spacing w:line="240" w:lineRule="auto"/>
        <w:ind w:right="0"/>
        <w:jc w:val="both"/>
      </w:pPr>
      <w:r>
        <w:rPr/>
        <w:t>公司治理与《公司法》和中国证监会相关规定的要求是否存在差异</w:t>
      </w:r>
    </w:p>
    <w:p>
      <w:pPr>
        <w:pStyle w:val="BodyText"/>
        <w:spacing w:line="290" w:lineRule="auto" w:before="75"/>
        <w:ind w:right="38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公司治理与《公司法》和中国证监会相关规定的要求不存在差异。</w:t>
      </w:r>
    </w:p>
    <w:p>
      <w:pPr>
        <w:pStyle w:val="BodyText"/>
        <w:spacing w:line="240" w:lineRule="auto" w:before="34"/>
        <w:ind w:right="0"/>
        <w:jc w:val="both"/>
      </w:pPr>
      <w:r>
        <w:rPr/>
        <w:t>公司治理专项活动开展情况以及内幕信息知情人登记管理制度的制定、实施情况</w:t>
      </w:r>
    </w:p>
    <w:p>
      <w:pPr>
        <w:pStyle w:val="BodyText"/>
        <w:spacing w:line="261" w:lineRule="auto" w:before="75"/>
        <w:ind w:right="1123"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、公司治理专项活动开展情况根据深圳证券交易所</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日下发的《关于开展</w:t>
      </w:r>
      <w:r>
        <w:rPr>
          <w:rFonts w:ascii="Times New Roman" w:hAnsi="Times New Roman" w:cs="Times New Roman" w:eastAsia="Times New Roman" w:hint="default"/>
        </w:rPr>
        <w:t>“</w:t>
      </w:r>
      <w:r>
        <w:rPr/>
        <w:t>加强中小企</w:t>
      </w:r>
      <w:r>
        <w:rPr>
          <w:w w:val="100"/>
        </w:rPr>
        <w:t> </w:t>
      </w:r>
      <w:r>
        <w:rPr>
          <w:spacing w:val="-4"/>
          <w:w w:val="100"/>
        </w:rPr>
        <w:t>业板上市公司内控规则落实</w:t>
      </w:r>
      <w:r>
        <w:rPr>
          <w:rFonts w:ascii="Times New Roman" w:hAnsi="Times New Roman" w:cs="Times New Roman" w:eastAsia="Times New Roman" w:hint="default"/>
          <w:spacing w:val="-4"/>
          <w:w w:val="100"/>
        </w:rPr>
        <w:t>”</w:t>
      </w:r>
      <w:r>
        <w:rPr>
          <w:spacing w:val="-4"/>
          <w:w w:val="100"/>
        </w:rPr>
        <w:t>专项活动的通知》，公司董事会对照深圳证券交易所有关内部控制的相关规</w:t>
      </w:r>
      <w:r>
        <w:rPr>
          <w:spacing w:val="-88"/>
          <w:w w:val="100"/>
        </w:rPr>
        <w:t> </w:t>
      </w:r>
      <w:r>
        <w:rPr>
          <w:spacing w:val="-88"/>
          <w:w w:val="100"/>
        </w:rPr>
      </w:r>
      <w:r>
        <w:rPr>
          <w:spacing w:val="-2"/>
        </w:rPr>
        <w:t>则，依据公司实际情况，认真核查了公司内部控制制度的制定和运行情况，填写了《中小企业板上市公司</w:t>
      </w:r>
      <w:r>
        <w:rPr>
          <w:spacing w:val="-47"/>
        </w:rPr>
        <w:t> </w:t>
      </w:r>
      <w:r>
        <w:rPr>
          <w:spacing w:val="-47"/>
        </w:rPr>
      </w:r>
      <w:r>
        <w:rPr>
          <w:spacing w:val="-4"/>
          <w:w w:val="100"/>
        </w:rPr>
        <w:t>内控规则落实自查表》，并由宏源证券出具核查意见，已经第二届董事会第六次会议审议通过，详见</w:t>
      </w:r>
      <w:r>
        <w:rPr>
          <w:spacing w:val="-41"/>
          <w:w w:val="100"/>
        </w:rPr>
        <w:t> </w:t>
      </w:r>
      <w:r>
        <w:rPr>
          <w:rFonts w:ascii="Times New Roman" w:hAnsi="Times New Roman" w:cs="Times New Roman" w:eastAsia="Times New Roman" w:hint="default"/>
          <w:spacing w:val="-4"/>
          <w:w w:val="100"/>
        </w:rPr>
        <w:t>2011</w:t>
      </w:r>
    </w:p>
    <w:p>
      <w:pPr>
        <w:pStyle w:val="BodyText"/>
        <w:spacing w:line="240" w:lineRule="auto"/>
        <w:ind w:right="0"/>
        <w:jc w:val="both"/>
      </w:pP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日的巨潮资讯网（</w:t>
      </w:r>
      <w:r>
        <w:rPr>
          <w:rFonts w:ascii="Times New Roman" w:hAnsi="Times New Roman" w:cs="Times New Roman" w:eastAsia="Times New Roman" w:hint="default"/>
        </w:rPr>
        <w:t>http://www.cninfo.com.cn)</w:t>
      </w:r>
      <w:r>
        <w:rPr/>
        <w:t>。</w:t>
      </w:r>
      <w:r>
        <w:rPr>
          <w:rFonts w:ascii="Times New Roman" w:hAnsi="Times New Roman" w:cs="Times New Roman" w:eastAsia="Times New Roman" w:hint="default"/>
        </w:rPr>
        <w:t>2</w:t>
      </w:r>
      <w:r>
        <w:rPr/>
        <w:t>、公司内幕信息知情人登记管理制度的制定、实</w:t>
      </w:r>
    </w:p>
    <w:p>
      <w:pPr>
        <w:pStyle w:val="BodyText"/>
        <w:spacing w:line="240" w:lineRule="auto" w:before="21"/>
        <w:ind w:right="0"/>
        <w:jc w:val="both"/>
      </w:pPr>
      <w:r>
        <w:rPr>
          <w:w w:val="100"/>
        </w:rPr>
        <w:t>施</w:t>
      </w:r>
      <w:r>
        <w:rPr>
          <w:spacing w:val="-3"/>
          <w:w w:val="100"/>
        </w:rPr>
        <w:t>情</w:t>
      </w:r>
      <w:r>
        <w:rPr>
          <w:w w:val="100"/>
        </w:rPr>
        <w:t>况</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27</w:t>
      </w:r>
      <w:r>
        <w:rPr>
          <w:rFonts w:ascii="Times New Roman" w:hAnsi="Times New Roman" w:cs="Times New Roman" w:eastAsia="Times New Roman" w:hint="default"/>
        </w:rPr>
        <w:t> </w:t>
      </w:r>
      <w:r>
        <w:rPr>
          <w:spacing w:val="-3"/>
          <w:w w:val="100"/>
        </w:rPr>
        <w:t>日</w:t>
      </w:r>
      <w:r>
        <w:rPr>
          <w:w w:val="100"/>
        </w:rPr>
        <w:t>召开</w:t>
      </w:r>
      <w:r>
        <w:rPr>
          <w:spacing w:val="-3"/>
          <w:w w:val="100"/>
        </w:rPr>
        <w:t>的</w:t>
      </w:r>
      <w:r>
        <w:rPr>
          <w:w w:val="100"/>
        </w:rPr>
        <w:t>公</w:t>
      </w:r>
      <w:r>
        <w:rPr>
          <w:spacing w:val="-3"/>
          <w:w w:val="100"/>
        </w:rPr>
        <w:t>司</w:t>
      </w:r>
      <w:r>
        <w:rPr>
          <w:w w:val="100"/>
        </w:rPr>
        <w:t>第</w:t>
      </w:r>
      <w:r>
        <w:rPr>
          <w:spacing w:val="-3"/>
          <w:w w:val="100"/>
        </w:rPr>
        <w:t>一</w:t>
      </w:r>
      <w:r>
        <w:rPr>
          <w:w w:val="100"/>
        </w:rPr>
        <w:t>届</w:t>
      </w:r>
      <w:r>
        <w:rPr>
          <w:spacing w:val="-3"/>
          <w:w w:val="100"/>
        </w:rPr>
        <w:t>董</w:t>
      </w:r>
      <w:r>
        <w:rPr>
          <w:w w:val="100"/>
        </w:rPr>
        <w:t>事</w:t>
      </w:r>
      <w:r>
        <w:rPr>
          <w:spacing w:val="-3"/>
          <w:w w:val="100"/>
        </w:rPr>
        <w:t>会</w:t>
      </w:r>
      <w:r>
        <w:rPr>
          <w:w w:val="100"/>
        </w:rPr>
        <w:t>第十</w:t>
      </w:r>
      <w:r>
        <w:rPr>
          <w:spacing w:val="-3"/>
          <w:w w:val="100"/>
        </w:rPr>
        <w:t>次</w:t>
      </w:r>
      <w:r>
        <w:rPr>
          <w:w w:val="100"/>
        </w:rPr>
        <w:t>会</w:t>
      </w:r>
      <w:r>
        <w:rPr>
          <w:spacing w:val="-3"/>
          <w:w w:val="100"/>
        </w:rPr>
        <w:t>议</w:t>
      </w:r>
      <w:r>
        <w:rPr>
          <w:w w:val="100"/>
        </w:rPr>
        <w:t>上</w:t>
      </w:r>
      <w:r>
        <w:rPr>
          <w:spacing w:val="-3"/>
          <w:w w:val="100"/>
        </w:rPr>
        <w:t>审</w:t>
      </w:r>
      <w:r>
        <w:rPr>
          <w:w w:val="100"/>
        </w:rPr>
        <w:t>议</w:t>
      </w:r>
      <w:r>
        <w:rPr>
          <w:spacing w:val="-3"/>
          <w:w w:val="100"/>
        </w:rPr>
        <w:t>通</w:t>
      </w:r>
      <w:r>
        <w:rPr>
          <w:w w:val="100"/>
        </w:rPr>
        <w:t>过</w:t>
      </w:r>
      <w:r>
        <w:rPr>
          <w:spacing w:val="-25"/>
          <w:w w:val="100"/>
        </w:rPr>
        <w:t>了</w:t>
      </w:r>
      <w:r>
        <w:rPr>
          <w:w w:val="100"/>
        </w:rPr>
        <w:t>《</w:t>
      </w:r>
      <w:r>
        <w:rPr>
          <w:spacing w:val="-3"/>
          <w:w w:val="100"/>
        </w:rPr>
        <w:t>内</w:t>
      </w:r>
      <w:r>
        <w:rPr>
          <w:w w:val="100"/>
        </w:rPr>
        <w:t>幕</w:t>
      </w:r>
      <w:r>
        <w:rPr>
          <w:spacing w:val="-3"/>
          <w:w w:val="100"/>
        </w:rPr>
        <w:t>信</w:t>
      </w:r>
      <w:r>
        <w:rPr>
          <w:w w:val="100"/>
        </w:rPr>
        <w:t>息</w:t>
      </w:r>
      <w:r>
        <w:rPr>
          <w:spacing w:val="-3"/>
          <w:w w:val="100"/>
        </w:rPr>
        <w:t>知</w:t>
      </w:r>
      <w:r>
        <w:rPr>
          <w:w w:val="100"/>
        </w:rPr>
        <w:t>情</w:t>
      </w:r>
      <w:r>
        <w:rPr>
          <w:spacing w:val="-3"/>
          <w:w w:val="100"/>
        </w:rPr>
        <w:t>人</w:t>
      </w:r>
      <w:r>
        <w:rPr>
          <w:w w:val="100"/>
        </w:rPr>
        <w:t>登</w:t>
      </w:r>
      <w:r>
        <w:rPr>
          <w:spacing w:val="-3"/>
          <w:w w:val="100"/>
        </w:rPr>
        <w:t>记制</w:t>
      </w:r>
      <w:r>
        <w:rPr>
          <w:w w:val="100"/>
        </w:rPr>
        <w:t>度</w:t>
      </w:r>
      <w:r>
        <w:rPr>
          <w:spacing w:val="-106"/>
          <w:w w:val="100"/>
        </w:rPr>
        <w:t>》</w:t>
      </w:r>
      <w:r>
        <w:rPr>
          <w:w w:val="100"/>
        </w:rPr>
        <w:t>，</w:t>
      </w:r>
    </w:p>
    <w:p>
      <w:pPr>
        <w:pStyle w:val="BodyText"/>
        <w:spacing w:line="240" w:lineRule="auto" w:before="22"/>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3"/>
        </w:rPr>
        <w:t>日召开的第二届董事会第八次会议上对《内幕信息知情人登记制度》进行了修订。修订后</w:t>
      </w:r>
    </w:p>
    <w:p>
      <w:pPr>
        <w:pStyle w:val="BodyText"/>
        <w:spacing w:line="290" w:lineRule="auto" w:before="21"/>
        <w:ind w:left="573" w:right="1123" w:hanging="421"/>
        <w:jc w:val="left"/>
      </w:pPr>
      <w:r>
        <w:rPr/>
        <w:t>的《内幕信息知情人登记管理制度》登载于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日巨潮资讯网（</w:t>
      </w:r>
      <w:r>
        <w:rPr>
          <w:rFonts w:ascii="Times New Roman" w:hAnsi="Times New Roman" w:cs="Times New Roman" w:eastAsia="Times New Roman" w:hint="default"/>
          <w:color w:val="0000FF"/>
        </w:rPr>
      </w:r>
      <w:hyperlink r:id="rId12">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rFonts w:ascii="Times New Roman" w:hAnsi="Times New Roman" w:cs="Times New Roman" w:eastAsia="Times New Roman" w:hint="default"/>
        </w:rPr>
        <w:t>)</w:t>
      </w:r>
      <w:r>
        <w:rPr/>
        <w:t>。</w:t>
      </w:r>
      <w:r>
        <w:rPr>
          <w:w w:val="100"/>
        </w:rPr>
        <w:t> </w:t>
      </w:r>
      <w:r>
        <w:rPr>
          <w:spacing w:val="-7"/>
          <w:w w:val="100"/>
        </w:rPr>
        <w:t>报告期内，公司严格按照《信息披露事务管理制度》、《内幕信息知情人登记制度》等有关制度的规定</w:t>
      </w:r>
    </w:p>
    <w:p>
      <w:pPr>
        <w:pStyle w:val="BodyText"/>
        <w:spacing w:line="273" w:lineRule="auto"/>
        <w:ind w:right="1129"/>
        <w:jc w:val="both"/>
      </w:pPr>
      <w:r>
        <w:rPr>
          <w:spacing w:val="-2"/>
        </w:rPr>
        <w:t>和要求，积极做好内幕信息保密和管理工作：定期报告披露前，及时提示禁止买卖窗口，防止违规事件发</w:t>
      </w:r>
      <w:r>
        <w:rPr>
          <w:spacing w:val="-50"/>
        </w:rPr>
        <w:t> </w:t>
      </w:r>
      <w:r>
        <w:rPr>
          <w:spacing w:val="-50"/>
        </w:rPr>
      </w:r>
      <w:r>
        <w:rPr>
          <w:spacing w:val="-2"/>
        </w:rPr>
        <w:t>生；重大事项期间，与相关内幕信息知情人签订保密协议，从源头预防内幕交易，将内幕信息知情人范围</w:t>
      </w:r>
      <w:r>
        <w:rPr>
          <w:spacing w:val="-47"/>
        </w:rPr>
        <w:t> </w:t>
      </w:r>
      <w:r>
        <w:rPr>
          <w:spacing w:val="-47"/>
        </w:rPr>
      </w:r>
      <w:r>
        <w:rPr>
          <w:spacing w:val="-2"/>
        </w:rPr>
        <w:t>控制在最小；接待机构等来访调研时，做好接访人员安排，要求来访人员签署保密承诺，严格控制和防范</w:t>
      </w:r>
      <w:r>
        <w:rPr>
          <w:spacing w:val="-50"/>
        </w:rPr>
        <w:t> </w:t>
      </w:r>
      <w:r>
        <w:rPr>
          <w:spacing w:val="-50"/>
        </w:rPr>
      </w:r>
      <w:r>
        <w:rPr/>
        <w:t>未披露信息外泄。</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44"/>
        <w:ind w:left="0" w:right="1140" w:firstLine="0"/>
        <w:jc w:val="right"/>
        <w:rPr>
          <w:rFonts w:ascii="宋体" w:hAnsi="宋体" w:cs="宋体" w:eastAsia="宋体" w:hint="default"/>
          <w:sz w:val="18"/>
          <w:szCs w:val="18"/>
        </w:rPr>
      </w:pPr>
      <w:r>
        <w:rPr/>
        <w:pict>
          <v:shape style="position:absolute;margin-left:289.609985pt;margin-top:-147.39827pt;width:85.85pt;height:123.75pt;mso-position-horizontal-relative:page;mso-position-vertical-relative:paragraph;z-index:-672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89.609985pt;margin-top:11.627724pt;width:85.85pt;height:123.75pt;mso-position-horizontal-relative:page;mso-position-vertical-relative:paragraph;z-index:-6724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168.038269pt;width:479.1pt;height:30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672"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0" w:lineRule="auto"/>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3"/>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董事会工作报告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监事会工作报告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度报告及其摘要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财务决算报告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p>
                        <w:pPr>
                          <w:pStyle w:val="TableParagraph"/>
                          <w:spacing w:line="304" w:lineRule="auto" w:before="7"/>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 </w:t>
                        </w:r>
                        <w:r>
                          <w:rPr>
                            <w:rFonts w:ascii="宋体" w:hAnsi="宋体" w:cs="宋体" w:eastAsia="宋体" w:hint="default"/>
                            <w:spacing w:val="-33"/>
                            <w:sz w:val="18"/>
                            <w:szCs w:val="18"/>
                          </w:rPr>
                          <w:t>润分配预案》；</w:t>
                        </w:r>
                        <w:r>
                          <w:rPr>
                            <w:rFonts w:ascii="Times New Roman" w:hAnsi="Times New Roman" w:cs="Times New Roman" w:eastAsia="Times New Roman" w:hint="default"/>
                            <w:spacing w:val="-33"/>
                            <w:sz w:val="18"/>
                            <w:szCs w:val="18"/>
                          </w:rPr>
                          <w:t>6</w:t>
                        </w:r>
                        <w:r>
                          <w:rPr>
                            <w:rFonts w:ascii="宋体" w:hAnsi="宋体" w:cs="宋体" w:eastAsia="宋体" w:hint="default"/>
                            <w:spacing w:val="-33"/>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于续聘公司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度财务审计机构的 </w:t>
                        </w:r>
                        <w:r>
                          <w:rPr>
                            <w:rFonts w:ascii="宋体" w:hAnsi="宋体" w:cs="宋体" w:eastAsia="宋体" w:hint="default"/>
                            <w:spacing w:val="-19"/>
                            <w:sz w:val="18"/>
                            <w:szCs w:val="18"/>
                          </w:rPr>
                          <w:t>议案》；</w:t>
                        </w: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、《关于公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年向银行申 请授信及流动资金 </w:t>
                        </w:r>
                        <w:r>
                          <w:rPr>
                            <w:rFonts w:ascii="宋体" w:hAnsi="宋体" w:cs="宋体" w:eastAsia="宋体" w:hint="default"/>
                            <w:spacing w:val="-33"/>
                            <w:sz w:val="18"/>
                            <w:szCs w:val="18"/>
                          </w:rPr>
                          <w:t>贷款的议案》；</w:t>
                        </w:r>
                        <w:r>
                          <w:rPr>
                            <w:rFonts w:ascii="Times New Roman" w:hAnsi="Times New Roman" w:cs="Times New Roman" w:eastAsia="Times New Roman" w:hint="default"/>
                            <w:spacing w:val="-33"/>
                            <w:sz w:val="18"/>
                            <w:szCs w:val="18"/>
                          </w:rPr>
                          <w:t>8</w:t>
                        </w:r>
                        <w:r>
                          <w:rPr>
                            <w:rFonts w:ascii="宋体" w:hAnsi="宋体" w:cs="宋体" w:eastAsia="宋体" w:hint="default"/>
                            <w:spacing w:val="-33"/>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年度公司董 </w:t>
                        </w:r>
                        <w:r>
                          <w:rPr>
                            <w:rFonts w:ascii="宋体" w:hAnsi="宋体" w:cs="宋体" w:eastAsia="宋体" w:hint="default"/>
                            <w:spacing w:val="-11"/>
                            <w:sz w:val="18"/>
                            <w:szCs w:val="18"/>
                          </w:rPr>
                          <w:t>事薪酬的议案》；</w:t>
                        </w:r>
                        <w:r>
                          <w:rPr>
                            <w:rFonts w:ascii="Times New Roman" w:hAnsi="Times New Roman" w:cs="Times New Roman" w:eastAsia="Times New Roman" w:hint="default"/>
                            <w:spacing w:val="-11"/>
                            <w:sz w:val="18"/>
                            <w:szCs w:val="18"/>
                          </w:rPr>
                          <w:t>9</w:t>
                        </w:r>
                      </w:p>
                    </w:tc>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3" w:right="120"/>
                          <w:jc w:val="left"/>
                          <w:rPr>
                            <w:rFonts w:ascii="宋体" w:hAnsi="宋体" w:cs="宋体" w:eastAsia="宋体" w:hint="default"/>
                            <w:sz w:val="18"/>
                            <w:szCs w:val="18"/>
                          </w:rPr>
                        </w:pPr>
                        <w:r>
                          <w:rPr>
                            <w:rFonts w:ascii="宋体" w:hAnsi="宋体" w:cs="宋体" w:eastAsia="宋体" w:hint="default"/>
                            <w:sz w:val="18"/>
                            <w:szCs w:val="18"/>
                          </w:rPr>
                          <w:t>上述议案全部审议 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股东大会决议的公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2012-11</w:t>
                        </w:r>
                        <w:r>
                          <w:rPr>
                            <w:rFonts w:ascii="宋体" w:hAnsi="宋体" w:cs="宋体" w:eastAsia="宋体" w:hint="default"/>
                            <w:spacing w:val="-8"/>
                            <w:sz w:val="18"/>
                            <w:szCs w:val="18"/>
                          </w:rPr>
                          <w:t>）于</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日刊 登于</w:t>
                        </w:r>
                        <w:r>
                          <w:rPr>
                            <w:rFonts w:ascii="宋体" w:hAnsi="宋体" w:cs="宋体" w:eastAsia="宋体" w:hint="default"/>
                            <w:spacing w:val="1"/>
                            <w:sz w:val="18"/>
                            <w:szCs w:val="18"/>
                          </w:rPr>
                          <w:t> </w:t>
                        </w:r>
                        <w:r>
                          <w:rPr>
                            <w:rFonts w:ascii="宋体" w:hAnsi="宋体" w:cs="宋体" w:eastAsia="宋体" w:hint="default"/>
                            <w:sz w:val="18"/>
                            <w:szCs w:val="18"/>
                          </w:rPr>
                          <w:t>《中国证券</w:t>
                        </w:r>
                        <w:r>
                          <w:rPr>
                            <w:rFonts w:ascii="宋体" w:hAnsi="宋体" w:cs="宋体" w:eastAsia="宋体" w:hint="default"/>
                            <w:sz w:val="18"/>
                            <w:szCs w:val="18"/>
                          </w:rPr>
                          <w:t> </w:t>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6"/>
                          <w:ind w:left="23" w:right="19"/>
                          <w:jc w:val="both"/>
                          <w:rPr>
                            <w:rFonts w:ascii="宋体" w:hAnsi="宋体" w:cs="宋体" w:eastAsia="宋体" w:hint="default"/>
                            <w:sz w:val="18"/>
                            <w:szCs w:val="18"/>
                          </w:rPr>
                        </w:pPr>
                        <w:r>
                          <w:rPr>
                            <w:rFonts w:ascii="宋体" w:hAnsi="宋体" w:cs="宋体" w:eastAsia="宋体" w:hint="default"/>
                            <w:spacing w:val="-27"/>
                            <w:sz w:val="18"/>
                            <w:szCs w:val="18"/>
                          </w:rPr>
                          <w:t>《证券日报》、《证券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时报》和巨潮资讯网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上。</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23" w:top="1060" w:bottom="1520" w:left="980" w:right="0"/>
        </w:sectPr>
      </w:pPr>
    </w:p>
    <w:p>
      <w:pPr>
        <w:spacing w:line="240" w:lineRule="auto" w:before="6"/>
        <w:rPr>
          <w:rFonts w:ascii="宋体" w:hAnsi="宋体" w:cs="宋体" w:eastAsia="宋体" w:hint="default"/>
          <w:sz w:val="28"/>
          <w:szCs w:val="28"/>
        </w:rPr>
      </w:pPr>
      <w:r>
        <w:rPr/>
        <w:pict>
          <v:shape style="position:absolute;margin-left:289.609985pt;margin-top:652.899963pt;width:84.65pt;height:21.95pt;mso-position-horizontal-relative:page;mso-position-vertical-relative:page;z-index:-672400" type="#_x0000_t202" filled="false" stroked="false">
            <v:textbox inset="0,0,0,0">
              <w:txbxContent>
                <w:p>
                  <w:pPr>
                    <w:spacing w:line="240" w:lineRule="auto" w:before="6"/>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20" w:hRule="exact"/>
        </w:trPr>
        <w:tc>
          <w:tcPr>
            <w:tcW w:w="1595" w:type="dxa"/>
            <w:vMerge w:val="restart"/>
            <w:tcBorders>
              <w:top w:val="single" w:sz="4" w:space="0" w:color="000000"/>
              <w:left w:val="single" w:sz="4" w:space="0" w:color="000000"/>
              <w:right w:val="single" w:sz="4" w:space="0" w:color="000000"/>
            </w:tcBorders>
            <w:shd w:val="clear" w:color="auto" w:fill="CCE8CF"/>
          </w:tcPr>
          <w:p>
            <w:pPr/>
          </w:p>
        </w:tc>
        <w:tc>
          <w:tcPr>
            <w:tcW w:w="1595" w:type="dxa"/>
            <w:vMerge w:val="restart"/>
            <w:tcBorders>
              <w:top w:val="single" w:sz="4" w:space="0" w:color="000000"/>
              <w:left w:val="single" w:sz="4" w:space="0" w:color="000000"/>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w:t>
            </w:r>
          </w:p>
        </w:tc>
        <w:tc>
          <w:tcPr>
            <w:tcW w:w="1596" w:type="dxa"/>
            <w:vMerge w:val="restart"/>
            <w:tcBorders>
              <w:top w:val="single" w:sz="4" w:space="0" w:color="000000"/>
              <w:left w:val="single" w:sz="4" w:space="0" w:color="000000"/>
              <w:right w:val="single" w:sz="4" w:space="0" w:color="000000"/>
            </w:tcBorders>
            <w:shd w:val="clear" w:color="auto" w:fill="CCE8CF"/>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司监事薪酬的议</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Times New Roman" w:hAnsi="Times New Roman" w:cs="Times New Roman" w:eastAsia="Times New Roman" w:hint="default"/>
                <w:spacing w:val="1"/>
                <w:sz w:val="18"/>
                <w:szCs w:val="18"/>
              </w:rPr>
              <w:t>10</w:t>
            </w:r>
            <w:r>
              <w:rPr>
                <w:rFonts w:ascii="宋体" w:hAnsi="宋体" w:cs="宋体" w:eastAsia="宋体" w:hint="default"/>
                <w:spacing w:val="-154"/>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年度财务预算报</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130"/>
                <w:sz w:val="18"/>
                <w:szCs w:val="18"/>
              </w:rPr>
              <w:t>、</w:t>
            </w:r>
            <w:r>
              <w:rPr>
                <w:rFonts w:ascii="宋体" w:hAnsi="宋体" w:cs="宋体" w:eastAsia="宋体" w:hint="default"/>
                <w:sz w:val="18"/>
                <w:szCs w:val="18"/>
              </w:rPr>
              <w:t>《关于公司</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符合非公开发行股</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票条件的议案</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《关于公司非公开</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发行股票方案的议</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pacing w:val="1"/>
                <w:sz w:val="18"/>
                <w:szCs w:val="18"/>
              </w:rPr>
              <w:t>13</w:t>
            </w:r>
            <w:r>
              <w:rPr>
                <w:rFonts w:ascii="宋体" w:hAnsi="宋体" w:cs="宋体" w:eastAsia="宋体" w:hint="default"/>
                <w:spacing w:val="-132"/>
                <w:sz w:val="18"/>
                <w:szCs w:val="18"/>
              </w:rPr>
              <w:t>、</w:t>
            </w:r>
            <w:r>
              <w:rPr>
                <w:rFonts w:ascii="宋体" w:hAnsi="宋体" w:cs="宋体" w:eastAsia="宋体" w:hint="default"/>
                <w:sz w:val="18"/>
                <w:szCs w:val="18"/>
              </w:rPr>
              <w:t>《前次募集</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资金使用情况报</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14</w:t>
            </w:r>
            <w:r>
              <w:rPr>
                <w:rFonts w:ascii="宋体" w:hAnsi="宋体" w:cs="宋体" w:eastAsia="宋体" w:hint="default"/>
                <w:spacing w:val="-92"/>
                <w:sz w:val="18"/>
                <w:szCs w:val="18"/>
              </w:rPr>
              <w:t>、</w:t>
            </w:r>
            <w:r>
              <w:rPr>
                <w:rFonts w:ascii="宋体" w:hAnsi="宋体" w:cs="宋体" w:eastAsia="宋体" w:hint="default"/>
                <w:sz w:val="18"/>
                <w:szCs w:val="18"/>
              </w:rPr>
              <w:t>《非公开</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发行股票预案</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募集资金使用可行</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16</w:t>
            </w:r>
            <w:r>
              <w:rPr>
                <w:rFonts w:ascii="宋体" w:hAnsi="宋体" w:cs="宋体" w:eastAsia="宋体" w:hint="default"/>
                <w:spacing w:val="-92"/>
                <w:sz w:val="18"/>
                <w:szCs w:val="18"/>
              </w:rPr>
              <w:t>、</w:t>
            </w:r>
            <w:r>
              <w:rPr>
                <w:rFonts w:ascii="宋体" w:hAnsi="宋体" w:cs="宋体" w:eastAsia="宋体" w:hint="default"/>
                <w:sz w:val="18"/>
                <w:szCs w:val="18"/>
              </w:rPr>
              <w:t>《关</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于提请股东大会授</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5"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权董事会办理本次</w:t>
            </w:r>
          </w:p>
        </w:tc>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672" w:hRule="exact"/>
        </w:trPr>
        <w:tc>
          <w:tcPr>
            <w:tcW w:w="1595"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w:t>
            </w:r>
          </w:p>
        </w:tc>
        <w:tc>
          <w:tcPr>
            <w:tcW w:w="1596"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pict>
          <v:shape style="position:absolute;margin-left:217.610001pt;margin-top:-327.146332pt;width:157.85pt;height:314.1pt;mso-position-horizontal-relative:page;mso-position-vertical-relative:paragraph;z-index:-6724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7"/>
                      <w:szCs w:val="17"/>
                    </w:rPr>
                  </w:pPr>
                </w:p>
                <w:p>
                  <w:pPr>
                    <w:spacing w:before="0"/>
                    <w:ind w:left="0" w:right="75" w:firstLine="0"/>
                    <w:jc w:val="center"/>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7"/>
                      <w:szCs w:val="17"/>
                    </w:rPr>
                  </w:pPr>
                </w:p>
                <w:p>
                  <w:pPr>
                    <w:spacing w:before="0"/>
                    <w:ind w:left="0" w:right="0" w:firstLine="1449"/>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票相关事宜的议案》</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4"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09" w:lineRule="auto"/>
              <w:ind w:left="22" w:right="1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32"/>
                <w:sz w:val="18"/>
                <w:szCs w:val="18"/>
              </w:rPr>
              <w:t>、</w:t>
            </w:r>
            <w:r>
              <w:rPr>
                <w:rFonts w:ascii="宋体" w:hAnsi="宋体" w:cs="宋体" w:eastAsia="宋体" w:hint="default"/>
                <w:sz w:val="18"/>
                <w:szCs w:val="18"/>
              </w:rPr>
              <w:t>《关于修</w:t>
            </w:r>
            <w:r>
              <w:rPr>
                <w:rFonts w:ascii="宋体" w:hAnsi="宋体" w:cs="宋体" w:eastAsia="宋体" w:hint="default"/>
                <w:spacing w:val="-41"/>
                <w:sz w:val="18"/>
                <w:szCs w:val="18"/>
              </w:rPr>
              <w:t>订</w:t>
            </w:r>
            <w:r>
              <w:rPr>
                <w:rFonts w:ascii="宋体" w:hAnsi="宋体" w:cs="宋体" w:eastAsia="宋体" w:hint="default"/>
                <w:sz w:val="18"/>
                <w:szCs w:val="18"/>
              </w:rPr>
              <w:t>〈募集</w:t>
            </w:r>
            <w:r>
              <w:rPr>
                <w:rFonts w:ascii="宋体" w:hAnsi="宋体" w:cs="宋体" w:eastAsia="宋体" w:hint="default"/>
                <w:sz w:val="18"/>
                <w:szCs w:val="18"/>
              </w:rPr>
              <w:t> 资金管理办法</w:t>
            </w:r>
            <w:r>
              <w:rPr>
                <w:rFonts w:ascii="宋体" w:hAnsi="宋体" w:cs="宋体" w:eastAsia="宋体" w:hint="default"/>
                <w:spacing w:val="-82"/>
                <w:sz w:val="18"/>
                <w:szCs w:val="18"/>
              </w:rPr>
              <w:t>〉</w:t>
            </w:r>
            <w:r>
              <w:rPr>
                <w:rFonts w:ascii="宋体" w:hAnsi="宋体" w:cs="宋体" w:eastAsia="宋体" w:hint="default"/>
                <w:sz w:val="18"/>
                <w:szCs w:val="18"/>
              </w:rPr>
              <w:t>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《关于修改</w:t>
            </w:r>
          </w:p>
          <w:p>
            <w:pPr>
              <w:pStyle w:val="TableParagraph"/>
              <w:spacing w:line="314" w:lineRule="auto" w:before="5"/>
              <w:ind w:left="22" w:right="29"/>
              <w:jc w:val="left"/>
              <w:rPr>
                <w:rFonts w:ascii="宋体" w:hAnsi="宋体" w:cs="宋体" w:eastAsia="宋体" w:hint="default"/>
                <w:sz w:val="18"/>
                <w:szCs w:val="18"/>
              </w:rPr>
            </w:pPr>
            <w:r>
              <w:rPr>
                <w:rFonts w:ascii="宋体" w:hAnsi="宋体" w:cs="宋体" w:eastAsia="宋体" w:hint="default"/>
                <w:sz w:val="18"/>
                <w:szCs w:val="18"/>
              </w:rPr>
              <w:t>〈公司章程〉的议 </w:t>
            </w:r>
            <w:r>
              <w:rPr>
                <w:rFonts w:ascii="宋体" w:hAnsi="宋体" w:cs="宋体" w:eastAsia="宋体" w:hint="default"/>
                <w:spacing w:val="-19"/>
                <w:sz w:val="18"/>
                <w:szCs w:val="18"/>
              </w:rPr>
              <w:t>案》；</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、《山东丽鹏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股份有限公司分红 政策及未来三年股 东回报规划》</w:t>
            </w:r>
          </w:p>
        </w:tc>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上述议案全部审议 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3"/>
              <w:ind w:left="23" w:right="119"/>
              <w:jc w:val="both"/>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一次临时股东大会 决议的公告》</w:t>
            </w:r>
          </w:p>
          <w:p>
            <w:pPr>
              <w:pStyle w:val="TableParagraph"/>
              <w:spacing w:line="240" w:lineRule="auto" w:before="2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2012-25</w:t>
            </w:r>
            <w:r>
              <w:rPr>
                <w:rFonts w:ascii="宋体" w:hAnsi="宋体" w:cs="宋体" w:eastAsia="宋体" w:hint="default"/>
                <w:sz w:val="18"/>
                <w:szCs w:val="18"/>
              </w:rPr>
              <w:t>）于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w:t>
            </w:r>
          </w:p>
          <w:p>
            <w:pPr>
              <w:pStyle w:val="TableParagraph"/>
              <w:spacing w:line="316" w:lineRule="auto" w:before="63"/>
              <w:ind w:left="23" w:right="22"/>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报》、《证券时报》和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巨潮资讯网上。</w:t>
            </w:r>
          </w:p>
        </w:tc>
      </w:tr>
      <w:tr>
        <w:trPr>
          <w:trHeight w:val="2897"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9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22"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、《关于使用募集资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金向全资子公司亳 州丽鹏制盖有限公 </w:t>
            </w:r>
            <w:r>
              <w:rPr>
                <w:rFonts w:ascii="宋体" w:hAnsi="宋体" w:cs="宋体" w:eastAsia="宋体" w:hint="default"/>
                <w:spacing w:val="-11"/>
                <w:sz w:val="18"/>
                <w:szCs w:val="18"/>
              </w:rPr>
              <w:t>司增资的议案》；</w:t>
            </w:r>
            <w:r>
              <w:rPr>
                <w:rFonts w:ascii="Times New Roman" w:hAnsi="Times New Roman" w:cs="Times New Roman" w:eastAsia="Times New Roman" w:hint="default"/>
                <w:spacing w:val="-11"/>
                <w:sz w:val="18"/>
                <w:szCs w:val="18"/>
              </w:rPr>
              <w:t>2</w:t>
            </w:r>
          </w:p>
          <w:p>
            <w:pPr>
              <w:pStyle w:val="TableParagraph"/>
              <w:spacing w:line="316" w:lineRule="auto" w:before="3"/>
              <w:ind w:left="22" w:right="119"/>
              <w:jc w:val="both"/>
              <w:rPr>
                <w:rFonts w:ascii="宋体" w:hAnsi="宋体" w:cs="宋体" w:eastAsia="宋体" w:hint="default"/>
                <w:sz w:val="18"/>
                <w:szCs w:val="18"/>
              </w:rPr>
            </w:pPr>
            <w:r>
              <w:rPr>
                <w:rFonts w:ascii="宋体" w:hAnsi="宋体" w:cs="宋体" w:eastAsia="宋体" w:hint="default"/>
                <w:sz w:val="18"/>
                <w:szCs w:val="18"/>
              </w:rPr>
              <w:t>《关于变更注册地 址并修改〈公司章 程〉的议案》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上述议案全部审议 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 二次临时股东大会 决议的公告》</w:t>
            </w:r>
          </w:p>
          <w:p>
            <w:pPr>
              <w:pStyle w:val="TableParagraph"/>
              <w:spacing w:line="240" w:lineRule="auto" w:before="2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2012-42</w:t>
            </w:r>
            <w:r>
              <w:rPr>
                <w:rFonts w:ascii="宋体" w:hAnsi="宋体" w:cs="宋体" w:eastAsia="宋体" w:hint="default"/>
                <w:sz w:val="18"/>
                <w:szCs w:val="18"/>
              </w:rPr>
              <w:t>）于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日刊登于</w:t>
            </w:r>
          </w:p>
          <w:p>
            <w:pPr>
              <w:pStyle w:val="TableParagraph"/>
              <w:spacing w:line="316" w:lineRule="auto" w:before="63"/>
              <w:ind w:left="23" w:right="22"/>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报》、《证券时报》和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巨潮资讯网上。</w:t>
            </w:r>
          </w:p>
        </w:tc>
      </w:tr>
    </w:tbl>
    <w:p>
      <w:pPr>
        <w:spacing w:after="0" w:line="316" w:lineRule="auto"/>
        <w:jc w:val="both"/>
        <w:rPr>
          <w:rFonts w:ascii="宋体" w:hAnsi="宋体" w:cs="宋体" w:eastAsia="宋体" w:hint="default"/>
          <w:sz w:val="18"/>
          <w:szCs w:val="18"/>
        </w:rPr>
        <w:sectPr>
          <w:pgSz w:w="11910" w:h="16840"/>
          <w:pgMar w:header="877" w:footer="1323" w:top="1060" w:bottom="152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12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王利</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战淑萍</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07" w:lineRule="auto" w:before="28"/>
        <w:ind w:right="7426"/>
        <w:jc w:val="left"/>
      </w:pPr>
      <w:r>
        <w:rPr>
          <w:spacing w:val="-2"/>
        </w:rPr>
        <w:t>连续两次未亲自出席董事会的说明</w:t>
      </w:r>
      <w:r>
        <w:rPr>
          <w:spacing w:val="-75"/>
        </w:rPr>
        <w:t> </w:t>
      </w:r>
      <w:r>
        <w:rPr>
          <w:spacing w:val="-75"/>
        </w:rPr>
      </w:r>
      <w:r>
        <w:rPr/>
        <w:t>无。</w:t>
      </w:r>
    </w:p>
    <w:p>
      <w:pPr>
        <w:spacing w:line="240" w:lineRule="auto" w:before="1"/>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1123"/>
        <w:jc w:val="left"/>
      </w:pPr>
      <w:r>
        <w:rPr/>
        <w:t>独立董事对公司有关事项是否提出异议</w:t>
      </w:r>
    </w:p>
    <w:p>
      <w:pPr>
        <w:pStyle w:val="Heading3"/>
        <w:spacing w:line="252" w:lineRule="auto" w:before="38"/>
        <w:ind w:right="5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报告期内独立董事对公司有关事项未提出异议。</w:t>
      </w:r>
    </w:p>
    <w:p>
      <w:pPr>
        <w:spacing w:line="600" w:lineRule="atLeast" w:before="4"/>
        <w:ind w:left="152" w:right="5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独立董事对公司有关建议是否被采纳</w:t>
      </w:r>
    </w:p>
    <w:p>
      <w:pPr>
        <w:pStyle w:val="BodyText"/>
        <w:spacing w:line="290" w:lineRule="auto" w:before="78"/>
        <w:ind w:right="6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pStyle w:val="BodyText"/>
        <w:spacing w:line="273" w:lineRule="auto" w:before="34"/>
        <w:ind w:right="1104" w:firstLine="420"/>
        <w:jc w:val="both"/>
      </w:pPr>
      <w:r>
        <w:rPr>
          <w:spacing w:val="-2"/>
        </w:rPr>
        <w:t>公司独立董事根据相关法律法规的规定，积极关注公司运作，独立履行职责，对公司日常经营决策和</w:t>
      </w:r>
      <w:r>
        <w:rPr>
          <w:w w:val="100"/>
        </w:rPr>
        <w:t> </w:t>
      </w:r>
      <w:r>
        <w:rPr>
          <w:spacing w:val="-2"/>
        </w:rPr>
        <w:t>内部控制规范等方面提出了诸多宝贵的专业意见，对报告期内募集资金的使用、对外担保情况的核查、审</w:t>
      </w:r>
      <w:r>
        <w:rPr>
          <w:spacing w:val="-42"/>
        </w:rPr>
        <w:t> </w:t>
      </w:r>
      <w:r>
        <w:rPr>
          <w:spacing w:val="-42"/>
        </w:rPr>
      </w:r>
      <w:r>
        <w:rPr>
          <w:spacing w:val="-2"/>
        </w:rPr>
        <w:t>计机构的聘任等需要独立董事发表独立意见的事项出具了独立的、公正的意见，维护了公司和全体股东，</w:t>
      </w:r>
      <w:r>
        <w:rPr>
          <w:spacing w:val="-21"/>
        </w:rPr>
        <w:t> </w:t>
      </w:r>
      <w:r>
        <w:rPr>
          <w:spacing w:val="-21"/>
        </w:rPr>
      </w:r>
      <w:r>
        <w:rPr/>
        <w:t>尤其是中小股东的权益。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0"/>
        <w:ind w:right="1123"/>
        <w:jc w:val="left"/>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420"/>
        <w:jc w:val="both"/>
      </w:pPr>
      <w:r>
        <w:rPr>
          <w:spacing w:val="-2"/>
        </w:rPr>
        <w:t>公司董事会下设审计委员会、薪酬与考核委员会、提名委员会和战略委员会。报告期内，专门委员会</w:t>
      </w:r>
      <w:r>
        <w:rPr>
          <w:w w:val="100"/>
        </w:rPr>
        <w:t> </w:t>
      </w:r>
      <w:r>
        <w:rPr/>
        <w:t>按照《公司章程》和各议事规则的规定，对公司经营管理重大事项进行讨论与决策。</w:t>
      </w:r>
    </w:p>
    <w:p>
      <w:pPr>
        <w:pStyle w:val="BodyText"/>
        <w:spacing w:line="256" w:lineRule="auto" w:before="7"/>
        <w:ind w:left="573" w:right="1123"/>
        <w:jc w:val="left"/>
      </w:pPr>
      <w:r>
        <w:rPr>
          <w:rFonts w:ascii="Times New Roman" w:hAnsi="Times New Roman" w:cs="Times New Roman" w:eastAsia="Times New Roman" w:hint="default"/>
        </w:rPr>
        <w:t>1</w:t>
      </w:r>
      <w:r>
        <w:rPr/>
        <w:t>、董事会审计委员会履职情况</w:t>
      </w:r>
      <w:r>
        <w:rPr>
          <w:w w:val="100"/>
        </w:rPr>
        <w:t> </w:t>
      </w:r>
      <w:r>
        <w:rPr>
          <w:spacing w:val="-2"/>
        </w:rPr>
        <w:t>董事会审计委员会主要负责公司内外部审计的沟通和协调，组织内部审计等相关工作。报告期内，董</w:t>
      </w:r>
    </w:p>
    <w:p>
      <w:pPr>
        <w:pStyle w:val="BodyText"/>
        <w:spacing w:line="261" w:lineRule="auto" w:before="22"/>
        <w:ind w:right="1123"/>
        <w:jc w:val="left"/>
      </w:pPr>
      <w:r>
        <w:rPr/>
        <w:t>事会审计委员会共召开会议</w:t>
      </w:r>
      <w:r>
        <w:rPr>
          <w:rFonts w:ascii="Times New Roman" w:hAnsi="Times New Roman" w:cs="Times New Roman" w:eastAsia="Times New Roman" w:hint="default"/>
        </w:rPr>
        <w:t>4</w:t>
      </w:r>
      <w:r>
        <w:rPr/>
        <w:t>次，主要审议了公司内部审计部门提交的季度募集资金存放和使用的专项报</w:t>
      </w:r>
      <w:r>
        <w:rPr>
          <w:w w:val="100"/>
        </w:rPr>
        <w:t> </w:t>
      </w:r>
      <w:r>
        <w:rPr>
          <w:spacing w:val="-2"/>
        </w:rPr>
        <w:t>告和财务报告，对内部审计部门的工作进行监督和指导。在</w:t>
      </w:r>
      <w:r>
        <w:rPr>
          <w:rFonts w:ascii="Times New Roman" w:hAnsi="Times New Roman" w:cs="Times New Roman" w:eastAsia="Times New Roman" w:hint="default"/>
          <w:spacing w:val="-2"/>
        </w:rPr>
        <w:t>2012</w:t>
      </w:r>
      <w:r>
        <w:rPr>
          <w:spacing w:val="-2"/>
        </w:rPr>
        <w:t>年年报编制和审计工作过程中，审计委员</w:t>
      </w:r>
      <w:r>
        <w:rPr>
          <w:spacing w:val="-40"/>
        </w:rPr>
        <w:t> </w:t>
      </w:r>
      <w:r>
        <w:rPr>
          <w:spacing w:val="-40"/>
        </w:rPr>
      </w:r>
      <w:r>
        <w:rPr>
          <w:spacing w:val="-2"/>
        </w:rPr>
        <w:t>会与审计机构沟通确定了年度财务报告审计工作的时间安排，对公司的财务报表进行了审计并形成了内部</w:t>
      </w:r>
      <w:r>
        <w:rPr>
          <w:spacing w:val="-43"/>
        </w:rPr>
        <w:t> </w:t>
      </w:r>
      <w:r>
        <w:rPr>
          <w:spacing w:val="-43"/>
        </w:rPr>
      </w:r>
      <w:r>
        <w:rPr/>
        <w:t>审计书面报告。</w:t>
      </w:r>
    </w:p>
    <w:p>
      <w:pPr>
        <w:pStyle w:val="BodyText"/>
        <w:spacing w:line="240" w:lineRule="auto" w:before="16"/>
        <w:ind w:left="573" w:right="1123"/>
        <w:jc w:val="left"/>
      </w:pPr>
      <w:r>
        <w:rPr>
          <w:rFonts w:ascii="Times New Roman" w:hAnsi="Times New Roman" w:cs="Times New Roman" w:eastAsia="Times New Roman" w:hint="default"/>
        </w:rPr>
        <w:t>2</w:t>
      </w:r>
      <w:r>
        <w:rPr/>
        <w:t>、董事会薪酬与考核委员会履职情况</w:t>
      </w:r>
    </w:p>
    <w:p>
      <w:pPr>
        <w:spacing w:after="0" w:line="240" w:lineRule="auto"/>
        <w:jc w:val="left"/>
        <w:sectPr>
          <w:pgSz w:w="11910" w:h="16840"/>
          <w:pgMar w:header="877" w:footer="1323" w:top="1060" w:bottom="152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3" w:firstLine="420"/>
        <w:jc w:val="left"/>
      </w:pPr>
      <w:r>
        <w:rPr>
          <w:spacing w:val="-2"/>
        </w:rPr>
        <w:t>董事会薪酬与考核委员会主要负责公司董事和高级管理人员的薪酬方案及考评方案的制定及执行。报</w:t>
      </w:r>
      <w:r>
        <w:rPr>
          <w:w w:val="100"/>
        </w:rPr>
        <w:t> </w:t>
      </w:r>
      <w:r>
        <w:rPr/>
        <w:t>告期内，董事会薪酬与考核委员会共召开会议</w:t>
      </w:r>
      <w:r>
        <w:rPr>
          <w:rFonts w:ascii="Times New Roman" w:hAnsi="Times New Roman" w:cs="Times New Roman" w:eastAsia="Times New Roman" w:hint="default"/>
        </w:rPr>
        <w:t>1</w:t>
      </w:r>
      <w:r>
        <w:rPr/>
        <w:t>次，主要审议确定了公司</w:t>
      </w:r>
      <w:r>
        <w:rPr>
          <w:rFonts w:ascii="Times New Roman" w:hAnsi="Times New Roman" w:cs="Times New Roman" w:eastAsia="Times New Roman" w:hint="default"/>
        </w:rPr>
        <w:t>2012</w:t>
      </w:r>
      <w:r>
        <w:rPr/>
        <w:t>年董事及高级管理人员的薪</w:t>
      </w:r>
      <w:r>
        <w:rPr>
          <w:w w:val="100"/>
        </w:rPr>
        <w:t> </w:t>
      </w:r>
      <w:r>
        <w:rPr/>
        <w:t>酬情况，形成决议并提交董事会审议。</w:t>
      </w:r>
    </w:p>
    <w:p>
      <w:pPr>
        <w:pStyle w:val="BodyText"/>
        <w:spacing w:line="256" w:lineRule="auto" w:before="14"/>
        <w:ind w:left="573" w:right="1123"/>
        <w:jc w:val="left"/>
      </w:pPr>
      <w:r>
        <w:rPr>
          <w:rFonts w:ascii="Times New Roman" w:hAnsi="Times New Roman" w:cs="Times New Roman" w:eastAsia="Times New Roman" w:hint="default"/>
        </w:rPr>
        <w:t>3</w:t>
      </w:r>
      <w:r>
        <w:rPr/>
        <w:t>、董事会提名委员会履职情况</w:t>
      </w:r>
      <w:r>
        <w:rPr>
          <w:w w:val="100"/>
        </w:rPr>
        <w:t> </w:t>
      </w:r>
      <w:r>
        <w:rPr>
          <w:spacing w:val="-2"/>
        </w:rPr>
        <w:t>董事会提名委员会主要负责对公司董事和高级管理人员的人选、选择标准和选择程序提出建议。报告</w:t>
      </w:r>
    </w:p>
    <w:p>
      <w:pPr>
        <w:pStyle w:val="BodyText"/>
        <w:spacing w:line="240" w:lineRule="auto" w:before="22"/>
        <w:ind w:right="1123"/>
        <w:jc w:val="left"/>
      </w:pPr>
      <w:r>
        <w:rPr/>
        <w:t>期内，公司董事和高级管理人员未发生变更，因此董事会提名委员会未召开会议。</w:t>
      </w:r>
    </w:p>
    <w:p>
      <w:pPr>
        <w:pStyle w:val="BodyText"/>
        <w:spacing w:line="256" w:lineRule="auto" w:before="37"/>
        <w:ind w:left="573" w:right="1123"/>
        <w:jc w:val="left"/>
      </w:pPr>
      <w:r>
        <w:rPr>
          <w:rFonts w:ascii="Times New Roman" w:hAnsi="Times New Roman" w:cs="Times New Roman" w:eastAsia="Times New Roman" w:hint="default"/>
        </w:rPr>
        <w:t>4</w:t>
      </w:r>
      <w:r>
        <w:rPr/>
        <w:t>、董事会战略委员会</w:t>
      </w:r>
      <w:r>
        <w:rPr>
          <w:w w:val="100"/>
        </w:rPr>
        <w:t> </w:t>
      </w:r>
      <w:r>
        <w:rPr>
          <w:spacing w:val="-2"/>
        </w:rPr>
        <w:t>董事会战略委员会主要负责研究公司长期发展战略和重大投资决策，对重大事项提出意见和建议。报</w:t>
      </w:r>
    </w:p>
    <w:p>
      <w:pPr>
        <w:pStyle w:val="BodyText"/>
        <w:spacing w:line="256" w:lineRule="auto" w:before="22"/>
        <w:ind w:right="1123"/>
        <w:jc w:val="left"/>
      </w:pPr>
      <w:r>
        <w:rPr>
          <w:spacing w:val="-2"/>
        </w:rPr>
        <w:t>告期内，董事会战略委员会共召开会议</w:t>
      </w:r>
      <w:r>
        <w:rPr>
          <w:rFonts w:ascii="Times New Roman" w:hAnsi="Times New Roman" w:cs="Times New Roman" w:eastAsia="Times New Roman" w:hint="default"/>
          <w:spacing w:val="-2"/>
        </w:rPr>
        <w:t>1</w:t>
      </w:r>
      <w:r>
        <w:rPr>
          <w:spacing w:val="-2"/>
        </w:rPr>
        <w:t>次，主要审议了公司目前战略定位和下一年度公司的战略发展方</w:t>
      </w:r>
      <w:r>
        <w:rPr>
          <w:spacing w:val="-22"/>
        </w:rPr>
        <w:t> </w:t>
      </w:r>
      <w:r>
        <w:rPr>
          <w:spacing w:val="-22"/>
        </w:rPr>
      </w:r>
      <w:r>
        <w:rPr/>
        <w:t>向。</w:t>
      </w:r>
    </w:p>
    <w:p>
      <w:pPr>
        <w:spacing w:line="240" w:lineRule="auto" w:before="9"/>
        <w:rPr>
          <w:rFonts w:ascii="宋体" w:hAnsi="宋体" w:cs="宋体" w:eastAsia="宋体" w:hint="default"/>
          <w:sz w:val="22"/>
          <w:szCs w:val="22"/>
        </w:rPr>
      </w:pPr>
    </w:p>
    <w:p>
      <w:pPr>
        <w:pStyle w:val="Heading2"/>
        <w:spacing w:line="240" w:lineRule="auto" w:before="0"/>
        <w:ind w:right="1123"/>
        <w:jc w:val="left"/>
        <w:rPr>
          <w:b w:val="0"/>
          <w:bCs w:val="0"/>
        </w:rPr>
      </w:pPr>
      <w:r>
        <w:rPr/>
        <w:t>五、监事会工作情况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监事会在报告期内的监督活动中发现公司是否存在风险</w:t>
      </w:r>
    </w:p>
    <w:p>
      <w:pPr>
        <w:pStyle w:val="BodyText"/>
        <w:spacing w:line="290" w:lineRule="auto" w:before="75"/>
        <w:ind w:right="633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监事会对报告期内的监督事项无异议。</w:t>
      </w:r>
    </w:p>
    <w:p>
      <w:pPr>
        <w:spacing w:line="240" w:lineRule="auto" w:before="6"/>
        <w:rPr>
          <w:rFonts w:ascii="宋体" w:hAnsi="宋体" w:cs="宋体" w:eastAsia="宋体" w:hint="default"/>
          <w:sz w:val="20"/>
          <w:szCs w:val="20"/>
        </w:rPr>
      </w:pPr>
    </w:p>
    <w:p>
      <w:pPr>
        <w:pStyle w:val="Heading2"/>
        <w:spacing w:line="240" w:lineRule="auto" w:before="0"/>
        <w:ind w:right="1123"/>
        <w:jc w:val="left"/>
        <w:rPr>
          <w:b w:val="0"/>
          <w:bCs w:val="0"/>
        </w:rPr>
      </w:pP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公司严格规范公司与股东之间的关系，建立健全各项管理制度。目前，公司在业务、资产、人员、财</w:t>
      </w:r>
      <w:r>
        <w:rPr>
          <w:w w:val="100"/>
        </w:rPr>
        <w:t> </w:t>
      </w:r>
      <w:r>
        <w:rPr>
          <w:spacing w:val="-2"/>
        </w:rPr>
        <w:t>务、机构方面均独立于公司各股东，具有独立完整的业务和供应、生产、销售系统，以及面向市场自主经</w:t>
      </w:r>
      <w:r>
        <w:rPr>
          <w:spacing w:val="-43"/>
        </w:rPr>
        <w:t> </w:t>
      </w:r>
      <w:r>
        <w:rPr>
          <w:spacing w:val="-43"/>
        </w:rPr>
      </w:r>
      <w:r>
        <w:rPr/>
        <w:t>营的能力，完全独立运作、自主经营，独立承担责任和风险。</w:t>
      </w:r>
    </w:p>
    <w:p>
      <w:pPr>
        <w:pStyle w:val="BodyText"/>
        <w:spacing w:line="309" w:lineRule="auto" w:before="48"/>
        <w:ind w:left="573" w:right="1123"/>
        <w:jc w:val="left"/>
      </w:pPr>
      <w:r>
        <w:rPr/>
        <w:t>（一）业务独立</w:t>
      </w:r>
      <w:r>
        <w:rPr>
          <w:spacing w:val="-103"/>
        </w:rPr>
        <w:t> </w:t>
      </w:r>
      <w:r>
        <w:rPr>
          <w:spacing w:val="-103"/>
        </w:rPr>
      </w:r>
      <w:r>
        <w:rPr>
          <w:spacing w:val="-2"/>
        </w:rPr>
        <w:t>公司主要从事铝板复合型防伪印刷和防伪瓶盖的生产、销售及相关业务，拥有完整且独立的采购、生</w:t>
      </w:r>
    </w:p>
    <w:p>
      <w:pPr>
        <w:pStyle w:val="BodyText"/>
        <w:spacing w:line="251" w:lineRule="exact"/>
        <w:ind w:right="0"/>
        <w:jc w:val="left"/>
      </w:pPr>
      <w:r>
        <w:rPr/>
        <w:t>产、销售系统，具有独立、完整的资产和业务，形成了集铝板复合型防伪印刷、瓶盖制造、制盖机械及模</w:t>
      </w:r>
    </w:p>
    <w:p>
      <w:pPr>
        <w:pStyle w:val="BodyText"/>
        <w:spacing w:line="273" w:lineRule="auto" w:before="37"/>
        <w:ind w:right="1123"/>
        <w:jc w:val="left"/>
      </w:pPr>
      <w:r>
        <w:rPr>
          <w:spacing w:val="-2"/>
        </w:rPr>
        <w:t>具制造、产品技术研发和售后技术服务为一体的完整业务体系，具备面向市场自主经营的能力，独立组织</w:t>
      </w:r>
      <w:r>
        <w:rPr>
          <w:spacing w:val="-42"/>
        </w:rPr>
        <w:t> </w:t>
      </w:r>
      <w:r>
        <w:rPr>
          <w:spacing w:val="-42"/>
        </w:rPr>
      </w:r>
      <w:r>
        <w:rPr/>
        <w:t>和实施生产经营活动，不依赖于控股股东和实际控制人。</w:t>
      </w:r>
    </w:p>
    <w:p>
      <w:pPr>
        <w:pStyle w:val="BodyText"/>
        <w:spacing w:line="307" w:lineRule="auto" w:before="46"/>
        <w:ind w:left="573" w:right="0"/>
        <w:jc w:val="left"/>
      </w:pPr>
      <w:r>
        <w:rPr/>
        <w:t>（二）资产完整</w:t>
      </w:r>
      <w:r>
        <w:rPr>
          <w:spacing w:val="-103"/>
        </w:rPr>
        <w:t> </w:t>
      </w:r>
      <w:r>
        <w:rPr>
          <w:spacing w:val="-103"/>
        </w:rPr>
      </w:r>
      <w:r>
        <w:rPr>
          <w:spacing w:val="-5"/>
        </w:rPr>
        <w:t>公司拥有独立的生产系统、辅助生产系统和配套设施、土地使用权、专利、商标、非专利技术等资产，</w:t>
      </w:r>
    </w:p>
    <w:p>
      <w:pPr>
        <w:pStyle w:val="BodyText"/>
        <w:spacing w:line="253" w:lineRule="exact"/>
        <w:ind w:right="0"/>
        <w:jc w:val="left"/>
      </w:pPr>
      <w:r>
        <w:rPr/>
        <w:t>公司没有以自身资产、权益或信誉为控股股东、实际控制人的债务提供过担保，对所有资产拥有完全的控</w:t>
      </w:r>
    </w:p>
    <w:p>
      <w:pPr>
        <w:pStyle w:val="BodyText"/>
        <w:spacing w:line="273" w:lineRule="auto" w:before="37"/>
        <w:ind w:right="1123"/>
        <w:jc w:val="left"/>
      </w:pPr>
      <w:r>
        <w:rPr>
          <w:spacing w:val="-2"/>
        </w:rPr>
        <w:t>制支配权，不存在资产、资金和其他资源被控股股东和实际控制人违规占用而损害公司其他股东利益及公</w:t>
      </w:r>
      <w:r>
        <w:rPr>
          <w:spacing w:val="-42"/>
        </w:rPr>
        <w:t> </w:t>
      </w:r>
      <w:r>
        <w:rPr>
          <w:spacing w:val="-42"/>
        </w:rPr>
      </w:r>
      <w:r>
        <w:rPr/>
        <w:t>司利益的情况。</w:t>
      </w:r>
    </w:p>
    <w:p>
      <w:pPr>
        <w:pStyle w:val="BodyText"/>
        <w:spacing w:line="307" w:lineRule="auto" w:before="48"/>
        <w:ind w:left="573" w:right="1099"/>
        <w:jc w:val="left"/>
      </w:pPr>
      <w:r>
        <w:rPr/>
        <w:t>（三）人员独立</w:t>
      </w:r>
      <w:r>
        <w:rPr>
          <w:spacing w:val="-103"/>
        </w:rPr>
        <w:t> </w:t>
      </w:r>
      <w:r>
        <w:rPr>
          <w:spacing w:val="-103"/>
        </w:rPr>
      </w:r>
      <w:r>
        <w:rPr>
          <w:spacing w:val="-6"/>
          <w:w w:val="100"/>
        </w:rPr>
        <w:t>公司董事、监事及高级管理人员均严格按照《公司法》、《公司章程》的有关规定产生。刚弄死总裁、</w:t>
      </w:r>
    </w:p>
    <w:p>
      <w:pPr>
        <w:pStyle w:val="BodyText"/>
        <w:spacing w:line="254" w:lineRule="exact"/>
        <w:ind w:right="0"/>
        <w:jc w:val="left"/>
      </w:pPr>
      <w:r>
        <w:rPr/>
        <w:t>副总裁、财务负责人、董事会秘书和业务部门负责人均属专职且在公司领取薪酬，不存在在控股股东、实</w:t>
      </w:r>
    </w:p>
    <w:p>
      <w:pPr>
        <w:pStyle w:val="BodyText"/>
        <w:spacing w:line="273" w:lineRule="auto" w:before="37"/>
        <w:ind w:right="0"/>
        <w:jc w:val="left"/>
      </w:pPr>
      <w:r>
        <w:rPr>
          <w:spacing w:val="-2"/>
        </w:rPr>
        <w:t>际控制人及其控制的其他企业兼职的情形。公司高级管理人员的推荐符合《公司章程》的规定，不存在超</w:t>
      </w:r>
      <w:r>
        <w:rPr>
          <w:spacing w:val="-47"/>
        </w:rPr>
        <w:t> </w:t>
      </w:r>
      <w:r>
        <w:rPr>
          <w:spacing w:val="-47"/>
        </w:rPr>
      </w:r>
      <w:r>
        <w:rPr>
          <w:spacing w:val="-5"/>
        </w:rPr>
        <w:t>越董事会和股东大会而作出人事任免的决定。公司在劳动、人事及工资管理上完全独立，并根据《劳动法》</w:t>
      </w:r>
      <w:r>
        <w:rPr>
          <w:spacing w:val="-9"/>
        </w:rPr>
        <w:t> </w:t>
      </w:r>
      <w:r>
        <w:rPr>
          <w:spacing w:val="-9"/>
        </w:rPr>
      </w:r>
      <w:r>
        <w:rPr/>
        <w:t>和公司劳动管理制度等有关规定与公司员工签订劳动合同。</w:t>
      </w:r>
    </w:p>
    <w:p>
      <w:pPr>
        <w:pStyle w:val="BodyText"/>
        <w:spacing w:line="307" w:lineRule="auto" w:before="48"/>
        <w:ind w:left="573" w:right="1123"/>
        <w:jc w:val="left"/>
      </w:pPr>
      <w:r>
        <w:rPr/>
        <w:t>（四）财务独立</w:t>
      </w:r>
      <w:r>
        <w:rPr>
          <w:spacing w:val="-103"/>
        </w:rPr>
        <w:t> </w:t>
      </w:r>
      <w:r>
        <w:rPr>
          <w:spacing w:val="-103"/>
        </w:rPr>
      </w:r>
      <w:r>
        <w:rPr>
          <w:spacing w:val="-2"/>
        </w:rPr>
        <w:t>公司设立了独立的财务部门，配备了独立的财务人员，开设了独立的银行账号，建立了独立的会计核</w:t>
      </w:r>
    </w:p>
    <w:p>
      <w:pPr>
        <w:pStyle w:val="BodyText"/>
        <w:spacing w:line="253" w:lineRule="exact"/>
        <w:ind w:right="0"/>
        <w:jc w:val="left"/>
      </w:pPr>
      <w:r>
        <w:rPr/>
        <w:t>算体系，制定了内部财务管理制度等内控制度，独立进行财务决策并依法独立进行纳税申报和履行纳税义</w:t>
      </w:r>
    </w:p>
    <w:p>
      <w:pPr>
        <w:pStyle w:val="BodyText"/>
        <w:spacing w:line="273" w:lineRule="auto" w:before="37"/>
        <w:ind w:right="1123"/>
        <w:jc w:val="left"/>
      </w:pPr>
      <w:r>
        <w:rPr>
          <w:spacing w:val="-2"/>
        </w:rPr>
        <w:t>务。公司根据企业发展规划，自主决定投资计划和资金安排，不存在股东干预公司财务决策、资金使用的</w:t>
      </w:r>
      <w:r>
        <w:rPr>
          <w:spacing w:val="-50"/>
        </w:rPr>
        <w:t> </w:t>
      </w:r>
      <w:r>
        <w:rPr>
          <w:spacing w:val="-50"/>
        </w:rPr>
      </w:r>
      <w:r>
        <w:rPr>
          <w:spacing w:val="-2"/>
        </w:rPr>
        <w:t>情况，不存在货币资金或其他资产被股东或其他关联方占用的情况，也不存在为各股东、实际控制人及其</w:t>
      </w:r>
    </w:p>
    <w:p>
      <w:pPr>
        <w:spacing w:after="0" w:line="273" w:lineRule="auto"/>
        <w:jc w:val="left"/>
        <w:sectPr>
          <w:footerReference w:type="default" r:id="rId26"/>
          <w:pgSz w:w="11910" w:h="16840"/>
          <w:pgMar w:footer="1331" w:header="877" w:top="1060" w:bottom="1520" w:left="980" w:right="0"/>
          <w:pgNumType w:start="4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t>控制的其他企业提供担保的情况。</w:t>
      </w:r>
    </w:p>
    <w:p>
      <w:pPr>
        <w:pStyle w:val="BodyText"/>
        <w:spacing w:line="307" w:lineRule="auto" w:before="78"/>
        <w:ind w:left="573" w:right="1123"/>
        <w:jc w:val="left"/>
      </w:pPr>
      <w:r>
        <w:rPr/>
        <w:t>（五）机构独立</w:t>
      </w:r>
      <w:r>
        <w:rPr>
          <w:spacing w:val="-103"/>
        </w:rPr>
        <w:t> </w:t>
      </w:r>
      <w:r>
        <w:rPr>
          <w:spacing w:val="-103"/>
        </w:rPr>
      </w:r>
      <w:r>
        <w:rPr>
          <w:spacing w:val="-2"/>
        </w:rPr>
        <w:t>公司设立了股东大会、董事会、监事会等机构，聘请了包括总裁、副总裁、财务负责人、董事会秘书</w:t>
      </w:r>
    </w:p>
    <w:p>
      <w:pPr>
        <w:pStyle w:val="BodyText"/>
        <w:spacing w:line="253" w:lineRule="exact"/>
        <w:ind w:right="0"/>
        <w:jc w:val="left"/>
      </w:pPr>
      <w:r>
        <w:rPr/>
        <w:t>等人员在内的高级管理人员，根据自身经营需要，下设运营部、研发制造中心、财务部、国内贸易部、国</w:t>
      </w:r>
    </w:p>
    <w:p>
      <w:pPr>
        <w:pStyle w:val="BodyText"/>
        <w:spacing w:line="273" w:lineRule="auto" w:before="37"/>
        <w:ind w:right="1123"/>
        <w:jc w:val="left"/>
      </w:pPr>
      <w:r>
        <w:rPr>
          <w:spacing w:val="-2"/>
        </w:rPr>
        <w:t>际贸易部、人力资源部、证券部等职能部门，拥有完整的采购、生产、销售系统和配套部门。自公司设立</w:t>
      </w:r>
      <w:r>
        <w:rPr>
          <w:spacing w:val="-42"/>
        </w:rPr>
        <w:t> </w:t>
      </w:r>
      <w:r>
        <w:rPr>
          <w:spacing w:val="-42"/>
        </w:rPr>
      </w:r>
      <w:r>
        <w:rPr/>
        <w:t>以来，未发生股东干预公司正常生产经营活动的情况。</w:t>
      </w:r>
    </w:p>
    <w:p>
      <w:pPr>
        <w:spacing w:line="240" w:lineRule="auto" w:before="8"/>
        <w:rPr>
          <w:rFonts w:ascii="宋体" w:hAnsi="宋体" w:cs="宋体" w:eastAsia="宋体" w:hint="default"/>
          <w:sz w:val="21"/>
          <w:szCs w:val="21"/>
        </w:rPr>
      </w:pPr>
    </w:p>
    <w:p>
      <w:pPr>
        <w:pStyle w:val="Heading2"/>
        <w:spacing w:line="240" w:lineRule="auto" w:before="0"/>
        <w:ind w:right="1123"/>
        <w:jc w:val="left"/>
        <w:rPr>
          <w:b w:val="0"/>
          <w:bCs w:val="0"/>
        </w:rPr>
      </w:pPr>
      <w:r>
        <w:rPr/>
        <w:t>七、高级管理人员的考评及激励情况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023" w:firstLine="420"/>
        <w:jc w:val="both"/>
      </w:pPr>
      <w:r>
        <w:rPr/>
        <w:t>公司建立了公正、合理、有效的高级管理人员绩效考核评价体系，以公司规范化管理以及经营效益稳</w:t>
      </w:r>
      <w:r>
        <w:rPr>
          <w:w w:val="100"/>
        </w:rPr>
        <w:t> </w:t>
      </w:r>
      <w:r>
        <w:rPr>
          <w:spacing w:val="-2"/>
        </w:rPr>
        <w:t>步提升为基础，明确责任。董事会薪酬与考核委员会具体审议高级管理人员的薪酬奖励方案，根据公司实</w:t>
      </w:r>
      <w:r>
        <w:rPr>
          <w:spacing w:val="-45"/>
        </w:rPr>
        <w:t> </w:t>
      </w:r>
      <w:r>
        <w:rPr>
          <w:spacing w:val="-45"/>
        </w:rPr>
      </w:r>
      <w:r>
        <w:rPr>
          <w:spacing w:val="-2"/>
        </w:rPr>
        <w:t>际经营完成情况以及高级管理人员的工作绩效，对高级管理人员进行年度绩效考核，并监督薪酬制度执行</w:t>
      </w:r>
      <w:r>
        <w:rPr>
          <w:spacing w:val="-44"/>
        </w:rPr>
        <w:t> </w:t>
      </w:r>
      <w:r>
        <w:rPr>
          <w:spacing w:val="-44"/>
        </w:rPr>
      </w:r>
      <w:r>
        <w:rPr>
          <w:spacing w:val="-9"/>
          <w:w w:val="100"/>
        </w:rPr>
        <w:t>情况。报告期内，本公司高级管理人员能够严格按照《公司法》、《公司章程》等法律法规，认真履行职责。</w:t>
      </w:r>
    </w:p>
    <w:p>
      <w:pPr>
        <w:spacing w:after="0" w:line="273" w:lineRule="auto"/>
        <w:jc w:val="both"/>
        <w:sectPr>
          <w:pgSz w:w="11910" w:h="16840"/>
          <w:pgMar w:header="877" w:footer="1331"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一、内部控制建设情况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6" w:firstLine="420"/>
        <w:jc w:val="both"/>
      </w:pPr>
      <w:r>
        <w:rPr>
          <w:spacing w:val="-2"/>
        </w:rPr>
        <w:t>为规范公司生产经营、财务管理以及信息披露等工作，保证公司日常工作正常有序开展，公司结合自</w:t>
      </w:r>
      <w:r>
        <w:rPr>
          <w:w w:val="100"/>
        </w:rPr>
        <w:t> </w:t>
      </w:r>
      <w:r>
        <w:rPr>
          <w:spacing w:val="-2"/>
        </w:rPr>
        <w:t>身实际以及发展需要，严格按照上市公司有关法律法规的要求，制定了一整套贯穿于公司生产经营管理各</w:t>
      </w:r>
      <w:r>
        <w:rPr>
          <w:spacing w:val="-44"/>
        </w:rPr>
        <w:t> </w:t>
      </w:r>
      <w:r>
        <w:rPr>
          <w:spacing w:val="-44"/>
        </w:rPr>
      </w:r>
      <w:r>
        <w:rPr>
          <w:spacing w:val="-2"/>
        </w:rPr>
        <w:t>个层面的内部控制制度体系，并及时根据最新的法律、法规不断完善，在日常工作中严格遵照执行，使公</w:t>
      </w:r>
      <w:r>
        <w:rPr>
          <w:spacing w:val="-47"/>
        </w:rPr>
        <w:t> </w:t>
      </w:r>
      <w:r>
        <w:rPr>
          <w:spacing w:val="-47"/>
        </w:rPr>
      </w:r>
      <w:r>
        <w:rPr/>
        <w:t>司的内部控制制度体系更加健全，法人治理结构更加完善。</w:t>
      </w:r>
    </w:p>
    <w:p>
      <w:pPr>
        <w:pStyle w:val="BodyText"/>
        <w:spacing w:line="290" w:lineRule="auto" w:before="48"/>
        <w:ind w:left="573" w:right="1124"/>
        <w:jc w:val="left"/>
      </w:pPr>
      <w:r>
        <w:rPr>
          <w:rFonts w:ascii="Times New Roman" w:hAnsi="Times New Roman" w:cs="Times New Roman" w:eastAsia="Times New Roman" w:hint="default"/>
        </w:rPr>
        <w:t>1</w:t>
      </w:r>
      <w:r>
        <w:rPr/>
        <w:t>、组织管理控制</w:t>
      </w:r>
      <w:r>
        <w:rPr>
          <w:w w:val="100"/>
        </w:rPr>
        <w:t> </w:t>
      </w:r>
      <w:r>
        <w:rPr>
          <w:spacing w:val="-11"/>
          <w:w w:val="100"/>
        </w:rPr>
        <w:t>公司已按照《公司法》、《深圳证券交易所中小企业板上市公司规范运作指引》、《企业内部控制基本规</w:t>
      </w:r>
    </w:p>
    <w:p>
      <w:pPr>
        <w:pStyle w:val="BodyText"/>
        <w:spacing w:line="273" w:lineRule="auto"/>
        <w:ind w:right="1126"/>
        <w:jc w:val="both"/>
      </w:pPr>
      <w:r>
        <w:rPr>
          <w:spacing w:val="-2"/>
        </w:rPr>
        <w:t>范》等有关规定，以及建立现代企业制度的要求，进一步建立健全法人治理结构和完善各项管理制度，主</w:t>
      </w:r>
      <w:r>
        <w:rPr>
          <w:spacing w:val="-44"/>
        </w:rPr>
        <w:t> </w:t>
      </w:r>
      <w:r>
        <w:rPr>
          <w:spacing w:val="-44"/>
        </w:rPr>
      </w:r>
      <w:r>
        <w:rPr>
          <w:spacing w:val="-19"/>
          <w:w w:val="100"/>
        </w:rPr>
        <w:t>要包括《股东大会议事规则》、《董事会议事规则》、《监事会议事规则》、《独立董事工作制度》、《董事会秘</w:t>
      </w:r>
      <w:r>
        <w:rPr>
          <w:spacing w:val="-87"/>
          <w:w w:val="100"/>
        </w:rPr>
        <w:t> </w:t>
      </w:r>
      <w:r>
        <w:rPr>
          <w:spacing w:val="-87"/>
          <w:w w:val="100"/>
        </w:rPr>
      </w:r>
      <w:r>
        <w:rPr>
          <w:spacing w:val="-19"/>
          <w:w w:val="100"/>
        </w:rPr>
        <w:t>书工作制度》、《审计委员会工作制度》、《战略委员会工作制度》、《提名委员会工作制度》、《薪酬与考核委</w:t>
      </w:r>
      <w:r>
        <w:rPr>
          <w:spacing w:val="-92"/>
          <w:w w:val="100"/>
        </w:rPr>
        <w:t> </w:t>
      </w:r>
      <w:r>
        <w:rPr>
          <w:spacing w:val="-92"/>
          <w:w w:val="100"/>
        </w:rPr>
      </w:r>
      <w:r>
        <w:rPr>
          <w:spacing w:val="-19"/>
          <w:w w:val="100"/>
        </w:rPr>
        <w:t>员会工作制度》、《内部审计管理制度》、《信息披露事务管理制度》、《募集资金管理办法》、《关联交易管理</w:t>
      </w:r>
      <w:r>
        <w:rPr>
          <w:spacing w:val="-92"/>
          <w:w w:val="100"/>
        </w:rPr>
        <w:t> </w:t>
      </w:r>
      <w:r>
        <w:rPr>
          <w:spacing w:val="-92"/>
          <w:w w:val="100"/>
        </w:rPr>
      </w:r>
      <w:r>
        <w:rPr>
          <w:spacing w:val="-7"/>
          <w:w w:val="100"/>
        </w:rPr>
        <w:t>制度》、《独立董事年报审计工作规程》等各个方面的企业内部控制制度。公司已经建立了合理的组织机构</w:t>
      </w:r>
      <w:r>
        <w:rPr>
          <w:spacing w:val="-74"/>
          <w:w w:val="100"/>
        </w:rPr>
        <w:t> </w:t>
      </w:r>
      <w:r>
        <w:rPr>
          <w:spacing w:val="-74"/>
          <w:w w:val="100"/>
        </w:rPr>
      </w:r>
      <w:r>
        <w:rPr/>
        <w:t>及授权控制制度确保公司各项规章制度得以贯彻执行。</w:t>
      </w:r>
    </w:p>
    <w:p>
      <w:pPr>
        <w:pStyle w:val="BodyText"/>
        <w:spacing w:line="290" w:lineRule="auto" w:before="48"/>
        <w:ind w:left="573" w:right="1123"/>
        <w:jc w:val="left"/>
      </w:pPr>
      <w:r>
        <w:rPr>
          <w:rFonts w:ascii="Times New Roman" w:hAnsi="Times New Roman" w:cs="Times New Roman" w:eastAsia="Times New Roman" w:hint="default"/>
        </w:rPr>
        <w:t>2</w:t>
      </w:r>
      <w:r>
        <w:rPr/>
        <w:t>、财务管理的内部控制</w:t>
      </w:r>
      <w:r>
        <w:rPr>
          <w:w w:val="100"/>
        </w:rPr>
        <w:t> </w:t>
      </w:r>
      <w:r>
        <w:rPr>
          <w:spacing w:val="-2"/>
        </w:rPr>
        <w:t>为规范公司财务管理及会计核算，加强财务在公司治理中的核算和监督作用，公司财务部门根据《中</w:t>
      </w:r>
    </w:p>
    <w:p>
      <w:pPr>
        <w:pStyle w:val="BodyText"/>
        <w:spacing w:line="273" w:lineRule="auto"/>
        <w:ind w:right="1126"/>
        <w:jc w:val="both"/>
      </w:pPr>
      <w:r>
        <w:rPr>
          <w:spacing w:val="-15"/>
          <w:w w:val="100"/>
        </w:rPr>
        <w:t>华人民共和国会计法》、《新企业会计准则》、《会计基础工作规范》、《企业内部控制基本规范》等国家有关</w:t>
      </w:r>
      <w:r>
        <w:rPr>
          <w:spacing w:val="-96"/>
          <w:w w:val="100"/>
        </w:rPr>
        <w:t> </w:t>
      </w:r>
      <w:r>
        <w:rPr>
          <w:spacing w:val="-96"/>
          <w:w w:val="100"/>
        </w:rPr>
      </w:r>
      <w:r>
        <w:rPr>
          <w:spacing w:val="-7"/>
          <w:w w:val="100"/>
        </w:rPr>
        <w:t>法律法规，结合本公司具体情况及公司对会计工作管理的要求制定了《企业会计制度》、《财务报告编制内</w:t>
      </w:r>
      <w:r>
        <w:rPr>
          <w:spacing w:val="-75"/>
          <w:w w:val="100"/>
        </w:rPr>
        <w:t> </w:t>
      </w:r>
      <w:r>
        <w:rPr>
          <w:spacing w:val="-75"/>
          <w:w w:val="100"/>
        </w:rPr>
      </w:r>
      <w:r>
        <w:rPr>
          <w:spacing w:val="-15"/>
          <w:w w:val="100"/>
        </w:rPr>
        <w:t>部控制制度》、《固定资产内部控制制度及实施细则》、《货币资金内部控制制度及实施细则》、《成本核算内</w:t>
      </w:r>
      <w:r>
        <w:rPr>
          <w:spacing w:val="-93"/>
          <w:w w:val="100"/>
        </w:rPr>
        <w:t> </w:t>
      </w:r>
      <w:r>
        <w:rPr>
          <w:spacing w:val="-93"/>
          <w:w w:val="100"/>
        </w:rPr>
      </w:r>
      <w:r>
        <w:rPr>
          <w:spacing w:val="-2"/>
        </w:rPr>
        <w:t>部控制制度及实施细则》等一系列财务管理及会计核算制度，上述制度的制订为公司财务人员开展日常核</w:t>
      </w:r>
      <w:r>
        <w:rPr>
          <w:spacing w:val="-42"/>
        </w:rPr>
        <w:t> </w:t>
      </w:r>
      <w:r>
        <w:rPr>
          <w:spacing w:val="-42"/>
        </w:rPr>
      </w:r>
      <w:r>
        <w:rPr/>
        <w:t>算工作提供了良好的保障，为公司及时、准确、完整提供高质量财务报告奠定了基础。</w:t>
      </w:r>
    </w:p>
    <w:p>
      <w:pPr>
        <w:pStyle w:val="BodyText"/>
        <w:spacing w:line="240" w:lineRule="auto" w:before="46"/>
        <w:ind w:left="573" w:right="1123"/>
        <w:jc w:val="left"/>
      </w:pPr>
      <w:r>
        <w:rPr>
          <w:rFonts w:ascii="Times New Roman" w:hAnsi="Times New Roman" w:cs="Times New Roman" w:eastAsia="Times New Roman" w:hint="default"/>
        </w:rPr>
        <w:t>3</w:t>
      </w:r>
      <w:r>
        <w:rPr/>
        <w:t>、经营业务的内部控制</w:t>
      </w:r>
    </w:p>
    <w:p>
      <w:pPr>
        <w:pStyle w:val="BodyText"/>
        <w:spacing w:line="290" w:lineRule="auto" w:before="62"/>
        <w:ind w:left="573" w:right="1123"/>
        <w:jc w:val="left"/>
      </w:pPr>
      <w:r>
        <w:rPr/>
        <w:t>（</w:t>
      </w:r>
      <w:r>
        <w:rPr>
          <w:rFonts w:ascii="Times New Roman" w:hAnsi="Times New Roman" w:cs="Times New Roman" w:eastAsia="Times New Roman" w:hint="default"/>
        </w:rPr>
        <w:t>1</w:t>
      </w:r>
      <w:r>
        <w:rPr/>
        <w:t>）生产管理控制</w:t>
      </w:r>
      <w:r>
        <w:rPr>
          <w:w w:val="100"/>
        </w:rPr>
        <w:t> </w:t>
      </w:r>
      <w:r>
        <w:rPr>
          <w:spacing w:val="-2"/>
        </w:rPr>
        <w:t>公司制定了完善的生产、安全、质量、技术设备等管理运作程序和体系标准。包括生产管理体系、职</w:t>
      </w:r>
    </w:p>
    <w:p>
      <w:pPr>
        <w:pStyle w:val="BodyText"/>
        <w:spacing w:line="273" w:lineRule="auto"/>
        <w:ind w:right="1126"/>
        <w:jc w:val="both"/>
      </w:pPr>
      <w:r>
        <w:rPr>
          <w:spacing w:val="-2"/>
        </w:rPr>
        <w:t>业安全健康与保卫管理体系、质量管理体系、技术设备管理体系等各项标准。公司定期对各项制度进行检</w:t>
      </w:r>
      <w:r>
        <w:rPr>
          <w:spacing w:val="-44"/>
        </w:rPr>
        <w:t> </w:t>
      </w:r>
      <w:r>
        <w:rPr>
          <w:spacing w:val="-44"/>
        </w:rPr>
      </w:r>
      <w:r>
        <w:rPr/>
        <w:t>查和评估，确保管理体系运转正常。</w:t>
      </w:r>
    </w:p>
    <w:p>
      <w:pPr>
        <w:pStyle w:val="BodyText"/>
        <w:spacing w:line="290" w:lineRule="auto" w:before="46"/>
        <w:ind w:left="573" w:right="1018"/>
        <w:jc w:val="left"/>
      </w:pPr>
      <w:r>
        <w:rPr/>
        <w:t>（</w:t>
      </w:r>
      <w:r>
        <w:rPr>
          <w:rFonts w:ascii="Times New Roman" w:hAnsi="Times New Roman" w:cs="Times New Roman" w:eastAsia="Times New Roman" w:hint="default"/>
        </w:rPr>
        <w:t>2</w:t>
      </w:r>
      <w:r>
        <w:rPr/>
        <w:t>）物料采购及付款管理控制</w:t>
      </w:r>
      <w:r>
        <w:rPr>
          <w:w w:val="100"/>
        </w:rPr>
        <w:t> </w:t>
      </w:r>
      <w:r>
        <w:rPr>
          <w:spacing w:val="-13"/>
          <w:w w:val="100"/>
        </w:rPr>
        <w:t>公司制定了《采购合同管理办法》、《采购与付款循环内部控制制度及实施细则》、《供应商管理办法》、</w:t>
      </w:r>
    </w:p>
    <w:p>
      <w:pPr>
        <w:pStyle w:val="BodyText"/>
        <w:spacing w:line="273" w:lineRule="auto"/>
        <w:ind w:right="1104"/>
        <w:jc w:val="both"/>
      </w:pPr>
      <w:r>
        <w:rPr>
          <w:spacing w:val="-2"/>
        </w:rPr>
        <w:t>《应付账款管理办法》等一系列物料采购及付款管理制度，对物料采购审批，供应商选择、订购单编制、</w:t>
      </w:r>
      <w:r>
        <w:rPr>
          <w:spacing w:val="-21"/>
        </w:rPr>
        <w:t> </w:t>
      </w:r>
      <w:r>
        <w:rPr>
          <w:spacing w:val="-21"/>
        </w:rPr>
      </w:r>
      <w:r>
        <w:rPr>
          <w:spacing w:val="-2"/>
        </w:rPr>
        <w:t>物料验收入库、领用、退货处理、采购报表控制、付款、仓储、盘点和存量控制等环节作出了明确规定；</w:t>
      </w:r>
      <w:r>
        <w:rPr>
          <w:spacing w:val="-21"/>
        </w:rPr>
        <w:t> </w:t>
      </w:r>
      <w:r>
        <w:rPr>
          <w:spacing w:val="-21"/>
        </w:rPr>
      </w:r>
      <w:r>
        <w:rPr>
          <w:spacing w:val="-2"/>
        </w:rPr>
        <w:t>本公司所建立的物料采购及付款制度确保了公司库存保持在一个合适及安全的水平。本报告期内，采购与</w:t>
      </w:r>
      <w:r>
        <w:rPr>
          <w:spacing w:val="-43"/>
        </w:rPr>
        <w:t> </w:t>
      </w:r>
      <w:r>
        <w:rPr>
          <w:spacing w:val="-43"/>
        </w:rPr>
      </w:r>
      <w:r>
        <w:rPr/>
        <w:t>付款所涉及的部门及人员均能按照以上制度规定进行业务处理，控制措施能被有效地执行。</w:t>
      </w:r>
    </w:p>
    <w:p>
      <w:pPr>
        <w:pStyle w:val="BodyText"/>
        <w:spacing w:line="290" w:lineRule="auto" w:before="48"/>
        <w:ind w:left="573" w:right="1124"/>
        <w:jc w:val="left"/>
      </w:pPr>
      <w:r>
        <w:rPr/>
        <w:t>（</w:t>
      </w:r>
      <w:r>
        <w:rPr>
          <w:rFonts w:ascii="Times New Roman" w:hAnsi="Times New Roman" w:cs="Times New Roman" w:eastAsia="Times New Roman" w:hint="default"/>
        </w:rPr>
        <w:t>3</w:t>
      </w:r>
      <w:r>
        <w:rPr/>
        <w:t>）市场营销管理控制</w:t>
      </w:r>
      <w:r>
        <w:rPr>
          <w:w w:val="100"/>
        </w:rPr>
        <w:t> </w:t>
      </w:r>
      <w:r>
        <w:rPr>
          <w:spacing w:val="-11"/>
          <w:w w:val="100"/>
        </w:rPr>
        <w:t>公司已制定了包括《销售与收款循环内部控制制度及实施细则》、《销售合同管理办法》、《应收账款管</w:t>
      </w:r>
    </w:p>
    <w:p>
      <w:pPr>
        <w:pStyle w:val="BodyText"/>
        <w:spacing w:line="273" w:lineRule="auto"/>
        <w:ind w:right="1126"/>
        <w:jc w:val="both"/>
      </w:pPr>
      <w:r>
        <w:rPr>
          <w:spacing w:val="-15"/>
          <w:w w:val="100"/>
        </w:rPr>
        <w:t>理办法》、《应收票据管理办法》、《销售发票管理办法》、《出口销售业务管理办法》等一系列产品销售与货</w:t>
      </w:r>
      <w:r>
        <w:rPr>
          <w:spacing w:val="-96"/>
          <w:w w:val="100"/>
        </w:rPr>
        <w:t> </w:t>
      </w:r>
      <w:r>
        <w:rPr>
          <w:spacing w:val="-96"/>
          <w:w w:val="100"/>
        </w:rPr>
      </w:r>
      <w:r>
        <w:rPr>
          <w:spacing w:val="-2"/>
        </w:rPr>
        <w:t>款回收的管理制度，对涉及产品销售的各个环节如销售计划、产品销售价格的确定、订单处理、顾客信用</w:t>
      </w:r>
      <w:r>
        <w:rPr>
          <w:spacing w:val="-47"/>
        </w:rPr>
        <w:t> </w:t>
      </w:r>
      <w:r>
        <w:rPr>
          <w:spacing w:val="-47"/>
        </w:rPr>
      </w:r>
      <w:r>
        <w:rPr>
          <w:spacing w:val="-2"/>
        </w:rPr>
        <w:t>的审查、销售合同的签订、销售合同的管理、发货、货款结算及回笼、退货及折扣、售后服务、应收账款</w:t>
      </w:r>
      <w:r>
        <w:rPr>
          <w:spacing w:val="-46"/>
        </w:rPr>
        <w:t> </w:t>
      </w:r>
      <w:r>
        <w:rPr>
          <w:spacing w:val="-46"/>
        </w:rPr>
      </w:r>
      <w:r>
        <w:rPr>
          <w:spacing w:val="-2"/>
        </w:rPr>
        <w:t>及坏账的处理程序等做出了明确规定；本公司所建立的市场营销管理规定确保了公司有效地开拓市场，并</w:t>
      </w:r>
    </w:p>
    <w:p>
      <w:pPr>
        <w:spacing w:after="0" w:line="273" w:lineRule="auto"/>
        <w:jc w:val="both"/>
        <w:sectPr>
          <w:pgSz w:w="11910" w:h="16840"/>
          <w:pgMar w:header="877" w:footer="1331" w:top="1060" w:bottom="154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以合理的价格和费用推销企业产品与提供服务，有利于公司销售部门有效地组织市场营销、市场研究、信</w:t>
      </w:r>
      <w:r>
        <w:rPr>
          <w:spacing w:val="-44"/>
        </w:rPr>
        <w:t> </w:t>
      </w:r>
      <w:r>
        <w:rPr>
          <w:spacing w:val="-44"/>
        </w:rPr>
      </w:r>
      <w:r>
        <w:rPr>
          <w:spacing w:val="-2"/>
        </w:rPr>
        <w:t>用调查、售后服务等销售活动，并在提高销售效率的同时确保应收账款记录的正确、完整以及安全性。本</w:t>
      </w:r>
      <w:r>
        <w:rPr>
          <w:spacing w:val="-47"/>
        </w:rPr>
        <w:t> </w:t>
      </w:r>
      <w:r>
        <w:rPr>
          <w:spacing w:val="-47"/>
        </w:rPr>
      </w:r>
      <w:r>
        <w:rPr>
          <w:spacing w:val="-2"/>
        </w:rPr>
        <w:t>报告期内，产品销售与货款回收所涉及的部门及人员均能严格按照相关管理制度的规定进行业务操作，各</w:t>
      </w:r>
      <w:r>
        <w:rPr>
          <w:spacing w:val="-43"/>
        </w:rPr>
        <w:t> </w:t>
      </w:r>
      <w:r>
        <w:rPr>
          <w:spacing w:val="-43"/>
        </w:rPr>
      </w:r>
      <w:r>
        <w:rPr/>
        <w:t>环节的控制措施能被有效地执行。</w:t>
      </w:r>
    </w:p>
    <w:p>
      <w:pPr>
        <w:pStyle w:val="BodyText"/>
        <w:spacing w:line="290" w:lineRule="auto" w:before="48"/>
        <w:ind w:left="573" w:right="0"/>
        <w:jc w:val="left"/>
      </w:pPr>
      <w:r>
        <w:rPr>
          <w:rFonts w:ascii="Times New Roman" w:hAnsi="Times New Roman" w:cs="Times New Roman" w:eastAsia="Times New Roman" w:hint="default"/>
        </w:rPr>
        <w:t>4</w:t>
      </w:r>
      <w:r>
        <w:rPr/>
        <w:t>、募集资金管理控制</w:t>
      </w:r>
      <w:r>
        <w:rPr>
          <w:w w:val="100"/>
        </w:rPr>
        <w:t> </w:t>
      </w:r>
      <w:r>
        <w:rPr>
          <w:spacing w:val="-5"/>
        </w:rPr>
        <w:t>为规范公司募集资金的存放、使用和管理，保证募集资金的安全，最大限度的保障投资者的合法权益，</w:t>
      </w:r>
    </w:p>
    <w:p>
      <w:pPr>
        <w:pStyle w:val="BodyText"/>
        <w:spacing w:line="273" w:lineRule="auto"/>
        <w:ind w:right="1123"/>
        <w:jc w:val="left"/>
      </w:pPr>
      <w:r>
        <w:rPr>
          <w:spacing w:val="-11"/>
          <w:w w:val="100"/>
        </w:rPr>
        <w:t>根据《公司法》、《证券法》、《深圳证券交易所中小企业板上市公司规范运作指引》等国家相关法律、法规</w:t>
      </w:r>
      <w:r>
        <w:rPr>
          <w:spacing w:val="-88"/>
          <w:w w:val="100"/>
        </w:rPr>
        <w:t> </w:t>
      </w:r>
      <w:r>
        <w:rPr>
          <w:spacing w:val="-88"/>
          <w:w w:val="100"/>
        </w:rPr>
      </w:r>
      <w:r>
        <w:rPr>
          <w:spacing w:val="-4"/>
          <w:w w:val="100"/>
        </w:rPr>
        <w:t>的规定，结合公司的实际情况，制定了《募集资金管理办法》，对募集资金的专户存储管理、募集资金的</w:t>
      </w:r>
      <w:r>
        <w:rPr>
          <w:spacing w:val="-90"/>
          <w:w w:val="100"/>
        </w:rPr>
        <w:t> </w:t>
      </w:r>
      <w:r>
        <w:rPr>
          <w:spacing w:val="-90"/>
          <w:w w:val="100"/>
        </w:rPr>
      </w:r>
      <w:r>
        <w:rPr/>
        <w:t>使用、募集资金的投向变更以及募集资金的管理和监督等作了明确的规定，并得以贯彻实施。</w:t>
      </w:r>
    </w:p>
    <w:p>
      <w:pPr>
        <w:pStyle w:val="BodyText"/>
        <w:spacing w:line="290" w:lineRule="auto" w:before="48"/>
        <w:ind w:left="573" w:right="1124"/>
        <w:jc w:val="left"/>
      </w:pPr>
      <w:r>
        <w:rPr>
          <w:rFonts w:ascii="Times New Roman" w:hAnsi="Times New Roman" w:cs="Times New Roman" w:eastAsia="Times New Roman" w:hint="default"/>
        </w:rPr>
        <w:t>5</w:t>
      </w:r>
      <w:r>
        <w:rPr/>
        <w:t>、信息披露管理控制</w:t>
      </w:r>
      <w:r>
        <w:rPr>
          <w:w w:val="100"/>
        </w:rPr>
        <w:t> </w:t>
      </w:r>
      <w:r>
        <w:rPr>
          <w:spacing w:val="-11"/>
          <w:w w:val="100"/>
        </w:rPr>
        <w:t>公司建立了《信息披露事务管理制度》、《内幕信息知情人登记制度》、《年报信息披露重大差错责任追</w:t>
      </w:r>
    </w:p>
    <w:p>
      <w:pPr>
        <w:pStyle w:val="BodyText"/>
        <w:spacing w:line="273" w:lineRule="auto"/>
        <w:ind w:right="1123"/>
        <w:jc w:val="left"/>
      </w:pPr>
      <w:r>
        <w:rPr>
          <w:spacing w:val="-4"/>
          <w:w w:val="100"/>
        </w:rPr>
        <w:t>究制度》，从信息披露机构和人员、信息披露文件、事务管理、披露程序、信息报告、保密措施、档案管</w:t>
      </w:r>
      <w:r>
        <w:rPr>
          <w:spacing w:val="-90"/>
          <w:w w:val="100"/>
        </w:rPr>
        <w:t> </w:t>
      </w:r>
      <w:r>
        <w:rPr>
          <w:spacing w:val="-90"/>
          <w:w w:val="100"/>
        </w:rPr>
      </w:r>
      <w:r>
        <w:rPr>
          <w:spacing w:val="-2"/>
        </w:rPr>
        <w:t>理、责任追究等方面作了详细规定。公司严格按照有关法律法规规则和公司制度规定的信息披露范围、事</w:t>
      </w:r>
      <w:r>
        <w:rPr>
          <w:spacing w:val="-43"/>
        </w:rPr>
        <w:t> </w:t>
      </w:r>
      <w:r>
        <w:rPr>
          <w:spacing w:val="-43"/>
        </w:rPr>
      </w:r>
      <w:r>
        <w:rPr>
          <w:spacing w:val="-2"/>
        </w:rPr>
        <w:t>宜及格式，详细编制披露报告，将公司信息真实、准确、及时、完整地在指定的报纸和网站上进行披露；</w:t>
      </w:r>
      <w:r>
        <w:rPr>
          <w:spacing w:val="-21"/>
        </w:rPr>
        <w:t> </w:t>
      </w:r>
      <w:r>
        <w:rPr>
          <w:spacing w:val="-21"/>
        </w:rPr>
      </w:r>
      <w:r>
        <w:rPr>
          <w:spacing w:val="-2"/>
        </w:rPr>
        <w:t>做好信息披露机构及相关人员的培训和保密工作，未出现信息泄密事件；指导并督促下属子公司建立和完</w:t>
      </w:r>
      <w:r>
        <w:rPr>
          <w:spacing w:val="-43"/>
        </w:rPr>
        <w:t> </w:t>
      </w:r>
      <w:r>
        <w:rPr>
          <w:spacing w:val="-43"/>
        </w:rPr>
      </w:r>
      <w:r>
        <w:rPr>
          <w:spacing w:val="-2"/>
        </w:rPr>
        <w:t>善了配合母公司搞好信息披露管理的有关管理制度，严格按制度的规定做好了信息披露管理及保密工作。</w:t>
      </w:r>
    </w:p>
    <w:p>
      <w:pPr>
        <w:pStyle w:val="BodyText"/>
        <w:spacing w:line="290" w:lineRule="auto" w:before="46"/>
        <w:ind w:left="573" w:right="1123"/>
        <w:jc w:val="left"/>
      </w:pPr>
      <w:r>
        <w:rPr>
          <w:rFonts w:ascii="Times New Roman" w:hAnsi="Times New Roman" w:cs="Times New Roman" w:eastAsia="Times New Roman" w:hint="default"/>
        </w:rPr>
        <w:t>6</w:t>
      </w:r>
      <w:r>
        <w:rPr/>
        <w:t>、内部审计的控制</w:t>
      </w:r>
      <w:r>
        <w:rPr>
          <w:w w:val="100"/>
        </w:rPr>
        <w:t> </w:t>
      </w:r>
      <w:r>
        <w:rPr>
          <w:spacing w:val="-2"/>
        </w:rPr>
        <w:t>根据深圳证券交易所《中小企业板上市公司内部审计工作指引》的相关规定，公司设置专门的内部审</w:t>
      </w:r>
    </w:p>
    <w:p>
      <w:pPr>
        <w:pStyle w:val="BodyText"/>
        <w:spacing w:line="273" w:lineRule="auto"/>
        <w:ind w:right="1123"/>
        <w:jc w:val="left"/>
      </w:pPr>
      <w:r>
        <w:rPr>
          <w:spacing w:val="-4"/>
          <w:w w:val="100"/>
        </w:rPr>
        <w:t>计部门，并制定了《内部审计管理制度》，在董事会审计委员会领导下，行使审计职权，并配备了专职审</w:t>
      </w:r>
      <w:r>
        <w:rPr>
          <w:spacing w:val="-90"/>
          <w:w w:val="100"/>
        </w:rPr>
        <w:t> </w:t>
      </w:r>
      <w:r>
        <w:rPr>
          <w:spacing w:val="-90"/>
          <w:w w:val="100"/>
        </w:rPr>
      </w:r>
      <w:r>
        <w:rPr>
          <w:spacing w:val="-2"/>
        </w:rPr>
        <w:t>计人员，负责对公司各部门、子公司的所有经济活动进行监督，并出具独立的审计意见；对公司及子公司</w:t>
      </w:r>
      <w:r>
        <w:rPr>
          <w:spacing w:val="-50"/>
        </w:rPr>
        <w:t> </w:t>
      </w:r>
      <w:r>
        <w:rPr>
          <w:spacing w:val="-50"/>
        </w:rPr>
      </w:r>
      <w:r>
        <w:rPr>
          <w:spacing w:val="-2"/>
        </w:rPr>
        <w:t>的经营管理、财务状况、内控执行等情况进行内部审计，对其经济效益的真实性、合理性、合法性做出合</w:t>
      </w:r>
      <w:r>
        <w:rPr>
          <w:spacing w:val="-43"/>
        </w:rPr>
        <w:t> </w:t>
      </w:r>
      <w:r>
        <w:rPr>
          <w:spacing w:val="-43"/>
        </w:rPr>
      </w:r>
      <w:r>
        <w:rPr/>
        <w:t>理评价。</w:t>
      </w:r>
    </w:p>
    <w:p>
      <w:pPr>
        <w:pStyle w:val="BodyText"/>
        <w:spacing w:line="290" w:lineRule="auto" w:before="48"/>
        <w:ind w:left="573" w:right="1123"/>
        <w:jc w:val="left"/>
      </w:pPr>
      <w:r>
        <w:rPr>
          <w:rFonts w:ascii="Times New Roman" w:hAnsi="Times New Roman" w:cs="Times New Roman" w:eastAsia="Times New Roman" w:hint="default"/>
        </w:rPr>
        <w:t>7</w:t>
      </w:r>
      <w:r>
        <w:rPr/>
        <w:t>、关联交易管理控制</w:t>
      </w:r>
      <w:r>
        <w:rPr>
          <w:w w:val="100"/>
        </w:rPr>
        <w:t> </w:t>
      </w:r>
      <w:r>
        <w:rPr>
          <w:spacing w:val="-4"/>
        </w:rPr>
        <w:t>公司不存在关联交易</w:t>
      </w:r>
      <w:r>
        <w:rPr>
          <w:rFonts w:ascii="Times New Roman" w:hAnsi="Times New Roman" w:cs="Times New Roman" w:eastAsia="Times New Roman" w:hint="default"/>
          <w:spacing w:val="-4"/>
        </w:rPr>
        <w:t>,</w:t>
      </w:r>
      <w:r>
        <w:rPr>
          <w:spacing w:val="-4"/>
        </w:rPr>
        <w:t>但公司依据《深圳证券交易所股票上市规则》及本公司章程的规定制定了《关联</w:t>
      </w:r>
    </w:p>
    <w:p>
      <w:pPr>
        <w:pStyle w:val="BodyText"/>
        <w:spacing w:line="247" w:lineRule="exact"/>
        <w:ind w:right="1123"/>
        <w:jc w:val="left"/>
      </w:pPr>
      <w:r>
        <w:rPr>
          <w:w w:val="100"/>
        </w:rPr>
        <w:t>交易</w:t>
      </w:r>
      <w:r>
        <w:rPr>
          <w:spacing w:val="-3"/>
          <w:w w:val="100"/>
        </w:rPr>
        <w:t>管</w:t>
      </w:r>
      <w:r>
        <w:rPr>
          <w:w w:val="100"/>
        </w:rPr>
        <w:t>理</w:t>
      </w:r>
      <w:r>
        <w:rPr>
          <w:spacing w:val="-3"/>
          <w:w w:val="100"/>
        </w:rPr>
        <w:t>制</w:t>
      </w:r>
      <w:r>
        <w:rPr>
          <w:w w:val="100"/>
        </w:rPr>
        <w:t>度</w:t>
      </w:r>
      <w:r>
        <w:rPr>
          <w:spacing w:val="-108"/>
          <w:w w:val="100"/>
        </w:rPr>
        <w:t>》</w:t>
      </w:r>
      <w:r>
        <w:rPr>
          <w:w w:val="100"/>
        </w:rPr>
        <w:t>，</w:t>
      </w:r>
      <w:r>
        <w:rPr>
          <w:spacing w:val="-3"/>
          <w:w w:val="100"/>
        </w:rPr>
        <w:t>明</w:t>
      </w:r>
      <w:r>
        <w:rPr>
          <w:w w:val="100"/>
        </w:rPr>
        <w:t>确</w:t>
      </w:r>
      <w:r>
        <w:rPr>
          <w:spacing w:val="-3"/>
          <w:w w:val="100"/>
        </w:rPr>
        <w:t>公司</w:t>
      </w:r>
      <w:r>
        <w:rPr>
          <w:w w:val="100"/>
        </w:rPr>
        <w:t>股东</w:t>
      </w:r>
      <w:r>
        <w:rPr>
          <w:spacing w:val="-3"/>
          <w:w w:val="100"/>
        </w:rPr>
        <w:t>大</w:t>
      </w:r>
      <w:r>
        <w:rPr>
          <w:w w:val="100"/>
        </w:rPr>
        <w:t>会</w:t>
      </w:r>
      <w:r>
        <w:rPr>
          <w:spacing w:val="-3"/>
          <w:w w:val="100"/>
        </w:rPr>
        <w:t>、</w:t>
      </w:r>
      <w:r>
        <w:rPr>
          <w:w w:val="100"/>
        </w:rPr>
        <w:t>董</w:t>
      </w:r>
      <w:r>
        <w:rPr>
          <w:spacing w:val="-3"/>
          <w:w w:val="100"/>
        </w:rPr>
        <w:t>事</w:t>
      </w:r>
      <w:r>
        <w:rPr>
          <w:w w:val="100"/>
        </w:rPr>
        <w:t>会</w:t>
      </w:r>
      <w:r>
        <w:rPr>
          <w:spacing w:val="-3"/>
          <w:w w:val="100"/>
        </w:rPr>
        <w:t>和</w:t>
      </w:r>
      <w:r>
        <w:rPr>
          <w:w w:val="100"/>
        </w:rPr>
        <w:t>管</w:t>
      </w:r>
      <w:r>
        <w:rPr>
          <w:spacing w:val="-3"/>
          <w:w w:val="100"/>
        </w:rPr>
        <w:t>理</w:t>
      </w:r>
      <w:r>
        <w:rPr>
          <w:w w:val="100"/>
        </w:rPr>
        <w:t>层对</w:t>
      </w:r>
      <w:r>
        <w:rPr>
          <w:spacing w:val="-3"/>
          <w:w w:val="100"/>
        </w:rPr>
        <w:t>关</w:t>
      </w:r>
      <w:r>
        <w:rPr>
          <w:w w:val="100"/>
        </w:rPr>
        <w:t>联</w:t>
      </w:r>
      <w:r>
        <w:rPr>
          <w:spacing w:val="-3"/>
          <w:w w:val="100"/>
        </w:rPr>
        <w:t>交</w:t>
      </w:r>
      <w:r>
        <w:rPr>
          <w:w w:val="100"/>
        </w:rPr>
        <w:t>易</w:t>
      </w:r>
      <w:r>
        <w:rPr>
          <w:spacing w:val="-3"/>
          <w:w w:val="100"/>
        </w:rPr>
        <w:t>事</w:t>
      </w:r>
      <w:r>
        <w:rPr>
          <w:w w:val="100"/>
        </w:rPr>
        <w:t>项</w:t>
      </w:r>
      <w:r>
        <w:rPr>
          <w:spacing w:val="-3"/>
          <w:w w:val="100"/>
        </w:rPr>
        <w:t>的</w:t>
      </w:r>
      <w:r>
        <w:rPr>
          <w:w w:val="100"/>
        </w:rPr>
        <w:t>审</w:t>
      </w:r>
      <w:r>
        <w:rPr>
          <w:spacing w:val="-3"/>
          <w:w w:val="100"/>
        </w:rPr>
        <w:t>批</w:t>
      </w:r>
      <w:r>
        <w:rPr>
          <w:w w:val="100"/>
        </w:rPr>
        <w:t>权限</w:t>
      </w:r>
      <w:r>
        <w:rPr>
          <w:spacing w:val="-3"/>
          <w:w w:val="100"/>
        </w:rPr>
        <w:t>，</w:t>
      </w:r>
      <w:r>
        <w:rPr>
          <w:w w:val="100"/>
        </w:rPr>
        <w:t>规</w:t>
      </w:r>
      <w:r>
        <w:rPr>
          <w:spacing w:val="-3"/>
          <w:w w:val="100"/>
        </w:rPr>
        <w:t>定</w:t>
      </w:r>
      <w:r>
        <w:rPr>
          <w:w w:val="100"/>
        </w:rPr>
        <w:t>关</w:t>
      </w:r>
      <w:r>
        <w:rPr>
          <w:spacing w:val="-3"/>
          <w:w w:val="100"/>
        </w:rPr>
        <w:t>联</w:t>
      </w:r>
      <w:r>
        <w:rPr>
          <w:w w:val="100"/>
        </w:rPr>
        <w:t>交</w:t>
      </w:r>
      <w:r>
        <w:rPr>
          <w:spacing w:val="-3"/>
          <w:w w:val="100"/>
        </w:rPr>
        <w:t>易</w:t>
      </w:r>
      <w:r>
        <w:rPr>
          <w:w w:val="100"/>
        </w:rPr>
        <w:t>事</w:t>
      </w:r>
      <w:r>
        <w:rPr>
          <w:spacing w:val="-2"/>
          <w:w w:val="100"/>
        </w:rPr>
        <w:t>项</w:t>
      </w:r>
      <w:r>
        <w:rPr>
          <w:w w:val="100"/>
        </w:rPr>
        <w:t>的</w:t>
      </w:r>
    </w:p>
    <w:p>
      <w:pPr>
        <w:pStyle w:val="BodyText"/>
        <w:spacing w:line="273" w:lineRule="auto" w:before="37"/>
        <w:ind w:right="1123"/>
        <w:jc w:val="left"/>
      </w:pPr>
      <w:r>
        <w:rPr>
          <w:spacing w:val="-2"/>
        </w:rPr>
        <w:t>审议程序和回避表决要求。公司制定内部控制制度以来，各项制度均得到充分、有效的执行，有效地控制</w:t>
      </w:r>
      <w:r>
        <w:rPr>
          <w:spacing w:val="-47"/>
        </w:rPr>
        <w:t> </w:t>
      </w:r>
      <w:r>
        <w:rPr>
          <w:spacing w:val="-47"/>
        </w:rPr>
      </w:r>
      <w:r>
        <w:rPr/>
        <w:t>了公司的经营风险，保护了公司资产的安全、完整，保证了信息披露的真实、准确和完整。</w:t>
      </w:r>
    </w:p>
    <w:p>
      <w:pPr>
        <w:spacing w:line="240" w:lineRule="auto" w:before="8"/>
        <w:rPr>
          <w:rFonts w:ascii="宋体" w:hAnsi="宋体" w:cs="宋体" w:eastAsia="宋体" w:hint="default"/>
          <w:sz w:val="21"/>
          <w:szCs w:val="21"/>
        </w:rPr>
      </w:pPr>
    </w:p>
    <w:p>
      <w:pPr>
        <w:pStyle w:val="Heading2"/>
        <w:spacing w:line="240" w:lineRule="auto" w:before="0"/>
        <w:ind w:right="1123"/>
        <w:jc w:val="left"/>
        <w:rPr>
          <w:b w:val="0"/>
          <w:bCs w:val="0"/>
        </w:rPr>
      </w:pPr>
      <w:r>
        <w:rPr/>
        <w:t>二、董事会关于内部控制责任的声明</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3" w:firstLine="420"/>
        <w:jc w:val="left"/>
      </w:pPr>
      <w:r>
        <w:rPr>
          <w:spacing w:val="-4"/>
          <w:w w:val="100"/>
        </w:rPr>
        <w:t>公司董事会认为，公司内部控制体系较为健全，符合《企业内部控制基本规范》及配套指引、《深交</w:t>
      </w:r>
      <w:r>
        <w:rPr>
          <w:w w:val="100"/>
        </w:rPr>
        <w:t> </w:t>
      </w:r>
      <w:r>
        <w:rPr>
          <w:spacing w:val="-2"/>
        </w:rPr>
        <w:t>所上市公司内部控制指引》等有关法规的规定；各项制度均得到了充分有效的实施，能够适应公司现行管</w:t>
      </w:r>
      <w:r>
        <w:rPr>
          <w:spacing w:val="-43"/>
        </w:rPr>
        <w:t> </w:t>
      </w:r>
      <w:r>
        <w:rPr>
          <w:spacing w:val="-43"/>
        </w:rPr>
      </w:r>
      <w:r>
        <w:rPr>
          <w:spacing w:val="-2"/>
        </w:rPr>
        <w:t>理和发展的需要，在公司经营管理各个业务环节发挥了较好的管理控制作用，能够真实、准确、及时、完</w:t>
      </w:r>
      <w:r>
        <w:rPr>
          <w:spacing w:val="-43"/>
        </w:rPr>
        <w:t> </w:t>
      </w:r>
      <w:r>
        <w:rPr>
          <w:spacing w:val="-43"/>
        </w:rPr>
      </w:r>
      <w:r>
        <w:rPr>
          <w:spacing w:val="-2"/>
        </w:rPr>
        <w:t>整地完成信息披露，确实保护公司和所有投资者的利益，能够对公司各项业务的健康运行及经营风险的控</w:t>
      </w:r>
      <w:r>
        <w:rPr>
          <w:spacing w:val="-42"/>
        </w:rPr>
        <w:t> </w:t>
      </w:r>
      <w:r>
        <w:rPr>
          <w:spacing w:val="-42"/>
        </w:rPr>
      </w:r>
      <w:r>
        <w:rPr/>
        <w:t>制提供保证。</w:t>
      </w:r>
    </w:p>
    <w:p>
      <w:pPr>
        <w:spacing w:line="240" w:lineRule="auto" w:before="8"/>
        <w:rPr>
          <w:rFonts w:ascii="宋体" w:hAnsi="宋体" w:cs="宋体" w:eastAsia="宋体" w:hint="default"/>
          <w:sz w:val="21"/>
          <w:szCs w:val="21"/>
        </w:rPr>
      </w:pPr>
    </w:p>
    <w:p>
      <w:pPr>
        <w:pStyle w:val="Heading2"/>
        <w:spacing w:line="240" w:lineRule="auto" w:before="0"/>
        <w:ind w:right="1123"/>
        <w:jc w:val="left"/>
        <w:rPr>
          <w:b w:val="0"/>
          <w:bCs w:val="0"/>
        </w:rPr>
      </w:pPr>
      <w:r>
        <w:rPr/>
        <w:t>三、建立财务报告内部控制的依据</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5" w:firstLine="420"/>
        <w:jc w:val="left"/>
      </w:pPr>
      <w:r>
        <w:rPr>
          <w:spacing w:val="-11"/>
          <w:w w:val="100"/>
        </w:rPr>
        <w:t>公司建立财务报告内部控制的依据是《会计法》、《企业会计准则》、《企业内部控制基本规范》及监管</w:t>
      </w:r>
      <w:r>
        <w:rPr>
          <w:w w:val="100"/>
        </w:rPr>
        <w:t> </w:t>
      </w:r>
      <w:r>
        <w:rPr/>
        <w:t>部门的相关规范性文件。</w:t>
      </w:r>
    </w:p>
    <w:p>
      <w:pPr>
        <w:spacing w:after="0" w:line="273" w:lineRule="auto"/>
        <w:jc w:val="left"/>
        <w:sectPr>
          <w:pgSz w:w="11910" w:h="16840"/>
          <w:pgMar w:header="877" w:footer="1331"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3"/>
        <w:jc w:val="left"/>
        <w:rPr>
          <w:b w:val="0"/>
          <w:bCs w:val="0"/>
        </w:rPr>
      </w:pPr>
      <w:r>
        <w:rPr/>
        <w:t>四、内部控制自我评价报告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2663"/>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2"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披露索引</w:t>
            </w:r>
          </w:p>
        </w:tc>
        <w:tc>
          <w:tcPr>
            <w:tcW w:w="69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56" w:lineRule="auto" w:before="28"/>
              <w:ind w:left="23" w:right="93"/>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日刊登在巨潮资讯网的《</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年度内部控制自我评</w:t>
            </w:r>
            <w:r>
              <w:rPr>
                <w:rFonts w:ascii="宋体" w:hAnsi="宋体" w:cs="宋体" w:eastAsia="宋体" w:hint="default"/>
                <w:w w:val="100"/>
                <w:sz w:val="21"/>
                <w:szCs w:val="21"/>
              </w:rPr>
              <w:t> </w:t>
            </w:r>
            <w:r>
              <w:rPr>
                <w:rFonts w:ascii="宋体" w:hAnsi="宋体" w:cs="宋体" w:eastAsia="宋体" w:hint="default"/>
                <w:sz w:val="21"/>
                <w:szCs w:val="21"/>
              </w:rPr>
              <w:t>价报告》</w:t>
            </w:r>
          </w:p>
        </w:tc>
      </w:tr>
    </w:tbl>
    <w:p>
      <w:pPr>
        <w:spacing w:line="240" w:lineRule="auto" w:before="1"/>
        <w:rPr>
          <w:rFonts w:ascii="宋体" w:hAnsi="宋体" w:cs="宋体" w:eastAsia="宋体" w:hint="default"/>
          <w:b/>
          <w:bCs/>
          <w:sz w:val="18"/>
          <w:szCs w:val="18"/>
        </w:rPr>
      </w:pPr>
    </w:p>
    <w:p>
      <w:pPr>
        <w:pStyle w:val="Heading2"/>
        <w:spacing w:line="240" w:lineRule="auto"/>
        <w:ind w:right="1123"/>
        <w:jc w:val="left"/>
        <w:rPr>
          <w:b w:val="0"/>
          <w:bCs w:val="0"/>
        </w:rPr>
      </w:pPr>
      <w:r>
        <w:rPr/>
        <w:t>五、年度报告重大差错责任追究制度的建立与执行情况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3" w:firstLine="420"/>
        <w:jc w:val="left"/>
      </w:pPr>
      <w:r>
        <w:rPr>
          <w:spacing w:val="-2"/>
        </w:rPr>
        <w:t>为了提高公司的规范运作水平，增强信息披露的真实性、准确性、完整性和及时性，提高年报信息披</w:t>
      </w:r>
      <w:r>
        <w:rPr>
          <w:w w:val="100"/>
        </w:rPr>
        <w:t> </w:t>
      </w:r>
      <w:r>
        <w:rPr>
          <w:spacing w:val="-7"/>
          <w:w w:val="100"/>
        </w:rPr>
        <w:t>露的质量和透明度，根据有关法律、法规、规章及《公司章程》、《信息披露管理制度》的规定，结合公司</w:t>
      </w:r>
      <w:r>
        <w:rPr>
          <w:spacing w:val="-79"/>
          <w:w w:val="100"/>
        </w:rPr>
        <w:t> </w:t>
      </w:r>
      <w:r>
        <w:rPr>
          <w:spacing w:val="-79"/>
          <w:w w:val="100"/>
        </w:rPr>
      </w:r>
      <w:r>
        <w:rPr>
          <w:spacing w:val="-4"/>
          <w:w w:val="100"/>
        </w:rPr>
        <w:t>实际情况，制订《年报信息披露重大差错责任追究制度》。报告期内不存在发生重大会计差错更正、重大</w:t>
      </w:r>
      <w:r>
        <w:rPr>
          <w:spacing w:val="-90"/>
          <w:w w:val="100"/>
        </w:rPr>
        <w:t> </w:t>
      </w:r>
      <w:r>
        <w:rPr>
          <w:spacing w:val="-90"/>
          <w:w w:val="100"/>
        </w:rPr>
      </w:r>
      <w:r>
        <w:rPr/>
        <w:t>遗漏信息补充等情况。</w:t>
      </w:r>
    </w:p>
    <w:p>
      <w:pPr>
        <w:spacing w:after="0" w:line="273" w:lineRule="auto"/>
        <w:jc w:val="left"/>
        <w:sectPr>
          <w:pgSz w:w="11910" w:h="16840"/>
          <w:pgMar w:header="877" w:footer="1331"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山东汇德会计师事务所有限公司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）汇所审字第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pStyle w:val="BodyText"/>
        <w:spacing w:line="240" w:lineRule="auto" w:before="28"/>
        <w:ind w:left="0" w:right="978"/>
        <w:jc w:val="center"/>
      </w:pPr>
      <w:r>
        <w:rPr/>
        <w:t>审计报告正文</w:t>
      </w:r>
    </w:p>
    <w:p>
      <w:pPr>
        <w:pStyle w:val="BodyText"/>
        <w:spacing w:line="240" w:lineRule="auto" w:before="78"/>
        <w:ind w:right="1123"/>
        <w:jc w:val="left"/>
      </w:pPr>
      <w:r>
        <w:rPr/>
        <w:t>山东丽鹏股份有限公司全体股东：</w:t>
      </w:r>
    </w:p>
    <w:p>
      <w:pPr>
        <w:pStyle w:val="BodyText"/>
        <w:spacing w:line="256" w:lineRule="auto" w:before="37"/>
        <w:ind w:right="1126" w:firstLine="420"/>
        <w:jc w:val="both"/>
      </w:pPr>
      <w:r>
        <w:rPr>
          <w:spacing w:val="-2"/>
        </w:rPr>
        <w:t>我们审计了后附的山东丽鹏股份有限公司（以下简称丽鹏公司）财务报表，包括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w w:val="100"/>
        </w:rPr>
        <w:t> </w:t>
      </w:r>
      <w:r>
        <w:rPr>
          <w:spacing w:val="-2"/>
        </w:rPr>
        <w:t>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w:t>
      </w:r>
      <w:r>
        <w:rPr>
          <w:spacing w:val="-42"/>
        </w:rPr>
        <w:t> </w:t>
      </w:r>
      <w:r>
        <w:rPr>
          <w:spacing w:val="-42"/>
        </w:rPr>
      </w:r>
      <w:r>
        <w:rPr/>
        <w:t>权益变动表以及财务报表附注。</w:t>
      </w:r>
    </w:p>
    <w:p>
      <w:pPr>
        <w:pStyle w:val="BodyText"/>
        <w:spacing w:line="273" w:lineRule="auto" w:before="22"/>
        <w:ind w:left="573" w:right="1123"/>
        <w:jc w:val="left"/>
      </w:pPr>
      <w:r>
        <w:rPr/>
        <w:t>一、管理层对财务报表的责任</w:t>
      </w:r>
      <w:r>
        <w:rPr>
          <w:w w:val="100"/>
        </w:rPr>
        <w:t> </w:t>
      </w:r>
      <w:r>
        <w:rPr>
          <w:spacing w:val="-2"/>
        </w:rPr>
        <w:t>编制和公允列报财务报表是丽鹏公司管理层的责任。这种责任包括：（</w:t>
      </w:r>
      <w:r>
        <w:rPr>
          <w:rFonts w:ascii="Times New Roman" w:hAnsi="Times New Roman" w:cs="Times New Roman" w:eastAsia="Times New Roman" w:hint="default"/>
          <w:spacing w:val="-2"/>
        </w:rPr>
        <w:t>1</w:t>
      </w:r>
      <w:r>
        <w:rPr>
          <w:spacing w:val="-2"/>
        </w:rPr>
        <w:t>）按照企业会计准则的规定</w:t>
      </w:r>
    </w:p>
    <w:p>
      <w:pPr>
        <w:pStyle w:val="BodyText"/>
        <w:spacing w:line="256" w:lineRule="auto"/>
        <w:ind w:right="1123"/>
        <w:jc w:val="left"/>
      </w:pPr>
      <w:r>
        <w:rPr>
          <w:spacing w:val="-2"/>
        </w:rPr>
        <w:t>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w:t>
      </w:r>
      <w:r>
        <w:rPr>
          <w:spacing w:val="-21"/>
        </w:rPr>
        <w:t> </w:t>
      </w:r>
      <w:r>
        <w:rPr>
          <w:spacing w:val="-21"/>
        </w:rPr>
      </w:r>
      <w:r>
        <w:rPr/>
        <w:t>于舞弊或错误而导致的重大错报。</w:t>
      </w:r>
    </w:p>
    <w:p>
      <w:pPr>
        <w:pStyle w:val="BodyText"/>
        <w:spacing w:line="273" w:lineRule="auto" w:before="22"/>
        <w:ind w:left="573" w:right="1123"/>
        <w:jc w:val="left"/>
      </w:pPr>
      <w:r>
        <w:rPr/>
        <w:t>二、注册会计师的责任</w:t>
      </w:r>
      <w:r>
        <w:rPr>
          <w:w w:val="100"/>
        </w:rPr>
        <w:t> </w:t>
      </w:r>
      <w:r>
        <w:rPr>
          <w:spacing w:val="-2"/>
        </w:rPr>
        <w:t>我们的责任是在执行审计工作的基础上对财务报表发表审计意见。我们按照中国注册会计师审计准则</w:t>
      </w:r>
    </w:p>
    <w:p>
      <w:pPr>
        <w:pStyle w:val="BodyText"/>
        <w:spacing w:line="273" w:lineRule="auto" w:before="7"/>
        <w:ind w:right="1123"/>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7"/>
        <w:ind w:right="112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73" w:lineRule="auto" w:before="7"/>
        <w:ind w:left="573" w:right="2658"/>
        <w:jc w:val="left"/>
      </w:pPr>
      <w:r>
        <w:rPr>
          <w:spacing w:val="-2"/>
        </w:rPr>
        <w:t>我们相信，我们获取的审计证据是充分、适当的，为发表审计意见提供了基础。</w:t>
      </w:r>
      <w:r>
        <w:rPr>
          <w:spacing w:val="-38"/>
        </w:rPr>
        <w:t> </w:t>
      </w:r>
      <w:r>
        <w:rPr>
          <w:spacing w:val="-38"/>
        </w:rPr>
      </w:r>
      <w:r>
        <w:rPr/>
        <w:t>三、审计意见</w:t>
      </w:r>
    </w:p>
    <w:p>
      <w:pPr>
        <w:pStyle w:val="BodyText"/>
        <w:spacing w:line="240" w:lineRule="auto" w:before="7"/>
        <w:ind w:left="573" w:right="1123"/>
        <w:jc w:val="left"/>
      </w:pPr>
      <w:r>
        <w:rPr/>
        <w:t>我们认为，丽鹏公司财务报表在所有重大方面按照企业会计准则的规定编制，公允反映了丽鹏公司</w:t>
      </w:r>
    </w:p>
    <w:p>
      <w:pPr>
        <w:pStyle w:val="BodyText"/>
        <w:spacing w:line="240" w:lineRule="auto" w:before="37"/>
        <w:ind w:right="112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日的合并及母公司的财务状况以及</w:t>
      </w:r>
      <w:r>
        <w:rPr>
          <w:rFonts w:ascii="Times New Roman" w:hAnsi="Times New Roman" w:cs="Times New Roman" w:eastAsia="Times New Roman" w:hint="default"/>
        </w:rPr>
        <w:t>2012</w:t>
      </w:r>
      <w:r>
        <w:rPr/>
        <w:t>年度的合并及母公司的经营成果和现金流量。</w:t>
      </w:r>
    </w:p>
    <w:p>
      <w:pPr>
        <w:spacing w:line="240" w:lineRule="auto" w:before="9"/>
        <w:rPr>
          <w:rFonts w:ascii="宋体" w:hAnsi="宋体" w:cs="宋体" w:eastAsia="宋体" w:hint="default"/>
          <w:sz w:val="22"/>
          <w:szCs w:val="22"/>
        </w:rPr>
      </w:pPr>
    </w:p>
    <w:p>
      <w:pPr>
        <w:spacing w:line="511" w:lineRule="auto" w:before="0"/>
        <w:ind w:left="152" w:right="6135"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511" w:lineRule="auto"/>
        <w:jc w:val="left"/>
        <w:rPr>
          <w:rFonts w:ascii="宋体" w:hAnsi="宋体" w:cs="宋体" w:eastAsia="宋体" w:hint="default"/>
          <w:sz w:val="21"/>
          <w:szCs w:val="21"/>
        </w:rPr>
        <w:sectPr>
          <w:pgSz w:w="11910" w:h="16840"/>
          <w:pgMar w:header="877" w:footer="1331" w:top="1060" w:bottom="1540" w:left="980" w:right="0"/>
        </w:sectPr>
      </w:pPr>
    </w:p>
    <w:p>
      <w:pPr>
        <w:pStyle w:val="BodyText"/>
        <w:spacing w:line="240" w:lineRule="auto" w:before="61"/>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522"/>
            <w:col w:w="2101"/>
          </w:cols>
        </w:sectPr>
      </w:pP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7"/>
        <w:gridCol w:w="3300"/>
        <w:gridCol w:w="329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348,023,240.02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131,163,097.54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17,278,007.00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21,506,233.65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85,319,157.45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61,417,561.37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47,564,393.98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36,898,578.47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2,957,544.20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1,107,571.53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163,401,696.25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147,213,050.11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664,544,038.90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399,306,092.67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13,287,495.00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13,287,495.00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247,910.16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688,756.19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437,515,141.00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369,279,926.81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40,875,949.94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14,855,072.52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32,546,440.75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23,070,702.51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199,252.75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274,799.95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4,292,565.56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5,494,953.41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528,964,755.16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426,951,706.39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1,193,508,794.06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826,257,799.06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59,681,891.56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57,132,474.27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8,414,471.55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12,201,427.02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5,738,636.25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6,364,030.00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-31,440,997.66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-22,820,456.61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1,401,552.28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1,377,409.84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365,795,553.98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288,354,884.52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2940"/>
        <w:gridCol w:w="3311"/>
        <w:gridCol w:w="3301"/>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365,795,553.98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288,354,884.52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106,338,461.00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546,418,892.48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314,257,038.71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10,954,200.39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7,592,595.67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139,072,391.51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109,818,805.00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802,783,945.38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517,268,439.38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24,929,294.70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20,634,475.16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827,713,240.08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537,902,914.54</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1,193,508,794.06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826,257,799.06</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40" w:left="980" w:right="0"/>
        </w:sectPr>
      </w:pPr>
    </w:p>
    <w:p>
      <w:pPr>
        <w:pStyle w:val="BodyText"/>
        <w:spacing w:line="240" w:lineRule="auto" w:before="36"/>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199,521,443.21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116,512,682.14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9,768,007.00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13,816,233.65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99,672,659.58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74,619,391.28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56,043,229.21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24,820,958.49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11,390,127.47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1,250,301.79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9,951,286.53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85,932,965.05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80,976,379.55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452,188,605.84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332,087,059.11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311,603,517.55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145,603,517.55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247,910.16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688,756.19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284,465,309.52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235,133,852.46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8,354,748.64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12,635.59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18,487,398.81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18,580,626.53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1,289,741.29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3,197,429.59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624,448,625.97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403,216,817.91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1,076,637,231.81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735,303,877.02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27,308,925.48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43,625,057.81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7,057,444.87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13,394,458.99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2,922,798.00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4,656,803.00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-31,319,536.44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-22,255,922.14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907,818.01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973,075.48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325,877,449.92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262,493,473.14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325,877,449.92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262,493,473.14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106,338,461.00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85,600,000.00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548,789,324.49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316,634,454.72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10,954,200.39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7,592,595.67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84,677,796.01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62,983,353.49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750,759,781.89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472,810,403.88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1,076,637,231.81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735,303,877.02</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40" w:left="980" w:right="0"/>
        </w:sectPr>
      </w:pPr>
    </w:p>
    <w:p>
      <w:pPr>
        <w:pStyle w:val="BodyText"/>
        <w:spacing w:line="240" w:lineRule="auto" w:before="36"/>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617,399,844.48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585,579,973.76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617,399,844.48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585,579,973.76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565,348,589.32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537,027,070.42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484,072,877.89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469,627,386.11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3,349,338.80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2,822,915.53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19,273,902.64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16,016,429.75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39,114,660.99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36,846,060.00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16,244,833.93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10,481,344.61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3,292,975.07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1,232,934.42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274,374.75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52,215,504.86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48,827,278.09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6,627,684.26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1,054,787.38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1,155,152.80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27,070,942.50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442,903.79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1,341,694.49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57,688,036.32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22,811,122.97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13,962,941.94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5,513,872.91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43,725,094.38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17,297,250.06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41,175,191.23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13,327,525.46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2,549,903.15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3,969,724.60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43,725,094.38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17,297,250.06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41,175,191.23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13,327,525.46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2,549,903.15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3,969,724.60</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20" w:left="980" w:right="0"/>
        </w:sectPr>
      </w:pPr>
    </w:p>
    <w:p>
      <w:pPr>
        <w:pStyle w:val="BodyText"/>
        <w:spacing w:line="240" w:lineRule="auto" w:before="36"/>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516,070,998.31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516,811,414.54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432,726,062.10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453,690,172.30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2,281,740.42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1,898,932.74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13,054,774.74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10,246,830.46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20,988,900.33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20,887,692.66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15,553,257.08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10,359,793.57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2,240,814.46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1,654,113.95</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6,087,302.68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15,192,859.56</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35,312,751.86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33,266,738.42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5,145,406.45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385,066.55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498,837.25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26,438,283.44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83,292.74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920,148.04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39,959,321.06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7,213,521.53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6,343,273.82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-2,389,797.63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33,616,047.24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9,603,319.16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33,616,047.24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9,603,319.16</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20" w:left="980" w:right="0"/>
        </w:sectPr>
      </w:pPr>
    </w:p>
    <w:p>
      <w:pPr>
        <w:pStyle w:val="BodyText"/>
        <w:spacing w:line="240" w:lineRule="auto" w:before="36"/>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677,939,265.68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685,259,835.19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8,224,306.46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3,833,071.86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686,163,572.14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689,092,907.05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479,347,890.27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525,791,931.99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7235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99,598,736.37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85,178,567.12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28,836,100.44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27,555,843.95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30,133,360.97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32,332,242.81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637,916,088.05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670,858,585.87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48,247,484.09</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18,234,321.18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274,374.75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1,421,360.54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14,418,087.33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1,585,610.24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14,692,462.08</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124,378,799.55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189,418,533.18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124,378,799.55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206,978,533.18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-122,793,189.31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-192,286,071.10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256,808,664.54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2,015,242.00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639,808,664.54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307,015,242.00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180,800,000.00</w:t>
            </w:r>
          </w:p>
        </w:tc>
      </w:tr>
    </w:tbl>
    <w:p>
      <w:pPr>
        <w:spacing w:after="0" w:line="240" w:lineRule="auto"/>
        <w:jc w:val="right"/>
        <w:rPr>
          <w:rFonts w:ascii="Times New Roman" w:hAnsi="Times New Roman" w:cs="Times New Roman" w:eastAsia="Times New Roman" w:hint="default"/>
          <w:sz w:val="18"/>
          <w:szCs w:val="18"/>
        </w:rPr>
        <w:sectPr>
          <w:headerReference w:type="default" r:id="rId27"/>
          <w:footerReference w:type="default" r:id="rId2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26,698,750.84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22,601,180.67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333,798,750.84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203,401,180.67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306,009,913.70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103,614,061.33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-1,035,797.35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-1,175,322.05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230,428,411.13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-71,613,010.64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82,793,097.54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154,406,108.18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313,221,508.67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82,793,097.54</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footerReference w:type="default" r:id="rId29"/>
          <w:pgSz w:w="11910" w:h="16840"/>
          <w:pgMar w:footer="1331" w:header="877" w:top="1060" w:bottom="1520" w:left="980" w:right="0"/>
          <w:pgNumType w:start="55"/>
        </w:sectPr>
      </w:pPr>
    </w:p>
    <w:p>
      <w:pPr>
        <w:pStyle w:val="BodyText"/>
        <w:spacing w:line="240" w:lineRule="auto" w:before="36"/>
        <w:ind w:right="0"/>
        <w:jc w:val="left"/>
      </w:pPr>
      <w:r>
        <w:rPr>
          <w:spacing w:val="-2"/>
        </w:rPr>
        <w:t>编制单位：山东丽鹏股份有限公司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575,353,580.61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572,799,858.56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pacing w:val="-1"/>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6,214,772.11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1,610,127.16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581,568,352.72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574,409,985.72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483,594,639.05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469,566,397.31</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55,409,906.32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52,243,670.88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5,953,200.17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9,571,473.38</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18,940,025.41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30,798,053.36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563,897,770.95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562,179,594.93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17,670,581.77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12,230,390.79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17,477,430.15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10,140,995.78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1,097,681.05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6,869,208.14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18,575,111.20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17,010,203.92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86,500,786.23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127,068,496.45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50,560,000.00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252,500,786.23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177,628,496.45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-233,925,675.03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-160,618,292.53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252,799,934.54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632,799,934.54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23,845,614.67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15,809,458.68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318,945,614.67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186,709,458.68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313,854,319.87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109,290,541.32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-1,022,196.89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-1,135,006.97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96,577,029.72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-40,232,367.39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68,142,682.14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108,375,049.53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164,719,711.86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68,142,682.14</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20" w:left="980" w:right="0"/>
        </w:sectPr>
      </w:pPr>
    </w:p>
    <w:p>
      <w:pPr>
        <w:pStyle w:val="BodyText"/>
        <w:spacing w:line="307" w:lineRule="auto" w:before="36"/>
        <w:ind w:right="0"/>
        <w:jc w:val="left"/>
      </w:pPr>
      <w:r>
        <w:rPr>
          <w:spacing w:val="-2"/>
        </w:rPr>
        <w:t>编制单位：山东丽鹏股份有限公司</w:t>
      </w:r>
      <w:r>
        <w:rPr>
          <w:spacing w:val="-75"/>
        </w:rPr>
        <w:t> </w:t>
      </w:r>
      <w:r>
        <w:rPr>
          <w:spacing w:val="-75"/>
        </w:rPr>
      </w: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85,600,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314,257,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038.71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7,592,5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95.67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109,818,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805.00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20,634,47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5.16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537,902,91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4.54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85,600,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314,257,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038.71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4"/>
              <w:ind w:left="92" w:right="0"/>
              <w:jc w:val="center"/>
              <w:rPr>
                <w:rFonts w:ascii="Times New Roman" w:hAnsi="Times New Roman" w:cs="Times New Roman" w:eastAsia="Times New Roman" w:hint="default"/>
                <w:sz w:val="18"/>
                <w:szCs w:val="18"/>
              </w:rPr>
            </w:pPr>
            <w:r>
              <w:rPr>
                <w:rFonts w:ascii="Times New Roman"/>
                <w:sz w:val="18"/>
              </w:rPr>
              <w:t>7,592,5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95.67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4"/>
              <w:ind w:left="8" w:right="0"/>
              <w:jc w:val="center"/>
              <w:rPr>
                <w:rFonts w:ascii="Times New Roman" w:hAnsi="Times New Roman" w:cs="Times New Roman" w:eastAsia="Times New Roman" w:hint="default"/>
                <w:sz w:val="18"/>
                <w:szCs w:val="18"/>
              </w:rPr>
            </w:pPr>
            <w:r>
              <w:rPr>
                <w:rFonts w:ascii="Times New Roman"/>
                <w:sz w:val="18"/>
              </w:rPr>
              <w:t>109,818,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805.00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4"/>
              <w:ind w:left="64" w:right="0"/>
              <w:jc w:val="left"/>
              <w:rPr>
                <w:rFonts w:ascii="Times New Roman" w:hAnsi="Times New Roman" w:cs="Times New Roman" w:eastAsia="Times New Roman" w:hint="default"/>
                <w:sz w:val="18"/>
                <w:szCs w:val="18"/>
              </w:rPr>
            </w:pPr>
            <w:r>
              <w:rPr>
                <w:rFonts w:ascii="Times New Roman"/>
                <w:sz w:val="18"/>
              </w:rPr>
              <w:t>20,634,47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5.16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537,902,91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4.54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20,738,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461.00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232,161,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853.77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3,361,6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04.72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29,253,5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86.51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289,810,32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5.54</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41,175,1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91.23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2,549,903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43,725,094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41,175,1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91.23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2,549,903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43,725,094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20,738,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461.00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232,161,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853.77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4,001,746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256,902,06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0.77</w:t>
            </w:r>
          </w:p>
        </w:tc>
      </w:tr>
      <w:tr>
        <w:trPr>
          <w:trHeight w:val="39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20,738,</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461.00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232,161,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853.77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4,001,746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256,902,06</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0.77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3,361,6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04.72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-11,921,</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604.72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-2,256,82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9.61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-10,816,82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9.61</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3,361,6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04.72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-3,361,6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04.72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-8,560,0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-2,256,82</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9.61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-10,816,82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9.61</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106,338</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,461.00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546,418,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892.48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200.39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139,072,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391.51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24,929,29</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4.70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827,713,24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0.08</w:t>
            </w:r>
          </w:p>
        </w:tc>
      </w:tr>
    </w:tbl>
    <w:p>
      <w:pPr>
        <w:spacing w:line="240" w:lineRule="auto" w:before="10"/>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877" w:footer="1331" w:top="1060" w:bottom="1600" w:left="980" w:right="0"/>
        </w:sectPr>
      </w:pPr>
    </w:p>
    <w:p>
      <w:pPr>
        <w:pStyle w:val="BodyText"/>
        <w:spacing w:line="240" w:lineRule="auto" w:before="36"/>
        <w:ind w:right="-13"/>
        <w:jc w:val="left"/>
      </w:pPr>
      <w:r>
        <w:rPr>
          <w:spacing w:val="-1"/>
        </w:rPr>
        <w:t>上年金额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996" w:space="7925"/>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00"/>
              <w:ind w:left="116"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347,066,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174.18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0"/>
              <w:ind w:left="92" w:right="0"/>
              <w:jc w:val="center"/>
              <w:rPr>
                <w:rFonts w:ascii="Times New Roman" w:hAnsi="Times New Roman" w:cs="Times New Roman" w:eastAsia="Times New Roman" w:hint="default"/>
                <w:sz w:val="18"/>
                <w:szCs w:val="18"/>
              </w:rPr>
            </w:pPr>
            <w:r>
              <w:rPr>
                <w:rFonts w:ascii="Times New Roman"/>
                <w:sz w:val="18"/>
              </w:rPr>
              <w:t>6,632,2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63.75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102,801,</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611.46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0"/>
              <w:ind w:left="64" w:right="0"/>
              <w:jc w:val="left"/>
              <w:rPr>
                <w:rFonts w:ascii="Times New Roman" w:hAnsi="Times New Roman" w:cs="Times New Roman" w:eastAsia="Times New Roman" w:hint="default"/>
                <w:sz w:val="18"/>
                <w:szCs w:val="18"/>
              </w:rPr>
            </w:pPr>
            <w:r>
              <w:rPr>
                <w:rFonts w:ascii="Times New Roman"/>
                <w:sz w:val="18"/>
              </w:rPr>
              <w:t>27,386,19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8.19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0"/>
              <w:ind w:left="50" w:right="0"/>
              <w:jc w:val="left"/>
              <w:rPr>
                <w:rFonts w:ascii="Times New Roman" w:hAnsi="Times New Roman" w:cs="Times New Roman" w:eastAsia="Times New Roman" w:hint="default"/>
                <w:sz w:val="18"/>
                <w:szCs w:val="18"/>
              </w:rPr>
            </w:pPr>
            <w:r>
              <w:rPr>
                <w:rFonts w:ascii="Times New Roman"/>
                <w:sz w:val="18"/>
              </w:rPr>
              <w:t>537,386,24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7.58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00"/>
              <w:ind w:left="116"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347,066,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174.18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00"/>
              <w:ind w:left="92" w:right="0"/>
              <w:jc w:val="center"/>
              <w:rPr>
                <w:rFonts w:ascii="Times New Roman" w:hAnsi="Times New Roman" w:cs="Times New Roman" w:eastAsia="Times New Roman" w:hint="default"/>
                <w:sz w:val="18"/>
                <w:szCs w:val="18"/>
              </w:rPr>
            </w:pPr>
            <w:r>
              <w:rPr>
                <w:rFonts w:ascii="Times New Roman"/>
                <w:sz w:val="18"/>
              </w:rPr>
              <w:t>6,632,2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63.75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102,801,</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611.46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0"/>
              <w:ind w:left="64" w:right="0"/>
              <w:jc w:val="left"/>
              <w:rPr>
                <w:rFonts w:ascii="Times New Roman" w:hAnsi="Times New Roman" w:cs="Times New Roman" w:eastAsia="Times New Roman" w:hint="default"/>
                <w:sz w:val="18"/>
                <w:szCs w:val="18"/>
              </w:rPr>
            </w:pPr>
            <w:r>
              <w:rPr>
                <w:rFonts w:ascii="Times New Roman"/>
                <w:sz w:val="18"/>
              </w:rPr>
              <w:t>27,386,19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8.19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0"/>
              <w:ind w:left="50" w:right="0"/>
              <w:jc w:val="left"/>
              <w:rPr>
                <w:rFonts w:ascii="Times New Roman" w:hAnsi="Times New Roman" w:cs="Times New Roman" w:eastAsia="Times New Roman" w:hint="default"/>
                <w:sz w:val="18"/>
                <w:szCs w:val="18"/>
              </w:rPr>
            </w:pPr>
            <w:r>
              <w:rPr>
                <w:rFonts w:ascii="Times New Roman"/>
                <w:sz w:val="18"/>
              </w:rPr>
              <w:t>537,386,24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7.58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116" w:right="0"/>
              <w:jc w:val="left"/>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 w:right="0"/>
              <w:jc w:val="center"/>
              <w:rPr>
                <w:rFonts w:ascii="Times New Roman" w:hAnsi="Times New Roman" w:cs="Times New Roman" w:eastAsia="Times New Roman" w:hint="default"/>
                <w:sz w:val="18"/>
                <w:szCs w:val="18"/>
              </w:rPr>
            </w:pPr>
            <w:r>
              <w:rPr>
                <w:rFonts w:ascii="Times New Roman"/>
                <w:sz w:val="18"/>
              </w:rPr>
              <w:t>-32,809,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135.47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960,331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7,017,19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-6,751,72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3.03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516,666.96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1"/>
              <w:ind w:left="26" w:right="0"/>
              <w:jc w:val="left"/>
              <w:rPr>
                <w:rFonts w:ascii="Times New Roman" w:hAnsi="Times New Roman" w:cs="Times New Roman" w:eastAsia="Times New Roman" w:hint="default"/>
                <w:sz w:val="18"/>
                <w:szCs w:val="18"/>
              </w:rPr>
            </w:pPr>
            <w:r>
              <w:rPr>
                <w:rFonts w:ascii="Times New Roman"/>
                <w:sz w:val="18"/>
              </w:rPr>
              <w:t>13,327,5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25.46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3,969,724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17,297,250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8"/>
                <w:szCs w:val="18"/>
              </w:rPr>
            </w:pPr>
            <w:r>
              <w:rPr>
                <w:rFonts w:ascii="Times New Roman"/>
                <w:sz w:val="18"/>
              </w:rPr>
              <w:t>13,327,5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25.46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3,969,724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17,297,250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-709,13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5.47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-3,996,95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-4,706,087.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sz w:val="18"/>
              </w:rPr>
              <w:t>12,193.6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6" w:right="0"/>
              <w:jc w:val="left"/>
              <w:rPr>
                <w:rFonts w:ascii="Times New Roman" w:hAnsi="Times New Roman" w:cs="Times New Roman" w:eastAsia="Times New Roman" w:hint="default"/>
                <w:sz w:val="18"/>
                <w:szCs w:val="18"/>
              </w:rPr>
            </w:pPr>
            <w:r>
              <w:rPr>
                <w:rFonts w:ascii="Times New Roman"/>
                <w:sz w:val="18"/>
              </w:rPr>
              <w:t>-3,996,95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 w:right="0"/>
              <w:jc w:val="left"/>
              <w:rPr>
                <w:rFonts w:ascii="Times New Roman" w:hAnsi="Times New Roman" w:cs="Times New Roman" w:eastAsia="Times New Roman" w:hint="default"/>
                <w:sz w:val="18"/>
                <w:szCs w:val="18"/>
              </w:rPr>
            </w:pPr>
            <w:r>
              <w:rPr>
                <w:rFonts w:ascii="Times New Roman"/>
                <w:sz w:val="18"/>
              </w:rPr>
              <w:t>-3,984,758.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0" w:right="0"/>
              <w:jc w:val="left"/>
              <w:rPr>
                <w:rFonts w:ascii="Times New Roman" w:hAnsi="Times New Roman" w:cs="Times New Roman" w:eastAsia="Times New Roman" w:hint="default"/>
                <w:sz w:val="18"/>
                <w:szCs w:val="18"/>
              </w:rPr>
            </w:pPr>
            <w:r>
              <w:rPr>
                <w:rFonts w:ascii="Times New Roman"/>
                <w:sz w:val="18"/>
              </w:rPr>
              <w:t>1.60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-721,32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960,331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-6,310,3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31.92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-6,724,49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6.03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-12,074,49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960,331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-960,33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-6,724,49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6.03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-12,074,49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6.03</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85,600,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314,257,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038.71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7,592,5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95.67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109,818,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805.00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20,634,47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5.16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537,902,91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4.54</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331" w:top="1060" w:bottom="1520" w:left="980" w:right="0"/>
        </w:sectPr>
      </w:pPr>
    </w:p>
    <w:p>
      <w:pPr>
        <w:pStyle w:val="BodyText"/>
        <w:spacing w:line="307" w:lineRule="auto" w:before="36"/>
        <w:ind w:right="0"/>
        <w:jc w:val="left"/>
      </w:pPr>
      <w:r>
        <w:rPr>
          <w:spacing w:val="-2"/>
        </w:rPr>
        <w:t>编制单位：山东丽鹏股份有限公司</w:t>
      </w:r>
      <w:r>
        <w:rPr>
          <w:spacing w:val="-75"/>
        </w:rPr>
        <w:t> </w:t>
      </w:r>
      <w:r>
        <w:rPr>
          <w:spacing w:val="-75"/>
        </w:rPr>
      </w: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07" w:space="5613"/>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3"/>
      </w:tblGrid>
      <w:tr>
        <w:trPr>
          <w:trHeight w:val="403" w:hRule="exact"/>
        </w:trPr>
        <w:tc>
          <w:tcPr>
            <w:tcW w:w="2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3" w:hRule="exact"/>
        </w:trPr>
        <w:tc>
          <w:tcPr>
            <w:tcW w:w="2476"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5"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4"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624008pt;margin-top:626.139954pt;width:84.75pt;height:19.6pt;mso-position-horizontal-relative:page;mso-position-vertical-relative:page;z-index:-6723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646.179993pt;width:84.8pt;height:19.6pt;mso-position-horizontal-relative:page;mso-position-vertical-relative:page;z-index:-6723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625.539978pt;width:42.65pt;height:40.8pt;mso-position-horizontal-relative:page;mso-position-vertical-relative:page;z-index:-672280" coordorigin="3615,12511" coordsize="853,816">
            <v:group style="position:absolute;left:3627;top:12523;width:2;height:392" coordorigin="3627,12523" coordsize="2,392">
              <v:shape style="position:absolute;left:3627;top:12523;width:2;height:392" coordorigin="3627,12523" coordsize="0,392" path="m3627,12523l3627,12914e" filled="false" stroked="true" strokeweight="1.2pt" strokecolor="#ffffff">
                <v:path arrowok="t"/>
              </v:shape>
            </v:group>
            <v:group style="position:absolute;left:3639;top:12523;width:829;height:392" coordorigin="3639,12523" coordsize="829,392">
              <v:shape style="position:absolute;left:3639;top:12523;width:829;height:392" coordorigin="3639,12523" coordsize="829,392" path="m3639,12914l4467,12914,4467,12523,3639,12523,3639,12914xe" filled="true" fillcolor="#ffffff" stroked="false">
                <v:path arrowok="t"/>
                <v:fill type="solid"/>
              </v:shape>
            </v:group>
            <v:group style="position:absolute;left:3627;top:12924;width:2;height:392" coordorigin="3627,12924" coordsize="2,392">
              <v:shape style="position:absolute;left:3627;top:12924;width:2;height:392" coordorigin="3627,12924" coordsize="0,392" path="m3627,12924l3627,13315e" filled="false" stroked="true" strokeweight="1.2pt" strokecolor="#ffffff">
                <v:path arrowok="t"/>
              </v:shape>
            </v:group>
            <v:group style="position:absolute;left:3639;top:12924;width:829;height:392" coordorigin="3639,12924" coordsize="829,392">
              <v:shape style="position:absolute;left:3639;top:12924;width:829;height:392" coordorigin="3639,12924" coordsize="829,392" path="m3639,13315l4467,13315,4467,12924,3639,12924,3639,13315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67223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316,634,45</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4.72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7,592,595.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62,983,353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472,810,40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316,634,45</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4.72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7,592,595.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62,983,353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472,810,40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3.88</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20,738,461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232,154,86</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3,361,604.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21,694,442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277,949,37</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8.01</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20,738,461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232,154,86</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9.77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252,893,33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0.77</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20,738,461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232,154,86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252,893,33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0.77</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3,361,604.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-11,921,60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4.72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-8,560,000.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3,361,604.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-3,361,604.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0"/>
          <w:footerReference w:type="default" r:id="rId3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106,338,46</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1.00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548,789,32</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4.49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10,954,200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84,677,796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750,759,78</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1.89</w:t>
            </w:r>
          </w:p>
        </w:tc>
      </w:tr>
    </w:tbl>
    <w:p>
      <w:pPr>
        <w:spacing w:line="240" w:lineRule="auto" w:before="9"/>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footerReference w:type="default" r:id="rId32"/>
          <w:pgSz w:w="11910" w:h="16840"/>
          <w:pgMar w:footer="1251" w:header="877" w:top="1060" w:bottom="1440" w:left="980" w:right="0"/>
          <w:pgNumType w:start="61"/>
        </w:sectPr>
      </w:pPr>
    </w:p>
    <w:p>
      <w:pPr>
        <w:pStyle w:val="BodyText"/>
        <w:spacing w:line="240" w:lineRule="auto" w:before="36"/>
        <w:ind w:right="-13"/>
        <w:jc w:val="left"/>
      </w:pPr>
      <w:r>
        <w:rPr>
          <w:spacing w:val="-1"/>
        </w:rPr>
        <w:t>上年金额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996" w:space="7925"/>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884"/>
        <w:gridCol w:w="886"/>
        <w:gridCol w:w="886"/>
        <w:gridCol w:w="884"/>
        <w:gridCol w:w="886"/>
        <w:gridCol w:w="884"/>
        <w:gridCol w:w="883"/>
        <w:gridCol w:w="883"/>
      </w:tblGrid>
      <w:tr>
        <w:trPr>
          <w:trHeight w:val="396"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9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96"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96"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348,734,45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6,632,263.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59,690,366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468,557,08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4.72</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348,734,45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6,632,263.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59,690,366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468,557,08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4.72</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960,331.92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3,292,987.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9,603,319.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9,603,319.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960,331.92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-6,310,331.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960,331.92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32,100,000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-32,100,00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90.61998pt;width:84.8pt;height:22.05pt;mso-position-horizontal-relative:page;mso-position-vertical-relative:page;z-index:-672160"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126.259979pt;width:84.8pt;height:19.7pt;mso-position-horizontal-relative:page;mso-position-vertical-relative:page;z-index:-6721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650pt;mso-position-horizontal-relative:char;mso-position-vertical-relative:line" coordorigin="0,0" coordsize="829,353">
                  <v:group style="position:absolute;left:0;top:0;width:829;height:353" coordorigin="0,0" coordsize="829,353">
                    <v:shape style="position:absolute;left:0;top:0;width:829;height:353" coordorigin="0,0" coordsize="829,353"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1"/>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393"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7pt;mso-position-horizontal-relative:char;mso-position-vertical-relative:line" coordorigin="0,0" coordsize="829,394">
                  <v:group style="position:absolute;left:0;top:0;width:829;height:394" coordorigin="0,0" coordsize="829,394">
                    <v:shape style="position:absolute;left:0;top:0;width:829;height:394" coordorigin="0,0" coordsize="829,394" path="m0,394l828,394,828,0,0,0,0,394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316,634,45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7,592,595.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62,983,353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472,810,40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3.88</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法定代表人：孙世尧</w:t>
        <w:tab/>
      </w:r>
      <w:r>
        <w:rPr>
          <w:rFonts w:ascii="宋体" w:hAnsi="宋体" w:cs="宋体" w:eastAsia="宋体" w:hint="default"/>
          <w:spacing w:val="-1"/>
          <w:sz w:val="18"/>
          <w:szCs w:val="18"/>
        </w:rPr>
        <w:t>主管会计工作负责人：王国祝</w:t>
        <w:tab/>
      </w:r>
      <w:r>
        <w:rPr>
          <w:rFonts w:ascii="宋体" w:hAnsi="宋体" w:cs="宋体" w:eastAsia="宋体" w:hint="default"/>
          <w:sz w:val="18"/>
          <w:szCs w:val="18"/>
        </w:rPr>
        <w:t>会计机构负责人：张国平</w:t>
      </w:r>
    </w:p>
    <w:p>
      <w:pPr>
        <w:spacing w:line="240" w:lineRule="auto" w:before="3"/>
        <w:rPr>
          <w:rFonts w:ascii="宋体" w:hAnsi="宋体" w:cs="宋体" w:eastAsia="宋体" w:hint="default"/>
          <w:sz w:val="25"/>
          <w:szCs w:val="25"/>
        </w:rPr>
      </w:pPr>
    </w:p>
    <w:p>
      <w:pPr>
        <w:pStyle w:val="Heading2"/>
        <w:spacing w:line="240" w:lineRule="auto" w:before="0"/>
        <w:ind w:right="1123"/>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0" w:firstLine="420"/>
        <w:jc w:val="left"/>
      </w:pPr>
      <w:r>
        <w:rPr/>
        <w:t>山东丽鹏股份有限公司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是由孙世尧先生等</w:t>
      </w:r>
      <w:r>
        <w:rPr>
          <w:rFonts w:ascii="Times New Roman" w:hAnsi="Times New Roman" w:cs="Times New Roman" w:eastAsia="Times New Roman" w:hint="default"/>
        </w:rPr>
        <w:t>8</w:t>
      </w:r>
      <w:r>
        <w:rPr/>
        <w:t>名股东共同作为发起人，以山</w:t>
      </w:r>
      <w:r>
        <w:rPr>
          <w:w w:val="100"/>
        </w:rPr>
        <w:t> </w:t>
      </w:r>
      <w:r>
        <w:rPr>
          <w:spacing w:val="-2"/>
        </w:rPr>
        <w:t>东丽鹏包装有限公司整体变更的方式设立的股份有限公司，公司成立时注册资本为</w:t>
      </w:r>
      <w:r>
        <w:rPr>
          <w:rFonts w:ascii="Times New Roman" w:hAnsi="Times New Roman" w:cs="Times New Roman" w:eastAsia="Times New Roman" w:hint="default"/>
          <w:spacing w:val="-2"/>
        </w:rPr>
        <w:t>4000</w:t>
      </w:r>
      <w:r>
        <w:rPr>
          <w:spacing w:val="-2"/>
        </w:rPr>
        <w:t>万元。经中国证券</w:t>
      </w:r>
      <w:r>
        <w:rPr>
          <w:spacing w:val="-39"/>
        </w:rPr>
        <w:t> </w:t>
      </w:r>
      <w:r>
        <w:rPr>
          <w:spacing w:val="-39"/>
        </w:rPr>
      </w:r>
      <w:r>
        <w:rPr>
          <w:spacing w:val="-2"/>
        </w:rPr>
        <w:t>监督管理委员会证监许可</w:t>
      </w:r>
      <w:r>
        <w:rPr>
          <w:rFonts w:ascii="Times New Roman" w:hAnsi="Times New Roman" w:cs="Times New Roman" w:eastAsia="Times New Roman" w:hint="default"/>
          <w:spacing w:val="-2"/>
        </w:rPr>
        <w:t>[2010]238</w:t>
      </w:r>
      <w:r>
        <w:rPr>
          <w:spacing w:val="-2"/>
        </w:rPr>
        <w:t>号文批准，公司于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日向社会公开公司民币普通股</w:t>
      </w:r>
      <w:r>
        <w:rPr>
          <w:rFonts w:ascii="Times New Roman" w:hAnsi="Times New Roman" w:cs="Times New Roman" w:eastAsia="Times New Roman" w:hint="default"/>
          <w:spacing w:val="-2"/>
        </w:rPr>
        <w:t>1,350</w:t>
      </w:r>
      <w:r>
        <w:rPr>
          <w:spacing w:val="-2"/>
        </w:rPr>
        <w:t>万股，</w:t>
      </w:r>
      <w:r>
        <w:rPr>
          <w:spacing w:val="-7"/>
        </w:rPr>
        <w:t> </w:t>
      </w:r>
      <w:r>
        <w:rPr>
          <w:spacing w:val="-7"/>
        </w:rPr>
      </w:r>
      <w:r>
        <w:rPr/>
        <w:t>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日在深圳证券交易所上市交易，发行后公司注册资本变更为</w:t>
      </w:r>
      <w:r>
        <w:rPr>
          <w:rFonts w:ascii="Times New Roman" w:hAnsi="Times New Roman" w:cs="Times New Roman" w:eastAsia="Times New Roman" w:hint="default"/>
        </w:rPr>
        <w:t>5,350</w:t>
      </w:r>
      <w:r>
        <w:rPr/>
        <w:t>万元；经中国证券监督</w:t>
      </w:r>
      <w:r>
        <w:rPr>
          <w:w w:val="100"/>
        </w:rPr>
        <w:t> </w:t>
      </w:r>
      <w:r>
        <w:rPr/>
        <w:t>管理委员会证监许可</w:t>
      </w:r>
      <w:r>
        <w:rPr>
          <w:rFonts w:ascii="Times New Roman" w:hAnsi="Times New Roman" w:cs="Times New Roman" w:eastAsia="Times New Roman" w:hint="default"/>
        </w:rPr>
        <w:t>[2012]1328</w:t>
      </w:r>
      <w:r>
        <w:rPr/>
        <w:t>号文批准，公司于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日向特定对象非公开公司民币普通股</w:t>
      </w:r>
      <w:r>
        <w:rPr>
          <w:w w:val="100"/>
        </w:rPr>
        <w:t> </w:t>
      </w:r>
      <w:r>
        <w:rPr>
          <w:rFonts w:ascii="Times New Roman" w:hAnsi="Times New Roman" w:cs="Times New Roman" w:eastAsia="Times New Roman" w:hint="default"/>
        </w:rPr>
        <w:t>20,738,461</w:t>
      </w:r>
      <w:r>
        <w:rPr/>
        <w:t>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日在深圳证券交易所上市交易，发行后注册资本变更为</w:t>
      </w:r>
      <w:r>
        <w:rPr>
          <w:rFonts w:ascii="Times New Roman" w:hAnsi="Times New Roman" w:cs="Times New Roman" w:eastAsia="Times New Roman" w:hint="default"/>
        </w:rPr>
        <w:t>106,338,461</w:t>
      </w:r>
      <w:r>
        <w:rPr/>
        <w:t>元。</w:t>
      </w:r>
    </w:p>
    <w:p>
      <w:pPr>
        <w:pStyle w:val="BodyText"/>
        <w:spacing w:line="256" w:lineRule="auto" w:before="5"/>
        <w:ind w:right="1123" w:firstLine="420"/>
        <w:jc w:val="left"/>
      </w:pPr>
      <w:r>
        <w:rPr>
          <w:spacing w:val="-2"/>
        </w:rPr>
        <w:t>公司营业执照注册号为</w:t>
      </w:r>
      <w:r>
        <w:rPr>
          <w:rFonts w:ascii="Times New Roman" w:hAnsi="Times New Roman" w:cs="Times New Roman" w:eastAsia="Times New Roman" w:hint="default"/>
          <w:spacing w:val="-2"/>
        </w:rPr>
        <w:t>370600228099328</w:t>
      </w:r>
      <w:r>
        <w:rPr>
          <w:spacing w:val="-2"/>
        </w:rPr>
        <w:t>；公司住所位于烟台市牟平区姜格庄街道办事处丽鹏路</w:t>
      </w:r>
      <w:r>
        <w:rPr>
          <w:rFonts w:ascii="Times New Roman" w:hAnsi="Times New Roman" w:cs="Times New Roman" w:eastAsia="Times New Roman" w:hint="default"/>
          <w:spacing w:val="-2"/>
        </w:rPr>
        <w:t>1</w:t>
      </w:r>
      <w:r>
        <w:rPr>
          <w:spacing w:val="-2"/>
        </w:rPr>
        <w:t>号；</w:t>
      </w:r>
      <w:r>
        <w:rPr>
          <w:w w:val="100"/>
        </w:rPr>
        <w:t> </w:t>
      </w:r>
      <w:r>
        <w:rPr/>
        <w:t>法定代表人为孙世尧先生。</w:t>
      </w:r>
    </w:p>
    <w:p>
      <w:pPr>
        <w:spacing w:line="240" w:lineRule="auto" w:before="9"/>
        <w:rPr>
          <w:rFonts w:ascii="宋体" w:hAnsi="宋体" w:cs="宋体" w:eastAsia="宋体" w:hint="default"/>
          <w:sz w:val="22"/>
          <w:szCs w:val="22"/>
        </w:rPr>
      </w:pPr>
    </w:p>
    <w:p>
      <w:pPr>
        <w:pStyle w:val="Heading2"/>
        <w:spacing w:line="240" w:lineRule="auto" w:before="0"/>
        <w:ind w:right="1123"/>
        <w:jc w:val="left"/>
        <w:rPr>
          <w:b w:val="0"/>
          <w:bCs w:val="0"/>
        </w:rPr>
      </w:pPr>
      <w:r>
        <w:rPr/>
        <w:t>四、公司主要会计政策、会计估计和前期差错</w:t>
      </w:r>
      <w:r>
        <w:rPr>
          <w:b w:val="0"/>
          <w:bCs w:val="0"/>
        </w:rPr>
      </w:r>
    </w:p>
    <w:p>
      <w:pPr>
        <w:spacing w:line="590" w:lineRule="atLeast" w:before="2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5"/>
          <w:sz w:val="21"/>
          <w:szCs w:val="21"/>
        </w:rPr>
        <w:t>公司以持续经营为基础，根据实际发生的交易和事项，按照《企业会计准则》的规定进行确认和计量，</w:t>
      </w:r>
    </w:p>
    <w:p>
      <w:pPr>
        <w:pStyle w:val="BodyText"/>
        <w:spacing w:line="240" w:lineRule="auto" w:before="37"/>
        <w:ind w:right="1123"/>
        <w:jc w:val="left"/>
      </w:pPr>
      <w:r>
        <w:rPr/>
        <w:t>在此基础上编制财务报表。</w:t>
      </w:r>
    </w:p>
    <w:p>
      <w:pPr>
        <w:spacing w:line="600" w:lineRule="atLeast" w:before="28"/>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公司编制的财务报表符合企业会计准则的要求，真实、完整地反映了公司的财务状况、经营成果和现</w:t>
      </w:r>
    </w:p>
    <w:p>
      <w:pPr>
        <w:pStyle w:val="BodyText"/>
        <w:spacing w:line="240" w:lineRule="auto" w:before="37"/>
        <w:ind w:right="1123"/>
        <w:jc w:val="left"/>
      </w:pPr>
      <w:r>
        <w:rPr/>
        <w:t>金流量等有关信息。</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123"/>
        <w:jc w:val="left"/>
      </w:pPr>
      <w:r>
        <w:rPr/>
        <w:t>会计年度为公历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pgSz w:w="11910" w:h="16840"/>
          <w:pgMar w:header="877" w:footer="1251"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23"/>
        <w:jc w:val="left"/>
      </w:pPr>
      <w:r>
        <w:rPr/>
        <w:t>以人民币作为记账本位币。</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00" w:lineRule="atLeast" w:before="12"/>
        <w:ind w:left="578" w:right="112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3"/>
          <w:sz w:val="21"/>
          <w:szCs w:val="21"/>
        </w:rPr>
        <w:t>参与合并的企业在合并前后均受同一方或相同的多方最终控制且该控制并非暂时性的，为同一控制下</w:t>
      </w:r>
      <w:r>
        <w:rPr>
          <w:rFonts w:ascii="宋体" w:hAnsi="宋体" w:cs="宋体" w:eastAsia="宋体" w:hint="default"/>
          <w:sz w:val="21"/>
          <w:szCs w:val="21"/>
        </w:rPr>
      </w:r>
    </w:p>
    <w:p>
      <w:pPr>
        <w:pStyle w:val="BodyText"/>
        <w:spacing w:line="273" w:lineRule="auto" w:before="37"/>
        <w:ind w:right="1126"/>
        <w:jc w:val="both"/>
      </w:pPr>
      <w:r>
        <w:rPr>
          <w:spacing w:val="-2"/>
        </w:rPr>
        <w:t>的企业合并。同一控制下的企业合并，在合并日取得对其他参与合并企业控制权的一方为合并方，参与合</w:t>
      </w:r>
      <w:r>
        <w:rPr>
          <w:spacing w:val="-43"/>
        </w:rPr>
        <w:t> </w:t>
      </w:r>
      <w:r>
        <w:rPr>
          <w:spacing w:val="-43"/>
        </w:rPr>
      </w:r>
      <w:r>
        <w:rPr>
          <w:spacing w:val="-2"/>
        </w:rPr>
        <w:t>并的其他企业为被合并方；合并日，是指合并方实际取得对被合并方控制权的日期。合并方在企业合并中</w:t>
      </w:r>
      <w:r>
        <w:rPr>
          <w:spacing w:val="-44"/>
        </w:rPr>
        <w:t> </w:t>
      </w:r>
      <w:r>
        <w:rPr>
          <w:spacing w:val="-44"/>
        </w:rPr>
      </w:r>
      <w:r>
        <w:rPr>
          <w:spacing w:val="-2"/>
        </w:rPr>
        <w:t>取得的资产和负债，按照合并日在被合并方的账面价值计量。合并方取得的净资产账面价值与支付的合并</w:t>
      </w:r>
      <w:r>
        <w:rPr>
          <w:spacing w:val="-42"/>
        </w:rPr>
        <w:t> </w:t>
      </w:r>
      <w:r>
        <w:rPr>
          <w:spacing w:val="-42"/>
        </w:rPr>
      </w:r>
      <w:r>
        <w:rPr/>
        <w:t>对价账面价值（或发行股份面值总额）的差额，调整资本公积；资本公积不足冲减的，调整留存收益。</w:t>
      </w:r>
    </w:p>
    <w:p>
      <w:pPr>
        <w:pStyle w:val="BodyText"/>
        <w:spacing w:line="273" w:lineRule="auto" w:before="7"/>
        <w:ind w:right="1126" w:firstLine="425"/>
        <w:jc w:val="both"/>
      </w:pPr>
      <w:r>
        <w:rPr>
          <w:spacing w:val="-2"/>
        </w:rPr>
        <w:t>同一控制下的企业合并中，被合并方采用的会计政策与合并方不一致的，合并方在合并日按照本公司</w:t>
      </w:r>
      <w:r>
        <w:rPr>
          <w:w w:val="100"/>
        </w:rPr>
        <w:t> </w:t>
      </w:r>
      <w:r>
        <w:rPr>
          <w:spacing w:val="-2"/>
        </w:rPr>
        <w:t>会计政策对被合并方的财务报表相关项目进行调整，在此基础上按照企业会计准则规定确认。合并方为进</w:t>
      </w:r>
      <w:r>
        <w:rPr>
          <w:spacing w:val="-44"/>
        </w:rPr>
        <w:t> </w:t>
      </w:r>
      <w:r>
        <w:rPr>
          <w:spacing w:val="-44"/>
        </w:rPr>
      </w:r>
      <w:r>
        <w:rPr>
          <w:spacing w:val="-2"/>
        </w:rPr>
        <w:t>行企业合并发生的各项直接相关费用，包括为进行企业合并而支付的审计费用、评估费用、法律服务费用</w:t>
      </w:r>
      <w:r>
        <w:rPr>
          <w:spacing w:val="-43"/>
        </w:rPr>
        <w:t> </w:t>
      </w:r>
      <w:r>
        <w:rPr>
          <w:spacing w:val="-43"/>
        </w:rPr>
      </w:r>
      <w:r>
        <w:rPr>
          <w:spacing w:val="-2"/>
        </w:rPr>
        <w:t>等，于发生时计入当期损益。为企业合并发行的债券或承担其他债务支付的手续费、佣金等，计入所发行</w:t>
      </w:r>
      <w:r>
        <w:rPr>
          <w:spacing w:val="-47"/>
        </w:rPr>
        <w:t> </w:t>
      </w:r>
      <w:r>
        <w:rPr>
          <w:spacing w:val="-47"/>
        </w:rPr>
      </w:r>
      <w:r>
        <w:rPr>
          <w:spacing w:val="-2"/>
        </w:rPr>
        <w:t>债券及其他债务的初始计量金额。企业合并中发行权益性证券发生的手续费、佣金等费用，抵减权益性证</w:t>
      </w:r>
      <w:r>
        <w:rPr>
          <w:spacing w:val="-44"/>
        </w:rPr>
        <w:t> </w:t>
      </w:r>
      <w:r>
        <w:rPr>
          <w:spacing w:val="-44"/>
        </w:rPr>
      </w:r>
      <w:r>
        <w:rPr/>
        <w:t>券溢价收入，溢价收入不足冲减的，冲减留存收益。</w:t>
      </w:r>
    </w:p>
    <w:p>
      <w:pPr>
        <w:pStyle w:val="BodyText"/>
        <w:spacing w:line="273" w:lineRule="auto" w:before="7"/>
        <w:ind w:right="0" w:firstLine="420"/>
        <w:jc w:val="left"/>
      </w:pPr>
      <w:r>
        <w:rPr>
          <w:spacing w:val="-5"/>
        </w:rPr>
        <w:t>企业合并形成母子公司关系的，母公司编制合并日的合并资产负债表、合并利润表和合并现金流量表。</w:t>
      </w:r>
      <w:r>
        <w:rPr>
          <w:w w:val="100"/>
        </w:rPr>
        <w:t> </w:t>
      </w:r>
      <w:r>
        <w:rPr>
          <w:spacing w:val="-3"/>
        </w:rPr>
        <w:t>合并资产负债表中被合并方的各项资产、负债，按其账面价值计量。因被合并方采用的会计政策与合并方</w:t>
      </w:r>
      <w:r>
        <w:rPr>
          <w:spacing w:val="-31"/>
        </w:rPr>
        <w:t> </w:t>
      </w:r>
      <w:r>
        <w:rPr>
          <w:spacing w:val="-31"/>
        </w:rPr>
      </w:r>
      <w:r>
        <w:rPr>
          <w:spacing w:val="-3"/>
        </w:rPr>
        <w:t>不一致，按照企业会计准则规定进行调整的，以调整后的账面价值计量。合并利润表包括参与合并各方自</w:t>
      </w:r>
      <w:r>
        <w:rPr>
          <w:spacing w:val="-31"/>
        </w:rPr>
        <w:t> </w:t>
      </w:r>
      <w:r>
        <w:rPr>
          <w:spacing w:val="-31"/>
        </w:rPr>
      </w:r>
      <w:r>
        <w:rPr>
          <w:spacing w:val="-3"/>
        </w:rPr>
        <w:t>合并当期期初至合并日所发生的收入、费用和利润。被合并方在合并前实现的净利润，在合并利润表中单</w:t>
      </w:r>
      <w:r>
        <w:rPr>
          <w:spacing w:val="-31"/>
        </w:rPr>
        <w:t> </w:t>
      </w:r>
      <w:r>
        <w:rPr>
          <w:spacing w:val="-31"/>
        </w:rPr>
      </w:r>
      <w:r>
        <w:rPr/>
        <w:t>列项目反映。合并现金流量表包括参与合并各方自合并当期期初至合并日的现金流量。</w:t>
      </w:r>
    </w:p>
    <w:p>
      <w:pPr>
        <w:spacing w:line="590" w:lineRule="atLeast" w:before="9"/>
        <w:ind w:left="578" w:right="112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参与合并的各方在合并前后不受同一或相同的多方最终控制的合并交易，为非同一控制下的企业合</w:t>
      </w:r>
    </w:p>
    <w:p>
      <w:pPr>
        <w:pStyle w:val="BodyText"/>
        <w:spacing w:line="273" w:lineRule="auto" w:before="37"/>
        <w:ind w:right="1126"/>
        <w:jc w:val="both"/>
      </w:pPr>
      <w:r>
        <w:rPr>
          <w:spacing w:val="-2"/>
        </w:rPr>
        <w:t>并。非同一控制下的企业合并中，在购买日取得对其他参与合并企业控制权的一方为购买方，参与合并的</w:t>
      </w:r>
      <w:r>
        <w:rPr>
          <w:spacing w:val="-43"/>
        </w:rPr>
        <w:t> </w:t>
      </w:r>
      <w:r>
        <w:rPr>
          <w:spacing w:val="-43"/>
        </w:rPr>
      </w:r>
      <w:r>
        <w:rPr/>
        <w:t>其他企业为被购买方。购买日，是指购买方实际取得对被购买方控制权的日期。</w:t>
      </w:r>
    </w:p>
    <w:p>
      <w:pPr>
        <w:pStyle w:val="BodyText"/>
        <w:spacing w:line="240" w:lineRule="auto" w:before="7"/>
        <w:ind w:left="578" w:right="1123"/>
        <w:jc w:val="left"/>
      </w:pPr>
      <w:r>
        <w:rPr/>
        <w:t>购买方区别下列情况计量合并成本</w:t>
      </w:r>
    </w:p>
    <w:p>
      <w:pPr>
        <w:pStyle w:val="BodyText"/>
        <w:spacing w:line="256" w:lineRule="auto" w:before="37"/>
        <w:ind w:right="1123" w:firstLine="425"/>
        <w:jc w:val="left"/>
      </w:pPr>
      <w:r>
        <w:rPr/>
        <w:t>（</w:t>
      </w:r>
      <w:r>
        <w:rPr>
          <w:rFonts w:ascii="Times New Roman" w:hAnsi="Times New Roman" w:cs="Times New Roman" w:eastAsia="Times New Roman" w:hint="default"/>
        </w:rPr>
        <w:t>1</w:t>
      </w:r>
      <w:r>
        <w:rPr/>
        <w:t>）一次交换交易实现的企业合并，合并成本为购买方在购买日为取得对被购买方的控制权而付出</w:t>
      </w:r>
      <w:r>
        <w:rPr>
          <w:w w:val="100"/>
        </w:rPr>
        <w:t> </w:t>
      </w:r>
      <w:r>
        <w:rPr/>
        <w:t>的资产、发生或承担的负债以及发行的权益性证券的公允价值。</w:t>
      </w:r>
    </w:p>
    <w:p>
      <w:pPr>
        <w:pStyle w:val="BodyText"/>
        <w:spacing w:line="240" w:lineRule="auto" w:before="22"/>
        <w:ind w:left="578" w:right="1123"/>
        <w:jc w:val="left"/>
      </w:pPr>
      <w:r>
        <w:rPr/>
        <w:t>（</w:t>
      </w:r>
      <w:r>
        <w:rPr>
          <w:rFonts w:ascii="Times New Roman" w:hAnsi="Times New Roman" w:cs="Times New Roman" w:eastAsia="Times New Roman" w:hint="default"/>
        </w:rPr>
        <w:t>2</w:t>
      </w:r>
      <w:r>
        <w:rPr/>
        <w:t>）通过多次交换交易分步实现的企业合并，合并成本为每一单项交易成本之和。</w:t>
      </w:r>
    </w:p>
    <w:p>
      <w:pPr>
        <w:pStyle w:val="BodyText"/>
        <w:spacing w:line="240" w:lineRule="auto" w:before="21"/>
        <w:ind w:left="578" w:right="1123"/>
        <w:jc w:val="left"/>
      </w:pPr>
      <w:r>
        <w:rPr/>
        <w:t>（</w:t>
      </w:r>
      <w:r>
        <w:rPr>
          <w:rFonts w:ascii="Times New Roman" w:hAnsi="Times New Roman" w:cs="Times New Roman" w:eastAsia="Times New Roman" w:hint="default"/>
        </w:rPr>
        <w:t>3</w:t>
      </w:r>
      <w:r>
        <w:rPr/>
        <w:t>）购买方为进行企业合并发生的各项直接相关费用计入企业合并成本。</w:t>
      </w:r>
    </w:p>
    <w:p>
      <w:pPr>
        <w:pStyle w:val="BodyText"/>
        <w:spacing w:line="256" w:lineRule="auto" w:before="22"/>
        <w:ind w:right="1123" w:firstLine="425"/>
        <w:jc w:val="left"/>
      </w:pPr>
      <w:r>
        <w:rPr/>
        <w:t>（</w:t>
      </w:r>
      <w:r>
        <w:rPr>
          <w:rFonts w:ascii="Times New Roman" w:hAnsi="Times New Roman" w:cs="Times New Roman" w:eastAsia="Times New Roman" w:hint="default"/>
        </w:rPr>
        <w:t>4</w:t>
      </w:r>
      <w:r>
        <w:rPr/>
        <w:t>）在合并合同或协议中对可能影响合并成本的未来事项作出约定的，购买日如果估计未来事项很</w:t>
      </w:r>
      <w:r>
        <w:rPr>
          <w:w w:val="100"/>
        </w:rPr>
        <w:t> </w:t>
      </w:r>
      <w:r>
        <w:rPr/>
        <w:t>可能发生并且对合并成本的影响金额能够可靠计量的，购买方将其计入合并成本。</w:t>
      </w:r>
    </w:p>
    <w:p>
      <w:pPr>
        <w:pStyle w:val="BodyText"/>
        <w:spacing w:line="273" w:lineRule="auto" w:before="22"/>
        <w:ind w:right="1123" w:firstLine="425"/>
        <w:jc w:val="left"/>
      </w:pPr>
      <w:r>
        <w:rPr>
          <w:spacing w:val="-2"/>
        </w:rPr>
        <w:t>购买方在购买日对作为企业合并对价付出的资产、发生或承担的负债按照公允价值计量，公允价值与</w:t>
      </w:r>
      <w:r>
        <w:rPr>
          <w:w w:val="100"/>
        </w:rPr>
        <w:t> </w:t>
      </w:r>
      <w:r>
        <w:rPr/>
        <w:t>其账面价值的差额，计入当期损益。</w:t>
      </w:r>
    </w:p>
    <w:p>
      <w:pPr>
        <w:pStyle w:val="BodyText"/>
        <w:spacing w:line="273" w:lineRule="auto" w:before="7"/>
        <w:ind w:right="1123" w:firstLine="425"/>
        <w:jc w:val="left"/>
      </w:pPr>
      <w:r>
        <w:rPr>
          <w:spacing w:val="-2"/>
        </w:rPr>
        <w:t>购买方在购买日对合并成本进行分配，按照企业会计准则的规定确认所取得的被购买方各项可辨认资</w:t>
      </w:r>
      <w:r>
        <w:rPr>
          <w:w w:val="100"/>
        </w:rPr>
        <w:t> </w:t>
      </w:r>
      <w:r>
        <w:rPr/>
        <w:t>产、负债及或有负债。</w:t>
      </w:r>
    </w:p>
    <w:p>
      <w:pPr>
        <w:pStyle w:val="BodyText"/>
        <w:spacing w:line="240" w:lineRule="auto" w:before="7"/>
        <w:ind w:left="578" w:right="0"/>
        <w:jc w:val="left"/>
      </w:pPr>
      <w:r>
        <w:rPr/>
        <w:t>（</w:t>
      </w:r>
      <w:r>
        <w:rPr>
          <w:rFonts w:ascii="Times New Roman" w:hAnsi="Times New Roman" w:cs="Times New Roman" w:eastAsia="Times New Roman" w:hint="default"/>
        </w:rPr>
        <w:t>1</w:t>
      </w:r>
      <w:r>
        <w:rPr/>
        <w:t>）购买方对合并成本大于合并中取得的被购买方可辨认净资产公允价值份额的差额，确认为商誉。</w:t>
      </w:r>
    </w:p>
    <w:p>
      <w:pPr>
        <w:pStyle w:val="BodyText"/>
        <w:spacing w:line="256" w:lineRule="auto" w:before="21"/>
        <w:ind w:right="1123" w:firstLine="425"/>
        <w:jc w:val="left"/>
      </w:pPr>
      <w:r>
        <w:rPr/>
        <w:t>（</w:t>
      </w:r>
      <w:r>
        <w:rPr>
          <w:rFonts w:ascii="Times New Roman" w:hAnsi="Times New Roman" w:cs="Times New Roman" w:eastAsia="Times New Roman" w:hint="default"/>
        </w:rPr>
        <w:t>2</w:t>
      </w:r>
      <w:r>
        <w:rPr/>
        <w:t>）购买方对合并成本小于合并中取得的被购买方可辨认净资产公允价值份额的差额，按照下列规</w:t>
      </w:r>
      <w:r>
        <w:rPr>
          <w:w w:val="100"/>
        </w:rPr>
        <w:t> </w:t>
      </w:r>
      <w:r>
        <w:rPr/>
        <w:t>定处理：</w:t>
      </w:r>
    </w:p>
    <w:p>
      <w:pPr>
        <w:pStyle w:val="BodyText"/>
        <w:spacing w:line="240" w:lineRule="auto" w:before="22"/>
        <w:ind w:left="578" w:right="0"/>
        <w:jc w:val="left"/>
      </w:pPr>
      <w:r>
        <w:rPr/>
        <w:t>对取得的被购买方的各项可辨认资产、负债及或有负债的公允价值以及合并成本的计量进行复核；经</w:t>
      </w:r>
    </w:p>
    <w:p>
      <w:pPr>
        <w:spacing w:after="0" w:line="240"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23" w:hanging="421"/>
        <w:jc w:val="left"/>
      </w:pPr>
      <w:r>
        <w:rPr/>
        <w:t>复核后合并成本仍小于合并中取得的被购买方可辨认净资产公允价值份额的，其差额计入当期损益。</w:t>
      </w:r>
      <w:r>
        <w:rPr>
          <w:w w:val="100"/>
        </w:rPr>
        <w:t> </w:t>
      </w:r>
      <w:r>
        <w:rPr>
          <w:spacing w:val="-2"/>
        </w:rPr>
        <w:t>企业合并中形成母子公司关系的，母公司编制购买日的合并资产负债表，因企业合并取得的被购买方</w:t>
      </w:r>
    </w:p>
    <w:p>
      <w:pPr>
        <w:pStyle w:val="BodyText"/>
        <w:spacing w:line="273" w:lineRule="auto" w:before="7"/>
        <w:ind w:right="1123"/>
        <w:jc w:val="left"/>
      </w:pPr>
      <w:r>
        <w:rPr>
          <w:spacing w:val="-2"/>
        </w:rPr>
        <w:t>各项可辨认资产、负债及或有负债以公允价值列示。母公司的合并成本与取得的子公司可辨认净资产公允</w:t>
      </w:r>
      <w:r>
        <w:rPr>
          <w:spacing w:val="-44"/>
        </w:rPr>
        <w:t> </w:t>
      </w:r>
      <w:r>
        <w:rPr>
          <w:spacing w:val="-44"/>
        </w:rPr>
      </w:r>
      <w:r>
        <w:rPr/>
        <w:t>价值份额的差额，在按照企业会计准则规定处理的结果列示。</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公司对合并财务报表的合并范围以控制为基础予以确定。控制是指本公司能够决定被投资单位的财务</w:t>
      </w:r>
    </w:p>
    <w:p>
      <w:pPr>
        <w:pStyle w:val="BodyText"/>
        <w:spacing w:line="273" w:lineRule="auto" w:before="37"/>
        <w:ind w:left="578" w:right="1123" w:hanging="426"/>
        <w:jc w:val="left"/>
      </w:pPr>
      <w:r>
        <w:rPr/>
        <w:t>和经营政策，并能据以从其经营活动中获取利益的权力。被控制的被投资单位为本公司的子公司。</w:t>
      </w:r>
      <w:r>
        <w:rPr>
          <w:w w:val="100"/>
        </w:rPr>
        <w:t> </w:t>
      </w:r>
      <w:r>
        <w:rPr>
          <w:spacing w:val="-2"/>
        </w:rPr>
        <w:t>合并财务报表系以本公司和列入合并范围内的子公司的个别财务报表为基础，经按照权益法调整了对</w:t>
      </w:r>
    </w:p>
    <w:p>
      <w:pPr>
        <w:pStyle w:val="BodyText"/>
        <w:spacing w:line="273" w:lineRule="auto" w:before="8"/>
        <w:ind w:right="1123"/>
        <w:jc w:val="left"/>
      </w:pPr>
      <w:r>
        <w:rPr>
          <w:spacing w:val="-2"/>
        </w:rPr>
        <w:t>子公司的长期股权投资、且抵销了内部交易的影响后编制而成。少数股东所占的权益和损益，以单独项目</w:t>
      </w:r>
      <w:r>
        <w:rPr>
          <w:spacing w:val="-43"/>
        </w:rPr>
        <w:t> </w:t>
      </w:r>
      <w:r>
        <w:rPr>
          <w:spacing w:val="-43"/>
        </w:rPr>
      </w:r>
      <w:r>
        <w:rPr/>
        <w:t>列示于合并财务报表内。</w:t>
      </w:r>
    </w:p>
    <w:p>
      <w:pPr>
        <w:pStyle w:val="BodyText"/>
        <w:spacing w:line="273" w:lineRule="auto" w:before="7"/>
        <w:ind w:right="1126" w:firstLine="425"/>
        <w:jc w:val="both"/>
      </w:pPr>
      <w:r>
        <w:rPr>
          <w:spacing w:val="-2"/>
        </w:rPr>
        <w:t>对于因非同一控制企业合并形成的子公司，合并成本大于合并中取得的子公司可辨认净资产公允价值</w:t>
      </w:r>
      <w:r>
        <w:rPr>
          <w:w w:val="100"/>
        </w:rPr>
        <w:t> </w:t>
      </w:r>
      <w:r>
        <w:rPr/>
        <w:t>份额的差额，不调整投资成本，在合并财务报表中列作商誉。</w:t>
      </w:r>
    </w:p>
    <w:p>
      <w:pPr>
        <w:pStyle w:val="BodyText"/>
        <w:spacing w:line="273" w:lineRule="auto" w:before="7"/>
        <w:ind w:right="1126" w:firstLine="420"/>
        <w:jc w:val="both"/>
      </w:pPr>
      <w:r>
        <w:rPr>
          <w:spacing w:val="-2"/>
        </w:rPr>
        <w:t>如果子公司执行的会计政策与本公司不一致，编制合并财务报表时已按照本公司的会计政策对子公司</w:t>
      </w:r>
      <w:r>
        <w:rPr>
          <w:w w:val="100"/>
        </w:rPr>
        <w:t> </w:t>
      </w:r>
      <w:r>
        <w:rPr>
          <w:spacing w:val="-2"/>
        </w:rPr>
        <w:t>财务报表进行了相应的调整；对非同一控制下企业合并取得的子公司，已按照购买日该子公司可辨认的资</w:t>
      </w:r>
      <w:r>
        <w:rPr>
          <w:spacing w:val="-43"/>
        </w:rPr>
        <w:t> </w:t>
      </w:r>
      <w:r>
        <w:rPr>
          <w:spacing w:val="-43"/>
        </w:rPr>
      </w:r>
      <w:r>
        <w:rPr/>
        <w:t>产、负债及或有负债的公允价值对子公司财务报表进行了相应的调整。</w:t>
      </w:r>
    </w:p>
    <w:p>
      <w:pPr>
        <w:pStyle w:val="BodyText"/>
        <w:spacing w:line="273" w:lineRule="auto" w:before="7"/>
        <w:ind w:left="573" w:right="0"/>
        <w:jc w:val="left"/>
      </w:pPr>
      <w:r>
        <w:rPr>
          <w:spacing w:val="-5"/>
        </w:rPr>
        <w:t>在编制合并财务报表时，本公司与子公司及子公司相互之间的所有交易、往来余额、损益均予以抵销。</w:t>
      </w:r>
      <w:r>
        <w:rPr>
          <w:spacing w:val="-17"/>
        </w:rPr>
        <w:t> </w:t>
      </w:r>
      <w:r>
        <w:rPr>
          <w:spacing w:val="-17"/>
        </w:rPr>
      </w:r>
      <w:r>
        <w:rPr>
          <w:spacing w:val="2"/>
        </w:rPr>
        <w:t>少数股东权益包括子公司合并当日少数股东按股权比例拥有的权益金额以及自合并日起少数股东所</w:t>
      </w:r>
    </w:p>
    <w:p>
      <w:pPr>
        <w:pStyle w:val="BodyText"/>
        <w:spacing w:line="273" w:lineRule="auto" w:before="7"/>
        <w:ind w:right="1123"/>
        <w:jc w:val="left"/>
      </w:pPr>
      <w:r>
        <w:rPr>
          <w:spacing w:val="-2"/>
        </w:rPr>
        <w:t>占的权益变动额。子公司少数股东分担的当期亏损超过了少数股东在该子公司期初所有者权益中所享有份</w:t>
      </w:r>
      <w:r>
        <w:rPr>
          <w:spacing w:val="-43"/>
        </w:rPr>
        <w:t> </w:t>
      </w:r>
      <w:r>
        <w:rPr>
          <w:spacing w:val="-43"/>
        </w:rPr>
      </w:r>
      <w:r>
        <w:rPr/>
        <w:t>额而形成的余额，冲减少数股东权益。</w:t>
      </w:r>
    </w:p>
    <w:p>
      <w:pPr>
        <w:spacing w:line="600" w:lineRule="atLeast" w:before="0"/>
        <w:ind w:left="578" w:right="112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对于报告期内增加的子公司，若属于同一控制下企业合并的，调整合并资产负债表的期初数，并将该</w:t>
      </w:r>
    </w:p>
    <w:p>
      <w:pPr>
        <w:pStyle w:val="BodyText"/>
        <w:spacing w:line="273" w:lineRule="auto" w:before="37"/>
        <w:ind w:right="0"/>
        <w:jc w:val="left"/>
      </w:pPr>
      <w:r>
        <w:rPr>
          <w:spacing w:val="-5"/>
        </w:rPr>
        <w:t>子公司当期期初至报告期末的收入、费用、利润纳入合并利润表，将同期的现金流量纳入合并现金流量表；</w:t>
      </w:r>
      <w:r>
        <w:rPr>
          <w:spacing w:val="-4"/>
        </w:rPr>
        <w:t> </w:t>
      </w:r>
      <w:r>
        <w:rPr>
          <w:spacing w:val="-4"/>
        </w:rPr>
      </w:r>
      <w:r>
        <w:rPr>
          <w:spacing w:val="-2"/>
        </w:rPr>
        <w:t>若属于非同一控制下的企业合并的，则不调整合并资产负债表的期初数，并将该子公司购买日至报告期末</w:t>
      </w:r>
      <w:r>
        <w:rPr>
          <w:spacing w:val="-43"/>
        </w:rPr>
        <w:t> </w:t>
      </w:r>
      <w:r>
        <w:rPr>
          <w:spacing w:val="-43"/>
        </w:rPr>
      </w:r>
      <w:r>
        <w:rPr>
          <w:spacing w:val="-2"/>
        </w:rPr>
        <w:t>的收入、费用、利润纳入合并利润表，将同期的现金流量纳入合并现金流量表。对于报告期内处置的子公</w:t>
      </w:r>
      <w:r>
        <w:rPr>
          <w:spacing w:val="-47"/>
        </w:rPr>
        <w:t> </w:t>
      </w:r>
      <w:r>
        <w:rPr>
          <w:spacing w:val="-47"/>
        </w:rPr>
      </w:r>
      <w:r>
        <w:rPr>
          <w:spacing w:val="-2"/>
        </w:rPr>
        <w:t>司，不论属于同一控制抑或非同一控制企业合并，均不调整合并资产负债表的期初数，并将该子公司期初</w:t>
      </w:r>
      <w:r>
        <w:rPr>
          <w:spacing w:val="-45"/>
        </w:rPr>
        <w:t> </w:t>
      </w:r>
      <w:r>
        <w:rPr>
          <w:spacing w:val="-45"/>
        </w:rPr>
      </w:r>
      <w:r>
        <w:rPr/>
        <w:t>至处置日收入、费用、利润纳入合并利润表，及同期的现金流量纳入合并现金流量表。</w:t>
      </w:r>
    </w:p>
    <w:p>
      <w:pPr>
        <w:spacing w:line="590" w:lineRule="atLeast" w:before="8"/>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凡同时具备持有期限短（从购买日起三个月内到期）、流动性强、易于转换为已知金额现金、价值变</w:t>
      </w:r>
    </w:p>
    <w:p>
      <w:pPr>
        <w:pStyle w:val="BodyText"/>
        <w:spacing w:line="240" w:lineRule="auto" w:before="37"/>
        <w:ind w:right="1123"/>
        <w:jc w:val="left"/>
      </w:pPr>
      <w:r>
        <w:rPr/>
        <w:t>动风险很小等四个条件的投资确定为现金等价物。</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123"/>
        <w:jc w:val="left"/>
      </w:pPr>
      <w:r>
        <w:rPr/>
        <w:t>发生的外币交易，采用交易发生日的即期汇率折算人民币入账。</w:t>
      </w:r>
    </w:p>
    <w:p>
      <w:pPr>
        <w:spacing w:after="0" w:line="240"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对于外币货币性项目，采用资产负债表日即期汇率折算，因资产负债表日即期汇率与初始确认时或者</w:t>
      </w:r>
      <w:r>
        <w:rPr>
          <w:w w:val="100"/>
        </w:rPr>
        <w:t> </w:t>
      </w:r>
      <w:r>
        <w:rPr>
          <w:spacing w:val="-2"/>
        </w:rPr>
        <w:t>前一资产负债表日即期汇率不同而产生的汇兑差额，计入当期损益；对于以历史成本计量的外币非货币性</w:t>
      </w:r>
      <w:r>
        <w:rPr>
          <w:spacing w:val="-43"/>
        </w:rPr>
        <w:t> </w:t>
      </w:r>
      <w:r>
        <w:rPr>
          <w:spacing w:val="-43"/>
        </w:rPr>
      </w:r>
      <w:r>
        <w:rPr/>
        <w:t>项目，仍采用交易发生日的即期汇率折算，不改变其记账本位币金额。</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123"/>
        <w:jc w:val="left"/>
      </w:pPr>
      <w:r>
        <w:rPr/>
        <w:t>金融资产和金融负债的确认依据：公司已经成为金融工具合同的一方。</w:t>
      </w:r>
    </w:p>
    <w:p>
      <w:pPr>
        <w:spacing w:line="600" w:lineRule="atLeast" w:before="28"/>
        <w:ind w:left="573" w:right="613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金融资产在初始确认时划分为四类</w:t>
      </w:r>
    </w:p>
    <w:p>
      <w:pPr>
        <w:pStyle w:val="BodyText"/>
        <w:spacing w:line="273" w:lineRule="auto" w:before="37"/>
        <w:ind w:right="1123" w:firstLine="420"/>
        <w:jc w:val="left"/>
      </w:pPr>
      <w:r>
        <w:rPr>
          <w:spacing w:val="-2"/>
        </w:rPr>
        <w:t>①以公允价值计量且其变动计入当期损益的金融资产，包括交易性金融资产和指定为以公允价值计量</w:t>
      </w:r>
      <w:r>
        <w:rPr>
          <w:w w:val="100"/>
        </w:rPr>
        <w:t> </w:t>
      </w:r>
      <w:r>
        <w:rPr/>
        <w:t>且其变动计入当期损益的金融资产；</w:t>
      </w:r>
    </w:p>
    <w:p>
      <w:pPr>
        <w:pStyle w:val="BodyText"/>
        <w:spacing w:line="240" w:lineRule="auto" w:before="7"/>
        <w:ind w:left="573" w:right="1123"/>
        <w:jc w:val="left"/>
      </w:pPr>
      <w:r>
        <w:rPr/>
        <w:t>②持有至到期投资；</w:t>
      </w:r>
    </w:p>
    <w:p>
      <w:pPr>
        <w:pStyle w:val="BodyText"/>
        <w:spacing w:line="240" w:lineRule="auto" w:before="37"/>
        <w:ind w:left="573" w:right="1123"/>
        <w:jc w:val="left"/>
      </w:pPr>
      <w:r>
        <w:rPr/>
        <w:t>③应收款项；</w:t>
      </w:r>
    </w:p>
    <w:p>
      <w:pPr>
        <w:pStyle w:val="BodyText"/>
        <w:spacing w:line="273" w:lineRule="auto" w:before="37"/>
        <w:ind w:left="573" w:right="6135"/>
        <w:jc w:val="left"/>
      </w:pPr>
      <w:r>
        <w:rPr/>
        <w:t>④可供出售金融资产。</w:t>
      </w:r>
      <w:r>
        <w:rPr>
          <w:w w:val="100"/>
        </w:rPr>
        <w:t> </w:t>
      </w:r>
      <w:r>
        <w:rPr>
          <w:spacing w:val="-2"/>
        </w:rPr>
        <w:t>金融负债在初始确认时划分为两类</w:t>
      </w:r>
    </w:p>
    <w:p>
      <w:pPr>
        <w:pStyle w:val="BodyText"/>
        <w:spacing w:line="273" w:lineRule="auto" w:before="7"/>
        <w:ind w:right="1123" w:firstLine="420"/>
        <w:jc w:val="left"/>
      </w:pPr>
      <w:r>
        <w:rPr>
          <w:spacing w:val="-2"/>
        </w:rPr>
        <w:t>①以公允价值计量且其变动计入当期损益的金融负债，包括交易性金融负债和直接指定为以公允价值</w:t>
      </w:r>
      <w:r>
        <w:rPr>
          <w:w w:val="100"/>
        </w:rPr>
        <w:t> </w:t>
      </w:r>
      <w:r>
        <w:rPr/>
        <w:t>计量且其变动计入当期损益的金融负债；</w:t>
      </w:r>
    </w:p>
    <w:p>
      <w:pPr>
        <w:pStyle w:val="BodyText"/>
        <w:spacing w:line="240" w:lineRule="auto" w:before="7"/>
        <w:ind w:left="573" w:right="1123"/>
        <w:jc w:val="left"/>
      </w:pPr>
      <w:r>
        <w:rPr/>
        <w:t>②其他金融负债。</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573" w:right="1123"/>
        <w:jc w:val="left"/>
      </w:pPr>
      <w:r>
        <w:rPr/>
        <w:t>金融资产和金融负债的确认依据：公司已经成为金融工具合同的一方。</w:t>
      </w:r>
      <w:r>
        <w:rPr>
          <w:w w:val="100"/>
        </w:rPr>
        <w:t> </w:t>
      </w:r>
      <w:r>
        <w:rPr/>
        <w:t>金融资产或金融负债的初始计量</w:t>
      </w:r>
      <w:r>
        <w:rPr>
          <w:w w:val="100"/>
        </w:rPr>
        <w:t> </w:t>
      </w:r>
      <w:r>
        <w:rPr>
          <w:spacing w:val="-2"/>
        </w:rPr>
        <w:t>初始确认金融资产或金融负债时，按照公允价值计量；对于以公允价值计量且其变动计入当期损益的</w:t>
      </w:r>
    </w:p>
    <w:p>
      <w:pPr>
        <w:pStyle w:val="BodyText"/>
        <w:spacing w:line="273" w:lineRule="auto" w:before="7"/>
        <w:ind w:right="1123"/>
        <w:jc w:val="left"/>
      </w:pPr>
      <w:r>
        <w:rPr>
          <w:spacing w:val="-2"/>
        </w:rPr>
        <w:t>金融资产和金融负债，相关交易费用直接计入当期损益；对于其他类别的金融资产或金融负债，相关交易</w:t>
      </w:r>
      <w:r>
        <w:rPr>
          <w:spacing w:val="-44"/>
        </w:rPr>
        <w:t> </w:t>
      </w:r>
      <w:r>
        <w:rPr>
          <w:spacing w:val="-44"/>
        </w:rPr>
      </w:r>
      <w:r>
        <w:rPr/>
        <w:t>费用计入初始确认金额。</w:t>
      </w:r>
    </w:p>
    <w:p>
      <w:pPr>
        <w:pStyle w:val="BodyText"/>
        <w:spacing w:line="240" w:lineRule="auto" w:before="7"/>
        <w:ind w:left="573" w:right="1123"/>
        <w:jc w:val="left"/>
      </w:pPr>
      <w:r>
        <w:rPr/>
        <w:t>金融资产后续计量</w:t>
      </w:r>
    </w:p>
    <w:p>
      <w:pPr>
        <w:pStyle w:val="BodyText"/>
        <w:spacing w:line="240" w:lineRule="auto" w:before="37"/>
        <w:ind w:left="573" w:right="1123"/>
        <w:jc w:val="left"/>
      </w:pPr>
      <w:r>
        <w:rPr/>
        <w:t>（</w:t>
      </w:r>
      <w:r>
        <w:rPr>
          <w:rFonts w:ascii="Times New Roman" w:hAnsi="Times New Roman" w:cs="Times New Roman" w:eastAsia="Times New Roman" w:hint="default"/>
        </w:rPr>
        <w:t>1</w:t>
      </w:r>
      <w:r>
        <w:rPr/>
        <w:t>）持有至到期投资和应收款项，采用实际利率法，按摊余成本计量。</w:t>
      </w:r>
    </w:p>
    <w:p>
      <w:pPr>
        <w:pStyle w:val="BodyText"/>
        <w:spacing w:line="256" w:lineRule="auto" w:before="21"/>
        <w:ind w:right="1123" w:firstLine="420"/>
        <w:jc w:val="left"/>
      </w:pPr>
      <w:r>
        <w:rPr/>
        <w:t>（</w:t>
      </w:r>
      <w:r>
        <w:rPr>
          <w:rFonts w:ascii="Times New Roman" w:hAnsi="Times New Roman" w:cs="Times New Roman" w:eastAsia="Times New Roman" w:hint="default"/>
        </w:rPr>
        <w:t>2</w:t>
      </w:r>
      <w:r>
        <w:rPr/>
        <w:t>）在活跃市场中没有报价且其公允价值不能可靠计量的权益工具投资，以及与该权益工具挂钩并</w:t>
      </w:r>
      <w:r>
        <w:rPr>
          <w:w w:val="100"/>
        </w:rPr>
        <w:t> </w:t>
      </w:r>
      <w:r>
        <w:rPr/>
        <w:t>须通过交付该权益工具结算的衍生金融资产，按照成本计量。</w:t>
      </w:r>
    </w:p>
    <w:p>
      <w:pPr>
        <w:pStyle w:val="BodyText"/>
        <w:spacing w:line="259" w:lineRule="auto" w:before="22"/>
        <w:ind w:right="1123" w:firstLine="420"/>
        <w:jc w:val="left"/>
      </w:pPr>
      <w:r>
        <w:rPr/>
        <w:t>（</w:t>
      </w:r>
      <w:r>
        <w:rPr>
          <w:rFonts w:ascii="Times New Roman" w:hAnsi="Times New Roman" w:cs="Times New Roman" w:eastAsia="Times New Roman" w:hint="default"/>
        </w:rPr>
        <w:t>3</w:t>
      </w:r>
      <w:r>
        <w:rPr/>
        <w:t>）除此之外的金融资产按照公允价值进行后续计量，且不扣除将来处置该金融资产时可能发生的</w:t>
      </w:r>
      <w:r>
        <w:rPr>
          <w:w w:val="100"/>
        </w:rPr>
        <w:t> </w:t>
      </w:r>
      <w:r>
        <w:rPr/>
        <w:t>交易费用。</w:t>
      </w:r>
    </w:p>
    <w:p>
      <w:pPr>
        <w:pStyle w:val="BodyText"/>
        <w:spacing w:line="273" w:lineRule="auto" w:before="20"/>
        <w:ind w:right="1126" w:firstLine="420"/>
        <w:jc w:val="both"/>
      </w:pPr>
      <w:r>
        <w:rPr>
          <w:spacing w:val="-2"/>
        </w:rPr>
        <w:t>公司因持有意图或能力发生改变，使某项投资不再适合划分为持有至到期投资的，将其重分类为可供</w:t>
      </w:r>
      <w:r>
        <w:rPr>
          <w:w w:val="100"/>
        </w:rPr>
        <w:t> </w:t>
      </w:r>
      <w:r>
        <w:rPr>
          <w:spacing w:val="-2"/>
        </w:rPr>
        <w:t>出售金融资产，并以公允价值进行后续计量。重分类日，该投资的账面价值与公允价值之间的差额计入所</w:t>
      </w:r>
      <w:r>
        <w:rPr>
          <w:spacing w:val="-44"/>
        </w:rPr>
        <w:t> </w:t>
      </w:r>
      <w:r>
        <w:rPr>
          <w:spacing w:val="-44"/>
        </w:rPr>
      </w:r>
      <w:r>
        <w:rPr/>
        <w:t>有者权益，在该可供出售金融资产发生减值或终止确认时转出，计入当期损益。</w:t>
      </w:r>
    </w:p>
    <w:p>
      <w:pPr>
        <w:pStyle w:val="BodyText"/>
        <w:spacing w:line="240" w:lineRule="auto" w:before="7"/>
        <w:ind w:left="573" w:right="1123"/>
        <w:jc w:val="left"/>
      </w:pPr>
      <w:r>
        <w:rPr/>
        <w:t>存在下列情况之一的，表明公司没有明确意图将金融资产投资持有至到期：</w:t>
      </w:r>
    </w:p>
    <w:p>
      <w:pPr>
        <w:pStyle w:val="BodyText"/>
        <w:spacing w:line="240" w:lineRule="auto" w:before="37"/>
        <w:ind w:left="573" w:right="1123"/>
        <w:jc w:val="left"/>
      </w:pPr>
      <w:r>
        <w:rPr/>
        <w:t>①持有该金融资产的期限不确定。</w:t>
      </w:r>
    </w:p>
    <w:p>
      <w:pPr>
        <w:pStyle w:val="BodyText"/>
        <w:spacing w:line="273" w:lineRule="auto" w:before="37"/>
        <w:ind w:right="1123" w:firstLine="420"/>
        <w:jc w:val="left"/>
      </w:pPr>
      <w:r>
        <w:rPr>
          <w:spacing w:val="-2"/>
        </w:rPr>
        <w:t>②发生市场利率变化、流动性需要变化、替代投资机会及其投资收益率变化、融资来源和条件变化、</w:t>
      </w:r>
      <w:r>
        <w:rPr>
          <w:w w:val="100"/>
        </w:rPr>
        <w:t> </w:t>
      </w:r>
      <w:r>
        <w:rPr/>
        <w:t>外汇风险变化等情况时，将出售该金融资产。</w:t>
      </w:r>
    </w:p>
    <w:p>
      <w:pPr>
        <w:pStyle w:val="BodyText"/>
        <w:spacing w:line="240" w:lineRule="auto" w:before="7"/>
        <w:ind w:left="573" w:right="1123"/>
        <w:jc w:val="left"/>
      </w:pPr>
      <w:r>
        <w:rPr/>
        <w:t>③该金融资产的发行方可以按照明显低于其摊余成本的金额清偿。</w:t>
      </w:r>
    </w:p>
    <w:p>
      <w:pPr>
        <w:pStyle w:val="BodyText"/>
        <w:spacing w:line="240" w:lineRule="auto" w:before="37"/>
        <w:ind w:left="573" w:right="1123"/>
        <w:jc w:val="left"/>
      </w:pPr>
      <w:r>
        <w:rPr/>
        <w:t>④其他表明公司没有明确意图将该金融资产持有至到期的情况。</w:t>
      </w:r>
    </w:p>
    <w:p>
      <w:pPr>
        <w:spacing w:after="0" w:line="240"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23"/>
        <w:jc w:val="left"/>
      </w:pPr>
      <w:r>
        <w:rPr/>
        <w:t>金融负债的后续计量</w:t>
      </w:r>
    </w:p>
    <w:p>
      <w:pPr>
        <w:pStyle w:val="BodyText"/>
        <w:spacing w:line="256" w:lineRule="auto" w:before="37"/>
        <w:ind w:right="1136" w:firstLine="420"/>
        <w:jc w:val="both"/>
      </w:pPr>
      <w:r>
        <w:rPr/>
        <w:t>（</w:t>
      </w:r>
      <w:r>
        <w:rPr>
          <w:rFonts w:ascii="Times New Roman" w:hAnsi="Times New Roman" w:cs="Times New Roman" w:eastAsia="Times New Roman" w:hint="default"/>
        </w:rPr>
        <w:t>1</w:t>
      </w:r>
      <w:r>
        <w:rPr/>
        <w:t>）以公允价值计量且其变动计入当期损益的金融负债．按照公允价值计量，且不扣除将来结清金</w:t>
      </w:r>
      <w:r>
        <w:rPr>
          <w:w w:val="100"/>
        </w:rPr>
        <w:t> </w:t>
      </w:r>
      <w:r>
        <w:rPr/>
        <w:t>融负债时可能发生的交易费用。</w:t>
      </w:r>
    </w:p>
    <w:p>
      <w:pPr>
        <w:pStyle w:val="BodyText"/>
        <w:spacing w:line="256" w:lineRule="auto" w:before="22"/>
        <w:ind w:right="1133" w:firstLine="420"/>
        <w:jc w:val="both"/>
      </w:pPr>
      <w:r>
        <w:rPr/>
        <w:t>（</w:t>
      </w:r>
      <w:r>
        <w:rPr>
          <w:rFonts w:ascii="Times New Roman" w:hAnsi="Times New Roman" w:cs="Times New Roman" w:eastAsia="Times New Roman" w:hint="default"/>
        </w:rPr>
        <w:t>2</w:t>
      </w:r>
      <w:r>
        <w:rPr/>
        <w:t>）与在活跃市场中没有报价，公允价值不能可靠计量的权益工具挂钩并须通过交付该权益工具结</w:t>
      </w:r>
      <w:r>
        <w:rPr>
          <w:w w:val="100"/>
        </w:rPr>
        <w:t> </w:t>
      </w:r>
      <w:r>
        <w:rPr/>
        <w:t>算的衍生金融负债，按照成本计量。</w:t>
      </w:r>
    </w:p>
    <w:p>
      <w:pPr>
        <w:pStyle w:val="BodyText"/>
        <w:spacing w:line="266" w:lineRule="auto" w:before="22"/>
        <w:ind w:right="1126" w:firstLine="420"/>
        <w:jc w:val="both"/>
      </w:pPr>
      <w:r>
        <w:rPr/>
        <w:t>（</w:t>
      </w:r>
      <w:r>
        <w:rPr>
          <w:rFonts w:ascii="Times New Roman" w:hAnsi="Times New Roman" w:cs="Times New Roman" w:eastAsia="Times New Roman" w:hint="default"/>
        </w:rPr>
        <w:t>3</w:t>
      </w:r>
      <w:r>
        <w:rPr/>
        <w:t>）不属于指定为以公允价值计量且其变动计入当期损益的金融负债的财务担保合同，或没有指定</w:t>
      </w:r>
      <w:r>
        <w:rPr>
          <w:w w:val="100"/>
        </w:rPr>
        <w:t> </w:t>
      </w:r>
      <w:r>
        <w:rPr>
          <w:spacing w:val="-2"/>
        </w:rPr>
        <w:t>为以公允价值计量且其变动计入当期损益并将以低于市场利率贷款的贷款承诺，按照履行相关现时义务所</w:t>
      </w:r>
      <w:r>
        <w:rPr>
          <w:spacing w:val="-43"/>
        </w:rPr>
        <w:t> </w:t>
      </w:r>
      <w:r>
        <w:rPr>
          <w:spacing w:val="-43"/>
        </w:rPr>
      </w:r>
      <w:r>
        <w:rPr>
          <w:spacing w:val="2"/>
        </w:rPr>
        <w:t>需支出的最佳估计数与初始确认金额扣除按照实际利率法摊销的累计摊销额后的余额两项金额之中的较</w:t>
      </w:r>
      <w:r>
        <w:rPr>
          <w:spacing w:val="-30"/>
        </w:rPr>
        <w:t> </w:t>
      </w:r>
      <w:r>
        <w:rPr>
          <w:spacing w:val="-30"/>
        </w:rPr>
      </w:r>
      <w:r>
        <w:rPr/>
        <w:t>高者进行后续计量。</w:t>
      </w:r>
    </w:p>
    <w:p>
      <w:pPr>
        <w:pStyle w:val="BodyText"/>
        <w:spacing w:line="240" w:lineRule="auto" w:before="14"/>
        <w:ind w:left="489" w:right="1123"/>
        <w:jc w:val="left"/>
      </w:pPr>
      <w:r>
        <w:rPr/>
        <w:t>（</w:t>
      </w:r>
      <w:r>
        <w:rPr>
          <w:rFonts w:ascii="Times New Roman" w:hAnsi="Times New Roman" w:cs="Times New Roman" w:eastAsia="Times New Roman" w:hint="default"/>
        </w:rPr>
        <w:t>4</w:t>
      </w:r>
      <w:r>
        <w:rPr/>
        <w:t>）除此之外的金融负债，采用实际利率法，按摊余成本计量。</w:t>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公司已将金融资产所有权上几乎所有的风险和报酬转移给了转入方的，终止确认该金融资产；保留了</w:t>
      </w:r>
    </w:p>
    <w:p>
      <w:pPr>
        <w:pStyle w:val="BodyText"/>
        <w:spacing w:line="273" w:lineRule="auto" w:before="37"/>
        <w:ind w:right="1123"/>
        <w:jc w:val="left"/>
      </w:pPr>
      <w:r>
        <w:rPr>
          <w:spacing w:val="-2"/>
        </w:rPr>
        <w:t>金融资产所有权上几乎所有的风险和报酬的，继续确认所转移的金融资产，并将收到的对价确认为一项金</w:t>
      </w:r>
      <w:r>
        <w:rPr>
          <w:spacing w:val="-42"/>
        </w:rPr>
        <w:t> </w:t>
      </w:r>
      <w:r>
        <w:rPr>
          <w:spacing w:val="-42"/>
        </w:rPr>
      </w:r>
      <w:r>
        <w:rPr/>
        <w:t>融负债。公司既没有转移也没有保留金融资产所有权上几乎所有的风险和报酬的，分别下列情况处理：</w:t>
      </w:r>
    </w:p>
    <w:p>
      <w:pPr>
        <w:pStyle w:val="BodyText"/>
        <w:spacing w:line="240" w:lineRule="auto" w:before="7"/>
        <w:ind w:left="573" w:right="1123"/>
        <w:jc w:val="left"/>
      </w:pPr>
      <w:r>
        <w:rPr/>
        <w:t>（</w:t>
      </w:r>
      <w:r>
        <w:rPr>
          <w:rFonts w:ascii="Times New Roman" w:hAnsi="Times New Roman" w:cs="Times New Roman" w:eastAsia="Times New Roman" w:hint="default"/>
        </w:rPr>
        <w:t>1</w:t>
      </w:r>
      <w:r>
        <w:rPr/>
        <w:t>）放弃了对该金融资产控制的，终止确认该金融资产；</w:t>
      </w:r>
    </w:p>
    <w:p>
      <w:pPr>
        <w:pStyle w:val="BodyText"/>
        <w:spacing w:line="256" w:lineRule="auto" w:before="21"/>
        <w:ind w:right="1136" w:firstLine="420"/>
        <w:jc w:val="both"/>
      </w:pPr>
      <w:r>
        <w:rPr/>
        <w:t>（</w:t>
      </w:r>
      <w:r>
        <w:rPr>
          <w:rFonts w:ascii="Times New Roman" w:hAnsi="Times New Roman" w:cs="Times New Roman" w:eastAsia="Times New Roman" w:hint="default"/>
        </w:rPr>
        <w:t>2</w:t>
      </w:r>
      <w:r>
        <w:rPr/>
        <w:t>）未放弃对该金融资产控制的，按照继续涉入所转移金融资产的程度确认有关金融资产，并相应</w:t>
      </w:r>
      <w:r>
        <w:rPr>
          <w:w w:val="100"/>
        </w:rPr>
        <w:t> </w:t>
      </w:r>
      <w:r>
        <w:rPr/>
        <w:t>确认有关负债。</w:t>
      </w:r>
    </w:p>
    <w:p>
      <w:pPr>
        <w:pStyle w:val="BodyText"/>
        <w:spacing w:line="240" w:lineRule="auto" w:before="22"/>
        <w:ind w:left="573" w:right="1123"/>
        <w:jc w:val="left"/>
      </w:pPr>
      <w:r>
        <w:rPr/>
        <w:t>金融资产整体转移满足终止确认条件的，将下列两项金额的差额计入当期损益：</w:t>
      </w:r>
    </w:p>
    <w:p>
      <w:pPr>
        <w:pStyle w:val="BodyText"/>
        <w:spacing w:line="240" w:lineRule="auto" w:before="37"/>
        <w:ind w:left="573" w:right="1123"/>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1134"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273" w:lineRule="auto" w:before="22"/>
        <w:ind w:right="1126" w:firstLine="420"/>
        <w:jc w:val="both"/>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止确认部分之间，按照各自的相对公允价值进行分摊，并将下列两项金额的差额计入当期损益：①</w:t>
      </w:r>
      <w:r>
        <w:rPr>
          <w:spacing w:val="70"/>
        </w:rPr>
        <w:t> </w:t>
      </w:r>
      <w:r>
        <w:rPr/>
        <w:t>终止</w:t>
      </w:r>
      <w:r>
        <w:rPr>
          <w:spacing w:val="-93"/>
        </w:rPr>
        <w:t> </w:t>
      </w:r>
      <w:r>
        <w:rPr>
          <w:spacing w:val="-93"/>
        </w:rPr>
      </w:r>
      <w:r>
        <w:rPr/>
        <w:t>确认部分的账面价值；②</w:t>
      </w:r>
      <w:r>
        <w:rPr>
          <w:spacing w:val="59"/>
        </w:rPr>
        <w:t> </w:t>
      </w:r>
      <w:r>
        <w:rPr/>
        <w:t>终止确认部分的对价，与原直接计入所有者权益的公允价值变动累计额中对应</w:t>
      </w:r>
      <w:r>
        <w:rPr>
          <w:spacing w:val="-88"/>
        </w:rPr>
        <w:t> </w:t>
      </w:r>
      <w:r>
        <w:rPr>
          <w:spacing w:val="-88"/>
        </w:rPr>
      </w:r>
      <w:r>
        <w:rPr/>
        <w:t>终止确认部分的金额之和。</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金融负债的现时义务全部或部分已解除时才能终止确认该金融负债或其一部分。公司将用于偿付金融</w:t>
      </w:r>
    </w:p>
    <w:p>
      <w:pPr>
        <w:pStyle w:val="BodyText"/>
        <w:spacing w:line="273" w:lineRule="auto" w:before="37"/>
        <w:ind w:right="1123"/>
        <w:jc w:val="left"/>
      </w:pPr>
      <w:r>
        <w:rPr>
          <w:spacing w:val="-2"/>
        </w:rPr>
        <w:t>负债的资产转入某个机构或设立信托，偿付债务的现时义务仍存在的，不终止确认该金融负债，也不能终</w:t>
      </w:r>
      <w:r>
        <w:rPr>
          <w:spacing w:val="-42"/>
        </w:rPr>
        <w:t> </w:t>
      </w:r>
      <w:r>
        <w:rPr>
          <w:spacing w:val="-42"/>
        </w:rPr>
      </w:r>
      <w:r>
        <w:rPr/>
        <w:t>止确认转出的资产。</w:t>
      </w:r>
    </w:p>
    <w:p>
      <w:pPr>
        <w:pStyle w:val="BodyText"/>
        <w:spacing w:line="273" w:lineRule="auto" w:before="7"/>
        <w:ind w:right="1128" w:firstLine="420"/>
        <w:jc w:val="both"/>
      </w:pPr>
      <w:r>
        <w:rPr>
          <w:spacing w:val="-2"/>
        </w:rPr>
        <w:t>公司（债务人）与债权人之间签订协议，以承担新金融负债方式替换现存金融负债，且新金融负债与</w:t>
      </w:r>
      <w:r>
        <w:rPr>
          <w:w w:val="100"/>
        </w:rPr>
        <w:t> </w:t>
      </w:r>
      <w:r>
        <w:rPr/>
        <w:t>现存金融负债的合同条款实质上不同的，终止确认现存金融负债，并同时确认新金融负债。</w:t>
      </w:r>
    </w:p>
    <w:p>
      <w:pPr>
        <w:pStyle w:val="BodyText"/>
        <w:spacing w:line="273" w:lineRule="auto" w:before="8"/>
        <w:ind w:right="1104" w:firstLine="420"/>
        <w:jc w:val="both"/>
      </w:pPr>
      <w:r>
        <w:rPr>
          <w:spacing w:val="-2"/>
        </w:rPr>
        <w:t>公司对现存金融负债全部或部分的合同条款作出实质性修改的，终止确认现存金融负债或其一部分，</w:t>
      </w:r>
      <w:r>
        <w:rPr>
          <w:w w:val="100"/>
        </w:rPr>
        <w:t> </w:t>
      </w:r>
      <w:r>
        <w:rPr/>
        <w:t>同时将修改条款后的金融负债确认为一项新金融负债。</w:t>
      </w:r>
    </w:p>
    <w:p>
      <w:pPr>
        <w:pStyle w:val="BodyText"/>
        <w:spacing w:line="273" w:lineRule="auto" w:before="7"/>
        <w:ind w:right="1126" w:firstLine="420"/>
        <w:jc w:val="both"/>
      </w:pPr>
      <w:r>
        <w:rPr>
          <w:spacing w:val="-2"/>
        </w:rPr>
        <w:t>金融负债全部或部分终止确认的，公司将终止确认部分的账面价值与支付的对价（包括转出的非现金</w:t>
      </w:r>
      <w:r>
        <w:rPr>
          <w:w w:val="100"/>
        </w:rPr>
        <w:t> </w:t>
      </w:r>
      <w:r>
        <w:rPr/>
        <w:t>资产或承担的新金融负债）之间的差额，计入当期损益。</w:t>
      </w:r>
    </w:p>
    <w:p>
      <w:pPr>
        <w:pStyle w:val="BodyText"/>
        <w:spacing w:line="273" w:lineRule="auto" w:before="7"/>
        <w:ind w:right="1126" w:firstLine="420"/>
        <w:jc w:val="both"/>
      </w:pPr>
      <w:r>
        <w:rPr>
          <w:spacing w:val="-2"/>
        </w:rPr>
        <w:t>公司回购金融负债一部分的，在回购日按照继续确认部分和终止确认部分的相对公允价值，将该金融</w:t>
      </w:r>
      <w:r>
        <w:rPr>
          <w:w w:val="100"/>
        </w:rPr>
        <w:t> </w:t>
      </w:r>
      <w:r>
        <w:rPr>
          <w:spacing w:val="-2"/>
        </w:rPr>
        <w:t>负债整体的账面价值进行分配。分配给终止确认部分的账面价值与支付的对价（包括转出的非现金资产或</w:t>
      </w:r>
      <w:r>
        <w:rPr>
          <w:spacing w:val="-43"/>
        </w:rPr>
        <w:t> </w:t>
      </w:r>
      <w:r>
        <w:rPr>
          <w:spacing w:val="-43"/>
        </w:rPr>
      </w:r>
      <w:r>
        <w:rPr/>
        <w:t>承担的新金融负债）之间的差额，计入当期损益。</w:t>
      </w:r>
    </w:p>
    <w:p>
      <w:pPr>
        <w:spacing w:after="0" w:line="273" w:lineRule="auto"/>
        <w:jc w:val="both"/>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存在活跃市场的金融资产或金融负债，以活跃市场中的报价确定其公允价值。</w:t>
      </w:r>
      <w:r>
        <w:rPr>
          <w:w w:val="100"/>
        </w:rPr>
        <w:t> </w:t>
      </w:r>
      <w:r>
        <w:rPr>
          <w:spacing w:val="-2"/>
        </w:rPr>
        <w:t>金融工具不存在活跃市场的，公司采用估值技术（包括参考熟悉情况并自愿交易的各方最近进行的市</w:t>
      </w:r>
    </w:p>
    <w:p>
      <w:pPr>
        <w:pStyle w:val="BodyText"/>
        <w:spacing w:line="273" w:lineRule="auto" w:before="7"/>
        <w:ind w:right="1123"/>
        <w:jc w:val="left"/>
      </w:pPr>
      <w:r>
        <w:rPr>
          <w:spacing w:val="-2"/>
        </w:rPr>
        <w:t>场交易中使用的价格、参照实质上相同的其他金融工具的当前公允价值、现金流量折现法和期权定价模型</w:t>
      </w:r>
      <w:r>
        <w:rPr>
          <w:spacing w:val="-44"/>
        </w:rPr>
        <w:t> </w:t>
      </w:r>
      <w:r>
        <w:rPr>
          <w:spacing w:val="-44"/>
        </w:rPr>
      </w:r>
      <w:r>
        <w:rPr/>
        <w:t>等）确定其公允价值。</w:t>
      </w:r>
    </w:p>
    <w:p>
      <w:pPr>
        <w:pStyle w:val="BodyText"/>
        <w:spacing w:line="240" w:lineRule="auto" w:before="7"/>
        <w:ind w:left="573" w:right="1123"/>
        <w:jc w:val="left"/>
      </w:pPr>
      <w:r>
        <w:rPr/>
        <w:t>初始取得或源生的金融资产或承担的金融负债，以市场交易价格作为确定其公允价值的基础。</w:t>
      </w:r>
    </w:p>
    <w:p>
      <w:pPr>
        <w:spacing w:line="590" w:lineRule="atLeast" w:before="3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公司在资产负债表日对以公允价值计量且其变动计入当期损益以外的金融资产的账面价值进行检查，</w:t>
      </w:r>
    </w:p>
    <w:p>
      <w:pPr>
        <w:pStyle w:val="BodyText"/>
        <w:spacing w:line="273" w:lineRule="auto" w:before="37"/>
        <w:ind w:left="573" w:right="1123" w:hanging="421"/>
        <w:jc w:val="left"/>
      </w:pPr>
      <w:r>
        <w:rPr/>
        <w:t>有客观证据表明该金融资产发生减值的，确认减值损失，计提减值准备。</w:t>
      </w:r>
      <w:r>
        <w:rPr>
          <w:w w:val="100"/>
        </w:rPr>
        <w:t> </w:t>
      </w:r>
      <w:r>
        <w:rPr>
          <w:spacing w:val="-2"/>
        </w:rPr>
        <w:t>对单项金额重大的金融资产单独进行减值测试；对单项金额不重大的金融资产，包括在具有类似信用</w:t>
      </w:r>
    </w:p>
    <w:p>
      <w:pPr>
        <w:pStyle w:val="BodyText"/>
        <w:spacing w:line="273" w:lineRule="auto" w:before="7"/>
        <w:ind w:right="1123"/>
        <w:jc w:val="left"/>
      </w:pPr>
      <w:r>
        <w:rPr>
          <w:spacing w:val="-2"/>
        </w:rPr>
        <w:t>风险特征的金融资产组合中进行减值测试；单独测试未发生减值的金融资产（包括单项金额重大和不重大</w:t>
      </w:r>
      <w:r>
        <w:rPr>
          <w:spacing w:val="-43"/>
        </w:rPr>
        <w:t> </w:t>
      </w:r>
      <w:r>
        <w:rPr>
          <w:spacing w:val="-43"/>
        </w:rPr>
      </w:r>
      <w:r>
        <w:rPr/>
        <w:t>的金融资产），包括在具有类似信用风险特征的金融资产组合中进行减值测试。</w:t>
      </w:r>
    </w:p>
    <w:p>
      <w:pPr>
        <w:pStyle w:val="BodyText"/>
        <w:spacing w:line="273" w:lineRule="auto" w:before="7"/>
        <w:ind w:right="1105" w:firstLine="420"/>
        <w:jc w:val="both"/>
      </w:pPr>
      <w:r>
        <w:rPr>
          <w:spacing w:val="-2"/>
        </w:rPr>
        <w:t>按摊余成本计量的金融资产，期末有客观证据表明其发生了减值的，根据其账面价值与预计未来现金</w:t>
      </w:r>
      <w:r>
        <w:rPr>
          <w:w w:val="100"/>
        </w:rPr>
        <w:t> </w:t>
      </w:r>
      <w:r>
        <w:rPr>
          <w:spacing w:val="-2"/>
        </w:rPr>
        <w:t>流量现值之间的差额确认减值损失。在活跃市场中没有报价且其公允价值不能可靠计量的权益工具投资，</w:t>
      </w:r>
      <w:r>
        <w:rPr>
          <w:spacing w:val="-21"/>
        </w:rPr>
        <w:t> </w:t>
      </w:r>
      <w:r>
        <w:rPr>
          <w:spacing w:val="-21"/>
        </w:rPr>
      </w:r>
      <w:r>
        <w:rPr>
          <w:spacing w:val="-2"/>
        </w:rPr>
        <w:t>或与该权益工具挂钩并须通过交付该权益工具结算的衍生金融资产发生减值时，将该权益工具投资或衍生</w:t>
      </w:r>
      <w:r>
        <w:rPr>
          <w:spacing w:val="-43"/>
        </w:rPr>
        <w:t> </w:t>
      </w:r>
      <w:r>
        <w:rPr>
          <w:spacing w:val="-43"/>
        </w:rPr>
      </w:r>
      <w:r>
        <w:rPr>
          <w:spacing w:val="-2"/>
        </w:rPr>
        <w:t>金融资产的账面价值，与按照类似金融资产当时市场收益率对未来现金流量折现确定的现值之间的差额，</w:t>
      </w:r>
      <w:r>
        <w:rPr>
          <w:spacing w:val="-21"/>
        </w:rPr>
        <w:t> </w:t>
      </w:r>
      <w:r>
        <w:rPr>
          <w:spacing w:val="-21"/>
        </w:rPr>
      </w:r>
      <w:r>
        <w:rPr>
          <w:spacing w:val="-2"/>
        </w:rPr>
        <w:t>确认为减值损失。可供出售金融资产的公允价值发生较大幅度下降且预期下降趋势属于非暂时性时，确认</w:t>
      </w:r>
      <w:r>
        <w:rPr>
          <w:spacing w:val="-42"/>
        </w:rPr>
        <w:t> </w:t>
      </w:r>
      <w:r>
        <w:rPr>
          <w:spacing w:val="-42"/>
        </w:rPr>
      </w:r>
      <w:r>
        <w:rPr/>
        <w:t>其减值损失，并将原直接计入所有者权益的公允价值累计损失一并转出计入减值损失。</w:t>
      </w:r>
    </w:p>
    <w:p>
      <w:pPr>
        <w:spacing w:line="614" w:lineRule="exact" w:before="62"/>
        <w:ind w:left="573" w:right="265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单项金额重大并单项计提坏账准备的应收款项</w:t>
      </w:r>
    </w:p>
    <w:p>
      <w:pPr>
        <w:pStyle w:val="BodyText"/>
        <w:spacing w:line="235" w:lineRule="exact"/>
        <w:ind w:left="573" w:right="0"/>
        <w:jc w:val="left"/>
      </w:pPr>
      <w:r>
        <w:rPr>
          <w:w w:val="100"/>
        </w:rPr>
        <w:t>本公</w:t>
      </w:r>
      <w:r>
        <w:rPr>
          <w:spacing w:val="-3"/>
          <w:w w:val="100"/>
        </w:rPr>
        <w:t>司</w:t>
      </w:r>
      <w:r>
        <w:rPr>
          <w:w w:val="100"/>
        </w:rPr>
        <w:t>单</w:t>
      </w:r>
      <w:r>
        <w:rPr>
          <w:spacing w:val="-3"/>
          <w:w w:val="100"/>
        </w:rPr>
        <w:t>笔</w:t>
      </w:r>
      <w:r>
        <w:rPr>
          <w:w w:val="100"/>
        </w:rPr>
        <w:t>金</w:t>
      </w:r>
      <w:r>
        <w:rPr>
          <w:spacing w:val="-3"/>
          <w:w w:val="100"/>
        </w:rPr>
        <w:t>额</w:t>
      </w:r>
      <w:r>
        <w:rPr>
          <w:w w:val="100"/>
        </w:rPr>
        <w:t>占</w:t>
      </w:r>
      <w:r>
        <w:rPr>
          <w:spacing w:val="-3"/>
          <w:w w:val="100"/>
        </w:rPr>
        <w:t>应</w:t>
      </w:r>
      <w:r>
        <w:rPr>
          <w:w w:val="100"/>
        </w:rPr>
        <w:t>收</w:t>
      </w:r>
      <w:r>
        <w:rPr>
          <w:spacing w:val="-3"/>
          <w:w w:val="100"/>
        </w:rPr>
        <w:t>款</w:t>
      </w:r>
      <w:r>
        <w:rPr>
          <w:w w:val="100"/>
        </w:rPr>
        <w:t>项余</w:t>
      </w:r>
      <w:r>
        <w:rPr>
          <w:spacing w:val="-3"/>
          <w:w w:val="100"/>
        </w:rPr>
        <w:t>额</w:t>
      </w:r>
      <w:r>
        <w:rPr>
          <w:rFonts w:ascii="Times New Roman" w:hAnsi="Times New Roman" w:cs="Times New Roman" w:eastAsia="Times New Roman" w:hint="default"/>
          <w:w w:val="100"/>
        </w:rPr>
        <w:t>10</w:t>
      </w:r>
      <w:r>
        <w:rPr>
          <w:rFonts w:ascii="Times New Roman" w:hAnsi="Times New Roman" w:cs="Times New Roman" w:eastAsia="Times New Roman" w:hint="default"/>
          <w:spacing w:val="-4"/>
          <w:w w:val="100"/>
        </w:rPr>
        <w:t>%</w:t>
      </w:r>
      <w:r>
        <w:rPr>
          <w:w w:val="100"/>
        </w:rPr>
        <w:t>以</w:t>
      </w:r>
      <w:r>
        <w:rPr>
          <w:spacing w:val="-3"/>
          <w:w w:val="100"/>
        </w:rPr>
        <w:t>上</w:t>
      </w:r>
      <w:r>
        <w:rPr>
          <w:w w:val="100"/>
        </w:rPr>
        <w:t>且</w:t>
      </w:r>
      <w:r>
        <w:rPr>
          <w:spacing w:val="-3"/>
          <w:w w:val="100"/>
        </w:rPr>
        <w:t>单</w:t>
      </w:r>
      <w:r>
        <w:rPr>
          <w:w w:val="100"/>
        </w:rPr>
        <w:t>笔</w:t>
      </w:r>
      <w:r>
        <w:rPr>
          <w:spacing w:val="-3"/>
          <w:w w:val="100"/>
        </w:rPr>
        <w:t>金</w:t>
      </w:r>
      <w:r>
        <w:rPr>
          <w:w w:val="100"/>
        </w:rPr>
        <w:t>额在</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spacing w:val="-3"/>
          <w:w w:val="100"/>
        </w:rPr>
        <w:t>万</w:t>
      </w:r>
      <w:r>
        <w:rPr>
          <w:w w:val="100"/>
        </w:rPr>
        <w:t>元</w:t>
      </w:r>
      <w:r>
        <w:rPr>
          <w:spacing w:val="-3"/>
          <w:w w:val="100"/>
        </w:rPr>
        <w:t>以</w:t>
      </w:r>
      <w:r>
        <w:rPr>
          <w:w w:val="100"/>
        </w:rPr>
        <w:t>上</w:t>
      </w:r>
      <w:r>
        <w:rPr>
          <w:spacing w:val="-3"/>
          <w:w w:val="100"/>
        </w:rPr>
        <w:t>的</w:t>
      </w:r>
      <w:r>
        <w:rPr>
          <w:w w:val="100"/>
        </w:rPr>
        <w:t>应</w:t>
      </w:r>
      <w:r>
        <w:rPr>
          <w:spacing w:val="-3"/>
          <w:w w:val="100"/>
        </w:rPr>
        <w:t>收款</w:t>
      </w:r>
      <w:r>
        <w:rPr>
          <w:w w:val="100"/>
        </w:rPr>
        <w:t>项</w:t>
      </w:r>
      <w:r>
        <w:rPr>
          <w:spacing w:val="-94"/>
          <w:w w:val="100"/>
        </w:rPr>
        <w:t>，</w:t>
      </w:r>
      <w:r>
        <w:rPr>
          <w:w w:val="100"/>
        </w:rPr>
        <w:t>确</w:t>
      </w:r>
      <w:r>
        <w:rPr>
          <w:spacing w:val="-3"/>
          <w:w w:val="100"/>
        </w:rPr>
        <w:t>定</w:t>
      </w:r>
      <w:r>
        <w:rPr>
          <w:w w:val="100"/>
        </w:rPr>
        <w:t>为</w:t>
      </w:r>
      <w:r>
        <w:rPr>
          <w:spacing w:val="-3"/>
          <w:w w:val="100"/>
        </w:rPr>
        <w:t>单</w:t>
      </w:r>
      <w:r>
        <w:rPr>
          <w:w w:val="100"/>
        </w:rPr>
        <w:t>项</w:t>
      </w:r>
      <w:r>
        <w:rPr>
          <w:spacing w:val="-3"/>
          <w:w w:val="100"/>
        </w:rPr>
        <w:t>金</w:t>
      </w:r>
      <w:r>
        <w:rPr>
          <w:w w:val="100"/>
        </w:rPr>
        <w:t>额</w:t>
      </w:r>
      <w:r>
        <w:rPr>
          <w:spacing w:val="-3"/>
          <w:w w:val="100"/>
        </w:rPr>
        <w:t>重</w:t>
      </w:r>
      <w:r>
        <w:rPr>
          <w:w w:val="100"/>
        </w:rPr>
        <w:t>大</w:t>
      </w:r>
    </w:p>
    <w:p>
      <w:pPr>
        <w:pStyle w:val="BodyText"/>
        <w:spacing w:line="240" w:lineRule="auto" w:before="21"/>
        <w:ind w:right="1123"/>
        <w:jc w:val="left"/>
      </w:pPr>
      <w:r>
        <w:rPr/>
        <w:t>的应收款项。</w:t>
      </w:r>
    </w:p>
    <w:p>
      <w:pPr>
        <w:pStyle w:val="BodyText"/>
        <w:spacing w:line="273" w:lineRule="auto" w:before="37"/>
        <w:ind w:right="0" w:firstLine="420"/>
        <w:jc w:val="left"/>
      </w:pPr>
      <w:r>
        <w:rPr/>
        <w:t>在资产负债表日，本公司对单项金额重大的应收款项单独进行减值测试，经测试发生了减值的，按其</w:t>
      </w:r>
      <w:r>
        <w:rPr>
          <w:w w:val="100"/>
        </w:rPr>
        <w:t> </w:t>
      </w:r>
      <w:r>
        <w:rPr>
          <w:spacing w:val="-5"/>
        </w:rPr>
        <w:t>未来现金流量现值低于其账面价值的差额，确定减值损失，计提坏账准备；对单项测试未减值的应收款项，</w:t>
      </w:r>
      <w:r>
        <w:rPr>
          <w:spacing w:val="-6"/>
        </w:rPr>
        <w:t> </w:t>
      </w:r>
      <w:r>
        <w:rPr>
          <w:spacing w:val="-6"/>
        </w:rPr>
      </w:r>
      <w:r>
        <w:rPr/>
        <w:t>汇同对单项金额非重大的应收款项，按类似的信用风险特征划分为若干组合，再按这些应收款项组合在资</w:t>
      </w:r>
      <w:r>
        <w:rPr>
          <w:w w:val="100"/>
        </w:rPr>
        <w:t> </w:t>
      </w:r>
      <w:r>
        <w:rPr/>
        <w:t>产负债表日余额的一定比例计算确定减值损失，计提坏账准备。</w:t>
      </w:r>
    </w:p>
    <w:p>
      <w:pPr>
        <w:pStyle w:val="BodyText"/>
        <w:spacing w:line="240" w:lineRule="auto" w:before="7"/>
        <w:ind w:left="573" w:right="1123"/>
        <w:jc w:val="left"/>
      </w:pPr>
      <w:r>
        <w:rPr/>
        <w:t>本公司的应收款项以账龄为风险特征划分信用风险组合</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66"/>
        <w:gridCol w:w="4503"/>
      </w:tblGrid>
      <w:tr>
        <w:trPr>
          <w:trHeight w:val="716" w:hRule="exact"/>
        </w:trPr>
        <w:tc>
          <w:tcPr>
            <w:tcW w:w="506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1" w:right="19"/>
              <w:jc w:val="left"/>
              <w:rPr>
                <w:rFonts w:ascii="宋体" w:hAnsi="宋体" w:cs="宋体" w:eastAsia="宋体" w:hint="default"/>
                <w:sz w:val="18"/>
                <w:szCs w:val="18"/>
              </w:rPr>
            </w:pPr>
            <w:r>
              <w:rPr>
                <w:rFonts w:ascii="宋体" w:hAnsi="宋体" w:cs="宋体" w:eastAsia="宋体" w:hint="default"/>
                <w:sz w:val="18"/>
                <w:szCs w:val="18"/>
              </w:rPr>
              <w:t>单笔金额占应收款项余额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以上且单笔金额在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 以上</w:t>
            </w:r>
          </w:p>
        </w:tc>
      </w:tr>
      <w:tr>
        <w:trPr>
          <w:trHeight w:val="2273" w:hRule="exact"/>
        </w:trPr>
        <w:tc>
          <w:tcPr>
            <w:tcW w:w="506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2"/>
                <w:sz w:val="18"/>
                <w:szCs w:val="18"/>
              </w:rPr>
              <w:t>在资产负债表日，本公司对单项金额重大的应收款项单独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进行减值测试，经测试发生了减值的，按其未来现金流量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现值低于其账面价值的差额，确定减值损失，计提坏账准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备；对单项测试未减值的应收款项，汇同对单项金额非重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大的应收款项，按类似的信用风险特征划分为若干组合， 再按这些应收款项组合在资产负债表日余额的一定比例 计算确定减值损失，计提坏账准备。</w:t>
            </w:r>
          </w:p>
        </w:tc>
      </w:tr>
    </w:tbl>
    <w:p>
      <w:pPr>
        <w:spacing w:after="0" w:line="316" w:lineRule="auto"/>
        <w:jc w:val="left"/>
        <w:rPr>
          <w:rFonts w:ascii="宋体" w:hAnsi="宋体" w:cs="宋体" w:eastAsia="宋体" w:hint="default"/>
          <w:sz w:val="18"/>
          <w:szCs w:val="18"/>
        </w:rPr>
        <w:sectPr>
          <w:pgSz w:w="11910" w:h="16840"/>
          <w:pgMar w:header="877" w:footer="1251" w:top="1060" w:bottom="14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187"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以应收账款的账龄为基础确定</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28"/>
        <w:ind w:right="1123"/>
        <w:jc w:val="left"/>
      </w:pPr>
      <w:r>
        <w:rPr/>
        <w:t>组合中，采用余额百分比法计提坏账准备的</w:t>
      </w:r>
    </w:p>
    <w:p>
      <w:pPr>
        <w:pStyle w:val="BodyText"/>
        <w:spacing w:line="290" w:lineRule="auto" w:before="78"/>
        <w:ind w:right="6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3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spacing w:line="506" w:lineRule="auto" w:before="0"/>
        <w:ind w:left="152" w:right="265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公司存货包括生产经营过程中为销售或耗用而持有的原材料、低值易耗品等。</w:t>
      </w:r>
    </w:p>
    <w:p>
      <w:pPr>
        <w:spacing w:line="506" w:lineRule="auto" w:before="101"/>
        <w:ind w:left="152" w:right="83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计价方法：加权平均法</w:t>
      </w:r>
    </w:p>
    <w:p>
      <w:pPr>
        <w:pStyle w:val="Heading4"/>
        <w:spacing w:line="240" w:lineRule="auto" w:before="104"/>
        <w:ind w:right="1123"/>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3" w:firstLine="420"/>
        <w:jc w:val="left"/>
      </w:pPr>
      <w:r>
        <w:rPr>
          <w:spacing w:val="-2"/>
        </w:rPr>
        <w:t>存货可变现净值是指在日常活动中，存货的估计售价减去至完工时估计将要发生的成本、估计的销售</w:t>
      </w:r>
      <w:r>
        <w:rPr>
          <w:w w:val="100"/>
        </w:rPr>
        <w:t> </w:t>
      </w:r>
      <w:r>
        <w:rPr/>
        <w:t>费用以及相关税费后的金额。</w:t>
      </w:r>
    </w:p>
    <w:p>
      <w:pPr>
        <w:spacing w:line="240" w:lineRule="auto" w:before="7"/>
        <w:rPr>
          <w:rFonts w:ascii="宋体" w:hAnsi="宋体" w:cs="宋体" w:eastAsia="宋体" w:hint="default"/>
          <w:sz w:val="23"/>
          <w:szCs w:val="23"/>
        </w:rPr>
      </w:pPr>
    </w:p>
    <w:p>
      <w:pPr>
        <w:spacing w:line="506" w:lineRule="auto" w:before="0"/>
        <w:ind w:left="152" w:right="8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盘存制度：永续盘存制</w:t>
      </w:r>
    </w:p>
    <w:p>
      <w:pPr>
        <w:pStyle w:val="Heading4"/>
        <w:spacing w:line="240" w:lineRule="auto" w:before="104"/>
        <w:ind w:right="112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8104"/>
        <w:jc w:val="left"/>
      </w:pPr>
      <w:r>
        <w:rPr/>
        <w:t>低值易耗品</w:t>
      </w:r>
      <w:r>
        <w:rPr>
          <w:spacing w:val="-102"/>
        </w:rPr>
        <w:t> </w:t>
      </w:r>
      <w:r>
        <w:rPr>
          <w:spacing w:val="-102"/>
        </w:rPr>
      </w:r>
      <w:r>
        <w:rPr>
          <w:spacing w:val="-2"/>
        </w:rPr>
        <w:t>摊销方法：一次摊销法</w:t>
      </w:r>
    </w:p>
    <w:p>
      <w:pPr>
        <w:spacing w:after="0" w:line="307"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309" w:lineRule="auto" w:before="36"/>
        <w:ind w:right="8104"/>
        <w:jc w:val="left"/>
      </w:pPr>
      <w:r>
        <w:rPr/>
        <w:t>包装物</w:t>
      </w:r>
      <w:r>
        <w:rPr>
          <w:spacing w:val="-102"/>
        </w:rPr>
        <w:t> </w:t>
      </w:r>
      <w:r>
        <w:rPr>
          <w:spacing w:val="-2"/>
        </w:rPr>
        <w:t>摊销方法：一次摊销法</w:t>
      </w:r>
    </w:p>
    <w:p>
      <w:pPr>
        <w:spacing w:line="240" w:lineRule="auto" w:before="12"/>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600" w:lineRule="atLeast" w:before="14"/>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）投资成本的确定</w:t>
      </w:r>
      <w:r>
        <w:rPr>
          <w:rFonts w:ascii="宋体" w:hAnsi="宋体" w:cs="宋体" w:eastAsia="宋体" w:hint="default"/>
          <w:b/>
          <w:bCs/>
          <w:w w:val="100"/>
        </w:rPr>
        <w:t> </w:t>
      </w:r>
      <w:r>
        <w:rPr>
          <w:spacing w:val="-2"/>
        </w:rPr>
        <w:t>公司对能够对被投资单位实施控制的长期股权投资以及对被投资单位不具有共同控制或重大影响，并</w:t>
      </w:r>
    </w:p>
    <w:p>
      <w:pPr>
        <w:pStyle w:val="BodyText"/>
        <w:spacing w:line="273" w:lineRule="auto" w:before="37"/>
        <w:ind w:right="1126"/>
        <w:jc w:val="both"/>
      </w:pPr>
      <w:r>
        <w:rPr>
          <w:spacing w:val="-2"/>
        </w:rPr>
        <w:t>且在活跃市场中没有报价、公允价值不能可靠计量的长期股权投资，采用成本法核算；对被投资单位能够</w:t>
      </w:r>
      <w:r>
        <w:rPr>
          <w:spacing w:val="-45"/>
        </w:rPr>
        <w:t> </w:t>
      </w:r>
      <w:r>
        <w:rPr>
          <w:spacing w:val="-45"/>
        </w:rPr>
      </w:r>
      <w:r>
        <w:rPr>
          <w:spacing w:val="-2"/>
        </w:rPr>
        <w:t>实施控制的被投资单位，纳入合并财务报表的合并范围，在编制合并财务报表时按照权益法进行调整；公</w:t>
      </w:r>
      <w:r>
        <w:rPr>
          <w:spacing w:val="-43"/>
        </w:rPr>
        <w:t> </w:t>
      </w:r>
      <w:r>
        <w:rPr>
          <w:spacing w:val="-43"/>
        </w:rPr>
      </w:r>
      <w:r>
        <w:rPr/>
        <w:t>司对被投资单位具有共同控制或重大影响的长期股权投资，采用权益法核算。</w:t>
      </w:r>
    </w:p>
    <w:p>
      <w:pPr>
        <w:spacing w:line="614" w:lineRule="exact" w:before="6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同一控制下的企业合并，公司以支付现金、转让非现金资产或承担债务方式作为合并对价的，在合并</w:t>
      </w:r>
    </w:p>
    <w:p>
      <w:pPr>
        <w:pStyle w:val="BodyText"/>
        <w:spacing w:line="219" w:lineRule="exact"/>
        <w:ind w:right="0"/>
        <w:jc w:val="left"/>
      </w:pPr>
      <w:r>
        <w:rPr/>
        <w:t>日按照取得被合并方所有者权益账面价值的份额作为长期股权投资的投资成本。长期股权投资投资成本与</w:t>
      </w:r>
    </w:p>
    <w:p>
      <w:pPr>
        <w:pStyle w:val="BodyText"/>
        <w:spacing w:line="264" w:lineRule="auto" w:before="37"/>
        <w:ind w:right="0"/>
        <w:jc w:val="left"/>
      </w:pPr>
      <w:r>
        <w:rPr>
          <w:spacing w:val="-4"/>
        </w:rPr>
        <w:t>支付的现金、转让的非现金资产以及所承担债务账面价值之间的差额，调整资本公积；资本公积</w:t>
      </w:r>
      <w:r>
        <w:rPr>
          <w:rFonts w:ascii="Times New Roman" w:hAnsi="Times New Roman" w:cs="Times New Roman" w:eastAsia="Times New Roman" w:hint="default"/>
          <w:spacing w:val="-4"/>
        </w:rPr>
        <w:t>(</w:t>
      </w:r>
      <w:r>
        <w:rPr>
          <w:spacing w:val="-4"/>
        </w:rPr>
        <w:t>资本溢价</w:t>
      </w:r>
      <w:r>
        <w:rPr>
          <w:spacing w:val="-17"/>
        </w:rPr>
        <w:t> </w:t>
      </w:r>
      <w:r>
        <w:rPr>
          <w:spacing w:val="-17"/>
        </w:rPr>
      </w:r>
      <w:r>
        <w:rPr>
          <w:spacing w:val="-2"/>
        </w:rPr>
        <w:t>或股本溢价</w:t>
      </w:r>
      <w:r>
        <w:rPr>
          <w:rFonts w:ascii="Times New Roman" w:hAnsi="Times New Roman" w:cs="Times New Roman" w:eastAsia="Times New Roman" w:hint="default"/>
          <w:spacing w:val="-2"/>
        </w:rPr>
        <w:t>)</w:t>
      </w:r>
      <w:r>
        <w:rPr>
          <w:spacing w:val="-2"/>
        </w:rPr>
        <w:t>不足冲减的，调整留存收益。同一控制下的企业合并公司以发行权益性证券作为合并对价的，</w:t>
      </w:r>
      <w:r>
        <w:rPr>
          <w:spacing w:val="-20"/>
        </w:rPr>
        <w:t> </w:t>
      </w:r>
      <w:r>
        <w:rPr>
          <w:spacing w:val="-20"/>
        </w:rPr>
      </w:r>
      <w:r>
        <w:rPr/>
        <w:t>在合并日按照取得被合并方所有者权益账面价值的份额作为长期股权投资的投资成本。按照发行股份的面</w:t>
      </w:r>
      <w:r>
        <w:rPr>
          <w:w w:val="100"/>
        </w:rPr>
        <w:t> </w:t>
      </w:r>
      <w:r>
        <w:rPr>
          <w:spacing w:val="-4"/>
        </w:rPr>
        <w:t>值总额作为股本，长期股权投资投资成本与所发行股份面值总额之间的差额，调整资本公积；资本公积</w:t>
      </w:r>
      <w:r>
        <w:rPr>
          <w:rFonts w:ascii="Times New Roman" w:hAnsi="Times New Roman" w:cs="Times New Roman" w:eastAsia="Times New Roman" w:hint="default"/>
          <w:spacing w:val="-4"/>
        </w:rPr>
        <w:t>(</w:t>
      </w:r>
      <w:r>
        <w:rPr>
          <w:spacing w:val="-4"/>
        </w:rPr>
        <w:t>资</w:t>
      </w:r>
      <w:r>
        <w:rPr>
          <w:spacing w:val="-18"/>
        </w:rPr>
        <w:t> </w:t>
      </w:r>
      <w:r>
        <w:rPr>
          <w:spacing w:val="-4"/>
        </w:rPr>
        <w:t>本溢价或股本溢价</w:t>
      </w:r>
      <w:r>
        <w:rPr>
          <w:rFonts w:ascii="Times New Roman" w:hAnsi="Times New Roman" w:cs="Times New Roman" w:eastAsia="Times New Roman" w:hint="default"/>
          <w:spacing w:val="-4"/>
        </w:rPr>
        <w:t>)</w:t>
      </w:r>
      <w:r>
        <w:rPr>
          <w:spacing w:val="-4"/>
        </w:rPr>
        <w:t>不足冲减的，调整留存收益。非同一控制下的企业合并形成的长期股权投资，在购买日</w:t>
      </w:r>
      <w:r>
        <w:rPr>
          <w:spacing w:val="-16"/>
        </w:rPr>
        <w:t> </w:t>
      </w:r>
      <w:r>
        <w:rPr>
          <w:spacing w:val="-16"/>
        </w:rPr>
      </w:r>
      <w:r>
        <w:rPr/>
        <w:t>按照确定的合并成本作为长期股权投资的投资成本。合并成本大于合并中取得的被购买方可辨认净资产公</w:t>
      </w:r>
      <w:r>
        <w:rPr>
          <w:w w:val="100"/>
        </w:rPr>
        <w:t> </w:t>
      </w:r>
      <w:r>
        <w:rPr/>
        <w:t>允价值份额的差额，确认为合并资产负债表中的商誉。合并成本小于合并中取得的被购买方可辨认净资产</w:t>
      </w:r>
      <w:r>
        <w:rPr>
          <w:w w:val="100"/>
        </w:rPr>
        <w:t> </w:t>
      </w:r>
      <w:r>
        <w:rPr/>
        <w:t>公允价值份额的差额，合并成本小于享有被购买单位可辨认净资产公允价值份额的差额，计入当期损益。</w:t>
      </w:r>
      <w:r>
        <w:rPr>
          <w:w w:val="100"/>
        </w:rPr>
        <w:t> </w:t>
      </w:r>
      <w:r>
        <w:rPr/>
        <w:t>为进行企业合并发生的各项直接相关费用计入合并成本。对企业合并以外其他方式取得的长期股权投资，</w:t>
      </w:r>
      <w:r>
        <w:rPr>
          <w:w w:val="100"/>
        </w:rPr>
        <w:t> </w:t>
      </w:r>
      <w:r>
        <w:rPr>
          <w:spacing w:val="-3"/>
        </w:rPr>
        <w:t>按照以下规定确定投资成本：</w:t>
      </w:r>
      <w:r>
        <w:rPr>
          <w:rFonts w:ascii="Times New Roman" w:hAnsi="Times New Roman" w:cs="Times New Roman" w:eastAsia="Times New Roman" w:hint="default"/>
          <w:spacing w:val="-3"/>
        </w:rPr>
        <w:t>a.</w:t>
      </w:r>
      <w:r>
        <w:rPr>
          <w:spacing w:val="-3"/>
        </w:rPr>
        <w:t>以支付现金取得的长期股权投资，按照实际支付的购买价款作为投资成本。</w:t>
      </w:r>
      <w:r>
        <w:rPr>
          <w:spacing w:val="-31"/>
        </w:rPr>
        <w:t> </w:t>
      </w:r>
      <w:r>
        <w:rPr>
          <w:spacing w:val="-31"/>
        </w:rPr>
      </w:r>
      <w:r>
        <w:rPr/>
        <w:t>投资成本包括与取得长期股权投资直接相关的费用、税金及其他必要支出。</w:t>
      </w:r>
      <w:r>
        <w:rPr>
          <w:rFonts w:ascii="Times New Roman" w:hAnsi="Times New Roman" w:cs="Times New Roman" w:eastAsia="Times New Roman" w:hint="default"/>
        </w:rPr>
        <w:t>b.</w:t>
      </w:r>
      <w:r>
        <w:rPr/>
        <w:t>以发行权益性证券取得的长</w:t>
      </w:r>
      <w:r>
        <w:rPr>
          <w:w w:val="100"/>
        </w:rPr>
        <w:t> </w:t>
      </w:r>
      <w:r>
        <w:rPr/>
        <w:t>期股权投资，按照发行权益性证券的公允价值作为投资成本。</w:t>
      </w:r>
      <w:r>
        <w:rPr>
          <w:rFonts w:ascii="Times New Roman" w:hAnsi="Times New Roman" w:cs="Times New Roman" w:eastAsia="Times New Roman" w:hint="default"/>
        </w:rPr>
        <w:t>c.</w:t>
      </w:r>
      <w:r>
        <w:rPr/>
        <w:t>投资者投入的长期股权投资，按照投资合</w:t>
      </w:r>
      <w:r>
        <w:rPr>
          <w:w w:val="100"/>
        </w:rPr>
        <w:t> </w:t>
      </w:r>
      <w:r>
        <w:rPr/>
        <w:t>同或协议约定的价值作为投资成本，但合同或协议约定价值不公允的除外。</w:t>
      </w:r>
      <w:r>
        <w:rPr>
          <w:spacing w:val="-5"/>
        </w:rPr>
        <w:t> </w:t>
      </w:r>
      <w:r>
        <w:rPr/>
        <w:t>取得长期股权投资，实际支</w:t>
      </w:r>
      <w:r>
        <w:rPr>
          <w:w w:val="100"/>
        </w:rPr>
        <w:t> </w:t>
      </w:r>
      <w:r>
        <w:rPr/>
        <w:t>付的价款或对价中包含的已宣告但尚未发放的现金股利或利润，作为应收项目处理。</w:t>
      </w:r>
    </w:p>
    <w:p>
      <w:pPr>
        <w:spacing w:line="600" w:lineRule="atLeast" w:before="7"/>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采用权益法核算的长期股权投资，投资成本大于投资时应享有被投资单位可辨认净资产公允价值份额</w:t>
      </w:r>
    </w:p>
    <w:p>
      <w:pPr>
        <w:pStyle w:val="BodyText"/>
        <w:spacing w:line="273" w:lineRule="auto" w:before="37"/>
        <w:ind w:right="1123"/>
        <w:jc w:val="left"/>
      </w:pPr>
      <w:r>
        <w:rPr>
          <w:spacing w:val="-2"/>
        </w:rPr>
        <w:t>的，不调整长期股权投资的投资成本；投资成本小于投资时应享有被投资单位可辨认净资产公允价值份额</w:t>
      </w:r>
      <w:r>
        <w:rPr>
          <w:spacing w:val="-44"/>
        </w:rPr>
        <w:t> </w:t>
      </w:r>
      <w:r>
        <w:rPr>
          <w:spacing w:val="-44"/>
        </w:rPr>
      </w:r>
      <w:r>
        <w:rPr/>
        <w:t>的，其差额计入当期损益，同时调整长期股权投资的成本。</w:t>
      </w:r>
    </w:p>
    <w:p>
      <w:pPr>
        <w:spacing w:line="614" w:lineRule="exact" w:before="5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5"/>
          <w:sz w:val="21"/>
          <w:szCs w:val="21"/>
        </w:rPr>
        <w:t>资产负债表日，长期股权投资存在减值迹象的，公司估计其可回收金额。可回收金额低于账面价值的，</w:t>
      </w:r>
    </w:p>
    <w:p>
      <w:pPr>
        <w:pStyle w:val="BodyText"/>
        <w:spacing w:line="219" w:lineRule="exact"/>
        <w:ind w:right="0"/>
        <w:jc w:val="left"/>
      </w:pPr>
      <w:r>
        <w:rPr/>
        <w:t>将其账面价值减记至可回收金额，减记的金额确认为资产减值损失，计入当期损益，同时计提长期股权投</w:t>
      </w:r>
    </w:p>
    <w:p>
      <w:pPr>
        <w:pStyle w:val="BodyText"/>
        <w:spacing w:line="240" w:lineRule="auto" w:before="37"/>
        <w:ind w:right="1123"/>
        <w:jc w:val="left"/>
      </w:pPr>
      <w:r>
        <w:rPr/>
        <w:t>资减值准备。资产减值损失一经确认，在以后会计期间不再转回。</w:t>
      </w:r>
    </w:p>
    <w:p>
      <w:pPr>
        <w:spacing w:after="0" w:line="240"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公司采用成本模式对投资性房地产进行后续计量，对投资性房地产计提折旧或摊销。</w:t>
      </w:r>
      <w:r>
        <w:rPr>
          <w:w w:val="100"/>
        </w:rPr>
        <w:t> </w:t>
      </w:r>
      <w:r>
        <w:rPr/>
        <w:t>投资性房地产折旧及摊销方法</w:t>
      </w:r>
      <w:r>
        <w:rPr>
          <w:w w:val="100"/>
        </w:rPr>
        <w:t> </w:t>
      </w:r>
      <w:r>
        <w:rPr>
          <w:spacing w:val="-3"/>
        </w:rPr>
        <w:t>采用直线法计提折旧或摊销，并按各类投资性房地产原值和估计的使用年限扣除残值（原值的</w:t>
      </w:r>
      <w:r>
        <w:rPr>
          <w:rFonts w:ascii="Times New Roman" w:hAnsi="Times New Roman" w:cs="Times New Roman" w:eastAsia="Times New Roman" w:hint="default"/>
          <w:spacing w:val="-3"/>
        </w:rPr>
        <w:t>5%</w:t>
      </w:r>
      <w:r>
        <w:rPr>
          <w:spacing w:val="-3"/>
        </w:rPr>
        <w:t>），</w:t>
      </w:r>
      <w:r>
        <w:rPr/>
      </w:r>
    </w:p>
    <w:p>
      <w:pPr>
        <w:pStyle w:val="BodyText"/>
        <w:spacing w:line="264" w:lineRule="exact"/>
        <w:ind w:right="1123"/>
        <w:jc w:val="left"/>
      </w:pPr>
      <w:r>
        <w:rPr/>
        <w:t>确定其折旧率，固定资产分类折旧率如下：</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071"/>
        <w:gridCol w:w="3070"/>
        <w:gridCol w:w="3070"/>
      </w:tblGrid>
      <w:tr>
        <w:trPr>
          <w:trHeight w:val="353" w:hRule="exact"/>
        </w:trPr>
        <w:tc>
          <w:tcPr>
            <w:tcW w:w="3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投资性房地产类别</w:t>
            </w:r>
          </w:p>
        </w:tc>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30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30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尚可使用年限</w:t>
            </w:r>
          </w:p>
        </w:tc>
        <w:tc>
          <w:tcPr>
            <w:tcW w:w="307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4"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0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w:t>
            </w:r>
          </w:p>
        </w:tc>
        <w:tc>
          <w:tcPr>
            <w:tcW w:w="30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3.00</w:t>
            </w:r>
          </w:p>
        </w:tc>
      </w:tr>
    </w:tbl>
    <w:p>
      <w:pPr>
        <w:spacing w:line="240" w:lineRule="auto" w:before="6"/>
        <w:rPr>
          <w:rFonts w:ascii="宋体" w:hAnsi="宋体" w:cs="宋体" w:eastAsia="宋体" w:hint="default"/>
          <w:sz w:val="5"/>
          <w:szCs w:val="5"/>
        </w:rPr>
      </w:pPr>
    </w:p>
    <w:p>
      <w:pPr>
        <w:pStyle w:val="BodyText"/>
        <w:spacing w:line="273" w:lineRule="auto" w:before="36"/>
        <w:ind w:right="1123" w:firstLine="420"/>
        <w:jc w:val="left"/>
      </w:pPr>
      <w:r>
        <w:rPr>
          <w:spacing w:val="-2"/>
        </w:rPr>
        <w:t>投资性房地产减值准备的计提按照资产减值核算方法处理。投资性房地产减值损失一经确认，在以后</w:t>
      </w:r>
      <w:r>
        <w:rPr>
          <w:w w:val="100"/>
        </w:rPr>
        <w:t> </w:t>
      </w:r>
      <w:r>
        <w:rPr/>
        <w:t>会计期间不再转回。</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为生产商品、提供劳务、出租或经营管理而持有且使用寿命超过一个会计年度且未列入存货的有形资</w:t>
      </w:r>
    </w:p>
    <w:p>
      <w:pPr>
        <w:pStyle w:val="BodyText"/>
        <w:spacing w:line="240" w:lineRule="auto" w:before="37"/>
        <w:ind w:right="1123"/>
        <w:jc w:val="left"/>
      </w:pPr>
      <w:r>
        <w:rPr/>
        <w:t>产。</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573" w:right="1123"/>
        <w:jc w:val="left"/>
      </w:pPr>
      <w:r>
        <w:rPr>
          <w:spacing w:val="-4"/>
        </w:rPr>
        <w:t>采用直线法计提折旧，并按各类固定资产原值和估计的使用年限扣除残值（原值的</w:t>
      </w:r>
      <w:r>
        <w:rPr>
          <w:rFonts w:ascii="Times New Roman" w:hAnsi="Times New Roman" w:cs="Times New Roman" w:eastAsia="Times New Roman" w:hint="default"/>
          <w:spacing w:val="-4"/>
        </w:rPr>
        <w:t>5%</w:t>
      </w:r>
      <w:r>
        <w:rPr>
          <w:spacing w:val="-4"/>
        </w:rPr>
        <w:t>），确定其折旧</w:t>
      </w:r>
    </w:p>
    <w:p>
      <w:pPr>
        <w:pStyle w:val="BodyText"/>
        <w:spacing w:line="240" w:lineRule="auto" w:before="21"/>
        <w:ind w:right="1123"/>
        <w:jc w:val="left"/>
      </w:pPr>
      <w:r>
        <w:rPr>
          <w:w w:val="100"/>
        </w:rPr>
        <w:t>率</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18"/>
        <w:gridCol w:w="2105"/>
        <w:gridCol w:w="2220"/>
        <w:gridCol w:w="2727"/>
      </w:tblGrid>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6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sz w:val="18"/>
              </w:rPr>
              <w:t>4.5-1.9</w:t>
            </w:r>
          </w:p>
        </w:tc>
      </w:tr>
      <w:tr>
        <w:trPr>
          <w:trHeight w:val="4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58" w:right="0"/>
              <w:jc w:val="left"/>
              <w:rPr>
                <w:rFonts w:ascii="宋体" w:hAnsi="宋体" w:cs="宋体" w:eastAsia="宋体" w:hint="default"/>
                <w:sz w:val="18"/>
                <w:szCs w:val="18"/>
              </w:rPr>
            </w:pPr>
            <w:r>
              <w:rPr>
                <w:rFonts w:ascii="宋体" w:hAnsi="宋体" w:cs="宋体" w:eastAsia="宋体" w:hint="default"/>
                <w:sz w:val="18"/>
                <w:szCs w:val="18"/>
              </w:rPr>
              <w:t>通 用 设</w:t>
            </w:r>
            <w:r>
              <w:rPr>
                <w:rFonts w:ascii="宋体" w:hAnsi="宋体" w:cs="宋体" w:eastAsia="宋体" w:hint="default"/>
                <w:spacing w:val="3"/>
                <w:sz w:val="18"/>
                <w:szCs w:val="18"/>
              </w:rPr>
              <w:t> </w:t>
            </w:r>
            <w:r>
              <w:rPr>
                <w:rFonts w:ascii="宋体" w:hAnsi="宋体" w:cs="宋体" w:eastAsia="宋体" w:hint="default"/>
                <w:sz w:val="18"/>
                <w:szCs w:val="18"/>
              </w:rPr>
              <w:t>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10-12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sz w:val="18"/>
              </w:rPr>
              <w:t>9.50-7.92</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58" w:right="0"/>
              <w:jc w:val="left"/>
              <w:rPr>
                <w:rFonts w:ascii="宋体" w:hAnsi="宋体" w:cs="宋体" w:eastAsia="宋体" w:hint="default"/>
                <w:sz w:val="18"/>
                <w:szCs w:val="18"/>
              </w:rPr>
            </w:pPr>
            <w:r>
              <w:rPr>
                <w:rFonts w:ascii="宋体" w:hAnsi="宋体" w:cs="宋体" w:eastAsia="宋体" w:hint="default"/>
                <w:sz w:val="18"/>
                <w:szCs w:val="18"/>
              </w:rPr>
              <w:t>运 输 工</w:t>
            </w:r>
            <w:r>
              <w:rPr>
                <w:rFonts w:ascii="宋体" w:hAnsi="宋体" w:cs="宋体" w:eastAsia="宋体" w:hint="default"/>
                <w:spacing w:val="3"/>
                <w:sz w:val="18"/>
                <w:szCs w:val="18"/>
              </w:rPr>
              <w:t> </w:t>
            </w:r>
            <w:r>
              <w:rPr>
                <w:rFonts w:ascii="宋体" w:hAnsi="宋体" w:cs="宋体" w:eastAsia="宋体" w:hint="default"/>
                <w:sz w:val="18"/>
                <w:szCs w:val="18"/>
              </w:rPr>
              <w:t>具</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8-12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11.88-7.92</w:t>
            </w:r>
          </w:p>
        </w:tc>
      </w:tr>
      <w:tr>
        <w:trPr>
          <w:trHeight w:val="4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621"/>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19.00-9.50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23" w:firstLine="420"/>
        <w:jc w:val="left"/>
      </w:pPr>
      <w:r>
        <w:rPr>
          <w:spacing w:val="-2"/>
        </w:rPr>
        <w:t>固定资产减值准备的计提按照资产减值核算方法处理。固定资产减值损失一经确认，在以后会计期间</w:t>
      </w:r>
      <w:r>
        <w:rPr>
          <w:w w:val="100"/>
        </w:rPr>
        <w:t> </w:t>
      </w:r>
      <w:r>
        <w:rPr/>
        <w:t>不再转回。</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3" w:firstLine="420"/>
        <w:jc w:val="left"/>
      </w:pPr>
      <w:r>
        <w:rPr>
          <w:spacing w:val="-2"/>
        </w:rPr>
        <w:t>在每年年度终了，对固定资产的使用寿命、预计净残值和折旧方法进行复核。固定资产的使用寿命、</w:t>
      </w:r>
      <w:r>
        <w:rPr>
          <w:w w:val="100"/>
        </w:rPr>
        <w:t> </w:t>
      </w:r>
      <w:r>
        <w:rPr/>
        <w:t>预计净残值和折旧方法与以前估计有差异或重大改变的，分别进行调整。</w:t>
      </w:r>
    </w:p>
    <w:p>
      <w:pPr>
        <w:spacing w:after="0" w:line="273"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15</w:t>
      </w:r>
      <w:r>
        <w:rPr/>
        <w:t>、在建工程</w:t>
      </w:r>
      <w:r>
        <w:rPr>
          <w:b w:val="0"/>
          <w:bCs w:val="0"/>
        </w:rPr>
      </w:r>
    </w:p>
    <w:p>
      <w:pPr>
        <w:pStyle w:val="BodyText"/>
        <w:spacing w:line="590" w:lineRule="atLeast" w:before="25"/>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100"/>
        </w:rPr>
        <w:t> </w:t>
      </w:r>
      <w:r>
        <w:rPr>
          <w:spacing w:val="-2"/>
        </w:rPr>
        <w:t>在建工程是指正在施工中尚未完工或虽已完工但尚未达到预定可使用状态的工程。在建工程按实际发</w:t>
      </w:r>
    </w:p>
    <w:p>
      <w:pPr>
        <w:pStyle w:val="BodyText"/>
        <w:spacing w:line="240" w:lineRule="auto" w:before="37"/>
        <w:ind w:right="1123"/>
        <w:jc w:val="left"/>
      </w:pPr>
      <w:r>
        <w:rPr/>
        <w:t>生的支出确定其工程成本。</w:t>
      </w:r>
    </w:p>
    <w:p>
      <w:pPr>
        <w:spacing w:line="600" w:lineRule="atLeast" w:before="2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所建造的固定资产已达到预定可使用状态，但尚未办理竣工决算的，自达到预定可使用状态之日起，</w:t>
      </w:r>
    </w:p>
    <w:p>
      <w:pPr>
        <w:pStyle w:val="BodyText"/>
        <w:spacing w:line="273" w:lineRule="auto" w:before="37"/>
        <w:ind w:right="1123"/>
        <w:jc w:val="left"/>
      </w:pPr>
      <w:r>
        <w:rPr>
          <w:spacing w:val="-2"/>
        </w:rPr>
        <w:t>根据工程预算、造价或者工程实际成本等，按估计的价值转入固定资产，待办理了竣工决算手续后再作调</w:t>
      </w:r>
      <w:r>
        <w:rPr>
          <w:spacing w:val="-45"/>
        </w:rPr>
        <w:t> </w:t>
      </w:r>
      <w:r>
        <w:rPr>
          <w:spacing w:val="-45"/>
        </w:rPr>
      </w:r>
      <w:r>
        <w:rPr/>
        <w:t>整。</w:t>
      </w:r>
    </w:p>
    <w:p>
      <w:pPr>
        <w:spacing w:line="614" w:lineRule="exact" w:before="6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在建工程减值准备的计提按照资产减值核算方法处理。在建工程减值损失一经确认，在以后会计期间</w:t>
      </w:r>
    </w:p>
    <w:p>
      <w:pPr>
        <w:pStyle w:val="BodyText"/>
        <w:spacing w:line="219" w:lineRule="exact"/>
        <w:ind w:right="1123"/>
        <w:jc w:val="left"/>
      </w:pPr>
      <w:r>
        <w:rPr/>
        <w:t>不再转回。</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借款费用包括借款利息、折价或者溢价的摊销、辅助费用以及因外币借款而发生的汇兑差额等。公司</w:t>
      </w:r>
    </w:p>
    <w:p>
      <w:pPr>
        <w:pStyle w:val="BodyText"/>
        <w:spacing w:line="273" w:lineRule="auto" w:before="37"/>
        <w:ind w:right="1123"/>
        <w:jc w:val="left"/>
      </w:pPr>
      <w:r>
        <w:rPr>
          <w:spacing w:val="-2"/>
        </w:rPr>
        <w:t>发生的借款费用，可直接归属于符合资本化条件的资产的购建，予以资本化，计入相关资产成本；其他借</w:t>
      </w:r>
      <w:r>
        <w:rPr>
          <w:spacing w:val="-47"/>
        </w:rPr>
        <w:t> </w:t>
      </w:r>
      <w:r>
        <w:rPr>
          <w:spacing w:val="-47"/>
        </w:rPr>
      </w:r>
      <w:r>
        <w:rPr/>
        <w:t>款费用，在发生时根据其发生额确认为费用，计入当期损益。</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资产支出已经发生，资产支出包括为购建符合资本化条件的资产而以支付现金、转移非现金资产或者</w:t>
      </w:r>
    </w:p>
    <w:p>
      <w:pPr>
        <w:pStyle w:val="BodyText"/>
        <w:spacing w:line="273" w:lineRule="auto" w:before="37"/>
        <w:ind w:left="573" w:right="6135" w:hanging="421"/>
        <w:jc w:val="left"/>
      </w:pPr>
      <w:r>
        <w:rPr>
          <w:spacing w:val="-2"/>
        </w:rPr>
        <w:t>承担带息债务形式发生的支出；</w:t>
      </w:r>
      <w:r>
        <w:rPr>
          <w:spacing w:val="-76"/>
        </w:rPr>
        <w:t> </w:t>
      </w:r>
      <w:r>
        <w:rPr>
          <w:spacing w:val="-76"/>
        </w:rPr>
      </w:r>
      <w:r>
        <w:rPr/>
        <w:t>借款费用已经发生；</w:t>
      </w:r>
    </w:p>
    <w:p>
      <w:pPr>
        <w:pStyle w:val="BodyText"/>
        <w:spacing w:line="240" w:lineRule="auto" w:before="7"/>
        <w:ind w:left="573" w:right="1123"/>
        <w:jc w:val="left"/>
      </w:pPr>
      <w:r>
        <w:rPr/>
        <w:t>为使资产达到预定可使用状态所必要的购建活动已经开始。</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为购建符合资本化条件的资产而借入专门借款的，以专门借款当期实际发生的利息费用，减去将尚未</w:t>
      </w:r>
    </w:p>
    <w:p>
      <w:pPr>
        <w:pStyle w:val="BodyText"/>
        <w:spacing w:line="273" w:lineRule="auto" w:before="37"/>
        <w:ind w:left="573" w:right="1123" w:hanging="421"/>
        <w:jc w:val="left"/>
      </w:pPr>
      <w:r>
        <w:rPr/>
        <w:t>动用的借款资金存入银行取得的利息收入或进行暂时性投资取得的投资收益后的金额确定。</w:t>
      </w:r>
      <w:r>
        <w:rPr>
          <w:w w:val="100"/>
        </w:rPr>
        <w:t> </w:t>
      </w:r>
      <w:r>
        <w:rPr>
          <w:spacing w:val="-2"/>
        </w:rPr>
        <w:t>为购建符合资本化条件的资产而占用了一般借款的，根据累计资产支出超过专门借款部分的资产支出</w:t>
      </w:r>
    </w:p>
    <w:p>
      <w:pPr>
        <w:pStyle w:val="BodyText"/>
        <w:spacing w:line="273" w:lineRule="auto" w:before="7"/>
        <w:ind w:right="1123"/>
        <w:jc w:val="left"/>
      </w:pPr>
      <w:r>
        <w:rPr>
          <w:spacing w:val="-2"/>
        </w:rPr>
        <w:t>加权平均数乘以所占用一般借款的资本化率，计算确定一般借款应予资本化的利息金额。资本化率根据一</w:t>
      </w:r>
      <w:r>
        <w:rPr>
          <w:spacing w:val="-43"/>
        </w:rPr>
        <w:t> </w:t>
      </w:r>
      <w:r>
        <w:rPr>
          <w:spacing w:val="-43"/>
        </w:rPr>
      </w:r>
      <w:r>
        <w:rPr/>
        <w:t>般借款加权平均利率计算确认。</w:t>
      </w:r>
    </w:p>
    <w:p>
      <w:pPr>
        <w:pStyle w:val="BodyText"/>
        <w:spacing w:line="256" w:lineRule="auto" w:before="7"/>
        <w:ind w:right="1123" w:firstLine="420"/>
        <w:jc w:val="left"/>
      </w:pPr>
      <w:r>
        <w:rPr/>
        <w:t>符合资本化条件的资产在购建过程中发生非正常中断、且中断时间连续超过</w:t>
      </w:r>
      <w:r>
        <w:rPr>
          <w:rFonts w:ascii="Times New Roman" w:hAnsi="Times New Roman" w:cs="Times New Roman" w:eastAsia="Times New Roman" w:hint="default"/>
        </w:rPr>
        <w:t>3</w:t>
      </w:r>
      <w:r>
        <w:rPr/>
        <w:t>个月的，暂停借款费用</w:t>
      </w:r>
      <w:r>
        <w:rPr>
          <w:w w:val="100"/>
        </w:rPr>
        <w:t> </w:t>
      </w:r>
      <w:r>
        <w:rPr/>
        <w:t>的资本化，在中断期间发生的借款费用，计入当期损益。</w:t>
      </w:r>
    </w:p>
    <w:p>
      <w:pPr>
        <w:pStyle w:val="BodyText"/>
        <w:spacing w:line="240" w:lineRule="auto" w:before="22"/>
        <w:ind w:left="573" w:right="0"/>
        <w:jc w:val="left"/>
      </w:pPr>
      <w:r>
        <w:rPr/>
        <w:t>购建符合资本化条件的资产达到预定可使用状态之后所发生的借款费用，根据其发生额确认为费用，</w:t>
      </w:r>
    </w:p>
    <w:p>
      <w:pPr>
        <w:spacing w:after="0" w:line="240"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t>计入当期损益。</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573" w:right="508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无形资产按照成本作进行初始计量。</w:t>
      </w:r>
    </w:p>
    <w:p>
      <w:pPr>
        <w:pStyle w:val="Heading4"/>
        <w:spacing w:line="240" w:lineRule="auto" w:before="104"/>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72" w:firstLine="420"/>
        <w:jc w:val="left"/>
      </w:pPr>
      <w:r>
        <w:rPr/>
        <w:t>公司无形资产源自合同性权利或其他法定权利</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且合同规定或法律规定有明确的使用年限，其使用寿</w:t>
      </w:r>
      <w:r>
        <w:rPr>
          <w:w w:val="100"/>
        </w:rPr>
        <w:t> </w:t>
      </w:r>
      <w:r>
        <w:rPr/>
        <w:t>命按照合同性权利或其他法定权利的期限确定。</w:t>
      </w:r>
    </w:p>
    <w:p>
      <w:pPr>
        <w:spacing w:line="610" w:lineRule="atLeast" w:before="3"/>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z w:val="21"/>
          <w:szCs w:val="21"/>
        </w:rPr>
        <w:t>没有明确的合同或法律规定的无形资产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公司综合以下各方面情况</w:t>
      </w:r>
      <w:r>
        <w:rPr>
          <w:rFonts w:ascii="Times New Roman" w:hAnsi="Times New Roman" w:cs="Times New Roman" w:eastAsia="Times New Roman" w:hint="default"/>
          <w:sz w:val="21"/>
          <w:szCs w:val="21"/>
        </w:rPr>
        <w:t>,</w:t>
      </w:r>
      <w:r>
        <w:rPr>
          <w:rFonts w:ascii="宋体" w:hAnsi="宋体" w:cs="宋体" w:eastAsia="宋体" w:hint="default"/>
          <w:sz w:val="21"/>
          <w:szCs w:val="21"/>
        </w:rPr>
        <w:t>来确定无形资产为公司带来未来经</w:t>
      </w:r>
    </w:p>
    <w:p>
      <w:pPr>
        <w:pStyle w:val="BodyText"/>
        <w:spacing w:line="240" w:lineRule="auto" w:before="21"/>
        <w:ind w:right="1123"/>
        <w:jc w:val="left"/>
      </w:pPr>
      <w:r>
        <w:rPr/>
        <w:t>济利益的期限。</w:t>
      </w:r>
    </w:p>
    <w:p>
      <w:pPr>
        <w:pStyle w:val="BodyText"/>
        <w:spacing w:line="240" w:lineRule="auto" w:before="37"/>
        <w:ind w:left="573" w:right="1123"/>
        <w:jc w:val="left"/>
      </w:pPr>
      <w:r>
        <w:rPr/>
        <w:t>①运用该资产生产的产品通常的寿命周期、可获得的类似资产使用寿命的信息；</w:t>
      </w:r>
    </w:p>
    <w:p>
      <w:pPr>
        <w:pStyle w:val="BodyText"/>
        <w:spacing w:line="240" w:lineRule="auto" w:before="37"/>
        <w:ind w:left="573" w:right="1123"/>
        <w:jc w:val="left"/>
      </w:pPr>
      <w:r>
        <w:rPr/>
        <w:t>②技术、工艺等方面的现阶段情况及对未来发展趋势的估计；</w:t>
      </w:r>
    </w:p>
    <w:p>
      <w:pPr>
        <w:pStyle w:val="BodyText"/>
        <w:spacing w:line="240" w:lineRule="auto" w:before="37"/>
        <w:ind w:left="573" w:right="1123"/>
        <w:jc w:val="left"/>
      </w:pPr>
      <w:r>
        <w:rPr/>
        <w:t>③以该资产生产的产品或提供劳务的市场需求情况；</w:t>
      </w:r>
    </w:p>
    <w:p>
      <w:pPr>
        <w:pStyle w:val="BodyText"/>
        <w:spacing w:line="240" w:lineRule="auto" w:before="37"/>
        <w:ind w:left="573" w:right="1123"/>
        <w:jc w:val="left"/>
      </w:pPr>
      <w:r>
        <w:rPr/>
        <w:t>④现在或潜在的竞争者预期采取的行动；</w:t>
      </w:r>
    </w:p>
    <w:p>
      <w:pPr>
        <w:pStyle w:val="BodyText"/>
        <w:spacing w:line="240" w:lineRule="auto" w:before="37"/>
        <w:ind w:left="573" w:right="1123"/>
        <w:jc w:val="left"/>
      </w:pPr>
      <w:r>
        <w:rPr/>
        <w:t>⑤为维持该资产带来经济利益能力的预期维护支出，以及公司预计支付有关支出的能力；</w:t>
      </w:r>
    </w:p>
    <w:p>
      <w:pPr>
        <w:pStyle w:val="BodyText"/>
        <w:spacing w:line="240" w:lineRule="auto" w:before="37"/>
        <w:ind w:left="573" w:right="1123"/>
        <w:jc w:val="left"/>
      </w:pPr>
      <w:r>
        <w:rPr/>
        <w:t>⑥与公司持有其他资产使用寿命的关联性等。</w:t>
      </w:r>
    </w:p>
    <w:p>
      <w:pPr>
        <w:pStyle w:val="BodyText"/>
        <w:spacing w:line="256" w:lineRule="auto" w:before="37"/>
        <w:ind w:right="1123" w:firstLine="420"/>
        <w:jc w:val="left"/>
      </w:pPr>
      <w:r>
        <w:rPr/>
        <w:t>如果经过上述努力确实无法合理确定无形资产为公司带来经济利益的期限</w:t>
      </w:r>
      <w:r>
        <w:rPr>
          <w:rFonts w:ascii="Times New Roman" w:hAnsi="Times New Roman" w:cs="Times New Roman" w:eastAsia="Times New Roman" w:hint="default"/>
        </w:rPr>
        <w:t>,</w:t>
      </w:r>
      <w:r>
        <w:rPr/>
        <w:t>则将其作为使用寿命不确</w:t>
      </w:r>
      <w:r>
        <w:rPr>
          <w:w w:val="100"/>
        </w:rPr>
        <w:t> </w:t>
      </w:r>
      <w:r>
        <w:rPr/>
        <w:t>定的无形资产。</w:t>
      </w:r>
    </w:p>
    <w:p>
      <w:pPr>
        <w:spacing w:line="614" w:lineRule="exact" w:before="76"/>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根据可获得的情况判断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有确凿证据表明无法合理估计其使用寿命的无形资产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作为使用寿命不确定的</w:t>
      </w:r>
    </w:p>
    <w:p>
      <w:pPr>
        <w:pStyle w:val="BodyText"/>
        <w:spacing w:line="235" w:lineRule="exact"/>
        <w:ind w:right="1123"/>
        <w:jc w:val="left"/>
      </w:pPr>
      <w:r>
        <w:rPr>
          <w:spacing w:val="-3"/>
        </w:rPr>
        <w:t>无形资产。如果期末重新复核后仍为不确定的</w:t>
      </w:r>
      <w:r>
        <w:rPr>
          <w:rFonts w:ascii="Times New Roman" w:hAnsi="Times New Roman" w:cs="Times New Roman" w:eastAsia="Times New Roman" w:hint="default"/>
          <w:spacing w:val="-3"/>
        </w:rPr>
        <w:t>,</w:t>
      </w:r>
      <w:r>
        <w:rPr>
          <w:spacing w:val="-3"/>
        </w:rPr>
        <w:t>公司在每个会计期间进行减值测试，严格按照计提资产减值</w:t>
      </w:r>
    </w:p>
    <w:p>
      <w:pPr>
        <w:pStyle w:val="BodyText"/>
        <w:spacing w:line="240" w:lineRule="auto" w:before="21"/>
        <w:ind w:right="1123"/>
        <w:jc w:val="left"/>
      </w:pPr>
      <w:r>
        <w:rPr/>
        <w:t>核算方法的规定处理</w:t>
      </w:r>
      <w:r>
        <w:rPr>
          <w:rFonts w:ascii="Times New Roman" w:hAnsi="Times New Roman" w:cs="Times New Roman" w:eastAsia="Times New Roman" w:hint="default"/>
        </w:rPr>
        <w:t>,</w:t>
      </w:r>
      <w:r>
        <w:rPr/>
        <w:t>需要计提减值准备的</w:t>
      </w:r>
      <w:r>
        <w:rPr>
          <w:rFonts w:ascii="Times New Roman" w:hAnsi="Times New Roman" w:cs="Times New Roman" w:eastAsia="Times New Roman" w:hint="default"/>
        </w:rPr>
        <w:t>,</w:t>
      </w:r>
      <w:r>
        <w:rPr/>
        <w:t>相应计提有关的减值准备。</w:t>
      </w:r>
    </w:p>
    <w:p>
      <w:pPr>
        <w:spacing w:line="590" w:lineRule="atLeast" w:before="2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公司将研究开发项目区分为研究阶段与开发阶段。公司划分内部研究开发项目研究阶段支出和开发阶</w:t>
      </w:r>
    </w:p>
    <w:p>
      <w:pPr>
        <w:pStyle w:val="BodyText"/>
        <w:spacing w:line="273" w:lineRule="auto" w:before="37"/>
        <w:ind w:right="1126"/>
        <w:jc w:val="both"/>
      </w:pPr>
      <w:r>
        <w:rPr>
          <w:spacing w:val="-2"/>
        </w:rPr>
        <w:t>段支出的具体标准为：为获取新的技术和知识等进行的有计划的调查阶段，确定为研究阶段，该阶段具有</w:t>
      </w:r>
      <w:r>
        <w:rPr>
          <w:spacing w:val="-44"/>
        </w:rPr>
        <w:t> </w:t>
      </w:r>
      <w:r>
        <w:rPr>
          <w:spacing w:val="-44"/>
        </w:rPr>
      </w:r>
      <w:r>
        <w:rPr>
          <w:spacing w:val="-2"/>
        </w:rPr>
        <w:t>计划性和探索性等特点；在进行商业性生产或使用前，将研究成果或其他知识应用于某项计划或设计，以</w:t>
      </w:r>
      <w:r>
        <w:rPr>
          <w:spacing w:val="-41"/>
        </w:rPr>
        <w:t> </w:t>
      </w:r>
      <w:r>
        <w:rPr>
          <w:spacing w:val="-41"/>
        </w:rPr>
      </w:r>
      <w:r>
        <w:rPr>
          <w:spacing w:val="-2"/>
        </w:rPr>
        <w:t>生产出新的或具有实质性改进的材料、装置、产品等阶段，确定为开发阶段，该阶段具有针对性和形成成</w:t>
      </w:r>
      <w:r>
        <w:rPr>
          <w:spacing w:val="-47"/>
        </w:rPr>
        <w:t> </w:t>
      </w:r>
      <w:r>
        <w:rPr>
          <w:spacing w:val="-47"/>
        </w:rPr>
      </w:r>
      <w:r>
        <w:rPr/>
        <w:t>果的可能性较大等特点。</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公司自行研究开发的无形资产，其研究阶段的支出，于发生时计入当期损益；其开发阶段的支出，同</w:t>
      </w:r>
    </w:p>
    <w:p>
      <w:pPr>
        <w:pStyle w:val="BodyText"/>
        <w:spacing w:line="273" w:lineRule="auto" w:before="37"/>
        <w:ind w:left="573" w:right="1123" w:hanging="421"/>
        <w:jc w:val="left"/>
      </w:pPr>
      <w:r>
        <w:rPr>
          <w:spacing w:val="-2"/>
        </w:rPr>
        <w:t>时满足下列条件的，确认为无形资产（专利技术和非专利技术）：</w:t>
      </w:r>
      <w:r>
        <w:rPr>
          <w:spacing w:val="-49"/>
        </w:rPr>
        <w:t> </w:t>
      </w:r>
      <w:r>
        <w:rPr>
          <w:spacing w:val="-49"/>
        </w:rPr>
      </w:r>
      <w:r>
        <w:rPr>
          <w:spacing w:val="-2"/>
        </w:rPr>
        <w:t>完成该无形资产以使其能够使用或出售在技术上具有可行性；</w:t>
      </w:r>
    </w:p>
    <w:p>
      <w:pPr>
        <w:spacing w:after="0" w:line="273"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23"/>
        <w:jc w:val="left"/>
      </w:pPr>
      <w:r>
        <w:rPr/>
        <w:t>具有完成该无形资产并使用或出售的意图；</w:t>
      </w:r>
      <w:r>
        <w:rPr>
          <w:w w:val="100"/>
        </w:rPr>
        <w:t> </w:t>
      </w:r>
      <w:r>
        <w:rPr>
          <w:spacing w:val="-2"/>
        </w:rPr>
        <w:t>无形资产产生经济利益的方式，包括能够证明运用该无形资产生产的产品存在市场或无形资产自身存</w:t>
      </w:r>
    </w:p>
    <w:p>
      <w:pPr>
        <w:pStyle w:val="BodyText"/>
        <w:spacing w:line="273" w:lineRule="auto" w:before="7"/>
        <w:ind w:left="573" w:right="1123" w:hanging="421"/>
        <w:jc w:val="left"/>
      </w:pPr>
      <w:r>
        <w:rPr/>
        <w:t>在市场，无形资产将在内部使用的，证明其有用性；</w:t>
      </w:r>
      <w:r>
        <w:rPr>
          <w:w w:val="100"/>
        </w:rPr>
        <w:t> </w:t>
      </w:r>
      <w:r>
        <w:rPr>
          <w:spacing w:val="-2"/>
        </w:rPr>
        <w:t>有足够的技术、财务资源和其他资源支持，以完成该无形资产的开发，并有能力使用或出售该无形资</w:t>
      </w:r>
    </w:p>
    <w:p>
      <w:pPr>
        <w:pStyle w:val="BodyText"/>
        <w:spacing w:line="240" w:lineRule="auto" w:before="7"/>
        <w:ind w:right="1123"/>
        <w:jc w:val="left"/>
      </w:pPr>
      <w:r>
        <w:rPr/>
        <w:t>产；</w:t>
      </w:r>
    </w:p>
    <w:p>
      <w:pPr>
        <w:pStyle w:val="BodyText"/>
        <w:spacing w:line="240" w:lineRule="auto" w:before="37"/>
        <w:ind w:left="573" w:right="1123"/>
        <w:jc w:val="left"/>
      </w:pPr>
      <w:r>
        <w:rPr/>
        <w:t>归属于该无形资产开发阶段的支出能够可靠地计量；</w:t>
      </w:r>
    </w:p>
    <w:p>
      <w:pPr>
        <w:pStyle w:val="BodyText"/>
        <w:spacing w:line="600" w:lineRule="atLeast" w:before="28"/>
        <w:ind w:left="573" w:right="1123" w:hanging="421"/>
        <w:jc w:val="left"/>
      </w:pP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长期待摊费用按实际发生额核算，在项目受益期内平均摊销。如果长期摊销的费用项目不能使以后会</w:t>
      </w:r>
    </w:p>
    <w:p>
      <w:pPr>
        <w:pStyle w:val="BodyText"/>
        <w:spacing w:line="240" w:lineRule="auto" w:before="37"/>
        <w:ind w:right="1123"/>
        <w:jc w:val="left"/>
      </w:pPr>
      <w:r>
        <w:rPr/>
        <w:t>计期间受益的，应当将尚未摊销的该项目的摊余价值全部转入当期损益。</w:t>
      </w:r>
    </w:p>
    <w:p>
      <w:pPr>
        <w:spacing w:line="240" w:lineRule="auto" w:before="11"/>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1123"/>
        <w:jc w:val="left"/>
      </w:pPr>
      <w:r>
        <w:rPr/>
        <w:t>确认原则</w:t>
      </w:r>
      <w:r>
        <w:rPr>
          <w:w w:val="100"/>
        </w:rPr>
        <w:t> </w:t>
      </w:r>
      <w:r>
        <w:rPr>
          <w:spacing w:val="-2"/>
        </w:rPr>
        <w:t>当与对外担保、未决诉讼或仲裁、产品质量保证、裁员计划、亏损合同、重组义务等或有事项相关的</w:t>
      </w:r>
    </w:p>
    <w:p>
      <w:pPr>
        <w:pStyle w:val="BodyText"/>
        <w:spacing w:line="240" w:lineRule="auto" w:before="7"/>
        <w:ind w:right="1123"/>
        <w:jc w:val="left"/>
      </w:pPr>
      <w:r>
        <w:rPr/>
        <w:t>业务同时符合以下条件时，确认为预计负债：</w:t>
      </w:r>
    </w:p>
    <w:p>
      <w:pPr>
        <w:pStyle w:val="BodyText"/>
        <w:spacing w:line="240" w:lineRule="auto" w:before="37"/>
        <w:ind w:left="573" w:right="1123"/>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21"/>
        <w:ind w:left="573" w:right="1123"/>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256" w:lineRule="auto" w:before="21"/>
        <w:ind w:left="573" w:right="6135"/>
        <w:jc w:val="left"/>
      </w:pPr>
      <w:r>
        <w:rPr>
          <w:spacing w:val="-2"/>
        </w:rPr>
        <w:t>（</w:t>
      </w:r>
      <w:r>
        <w:rPr>
          <w:rFonts w:ascii="Times New Roman" w:hAnsi="Times New Roman" w:cs="Times New Roman" w:eastAsia="Times New Roman" w:hint="default"/>
          <w:spacing w:val="-2"/>
        </w:rPr>
        <w:t>3</w:t>
      </w:r>
      <w:r>
        <w:rPr>
          <w:spacing w:val="-2"/>
        </w:rPr>
        <w:t>）该义务的金额能够可靠地计量。</w:t>
      </w:r>
      <w:r>
        <w:rPr>
          <w:spacing w:val="-73"/>
        </w:rPr>
        <w:t> </w:t>
      </w:r>
      <w:r>
        <w:rPr>
          <w:spacing w:val="-73"/>
        </w:rPr>
      </w:r>
      <w:r>
        <w:rPr/>
        <w:t>计量方法</w:t>
      </w:r>
    </w:p>
    <w:p>
      <w:pPr>
        <w:pStyle w:val="BodyText"/>
        <w:spacing w:line="273" w:lineRule="auto" w:before="22"/>
        <w:ind w:right="1126" w:firstLine="420"/>
        <w:jc w:val="both"/>
      </w:pPr>
      <w:r>
        <w:rPr>
          <w:spacing w:val="-2"/>
        </w:rPr>
        <w:t>预计负债按照履行相关现实义务所需支出的最佳估计数进行初始计量，并在资产负债表日对预计负债</w:t>
      </w:r>
      <w:r>
        <w:rPr>
          <w:w w:val="100"/>
        </w:rPr>
        <w:t> </w:t>
      </w:r>
      <w:r>
        <w:rPr/>
        <w:t>的账面价值进行复核。</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20</w:t>
      </w:r>
      <w:r>
        <w:rPr/>
        <w:t>、股份支付及权益工具</w:t>
      </w:r>
      <w:r>
        <w:rPr>
          <w:b w:val="0"/>
          <w:bCs w:val="0"/>
        </w:rPr>
      </w:r>
    </w:p>
    <w:p>
      <w:pPr>
        <w:spacing w:line="240" w:lineRule="auto" w:before="10"/>
        <w:rPr>
          <w:rFonts w:ascii="宋体" w:hAnsi="宋体" w:cs="宋体" w:eastAsia="宋体" w:hint="default"/>
          <w:b/>
          <w:bCs/>
          <w:sz w:val="24"/>
          <w:szCs w:val="24"/>
        </w:rPr>
      </w:pPr>
    </w:p>
    <w:p>
      <w:pPr>
        <w:spacing w:line="506" w:lineRule="auto" w:before="0"/>
        <w:ind w:left="573" w:right="265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公司的股份支付分为以权益结算的股份支付和以现金结算的股份支付。</w:t>
      </w:r>
    </w:p>
    <w:p>
      <w:pPr>
        <w:pStyle w:val="Heading4"/>
        <w:spacing w:line="240" w:lineRule="auto" w:before="104"/>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以权益结算的股份支付，以授予职工权益工具的公允价值计量。以现金结算的股份支付，按照公司承</w:t>
      </w:r>
      <w:r>
        <w:rPr>
          <w:w w:val="100"/>
        </w:rPr>
        <w:t> </w:t>
      </w:r>
      <w:r>
        <w:rPr/>
        <w:t>担的以股份或其他权益工具为基础计算确定的负债的公允价值计量。</w:t>
      </w:r>
    </w:p>
    <w:p>
      <w:pPr>
        <w:pStyle w:val="BodyText"/>
        <w:spacing w:line="273" w:lineRule="auto" w:before="7"/>
        <w:ind w:right="1126" w:firstLine="420"/>
        <w:jc w:val="both"/>
      </w:pPr>
      <w:r>
        <w:rPr>
          <w:spacing w:val="-2"/>
        </w:rPr>
        <w:t>对于授予的存在活跃市场的期权等权益工具，按照活跃市场中的报价确定其公允价值。对于授予的不</w:t>
      </w:r>
      <w:r>
        <w:rPr>
          <w:w w:val="100"/>
        </w:rPr>
        <w:t> </w:t>
      </w:r>
      <w:r>
        <w:rPr>
          <w:spacing w:val="-2"/>
        </w:rPr>
        <w:t>存在活跃市场的期权等权益工具，采用期权定价模型等确定其公允价值，选用的期权定价模型考虑以下因</w:t>
      </w:r>
      <w:r>
        <w:rPr>
          <w:spacing w:val="-44"/>
        </w:rPr>
        <w:t> </w:t>
      </w:r>
      <w:r>
        <w:rPr>
          <w:spacing w:val="-44"/>
        </w:rPr>
      </w:r>
      <w:r>
        <w:rPr/>
        <w:t>素：</w:t>
      </w:r>
    </w:p>
    <w:p>
      <w:pPr>
        <w:pStyle w:val="BodyText"/>
        <w:spacing w:line="273" w:lineRule="auto" w:before="7"/>
        <w:ind w:right="1126" w:firstLine="420"/>
        <w:jc w:val="both"/>
      </w:pPr>
      <w:r>
        <w:rPr>
          <w:spacing w:val="-2"/>
        </w:rPr>
        <w:t>期权的行权价格、期权的有效期、标的股份的现行价格、股价预计波动率、股份的预计股利、期权有</w:t>
      </w:r>
      <w:r>
        <w:rPr>
          <w:w w:val="100"/>
        </w:rPr>
        <w:t> </w:t>
      </w:r>
      <w:r>
        <w:rPr/>
        <w:t>效期内的无风险利率。</w:t>
      </w:r>
    </w:p>
    <w:p>
      <w:pPr>
        <w:spacing w:line="590" w:lineRule="atLeast" w:before="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以权益工具结算的股份支付会计处理授予后立即可行权的以权益结算的股份支付，在授予日以权益工</w:t>
      </w:r>
    </w:p>
    <w:p>
      <w:pPr>
        <w:pStyle w:val="BodyText"/>
        <w:spacing w:line="352" w:lineRule="exact"/>
        <w:ind w:left="573" w:right="1123" w:hanging="421"/>
        <w:jc w:val="left"/>
      </w:pPr>
      <w:r>
        <w:rPr/>
        <w:t>具的公允价值计入相关成本或费用，相应增加资本公积。</w:t>
      </w:r>
      <w:r>
        <w:rPr>
          <w:w w:val="100"/>
        </w:rPr>
        <w:t> </w:t>
      </w:r>
      <w:r>
        <w:rPr>
          <w:spacing w:val="-2"/>
        </w:rPr>
        <w:t>授予日，是指股份支付协议获得批准的日期。完成等待期内的服务或达到规定业绩条件才可行权的换</w:t>
      </w:r>
    </w:p>
    <w:p>
      <w:pPr>
        <w:spacing w:after="0" w:line="352" w:lineRule="exact"/>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取职工服务的以权益结算的股份支付，在等待期内的每个资产负债表日，以对可行权权益工具数量的最佳</w:t>
      </w:r>
      <w:r>
        <w:rPr>
          <w:spacing w:val="-44"/>
        </w:rPr>
        <w:t> </w:t>
      </w:r>
      <w:r>
        <w:rPr>
          <w:spacing w:val="-44"/>
        </w:rPr>
      </w:r>
      <w:r>
        <w:rPr>
          <w:spacing w:val="-2"/>
        </w:rPr>
        <w:t>估计为基础，按照权益工具授予日的公允价值，将当期取得的服务计入相关成本或费用和资本公积，不确</w:t>
      </w:r>
      <w:r>
        <w:rPr>
          <w:spacing w:val="-43"/>
        </w:rPr>
        <w:t> </w:t>
      </w:r>
      <w:r>
        <w:rPr>
          <w:spacing w:val="-43"/>
        </w:rPr>
      </w:r>
      <w:r>
        <w:rPr/>
        <w:t>认后续公允价值变动。</w:t>
      </w:r>
    </w:p>
    <w:p>
      <w:pPr>
        <w:pStyle w:val="BodyText"/>
        <w:spacing w:line="273" w:lineRule="auto" w:before="48"/>
        <w:ind w:right="1126" w:firstLine="420"/>
        <w:jc w:val="both"/>
      </w:pPr>
      <w:r>
        <w:rPr>
          <w:spacing w:val="-2"/>
        </w:rPr>
        <w:t>等待期内每个资产负债表日，公司根据最新取得的可行权职工人数变动等后续信息作出最佳估计，修</w:t>
      </w:r>
      <w:r>
        <w:rPr>
          <w:w w:val="100"/>
        </w:rPr>
        <w:t> </w:t>
      </w:r>
      <w:r>
        <w:rPr>
          <w:spacing w:val="-2"/>
        </w:rPr>
        <w:t>正预计可行权的权益工具数量。在可行权日，最终预计可行权权益工具的数量与实际可行权工具的数量一</w:t>
      </w:r>
      <w:r>
        <w:rPr>
          <w:spacing w:val="-43"/>
        </w:rPr>
        <w:t> </w:t>
      </w:r>
      <w:r>
        <w:rPr>
          <w:spacing w:val="-43"/>
        </w:rPr>
      </w:r>
      <w:r>
        <w:rPr>
          <w:spacing w:val="-2"/>
        </w:rPr>
        <w:t>致。对于权益结算的股份支付，在可行权日之后不再对已确认的成本费用和所有者权益总额进行调整。公</w:t>
      </w:r>
      <w:r>
        <w:rPr>
          <w:spacing w:val="-43"/>
        </w:rPr>
        <w:t> </w:t>
      </w:r>
      <w:r>
        <w:rPr>
          <w:spacing w:val="-43"/>
        </w:rPr>
      </w:r>
      <w:r>
        <w:rPr/>
        <w:t>司在行权日根据行权情况，确认股本和股本溢价，同时结转等待期内确认的资本公积。</w:t>
      </w:r>
    </w:p>
    <w:p>
      <w:pPr>
        <w:pStyle w:val="BodyText"/>
        <w:spacing w:line="273" w:lineRule="auto" w:before="46"/>
        <w:ind w:right="1126" w:firstLine="420"/>
        <w:jc w:val="both"/>
      </w:pPr>
      <w:r>
        <w:rPr>
          <w:spacing w:val="-2"/>
        </w:rPr>
        <w:t>以现金结算的股份支付的会计处理授予后立即可行权的以现金结算的股份支付，在授予日以本公司承</w:t>
      </w:r>
      <w:r>
        <w:rPr>
          <w:w w:val="100"/>
        </w:rPr>
        <w:t> </w:t>
      </w:r>
      <w:r>
        <w:rPr/>
        <w:t>担负债的公允价值计入相关成本或费用，相应增加应付职工薪酬。</w:t>
      </w:r>
    </w:p>
    <w:p>
      <w:pPr>
        <w:pStyle w:val="BodyText"/>
        <w:spacing w:line="273" w:lineRule="auto" w:before="48"/>
        <w:ind w:right="1126" w:firstLine="420"/>
        <w:jc w:val="both"/>
      </w:pPr>
      <w:r>
        <w:rPr>
          <w:spacing w:val="-2"/>
        </w:rPr>
        <w:t>完成等待期内的服务或达到规定业绩条件以后才可行权的以现金结算的股份支付，在等待期内的每个</w:t>
      </w:r>
      <w:r>
        <w:rPr>
          <w:w w:val="100"/>
        </w:rPr>
        <w:t> </w:t>
      </w:r>
      <w:r>
        <w:rPr>
          <w:spacing w:val="-2"/>
        </w:rPr>
        <w:t>资产负债表日，以对可行权情况的最佳估计为基础，按照公司承担负债的公允价值金额，将当期取得的服</w:t>
      </w:r>
      <w:r>
        <w:rPr>
          <w:spacing w:val="-44"/>
        </w:rPr>
        <w:t> </w:t>
      </w:r>
      <w:r>
        <w:rPr>
          <w:spacing w:val="-44"/>
        </w:rPr>
      </w:r>
      <w:r>
        <w:rPr/>
        <w:t>务计入成本或费用和相应的负债。</w:t>
      </w:r>
    </w:p>
    <w:p>
      <w:pPr>
        <w:pStyle w:val="BodyText"/>
        <w:spacing w:line="256" w:lineRule="auto" w:before="49"/>
        <w:ind w:right="1174" w:firstLine="420"/>
        <w:jc w:val="both"/>
      </w:pPr>
      <w:r>
        <w:rPr>
          <w:spacing w:val="-2"/>
        </w:rPr>
        <w:t>对于现金结算的股份支付，公司在可行权日之后不再确认成本费用，负债</w:t>
      </w:r>
      <w:r>
        <w:rPr>
          <w:rFonts w:ascii="Times New Roman" w:hAnsi="Times New Roman" w:cs="Times New Roman" w:eastAsia="Times New Roman" w:hint="default"/>
          <w:spacing w:val="-2"/>
        </w:rPr>
        <w:t>(</w:t>
      </w:r>
      <w:r>
        <w:rPr>
          <w:spacing w:val="-2"/>
        </w:rPr>
        <w:t>应付职工薪酬</w:t>
      </w:r>
      <w:r>
        <w:rPr>
          <w:rFonts w:ascii="Times New Roman" w:hAnsi="Times New Roman" w:cs="Times New Roman" w:eastAsia="Times New Roman" w:hint="default"/>
          <w:spacing w:val="-2"/>
        </w:rPr>
        <w:t>)</w:t>
      </w:r>
      <w:r>
        <w:rPr>
          <w:spacing w:val="-2"/>
        </w:rPr>
        <w:t>公允价值的</w:t>
      </w:r>
      <w:r>
        <w:rPr>
          <w:w w:val="100"/>
        </w:rPr>
        <w:t> </w:t>
      </w:r>
      <w:r>
        <w:rPr/>
        <w:t>变动计入当期损益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spacing w:line="614" w:lineRule="exact" w:before="56"/>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无论已授予的权益工具的条款和条件如何修改，或者取消权益工具的授予或结算该权益工具，公司确</w:t>
      </w:r>
    </w:p>
    <w:p>
      <w:pPr>
        <w:pStyle w:val="BodyText"/>
        <w:spacing w:line="219" w:lineRule="exact"/>
        <w:ind w:right="0"/>
        <w:jc w:val="left"/>
      </w:pPr>
      <w:r>
        <w:rPr/>
        <w:t>认按照所授予的权益工具在授予日的公允价值来计量获取的相应的服务，除非因不能满足权益工具的可行</w:t>
      </w:r>
    </w:p>
    <w:p>
      <w:pPr>
        <w:pStyle w:val="BodyText"/>
        <w:spacing w:line="240" w:lineRule="auto" w:before="37"/>
        <w:ind w:right="1123"/>
        <w:jc w:val="left"/>
      </w:pPr>
      <w:r>
        <w:rPr/>
        <w:t>权条件（除市场条件外）而无法可行权。</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21</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573" w:right="1219"/>
        <w:jc w:val="left"/>
      </w:pPr>
      <w:r>
        <w:rPr/>
        <w:t>在同时符合下列条件时确认销售商品收入：</w:t>
      </w:r>
      <w:r>
        <w:rPr>
          <w:w w:val="100"/>
        </w:rPr>
        <w:t> </w:t>
      </w:r>
      <w:r>
        <w:rPr/>
        <w:t>公司已将商品所有权上的主要风险和报酬转移给购货方；</w:t>
      </w:r>
      <w:r>
        <w:rPr>
          <w:w w:val="100"/>
        </w:rPr>
        <w:t> </w:t>
      </w:r>
      <w:r>
        <w:rPr>
          <w:spacing w:val="-2"/>
        </w:rPr>
        <w:t>公司既没有保留通常与所有权相联系的继续管理权，也没有对已售出的商品实施有效控制；</w:t>
      </w:r>
      <w:r>
        <w:rPr>
          <w:spacing w:val="-28"/>
        </w:rPr>
        <w:t> </w:t>
      </w:r>
      <w:r>
        <w:rPr>
          <w:spacing w:val="-28"/>
        </w:rPr>
      </w:r>
      <w:r>
        <w:rPr/>
        <w:t>收入的金额能够可靠地计量；</w:t>
      </w:r>
    </w:p>
    <w:p>
      <w:pPr>
        <w:pStyle w:val="BodyText"/>
        <w:spacing w:line="307" w:lineRule="auto" w:before="16"/>
        <w:ind w:left="573" w:right="5085"/>
        <w:jc w:val="left"/>
      </w:pPr>
      <w:r>
        <w:rPr/>
        <w:t>相关的经济利益很可能流入企业；</w:t>
      </w:r>
      <w:r>
        <w:rPr>
          <w:w w:val="100"/>
        </w:rPr>
        <w:t> </w:t>
      </w:r>
      <w:r>
        <w:rPr>
          <w:spacing w:val="-2"/>
        </w:rPr>
        <w:t>相关的已发生或将发生的成本能够可靠地计量。</w:t>
      </w:r>
    </w:p>
    <w:p>
      <w:pPr>
        <w:spacing w:line="240" w:lineRule="auto" w:before="4"/>
        <w:rPr>
          <w:rFonts w:ascii="宋体" w:hAnsi="宋体" w:cs="宋体" w:eastAsia="宋体" w:hint="default"/>
          <w:sz w:val="21"/>
          <w:szCs w:val="21"/>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23"/>
        <w:jc w:val="left"/>
      </w:pPr>
      <w:r>
        <w:rPr/>
        <w:t>①利息收入金额，按照他人使用本公司货币资金的时间和实际利率计算确定。</w:t>
      </w:r>
    </w:p>
    <w:p>
      <w:pPr>
        <w:pStyle w:val="BodyText"/>
        <w:spacing w:line="240" w:lineRule="auto" w:before="37"/>
        <w:ind w:left="573" w:right="1123"/>
        <w:jc w:val="left"/>
      </w:pPr>
      <w:r>
        <w:rPr/>
        <w:t>②使用费收入金额，按照有关合同或协议约定的收费时间和方法计算确定。</w:t>
      </w:r>
    </w:p>
    <w:p>
      <w:pPr>
        <w:spacing w:line="590" w:lineRule="atLeast" w:before="3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在同一会计年度内开始并完成的劳务，在完成劳务时确认收入。如劳务的开始和完成分属不同的会计</w:t>
      </w:r>
    </w:p>
    <w:p>
      <w:pPr>
        <w:pStyle w:val="BodyText"/>
        <w:spacing w:line="273" w:lineRule="auto" w:before="37"/>
        <w:ind w:right="1123"/>
        <w:jc w:val="left"/>
      </w:pPr>
      <w:r>
        <w:rPr>
          <w:spacing w:val="-2"/>
        </w:rPr>
        <w:t>年度，在提供劳务交易的结果能够可靠估计的情况下，在资产负债表日按完工百分比法确认相关的劳务收</w:t>
      </w:r>
      <w:r>
        <w:rPr>
          <w:spacing w:val="-43"/>
        </w:rPr>
        <w:t> </w:t>
      </w:r>
      <w:r>
        <w:rPr>
          <w:spacing w:val="-43"/>
        </w:rPr>
      </w:r>
      <w:r>
        <w:rPr/>
        <w:t>入。在同时符合下列条件时，劳务交易的结果能够可靠地计量：</w:t>
      </w:r>
    </w:p>
    <w:p>
      <w:pPr>
        <w:spacing w:after="0" w:line="273" w:lineRule="auto"/>
        <w:jc w:val="left"/>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5085"/>
        <w:jc w:val="left"/>
      </w:pPr>
      <w:r>
        <w:rPr/>
        <w:t>收入的金额能够可靠地计量；</w:t>
      </w:r>
      <w:r>
        <w:rPr>
          <w:w w:val="100"/>
        </w:rPr>
        <w:t> </w:t>
      </w:r>
      <w:r>
        <w:rPr/>
        <w:t>相关的经济利益很可能流入企业；</w:t>
      </w:r>
      <w:r>
        <w:rPr>
          <w:w w:val="100"/>
        </w:rPr>
        <w:t> </w:t>
      </w:r>
      <w:r>
        <w:rPr/>
        <w:t>交易的完工进度能够可靠地确定；</w:t>
      </w:r>
      <w:r>
        <w:rPr>
          <w:w w:val="100"/>
        </w:rPr>
        <w:t> </w:t>
      </w:r>
      <w:r>
        <w:rPr>
          <w:spacing w:val="-2"/>
        </w:rPr>
        <w:t>交易中已发生和将发生的成本能够可靠地计量。</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采用完工百分比法确认提供劳务的收入，按已经发生的成本占估计总成本的比例确定提供劳务交易的</w:t>
      </w:r>
    </w:p>
    <w:p>
      <w:pPr>
        <w:pStyle w:val="BodyText"/>
        <w:spacing w:line="273" w:lineRule="auto" w:before="37"/>
        <w:ind w:right="1126"/>
        <w:jc w:val="both"/>
      </w:pPr>
      <w:r>
        <w:rPr>
          <w:spacing w:val="-2"/>
        </w:rPr>
        <w:t>完工进度。提供劳务交易的结果在资产负债表日不能够可靠估计的，若已经发生的劳务成本预计能够得到</w:t>
      </w:r>
      <w:r>
        <w:rPr>
          <w:spacing w:val="-42"/>
        </w:rPr>
        <w:t> </w:t>
      </w:r>
      <w:r>
        <w:rPr>
          <w:spacing w:val="-42"/>
        </w:rPr>
      </w:r>
      <w:r>
        <w:rPr>
          <w:spacing w:val="-2"/>
        </w:rPr>
        <w:t>补偿，按已经发生的劳务成本金额确认提供劳务收入，并按相同金额结转劳务成本；若已经发生的劳务成</w:t>
      </w:r>
      <w:r>
        <w:rPr>
          <w:spacing w:val="-43"/>
        </w:rPr>
        <w:t> </w:t>
      </w:r>
      <w:r>
        <w:rPr>
          <w:spacing w:val="-43"/>
        </w:rPr>
      </w:r>
      <w:r>
        <w:rPr/>
        <w:t>本预计不能够得到补偿，将已经发生的劳务成本计入当期损益，不确认劳务收入。</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pStyle w:val="BodyText"/>
        <w:spacing w:line="590" w:lineRule="atLeast" w:before="24"/>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公司取得与资产相关的政府补助，确认为递延收益，自相关资产达到预定可使用状态时起，在该资产</w:t>
      </w:r>
    </w:p>
    <w:p>
      <w:pPr>
        <w:pStyle w:val="BodyText"/>
        <w:spacing w:line="273" w:lineRule="auto" w:before="37"/>
        <w:ind w:left="573" w:right="1123" w:hanging="421"/>
        <w:jc w:val="left"/>
      </w:pPr>
      <w:r>
        <w:rPr/>
        <w:t>使用寿命内平均分配，分次计入以后各期的损益（营业外收入）。</w:t>
      </w:r>
      <w:r>
        <w:rPr>
          <w:w w:val="100"/>
        </w:rPr>
        <w:t> </w:t>
      </w:r>
      <w:r>
        <w:rPr>
          <w:spacing w:val="-2"/>
        </w:rPr>
        <w:t>相关资产在使用寿命结束前被出售、转让、报废或发生毁损的，将尚未分配的递延收益余额一次性转</w:t>
      </w:r>
    </w:p>
    <w:p>
      <w:pPr>
        <w:pStyle w:val="BodyText"/>
        <w:spacing w:line="273" w:lineRule="auto" w:before="7"/>
        <w:ind w:left="573" w:right="1123" w:hanging="421"/>
        <w:jc w:val="left"/>
      </w:pPr>
      <w:r>
        <w:rPr/>
        <w:t>入资产处置当期的损益（营业外收入）。</w:t>
      </w:r>
      <w:r>
        <w:rPr>
          <w:w w:val="100"/>
        </w:rPr>
        <w:t> </w:t>
      </w:r>
      <w:r>
        <w:rPr>
          <w:spacing w:val="-2"/>
        </w:rPr>
        <w:t>公司取得与收益相关的政府补助，用于补偿公司以后期间的相关费用或损失的，取得时确认为递延收</w:t>
      </w:r>
    </w:p>
    <w:p>
      <w:pPr>
        <w:pStyle w:val="BodyText"/>
        <w:spacing w:line="273" w:lineRule="auto" w:before="7"/>
        <w:ind w:right="1127"/>
        <w:jc w:val="both"/>
      </w:pPr>
      <w:r>
        <w:rPr>
          <w:spacing w:val="-2"/>
        </w:rPr>
        <w:t>益，在确认相关费用的期间计入当期损益（营业外收入）；用于补偿公司已发生的相关费用或损失的，取</w:t>
      </w:r>
      <w:r>
        <w:rPr>
          <w:spacing w:val="-43"/>
        </w:rPr>
        <w:t> </w:t>
      </w:r>
      <w:r>
        <w:rPr>
          <w:spacing w:val="-43"/>
        </w:rPr>
      </w:r>
      <w:r>
        <w:rPr/>
        <w:t>得时直接计入当期损益（营业外收入）。</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、递延所得税资产和递延所得税负债</w:t>
      </w:r>
      <w:r>
        <w:rPr>
          <w:b w:val="0"/>
          <w:bCs w:val="0"/>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确认递延所得税资产以很可能取得用来抵扣可抵扣暂时性差异的应纳税所得额为限。资产负债表日，</w:t>
      </w:r>
    </w:p>
    <w:p>
      <w:pPr>
        <w:pStyle w:val="BodyText"/>
        <w:spacing w:line="273" w:lineRule="auto" w:before="37"/>
        <w:ind w:right="1126"/>
        <w:jc w:val="both"/>
      </w:pPr>
      <w:r>
        <w:rPr>
          <w:spacing w:val="-2"/>
        </w:rPr>
        <w:t>有确凿证据表明未来期间很可能获得足够的应纳税所得额用来抵扣可抵扣暂时性差异的，确认以前会计期</w:t>
      </w:r>
      <w:r>
        <w:rPr>
          <w:spacing w:val="-43"/>
        </w:rPr>
        <w:t> </w:t>
      </w:r>
      <w:r>
        <w:rPr>
          <w:spacing w:val="-43"/>
        </w:rPr>
      </w:r>
      <w:r>
        <w:rPr/>
        <w:t>间未确认的递延所得税资产。</w:t>
      </w:r>
    </w:p>
    <w:p>
      <w:pPr>
        <w:spacing w:line="616" w:lineRule="exact" w:before="6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资产负债表日，对已确认的递延所得税资产账面价值进行复核，如果未来期间很可能无法获得足够的</w:t>
      </w:r>
    </w:p>
    <w:p>
      <w:pPr>
        <w:pStyle w:val="BodyText"/>
        <w:spacing w:line="218" w:lineRule="exact"/>
        <w:ind w:right="0"/>
        <w:jc w:val="left"/>
      </w:pPr>
      <w:r>
        <w:rPr/>
        <w:t>应纳税所得额用以抵扣递延所得税资产时，则减记递延所得税资产的账面价值。在很可能获得足够的应纳</w:t>
      </w:r>
    </w:p>
    <w:p>
      <w:pPr>
        <w:pStyle w:val="BodyText"/>
        <w:spacing w:line="273" w:lineRule="auto" w:before="37"/>
        <w:ind w:right="1126"/>
        <w:jc w:val="both"/>
      </w:pPr>
      <w:r>
        <w:rPr>
          <w:spacing w:val="-2"/>
        </w:rPr>
        <w:t>税所得额时，减记的金额予以转回。公司未来期间很可能获得足够的应纳税所得额的金额是依据管理层批</w:t>
      </w:r>
      <w:r>
        <w:rPr>
          <w:spacing w:val="-43"/>
        </w:rPr>
        <w:t> </w:t>
      </w:r>
      <w:r>
        <w:rPr>
          <w:spacing w:val="-43"/>
        </w:rPr>
      </w:r>
      <w:r>
        <w:rPr/>
        <w:t>准的经营计划（或盈利预测）确定。</w:t>
      </w:r>
    </w:p>
    <w:p>
      <w:pPr>
        <w:spacing w:after="0" w:line="273" w:lineRule="auto"/>
        <w:jc w:val="both"/>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25</w:t>
      </w:r>
      <w:r>
        <w:rPr/>
        <w:t>、经营租赁、融资租赁</w:t>
      </w:r>
      <w:r>
        <w:rPr>
          <w:b w:val="0"/>
          <w:bCs w:val="0"/>
        </w:rPr>
      </w:r>
    </w:p>
    <w:p>
      <w:pPr>
        <w:spacing w:line="590" w:lineRule="atLeast" w:before="2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对于经营租赁的租金，承租人（公司）在租赁期内各个期间按照直线法确认为当期损益；其他方法更</w:t>
      </w:r>
    </w:p>
    <w:p>
      <w:pPr>
        <w:pStyle w:val="BodyText"/>
        <w:spacing w:line="273" w:lineRule="auto" w:before="37"/>
        <w:ind w:left="573" w:right="1123" w:hanging="421"/>
        <w:jc w:val="left"/>
      </w:pPr>
      <w:r>
        <w:rPr/>
        <w:t>为系统合理的，可以采用其他方法。</w:t>
      </w:r>
      <w:r>
        <w:rPr>
          <w:w w:val="100"/>
        </w:rPr>
        <w:t> </w:t>
      </w:r>
      <w:r>
        <w:rPr/>
        <w:t>承租人（公司）发生的初始直接费用，计入当期损益。或有租金在实际发生时计入当期损益。</w:t>
      </w:r>
      <w:r>
        <w:rPr>
          <w:w w:val="100"/>
        </w:rPr>
        <w:t> </w:t>
      </w:r>
      <w:r>
        <w:rPr>
          <w:spacing w:val="-2"/>
        </w:rPr>
        <w:t>对于经营租赁的租金，出租人（公司）在租赁期内各个期间按照直线法确认为当期损益；其他方法更</w:t>
      </w:r>
    </w:p>
    <w:p>
      <w:pPr>
        <w:pStyle w:val="BodyText"/>
        <w:spacing w:line="273" w:lineRule="auto" w:before="7"/>
        <w:ind w:left="573" w:right="2658" w:hanging="421"/>
        <w:jc w:val="left"/>
      </w:pPr>
      <w:r>
        <w:rPr/>
        <w:t>为系统合理的，可以采用其他方法。</w:t>
      </w:r>
      <w:r>
        <w:rPr>
          <w:w w:val="100"/>
        </w:rPr>
        <w:t> </w:t>
      </w:r>
      <w:r>
        <w:rPr>
          <w:spacing w:val="-2"/>
        </w:rPr>
        <w:t>出租人（公司）发生的初始直接费用，计入当期损益。</w:t>
      </w:r>
    </w:p>
    <w:p>
      <w:pPr>
        <w:pStyle w:val="BodyText"/>
        <w:spacing w:line="273" w:lineRule="auto" w:before="7"/>
        <w:ind w:right="1123" w:firstLine="420"/>
        <w:jc w:val="left"/>
      </w:pPr>
      <w:r>
        <w:rPr>
          <w:spacing w:val="-2"/>
        </w:rPr>
        <w:t>对于经营租赁资产中的固定资产，出租人（公司）采用类似资产的折旧政策计提折旧；对于其它经营</w:t>
      </w:r>
      <w:r>
        <w:rPr>
          <w:w w:val="100"/>
        </w:rPr>
        <w:t> </w:t>
      </w:r>
      <w:r>
        <w:rPr/>
        <w:t>租赁资产，采用系统合理的方法进行摊销。</w:t>
      </w:r>
    </w:p>
    <w:p>
      <w:pPr>
        <w:pStyle w:val="BodyText"/>
        <w:spacing w:line="240" w:lineRule="auto" w:before="8"/>
        <w:ind w:left="573" w:right="1123"/>
        <w:jc w:val="left"/>
      </w:pPr>
      <w:r>
        <w:rPr/>
        <w:t>出租人（公司）或有租金在实际发生时计入当期损益。</w:t>
      </w:r>
    </w:p>
    <w:p>
      <w:pPr>
        <w:spacing w:line="600" w:lineRule="atLeast" w:before="2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在租赁期开始日，承租人（公司）将租赁开始日租赁资产公允价值与最低租赁付款额现值两者中较低</w:t>
      </w:r>
    </w:p>
    <w:p>
      <w:pPr>
        <w:pStyle w:val="BodyText"/>
        <w:spacing w:line="273" w:lineRule="auto" w:before="37"/>
        <w:ind w:left="573" w:right="0" w:hanging="421"/>
        <w:jc w:val="left"/>
      </w:pPr>
      <w:r>
        <w:rPr>
          <w:spacing w:val="-5"/>
        </w:rPr>
        <w:t>者作为租入资产的入账价值，将最低租赁付款额作为长期应付款的入账价值，其差额作为未确认融资费用。</w:t>
      </w:r>
      <w:r>
        <w:rPr>
          <w:spacing w:val="-8"/>
        </w:rPr>
        <w:t> </w:t>
      </w:r>
      <w:r>
        <w:rPr>
          <w:spacing w:val="-8"/>
        </w:rPr>
      </w:r>
      <w:r>
        <w:rPr/>
        <w:t>在租赁期开始日，出租人（公司）将租赁开始日最低租赁收款额与初始直接费用之和作为应收融资租</w:t>
      </w:r>
    </w:p>
    <w:p>
      <w:pPr>
        <w:pStyle w:val="BodyText"/>
        <w:spacing w:line="273" w:lineRule="auto" w:before="7"/>
        <w:ind w:right="1123"/>
        <w:jc w:val="left"/>
      </w:pPr>
      <w:r>
        <w:rPr>
          <w:spacing w:val="-2"/>
        </w:rPr>
        <w:t>赁款的入账价值，同时记录未担保余值；将最低租赁收款额、初始直接费用及未担保余值之和与其现值之</w:t>
      </w:r>
      <w:r>
        <w:rPr>
          <w:spacing w:val="-45"/>
        </w:rPr>
        <w:t> </w:t>
      </w:r>
      <w:r>
        <w:rPr>
          <w:spacing w:val="-45"/>
        </w:rPr>
      </w:r>
      <w:r>
        <w:rPr/>
        <w:t>和的差额确认为未实现融资收益。</w:t>
      </w:r>
    </w:p>
    <w:p>
      <w:pPr>
        <w:pStyle w:val="BodyText"/>
        <w:spacing w:line="273" w:lineRule="auto" w:before="7"/>
        <w:ind w:right="1123" w:firstLine="526"/>
        <w:jc w:val="left"/>
      </w:pPr>
      <w:r>
        <w:rPr/>
        <w:t>融资租入的固定资产按同类固定资产的折旧政策采用直线法计提折旧。对能够合理确定租赁期届满</w:t>
      </w:r>
      <w:r>
        <w:rPr>
          <w:w w:val="100"/>
        </w:rPr>
        <w:t> </w:t>
      </w:r>
      <w:r>
        <w:rPr>
          <w:spacing w:val="-2"/>
        </w:rPr>
        <w:t>时取得租入资产所有权的租入资产在使用寿命内计提折旧。否则，租赁资产在租赁期与租赁资产使用寿命</w:t>
      </w:r>
      <w:r>
        <w:rPr>
          <w:spacing w:val="-44"/>
        </w:rPr>
        <w:t> </w:t>
      </w:r>
      <w:r>
        <w:rPr>
          <w:spacing w:val="-44"/>
        </w:rPr>
      </w:r>
      <w:r>
        <w:rPr/>
        <w:t>两者中较短的期间内计提折旧。</w:t>
      </w:r>
    </w:p>
    <w:p>
      <w:pPr>
        <w:pStyle w:val="BodyText"/>
        <w:spacing w:line="273" w:lineRule="auto" w:before="8"/>
        <w:ind w:right="1123" w:firstLine="420"/>
        <w:jc w:val="left"/>
      </w:pPr>
      <w:r>
        <w:rPr>
          <w:spacing w:val="-2"/>
        </w:rPr>
        <w:t>本公司对未确认融资费用采用实际利率法在租赁期内各个期间进行分摊，并按照借款费用的原则处</w:t>
      </w:r>
      <w:r>
        <w:rPr>
          <w:w w:val="100"/>
        </w:rPr>
        <w:t> </w:t>
      </w:r>
      <w:r>
        <w:rPr/>
        <w:t>理。</w:t>
      </w:r>
    </w:p>
    <w:p>
      <w:pPr>
        <w:pStyle w:val="BodyText"/>
        <w:spacing w:line="273" w:lineRule="auto" w:before="7"/>
        <w:ind w:right="1123" w:firstLine="420"/>
        <w:jc w:val="left"/>
      </w:pPr>
      <w:r>
        <w:rPr>
          <w:spacing w:val="-2"/>
        </w:rPr>
        <w:t>资产负债表日，本公司将与融资租赁相关的长期应付款减去未确认融资费用的差额，分别以长期负债</w:t>
      </w:r>
      <w:r>
        <w:rPr>
          <w:w w:val="100"/>
        </w:rPr>
        <w:t> </w:t>
      </w:r>
      <w:r>
        <w:rPr/>
        <w:t>和一年内到期的长期负债列示。</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600" w:lineRule="atLeast" w:before="12"/>
        <w:ind w:left="152" w:right="5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本报告期主要会计政策、会计估计是否变更</w:t>
      </w:r>
    </w:p>
    <w:p>
      <w:pPr>
        <w:pStyle w:val="BodyText"/>
        <w:spacing w:line="240" w:lineRule="auto" w:before="75"/>
        <w:ind w:right="1123"/>
        <w:jc w:val="left"/>
      </w:pPr>
      <w:r>
        <w:rPr/>
        <w:t>□ 是 √</w:t>
      </w:r>
      <w:r>
        <w:rPr>
          <w:spacing w:val="1"/>
        </w:rPr>
        <w:t> </w:t>
      </w:r>
      <w:r>
        <w:rPr/>
        <w:t>否</w:t>
      </w:r>
    </w:p>
    <w:p>
      <w:pPr>
        <w:spacing w:line="600" w:lineRule="atLeast" w:before="28"/>
        <w:ind w:left="152" w:right="6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本报告期主要会计政策是否变更</w:t>
      </w:r>
    </w:p>
    <w:p>
      <w:pPr>
        <w:pStyle w:val="BodyText"/>
        <w:spacing w:line="240" w:lineRule="auto" w:before="78"/>
        <w:ind w:right="1123"/>
        <w:jc w:val="left"/>
      </w:pPr>
      <w:r>
        <w:rPr/>
        <w:t>□ 是 √</w:t>
      </w:r>
      <w:r>
        <w:rPr>
          <w:spacing w:val="1"/>
        </w:rPr>
        <w:t> </w:t>
      </w:r>
      <w:r>
        <w:rPr/>
        <w:t>否</w:t>
      </w:r>
    </w:p>
    <w:p>
      <w:pPr>
        <w:spacing w:line="240" w:lineRule="auto" w:before="8"/>
        <w:rPr>
          <w:rFonts w:ascii="宋体" w:hAnsi="宋体" w:cs="宋体" w:eastAsia="宋体" w:hint="default"/>
          <w:sz w:val="25"/>
          <w:szCs w:val="25"/>
        </w:rPr>
      </w:pPr>
    </w:p>
    <w:p>
      <w:pPr>
        <w:spacing w:line="506" w:lineRule="auto" w:before="0"/>
        <w:ind w:left="152" w:right="6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本报告期主要会计估计是否变更</w:t>
      </w:r>
    </w:p>
    <w:p>
      <w:pPr>
        <w:spacing w:after="0" w:line="506" w:lineRule="auto"/>
        <w:jc w:val="left"/>
        <w:rPr>
          <w:rFonts w:ascii="宋体" w:hAnsi="宋体" w:cs="宋体" w:eastAsia="宋体" w:hint="default"/>
          <w:sz w:val="21"/>
          <w:szCs w:val="21"/>
        </w:rPr>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23"/>
        <w:jc w:val="left"/>
      </w:pPr>
      <w:r>
        <w:rPr/>
        <w:t>□ 是 √</w:t>
      </w:r>
      <w:r>
        <w:rPr>
          <w:spacing w:val="1"/>
        </w:rPr>
        <w:t> </w:t>
      </w:r>
      <w:r>
        <w:rPr/>
        <w:t>否</w:t>
      </w:r>
    </w:p>
    <w:p>
      <w:pPr>
        <w:spacing w:line="600" w:lineRule="atLeast" w:before="28"/>
        <w:ind w:left="152" w:right="613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本报告期是否发现前期会计差错</w:t>
      </w:r>
    </w:p>
    <w:p>
      <w:pPr>
        <w:pStyle w:val="BodyText"/>
        <w:spacing w:line="307" w:lineRule="auto" w:before="75"/>
        <w:ind w:right="8104"/>
        <w:jc w:val="left"/>
      </w:pPr>
      <w:r>
        <w:rPr/>
        <w:t>□ 是 √ 否</w:t>
      </w:r>
      <w:r>
        <w:rPr>
          <w:spacing w:val="-104"/>
        </w:rPr>
        <w:t> </w:t>
      </w:r>
      <w:r>
        <w:rPr>
          <w:spacing w:val="-104"/>
        </w:rPr>
      </w:r>
      <w:r>
        <w:rPr>
          <w:spacing w:val="-2"/>
        </w:rPr>
        <w:t>本期未发现前期会计差错</w:t>
      </w:r>
    </w:p>
    <w:p>
      <w:pPr>
        <w:spacing w:line="612" w:lineRule="exact" w:before="34"/>
        <w:ind w:left="152" w:right="50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pStyle w:val="BodyText"/>
        <w:spacing w:line="276" w:lineRule="exact"/>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12"/>
        <w:ind w:left="152" w:right="50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pStyle w:val="BodyText"/>
        <w:spacing w:line="240" w:lineRule="auto" w:before="7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2"/>
        <w:spacing w:line="240" w:lineRule="auto" w:before="0"/>
        <w:ind w:right="1123"/>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027"/>
        <w:gridCol w:w="3014"/>
      </w:tblGrid>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0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7"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0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7"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0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7"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5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0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307" w:lineRule="auto" w:before="28"/>
        <w:ind w:left="573" w:right="1123" w:hanging="421"/>
        <w:jc w:val="left"/>
        <w:rPr>
          <w:rFonts w:ascii="Times New Roman" w:hAnsi="Times New Roman" w:cs="Times New Roman" w:eastAsia="Times New Roman" w:hint="default"/>
        </w:rPr>
      </w:pPr>
      <w:r>
        <w:rPr/>
        <w:t>各分公司、分厂执行的所得税税率</w:t>
      </w:r>
      <w:r>
        <w:rPr>
          <w:w w:val="100"/>
        </w:rPr>
        <w:t> </w:t>
      </w:r>
      <w:r>
        <w:rPr>
          <w:spacing w:val="-2"/>
        </w:rPr>
        <w:t>依据山东省人民政府印发《山东省地方水利建设基金筹集和使用管理方法》的通知（鲁政发</w:t>
      </w:r>
      <w:r>
        <w:rPr>
          <w:rFonts w:ascii="Times New Roman" w:hAnsi="Times New Roman" w:cs="Times New Roman" w:eastAsia="Times New Roman" w:hint="default"/>
          <w:spacing w:val="-2"/>
        </w:rPr>
        <w:t>[2011]20</w:t>
      </w:r>
    </w:p>
    <w:p>
      <w:pPr>
        <w:pStyle w:val="BodyText"/>
        <w:spacing w:line="232" w:lineRule="exact"/>
        <w:ind w:right="0"/>
        <w:jc w:val="left"/>
      </w:pPr>
      <w:r>
        <w:rPr/>
        <w:t>号）之规定，公司及子公司烟台和俊制盖有限公司、烟台丽鹏包装有限公司按照缴纳增值税、营业税、消</w:t>
      </w:r>
    </w:p>
    <w:p>
      <w:pPr>
        <w:pStyle w:val="BodyText"/>
        <w:spacing w:line="240" w:lineRule="auto" w:before="37"/>
        <w:ind w:right="1123"/>
        <w:jc w:val="left"/>
      </w:pPr>
      <w:r>
        <w:rPr/>
        <w:t>费税的</w:t>
      </w:r>
      <w:r>
        <w:rPr>
          <w:rFonts w:ascii="Times New Roman" w:hAnsi="Times New Roman" w:cs="Times New Roman" w:eastAsia="Times New Roman" w:hint="default"/>
        </w:rPr>
        <w:t>1%</w:t>
      </w:r>
      <w:r>
        <w:rPr/>
        <w:t>缴纳地方水利建设基金。</w:t>
      </w:r>
    </w:p>
    <w:p>
      <w:pPr>
        <w:pStyle w:val="BodyText"/>
        <w:spacing w:line="590" w:lineRule="atLeast" w:before="22"/>
        <w:ind w:left="573" w:right="1123"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spacing w:val="-2"/>
        </w:rPr>
        <w:t>根据山东省科学技术厅、山东省财政厅、山东省国家税务局、山东省地方税务局联合下发的鲁科高字</w:t>
      </w:r>
    </w:p>
    <w:p>
      <w:pPr>
        <w:pStyle w:val="BodyText"/>
        <w:spacing w:line="256" w:lineRule="auto" w:before="37"/>
        <w:ind w:right="1126"/>
        <w:jc w:val="both"/>
      </w:pPr>
      <w:r>
        <w:rPr>
          <w:rFonts w:ascii="Times New Roman" w:hAnsi="Times New Roman" w:cs="Times New Roman" w:eastAsia="Times New Roman" w:hint="default"/>
        </w:rPr>
        <w:t>[2013]33</w:t>
      </w:r>
      <w:r>
        <w:rPr/>
        <w:t>号文关于保利民爆济南科技有限公司等</w:t>
      </w:r>
      <w:r>
        <w:rPr>
          <w:rFonts w:ascii="Times New Roman" w:hAnsi="Times New Roman" w:cs="Times New Roman" w:eastAsia="Times New Roman" w:hint="default"/>
        </w:rPr>
        <w:t>322</w:t>
      </w:r>
      <w:r>
        <w:rPr/>
        <w:t>家企业通过高新技术企业复审的通知公司</w:t>
      </w:r>
      <w:r>
        <w:rPr>
          <w:rFonts w:ascii="Times New Roman" w:hAnsi="Times New Roman" w:cs="Times New Roman" w:eastAsia="Times New Roman" w:hint="default"/>
        </w:rPr>
        <w:t>2012</w:t>
      </w:r>
      <w:r>
        <w:rPr/>
        <w:t>年度被</w:t>
      </w:r>
      <w:r>
        <w:rPr>
          <w:spacing w:val="37"/>
        </w:rPr>
        <w:t> </w:t>
      </w:r>
      <w:r>
        <w:rPr>
          <w:spacing w:val="37"/>
        </w:rPr>
      </w:r>
      <w:r>
        <w:rPr/>
        <w:t>认定为高新技术企业，执行</w:t>
      </w:r>
      <w:r>
        <w:rPr>
          <w:rFonts w:ascii="Times New Roman" w:hAnsi="Times New Roman" w:cs="Times New Roman" w:eastAsia="Times New Roman" w:hint="default"/>
        </w:rPr>
        <w:t>15%</w:t>
      </w:r>
      <w:r>
        <w:rPr/>
        <w:t>企业所得税税率，有效期</w:t>
      </w:r>
      <w:r>
        <w:rPr>
          <w:rFonts w:ascii="Times New Roman" w:hAnsi="Times New Roman" w:cs="Times New Roman" w:eastAsia="Times New Roman" w:hint="default"/>
        </w:rPr>
        <w:t>3</w:t>
      </w:r>
      <w:r>
        <w:rPr/>
        <w:t>年，优惠期为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日度至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日。本年度公司子公司按</w:t>
      </w:r>
      <w:r>
        <w:rPr>
          <w:rFonts w:ascii="Times New Roman" w:hAnsi="Times New Roman" w:cs="Times New Roman" w:eastAsia="Times New Roman" w:hint="default"/>
        </w:rPr>
        <w:t>25%</w:t>
      </w:r>
      <w:r>
        <w:rPr/>
        <w:t>的企业所得税率计缴。</w:t>
      </w:r>
    </w:p>
    <w:p>
      <w:pPr>
        <w:spacing w:after="0" w:line="256" w:lineRule="auto"/>
        <w:jc w:val="both"/>
        <w:sectPr>
          <w:pgSz w:w="11910" w:h="16840"/>
          <w:pgMar w:header="877" w:footer="1251" w:top="1060" w:bottom="1440" w:left="980" w:right="0"/>
        </w:sectPr>
      </w:pPr>
    </w:p>
    <w:p>
      <w:pPr>
        <w:spacing w:line="240" w:lineRule="auto" w:before="10"/>
        <w:rPr>
          <w:rFonts w:ascii="宋体" w:hAnsi="宋体" w:cs="宋体" w:eastAsia="宋体" w:hint="default"/>
          <w:sz w:val="24"/>
          <w:szCs w:val="24"/>
        </w:rPr>
      </w:pPr>
    </w:p>
    <w:p>
      <w:pPr>
        <w:spacing w:line="487" w:lineRule="auto" w:before="36"/>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after="0" w:line="240" w:lineRule="auto"/>
        <w:jc w:val="left"/>
        <w:sectPr>
          <w:pgSz w:w="11910" w:h="16840"/>
          <w:pgMar w:header="877" w:footer="1251" w:top="1060" w:bottom="1440" w:left="980" w:right="0"/>
        </w:sectPr>
      </w:pPr>
    </w:p>
    <w:p>
      <w:pPr>
        <w:spacing w:line="240" w:lineRule="auto" w:before="11"/>
        <w:rPr>
          <w:rFonts w:ascii="宋体" w:hAnsi="宋体" w:cs="宋体" w:eastAsia="宋体" w:hint="default"/>
          <w:b/>
          <w:bCs/>
          <w:sz w:val="2"/>
          <w:szCs w:val="2"/>
        </w:rPr>
      </w:pPr>
      <w:r>
        <w:rPr/>
        <w:pict>
          <v:shape style="position:absolute;margin-left:390.164001pt;margin-top:270.526001pt;width:59.7pt;height:46.85pt;mso-position-horizontal-relative:page;mso-position-vertical-relative:page;z-index:-67208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90.173004pt;margin-top:429.015625pt;width:58.5pt;height:22.2pt;mso-position-horizontal-relative:page;mso-position-vertical-relative:page;z-index:-67206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1.489990pt;margin-top:517.05603pt;width:178.35pt;height:14.65pt;mso-position-horizontal-relative:page;mso-position-vertical-relative:page;z-index:-672040" type="#_x0000_t202" filled="false" stroked="false">
            <v:textbox inset="0,0,0,0">
              <w:txbxContent>
                <w:p>
                  <w:pPr>
                    <w:spacing w:line="22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禁止进出口的商品和技术除外。</w:t>
                  </w:r>
                </w:p>
              </w:txbxContent>
            </v:textbox>
            <w10:wrap type="none"/>
          </v:shape>
        </w:pict>
      </w:r>
      <w:r>
        <w:rPr/>
        <w:pict>
          <v:group style="position:absolute;margin-left:396.290009pt;margin-top:270.526001pt;width:53.55pt;height:46.85pt;mso-position-horizontal-relative:page;mso-position-vertical-relative:page;z-index:-672016" coordorigin="7926,5411" coordsize="1071,937">
            <v:shape style="position:absolute;left:7926;top:5411;width:1071;height:937" coordorigin="7926,5411" coordsize="1071,937" path="m7926,6347l8997,6347,8997,5411,7926,5411,7926,6347xe" filled="true" fillcolor="#ffffff" stroked="false">
              <v:path arrowok="t"/>
              <v:fill type="solid"/>
            </v:shape>
            <w10:wrap type="none"/>
          </v:group>
        </w:pict>
      </w:r>
      <w:r>
        <w:rPr/>
        <w:pict>
          <v:group style="position:absolute;margin-left:396.290009pt;margin-top:400.390015pt;width:53.55pt;height:82pt;mso-position-horizontal-relative:page;mso-position-vertical-relative:page;z-index:-671992" coordorigin="7926,8008" coordsize="1071,1640">
            <v:group style="position:absolute;left:7926;top:8008;width:1071;height:624" coordorigin="7926,8008" coordsize="1071,624">
              <v:shape style="position:absolute;left:7926;top:8008;width:1071;height:624" coordorigin="7926,8008" coordsize="1071,624" path="m7926,8632l8997,8632,8997,8008,7926,8008,7926,8632xe" filled="true" fillcolor="#ffffff" stroked="false">
                <v:path arrowok="t"/>
                <v:fill type="solid"/>
              </v:shape>
            </v:group>
            <v:group style="position:absolute;left:7938;top:8632;width:2;height:392" coordorigin="7938,8632" coordsize="2,392">
              <v:shape style="position:absolute;left:7938;top:8632;width:2;height:392" coordorigin="7938,8632" coordsize="0,392" path="m7938,8632l7938,9024e" filled="false" stroked="true" strokeweight="1.2pt" strokecolor="#ffffff">
                <v:path arrowok="t"/>
              </v:shape>
            </v:group>
            <v:group style="position:absolute;left:7926;top:9024;width:1071;height:624" coordorigin="7926,9024" coordsize="1071,624">
              <v:shape style="position:absolute;left:7926;top:9024;width:1071;height:624" coordorigin="7926,9024" coordsize="1071,624" path="m7926,9648l8997,9648,8997,9024,7926,9024,7926,9648xe" filled="true" fillcolor="#ffffff" stroked="false">
                <v:path arrowok="t"/>
                <v:fill type="solid"/>
              </v:shape>
            </v:group>
            <v:group style="position:absolute;left:7950;top:8632;width:1023;height:392" coordorigin="7950,8632" coordsize="1023,392">
              <v:shape style="position:absolute;left:7950;top:8632;width:1023;height:392" coordorigin="7950,8632" coordsize="1023,392" path="m7950,9024l8973,9024,8973,8632,7950,8632,7950,9024xe" filled="true" fillcolor="#ffffff" stroked="false">
                <v:path arrowok="t"/>
                <v:fill type="solid"/>
              </v:shape>
            </v:group>
            <w10:wrap type="none"/>
          </v:group>
        </w:pict>
      </w:r>
      <w:r>
        <w:rPr/>
        <w:pict>
          <v:group style="position:absolute;margin-left:396.290009pt;margin-top:517.05603pt;width:53.55pt;height:14.65pt;mso-position-horizontal-relative:page;mso-position-vertical-relative:page;z-index:-671968" coordorigin="7926,10341" coordsize="1071,293">
            <v:shape style="position:absolute;left:7926;top:10341;width:1071;height:293" coordorigin="7926,10341" coordsize="1071,293" path="m7926,10634l8997,10634,8997,10341,7926,10341,7926,10634xe" filled="true" fillcolor="#ffffff" stroked="false">
              <v:path arrowok="t"/>
              <v:fill type="solid"/>
            </v:shape>
            <w10:wrap type="none"/>
          </v:group>
        </w:pict>
      </w:r>
      <w:r>
        <w:rPr/>
        <w:pict>
          <v:group style="position:absolute;margin-left:706.919983pt;margin-top:518.320007pt;width:135pt;height:77pt;mso-position-horizontal-relative:page;mso-position-vertical-relative:page;z-index:-671920" coordorigin="14138,10366" coordsize="2700,1540">
            <v:shape style="position:absolute;left:14138;top:10366;width:2700;height:1540" type="#_x0000_t75" stroked="false">
              <v:imagedata r:id="rId15"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17"/>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684"/>
        <w:gridCol w:w="684"/>
        <w:gridCol w:w="972"/>
        <w:gridCol w:w="540"/>
        <w:gridCol w:w="1081"/>
        <w:gridCol w:w="2520"/>
        <w:gridCol w:w="85"/>
        <w:gridCol w:w="995"/>
        <w:gridCol w:w="1080"/>
        <w:gridCol w:w="540"/>
        <w:gridCol w:w="720"/>
        <w:gridCol w:w="720"/>
        <w:gridCol w:w="901"/>
        <w:gridCol w:w="1080"/>
        <w:gridCol w:w="1440"/>
      </w:tblGrid>
      <w:tr>
        <w:trPr>
          <w:trHeight w:val="258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355" w:right="82" w:hanging="269"/>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2"/>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0" w:right="3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6" w:right="8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 后的余额</w:t>
            </w:r>
          </w:p>
        </w:tc>
      </w:tr>
      <w:tr>
        <w:trPr>
          <w:trHeight w:val="2278"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成都海 川制盖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36"/>
              <w:jc w:val="left"/>
              <w:rPr>
                <w:rFonts w:ascii="宋体" w:hAnsi="宋体" w:cs="宋体" w:eastAsia="宋体" w:hint="default"/>
                <w:sz w:val="18"/>
                <w:szCs w:val="18"/>
              </w:rPr>
            </w:pPr>
            <w:r>
              <w:rPr>
                <w:rFonts w:ascii="宋体" w:hAnsi="宋体" w:cs="宋体" w:eastAsia="宋体" w:hint="default"/>
                <w:sz w:val="18"/>
                <w:szCs w:val="18"/>
              </w:rPr>
              <w:t>蒲江县工业 集中发展区</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3" w:right="19"/>
              <w:jc w:val="left"/>
              <w:rPr>
                <w:rFonts w:ascii="宋体" w:hAnsi="宋体" w:cs="宋体" w:eastAsia="宋体" w:hint="default"/>
                <w:sz w:val="18"/>
                <w:szCs w:val="18"/>
              </w:rPr>
            </w:pPr>
            <w:r>
              <w:rPr>
                <w:rFonts w:ascii="宋体" w:hAnsi="宋体" w:cs="宋体" w:eastAsia="宋体" w:hint="default"/>
                <w:spacing w:val="-4"/>
                <w:sz w:val="18"/>
                <w:szCs w:val="18"/>
              </w:rPr>
              <w:t>金属包装容器制造、包装装潢印</w:t>
            </w:r>
            <w:r>
              <w:rPr>
                <w:rFonts w:ascii="宋体" w:hAnsi="宋体" w:cs="宋体" w:eastAsia="宋体" w:hint="default"/>
                <w:sz w:val="18"/>
                <w:szCs w:val="18"/>
              </w:rPr>
              <w:t> 刷品印刷（印刷经营许可证至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日止）、塑料包</w:t>
            </w:r>
            <w:r>
              <w:rPr>
                <w:rFonts w:ascii="宋体" w:hAnsi="宋体" w:cs="宋体" w:eastAsia="宋体" w:hint="default"/>
                <w:sz w:val="18"/>
                <w:szCs w:val="18"/>
              </w:rPr>
              <w:t> 装箱及容器制造、塑料零件制 </w:t>
            </w:r>
            <w:r>
              <w:rPr>
                <w:rFonts w:ascii="宋体" w:hAnsi="宋体" w:cs="宋体" w:eastAsia="宋体" w:hint="default"/>
                <w:spacing w:val="-11"/>
                <w:sz w:val="18"/>
                <w:szCs w:val="18"/>
              </w:rPr>
              <w:t>造、模具制造；五金交电、钢材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铝材、电子产品、器件和元件的</w:t>
            </w:r>
            <w:r>
              <w:rPr>
                <w:rFonts w:ascii="宋体" w:hAnsi="宋体" w:cs="宋体" w:eastAsia="宋体" w:hint="default"/>
                <w:sz w:val="18"/>
                <w:szCs w:val="18"/>
              </w:rPr>
              <w:t> </w:t>
            </w:r>
            <w:r>
              <w:rPr>
                <w:rFonts w:ascii="宋体" w:hAnsi="宋体" w:cs="宋体" w:eastAsia="宋体" w:hint="default"/>
                <w:spacing w:val="-11"/>
                <w:sz w:val="18"/>
                <w:szCs w:val="18"/>
              </w:rPr>
              <w:t>销售；货物进出口、技术进出口</w:t>
            </w:r>
          </w:p>
        </w:tc>
        <w:tc>
          <w:tcPr>
            <w:tcW w:w="85" w:type="dxa"/>
            <w:tcBorders>
              <w:top w:val="single" w:sz="4" w:space="0" w:color="000000"/>
              <w:left w:val="single" w:sz="4" w:space="0" w:color="000000"/>
              <w:bottom w:val="single" w:sz="4" w:space="0" w:color="000000"/>
              <w:right w:val="nil" w:sz="6" w:space="0" w:color="auto"/>
            </w:tcBorders>
          </w:tcPr>
          <w:p>
            <w:pPr/>
          </w:p>
        </w:tc>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烟台和 俊制盖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6"/>
              <w:jc w:val="both"/>
              <w:rPr>
                <w:rFonts w:ascii="宋体" w:hAnsi="宋体" w:cs="宋体" w:eastAsia="宋体" w:hint="default"/>
                <w:sz w:val="18"/>
                <w:szCs w:val="18"/>
              </w:rPr>
            </w:pPr>
            <w:r>
              <w:rPr>
                <w:rFonts w:ascii="宋体" w:hAnsi="宋体" w:cs="宋体" w:eastAsia="宋体" w:hint="default"/>
                <w:sz w:val="18"/>
                <w:szCs w:val="18"/>
              </w:rPr>
              <w:t>烟台市牟平 区姜格庄镇 邹革庄村</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t>247.26 </w:t>
            </w:r>
            <w:r>
              <w:rPr>
                <w:rFonts w:ascii="宋体" w:hAnsi="宋体" w:cs="宋体" w:eastAsia="宋体" w:hint="default"/>
                <w:sz w:val="18"/>
                <w:szCs w:val="18"/>
              </w:rPr>
              <w:t>万美 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生产加工瓶盖、瓶盖板、有色金</w:t>
            </w:r>
            <w:r>
              <w:rPr>
                <w:rFonts w:ascii="宋体" w:hAnsi="宋体" w:cs="宋体" w:eastAsia="宋体" w:hint="default"/>
                <w:sz w:val="18"/>
                <w:szCs w:val="18"/>
              </w:rPr>
              <w:t> </w:t>
            </w:r>
            <w:r>
              <w:rPr>
                <w:rFonts w:ascii="宋体" w:hAnsi="宋体" w:cs="宋体" w:eastAsia="宋体" w:hint="default"/>
                <w:spacing w:val="-4"/>
                <w:sz w:val="18"/>
                <w:szCs w:val="18"/>
              </w:rPr>
              <w:t>属复合材料、包装装潢印刷品印</w:t>
            </w:r>
            <w:r>
              <w:rPr>
                <w:rFonts w:ascii="宋体" w:hAnsi="宋体" w:cs="宋体" w:eastAsia="宋体" w:hint="default"/>
                <w:sz w:val="18"/>
                <w:szCs w:val="18"/>
              </w:rPr>
              <w:t> 刷（有效期至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日），并销售公司上述所列自产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产品。</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14,480,800.0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7,921,900.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北京鹏 和祥包 装制品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北京市怀柔 区桥梓镇八 龙桥雅苑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室</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pacing w:val="-11"/>
                <w:sz w:val="18"/>
                <w:szCs w:val="18"/>
              </w:rPr>
              <w:t>许可经营项目：生产、加工瓶盖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一般经营项目：销售自产产品。</w:t>
            </w:r>
          </w:p>
        </w:tc>
        <w:tc>
          <w:tcPr>
            <w:tcW w:w="85" w:type="dxa"/>
            <w:tcBorders>
              <w:top w:val="single" w:sz="4" w:space="0" w:color="000000"/>
              <w:left w:val="single" w:sz="4" w:space="0" w:color="000000"/>
              <w:bottom w:val="single" w:sz="4" w:space="0" w:color="000000"/>
              <w:right w:val="nil" w:sz="6" w:space="0" w:color="auto"/>
            </w:tcBorders>
          </w:tcPr>
          <w:p>
            <w:pPr/>
          </w:p>
        </w:tc>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1,504,600.00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74.99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2,110,800.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新疆军 鹏制盖 有限公</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新源县肖尔 布拉克</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自营和代理各类商品和技术的 </w:t>
            </w:r>
            <w:r>
              <w:rPr>
                <w:rFonts w:ascii="宋体" w:hAnsi="宋体" w:cs="宋体" w:eastAsia="宋体" w:hint="default"/>
                <w:spacing w:val="-4"/>
                <w:sz w:val="18"/>
                <w:szCs w:val="18"/>
              </w:rPr>
              <w:t>进出口，但国家限定公司经营或</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4,800,000.00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3" w:right="0"/>
              <w:jc w:val="center"/>
              <w:rPr>
                <w:rFonts w:ascii="Times New Roman" w:hAnsi="Times New Roman" w:cs="Times New Roman" w:eastAsia="Times New Roman" w:hint="default"/>
                <w:sz w:val="18"/>
                <w:szCs w:val="18"/>
              </w:rPr>
            </w:pPr>
            <w:r>
              <w:rPr>
                <w:rFonts w:ascii="Times New Roman"/>
                <w:sz w:val="18"/>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5,789,700.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3"/>
          <w:footerReference w:type="default" r:id="rId34"/>
          <w:pgSz w:w="16840" w:h="11910" w:orient="landscape"/>
          <w:pgMar w:header="867" w:footer="0" w:top="1060" w:bottom="0" w:left="1300" w:right="0"/>
        </w:sectPr>
      </w:pPr>
    </w:p>
    <w:p>
      <w:pPr>
        <w:spacing w:line="240" w:lineRule="auto" w:before="11"/>
        <w:rPr>
          <w:rFonts w:ascii="宋体" w:hAnsi="宋体" w:cs="宋体" w:eastAsia="宋体" w:hint="default"/>
          <w:sz w:val="2"/>
          <w:szCs w:val="2"/>
        </w:rPr>
      </w:pPr>
      <w:r>
        <w:rPr/>
        <w:pict>
          <v:shape style="position:absolute;margin-left:271.489990pt;margin-top:57.236008pt;width:178.35pt;height:48.75pt;mso-position-horizontal-relative:page;mso-position-vertical-relative:page;z-index:-67187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开展边境小额贸易业务。加工、</w:t>
                  </w:r>
                </w:p>
              </w:txbxContent>
            </v:textbox>
            <w10:wrap type="none"/>
          </v:shape>
        </w:pict>
      </w:r>
      <w:r>
        <w:rPr/>
        <w:pict>
          <v:group style="position:absolute;margin-left:706.919983pt;margin-top:518.320007pt;width:135pt;height:77pt;mso-position-horizontal-relative:page;mso-position-vertical-relative:page;z-index:-671776" coordorigin="14138,10366" coordsize="2700,1540">
            <v:shape style="position:absolute;left:14138;top:10366;width:2700;height:1540" type="#_x0000_t75" stroked="false">
              <v:imagedata r:id="rId15"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684"/>
        <w:gridCol w:w="684"/>
        <w:gridCol w:w="972"/>
        <w:gridCol w:w="540"/>
        <w:gridCol w:w="1081"/>
        <w:gridCol w:w="2520"/>
        <w:gridCol w:w="85"/>
        <w:gridCol w:w="995"/>
        <w:gridCol w:w="1080"/>
        <w:gridCol w:w="540"/>
        <w:gridCol w:w="720"/>
        <w:gridCol w:w="720"/>
        <w:gridCol w:w="901"/>
        <w:gridCol w:w="1080"/>
        <w:gridCol w:w="1440"/>
      </w:tblGrid>
      <w:tr>
        <w:trPr>
          <w:trHeight w:val="1001" w:hRule="exact"/>
        </w:trPr>
        <w:tc>
          <w:tcPr>
            <w:tcW w:w="684"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972"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540"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081"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2520"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生产各种铝防伪瓶盖，组合式防</w:t>
            </w:r>
            <w:r>
              <w:rPr>
                <w:rFonts w:ascii="宋体" w:hAnsi="宋体" w:cs="宋体" w:eastAsia="宋体" w:hint="default"/>
                <w:sz w:val="18"/>
                <w:szCs w:val="18"/>
              </w:rPr>
              <w:t> 伪瓶盖、模具机械设备</w:t>
            </w:r>
          </w:p>
        </w:tc>
        <w:tc>
          <w:tcPr>
            <w:tcW w:w="1080" w:type="dxa"/>
            <w:gridSpan w:val="2"/>
            <w:tcBorders>
              <w:top w:val="single" w:sz="15" w:space="0" w:color="000000"/>
              <w:left w:val="single" w:sz="4" w:space="0" w:color="000000"/>
              <w:bottom w:val="single" w:sz="4" w:space="0" w:color="000000"/>
              <w:right w:val="single" w:sz="4" w:space="0" w:color="000000"/>
            </w:tcBorders>
          </w:tcPr>
          <w:p>
            <w:pPr>
              <w:pStyle w:val="TableParagraph"/>
              <w:spacing w:line="974"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53.55pt;height:48.75pt;mso-position-horizontal-relative:char;mso-position-vertical-relative:line" coordorigin="0,0" coordsize="1071,975">
                  <v:group style="position:absolute;left:0;top:0;width:1071;height:975" coordorigin="0,0" coordsize="1071,975">
                    <v:shape style="position:absolute;left:0;top:0;width:1071;height:975" coordorigin="0,0" coordsize="1071,975" path="m0,975l1071,975,1071,0,0,0,0,975xe" filled="true" fillcolor="#ffffff" stroked="false">
                      <v:path arrowok="t"/>
                      <v:fill type="solid"/>
                    </v:shape>
                  </v:group>
                </v:group>
              </w:pict>
            </w:r>
            <w:r>
              <w:rPr>
                <w:rFonts w:ascii="宋体" w:hAnsi="宋体" w:cs="宋体" w:eastAsia="宋体" w:hint="default"/>
                <w:position w:val="-18"/>
                <w:sz w:val="20"/>
                <w:szCs w:val="20"/>
              </w:rPr>
            </w:r>
          </w:p>
        </w:tc>
        <w:tc>
          <w:tcPr>
            <w:tcW w:w="108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901" w:type="dxa"/>
            <w:tcBorders>
              <w:top w:val="single" w:sz="15" w:space="0" w:color="000000"/>
              <w:left w:val="single" w:sz="4" w:space="0" w:color="000000"/>
              <w:bottom w:val="single" w:sz="4" w:space="0" w:color="000000"/>
              <w:right w:val="single" w:sz="4" w:space="0" w:color="000000"/>
            </w:tcBorders>
          </w:tcPr>
          <w:p>
            <w:pPr/>
          </w:p>
        </w:tc>
        <w:tc>
          <w:tcPr>
            <w:tcW w:w="1080"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亳州丽 鹏制盖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亳州古井镇</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98"/>
              <w:jc w:val="both"/>
              <w:rPr>
                <w:rFonts w:ascii="宋体" w:hAnsi="宋体" w:cs="宋体" w:eastAsia="宋体" w:hint="default"/>
                <w:sz w:val="18"/>
                <w:szCs w:val="18"/>
              </w:rPr>
            </w:pPr>
            <w:r>
              <w:rPr>
                <w:rFonts w:ascii="宋体" w:hAnsi="宋体" w:cs="宋体" w:eastAsia="宋体" w:hint="default"/>
                <w:sz w:val="18"/>
                <w:szCs w:val="18"/>
              </w:rPr>
              <w:t>铝防伪瓶盖</w:t>
            </w:r>
            <w:r>
              <w:rPr>
                <w:rFonts w:ascii="Times New Roman" w:hAnsi="Times New Roman" w:cs="Times New Roman" w:eastAsia="Times New Roman" w:hint="default"/>
                <w:sz w:val="18"/>
                <w:szCs w:val="18"/>
              </w:rPr>
              <w:t>,</w:t>
            </w:r>
            <w:r>
              <w:rPr>
                <w:rFonts w:ascii="宋体" w:hAnsi="宋体" w:cs="宋体" w:eastAsia="宋体" w:hint="default"/>
                <w:sz w:val="18"/>
                <w:szCs w:val="18"/>
              </w:rPr>
              <w:t>组合式防伪瓶盖加 工销售</w:t>
            </w:r>
            <w:r>
              <w:rPr>
                <w:rFonts w:ascii="Times New Roman" w:hAnsi="Times New Roman" w:cs="Times New Roman" w:eastAsia="Times New Roman" w:hint="default"/>
                <w:sz w:val="18"/>
                <w:szCs w:val="18"/>
              </w:rPr>
              <w:t>,</w:t>
            </w:r>
            <w:r>
              <w:rPr>
                <w:rFonts w:ascii="宋体" w:hAnsi="宋体" w:cs="宋体" w:eastAsia="宋体" w:hint="default"/>
                <w:sz w:val="18"/>
                <w:szCs w:val="18"/>
              </w:rPr>
              <w:t>制盖模具、机械设备销 售</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8"/>
              <w:jc w:val="both"/>
              <w:rPr>
                <w:rFonts w:ascii="宋体" w:hAnsi="宋体" w:cs="宋体" w:eastAsia="宋体" w:hint="default"/>
                <w:sz w:val="18"/>
                <w:szCs w:val="18"/>
              </w:rPr>
            </w:pPr>
            <w:r>
              <w:rPr>
                <w:rFonts w:ascii="宋体" w:hAnsi="宋体" w:cs="宋体" w:eastAsia="宋体" w:hint="default"/>
                <w:sz w:val="18"/>
                <w:szCs w:val="18"/>
              </w:rPr>
              <w:t>四川泸 州丽鹏 制盖有 限公司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泸州市场江 阳区黄舣镇 泸州酒业集 中发展区聚 源大道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4"/>
                <w:sz w:val="18"/>
                <w:szCs w:val="18"/>
              </w:rPr>
              <w:t>铝防伪瓶盖、组合式防伪瓶盖生</w:t>
            </w:r>
            <w:r>
              <w:rPr>
                <w:rFonts w:ascii="宋体" w:hAnsi="宋体" w:cs="宋体" w:eastAsia="宋体" w:hint="default"/>
                <w:sz w:val="18"/>
                <w:szCs w:val="18"/>
              </w:rPr>
              <w:t> 产、销售</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9,106,900.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烟台丽 鹏包装 有限公 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芝罘区环海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13" w:space="0" w:color="FFFFFF"/>
            </w:tcBorders>
            <w:shd w:val="clear" w:color="auto" w:fill="CCE8CF"/>
          </w:tcPr>
          <w:p>
            <w:pPr>
              <w:pStyle w:val="TableParagraph"/>
              <w:spacing w:line="319" w:lineRule="auto" w:before="49"/>
              <w:ind w:left="23" w:right="7"/>
              <w:jc w:val="left"/>
              <w:rPr>
                <w:rFonts w:ascii="宋体" w:hAnsi="宋体" w:cs="宋体" w:eastAsia="宋体" w:hint="default"/>
                <w:sz w:val="18"/>
                <w:szCs w:val="18"/>
              </w:rPr>
            </w:pPr>
            <w:r>
              <w:rPr>
                <w:rFonts w:ascii="宋体" w:hAnsi="宋体" w:cs="宋体" w:eastAsia="宋体" w:hint="default"/>
                <w:spacing w:val="-4"/>
                <w:sz w:val="18"/>
                <w:szCs w:val="18"/>
              </w:rPr>
              <w:t>金属制品、塑料制品及模具的加</w:t>
            </w:r>
            <w:r>
              <w:rPr>
                <w:rFonts w:ascii="宋体" w:hAnsi="宋体" w:cs="宋体" w:eastAsia="宋体" w:hint="default"/>
                <w:sz w:val="18"/>
                <w:szCs w:val="18"/>
              </w:rPr>
              <w:t> </w:t>
            </w:r>
            <w:r>
              <w:rPr>
                <w:rFonts w:ascii="宋体" w:hAnsi="宋体" w:cs="宋体" w:eastAsia="宋体" w:hint="default"/>
                <w:spacing w:val="-16"/>
                <w:sz w:val="18"/>
                <w:szCs w:val="18"/>
              </w:rPr>
              <w:t>工、销售；商品及技术进出口（国</w:t>
            </w:r>
            <w:r>
              <w:rPr>
                <w:rFonts w:ascii="宋体" w:hAnsi="宋体" w:cs="宋体" w:eastAsia="宋体" w:hint="default"/>
                <w:sz w:val="18"/>
                <w:szCs w:val="18"/>
              </w:rPr>
              <w:t> </w:t>
            </w:r>
            <w:r>
              <w:rPr>
                <w:rFonts w:ascii="宋体" w:hAnsi="宋体" w:cs="宋体" w:eastAsia="宋体" w:hint="default"/>
                <w:spacing w:val="-11"/>
                <w:sz w:val="18"/>
                <w:szCs w:val="18"/>
              </w:rPr>
              <w:t>家禁止的除外，法律、行政法规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国务院决定、规定需许可或审批</w:t>
            </w:r>
            <w:r>
              <w:rPr>
                <w:rFonts w:ascii="宋体" w:hAnsi="宋体" w:cs="宋体" w:eastAsia="宋体" w:hint="default"/>
                <w:sz w:val="18"/>
                <w:szCs w:val="18"/>
              </w:rPr>
              <w:t> 的项目除外）</w:t>
            </w:r>
          </w:p>
        </w:tc>
        <w:tc>
          <w:tcPr>
            <w:tcW w:w="85" w:type="dxa"/>
            <w:tcBorders>
              <w:top w:val="single" w:sz="4" w:space="0" w:color="000000"/>
              <w:left w:val="single" w:sz="13" w:space="0" w:color="FFFFFF"/>
              <w:bottom w:val="single" w:sz="4" w:space="0" w:color="000000"/>
              <w:right w:val="nil" w:sz="6" w:space="0" w:color="auto"/>
            </w:tcBorders>
          </w:tcPr>
          <w:p>
            <w:pPr/>
          </w:p>
        </w:tc>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20" w:right="0"/>
        <w:jc w:val="left"/>
        <w:rPr>
          <w:b w:val="0"/>
          <w:bCs w:val="0"/>
        </w:rPr>
      </w:pPr>
      <w:r>
        <w:rPr/>
        <w:pict>
          <v:shape style="position:absolute;margin-left:390.173004pt;margin-top:-71.756325pt;width:58.5pt;height:22.05pt;mso-position-horizontal-relative:page;mso-position-vertical-relative:paragraph;z-index:-671848"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48999pt;margin-top:-71.756325pt;width:51.15pt;height:17.650pt;mso-position-horizontal-relative:page;mso-position-vertical-relative:paragraph;z-index:-671824" coordorigin="7950,-1435" coordsize="1023,353">
            <v:shape style="position:absolute;left:7950;top:-1435;width:1023;height:353" coordorigin="7950,-1435" coordsize="1023,353" path="m7950,-1082l8973,-1082,8973,-1435,7950,-1435,7950,-1082xe" filled="true" fillcolor="#ffffff" stroked="false">
              <v:path arrowok="t"/>
              <v:fill type="solid"/>
            </v:shape>
            <w10:wrap type="none"/>
          </v:group>
        </w:pict>
      </w: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684"/>
        <w:gridCol w:w="684"/>
        <w:gridCol w:w="972"/>
        <w:gridCol w:w="540"/>
        <w:gridCol w:w="1081"/>
        <w:gridCol w:w="2520"/>
        <w:gridCol w:w="1080"/>
        <w:gridCol w:w="1080"/>
        <w:gridCol w:w="540"/>
        <w:gridCol w:w="720"/>
        <w:gridCol w:w="720"/>
        <w:gridCol w:w="901"/>
        <w:gridCol w:w="1080"/>
        <w:gridCol w:w="1440"/>
      </w:tblGrid>
      <w:tr>
        <w:trPr>
          <w:trHeight w:val="223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355" w:right="82" w:hanging="269"/>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38"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40" w:right="3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66" w:right="8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从母公司所有者 权益冲减子公司 少数股东分担的 本期亏损超过少 数股东在该子公 司年初所有者权 益中所享有份额</w:t>
            </w:r>
          </w:p>
        </w:tc>
      </w:tr>
    </w:tbl>
    <w:p>
      <w:pPr>
        <w:spacing w:after="0" w:line="316" w:lineRule="auto"/>
        <w:jc w:val="both"/>
        <w:rPr>
          <w:rFonts w:ascii="宋体" w:hAnsi="宋体" w:cs="宋体" w:eastAsia="宋体" w:hint="default"/>
          <w:sz w:val="18"/>
          <w:szCs w:val="18"/>
        </w:rPr>
        <w:sectPr>
          <w:headerReference w:type="default" r:id="rId35"/>
          <w:footerReference w:type="default" r:id="rId36"/>
          <w:pgSz w:w="16840" w:h="11910" w:orient="landscape"/>
          <w:pgMar w:header="867" w:footer="0" w:top="1060" w:bottom="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706.919983pt;margin-top:518.320007pt;width:135pt;height:77pt;mso-position-horizontal-relative:page;mso-position-vertical-relative:page;z-index:2512" coordorigin="14138,10366" coordsize="2700,1540">
            <v:shape style="position:absolute;left:14138;top:10366;width:2700;height:1540" type="#_x0000_t75" stroked="false">
              <v:imagedata r:id="rId15"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w:t>
                    </w:r>
                  </w:p>
                </w:txbxContent>
              </v:textbox>
              <w10:wrap type="none"/>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684"/>
        <w:gridCol w:w="684"/>
        <w:gridCol w:w="972"/>
        <w:gridCol w:w="540"/>
        <w:gridCol w:w="1081"/>
        <w:gridCol w:w="2520"/>
        <w:gridCol w:w="1080"/>
        <w:gridCol w:w="1080"/>
        <w:gridCol w:w="540"/>
        <w:gridCol w:w="720"/>
        <w:gridCol w:w="720"/>
        <w:gridCol w:w="901"/>
        <w:gridCol w:w="1080"/>
        <w:gridCol w:w="1440"/>
      </w:tblGrid>
      <w:tr>
        <w:trPr>
          <w:trHeight w:val="371" w:hRule="exact"/>
        </w:trPr>
        <w:tc>
          <w:tcPr>
            <w:tcW w:w="68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7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4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25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4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0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后的余额</w:t>
            </w:r>
          </w:p>
        </w:tc>
      </w:tr>
      <w:tr>
        <w:trPr>
          <w:trHeight w:val="1344" w:hRule="exact"/>
        </w:trPr>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大冶市 劲鹏制 盖有限 公司</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36"/>
              <w:jc w:val="left"/>
              <w:rPr>
                <w:rFonts w:ascii="宋体" w:hAnsi="宋体" w:cs="宋体" w:eastAsia="宋体" w:hint="default"/>
                <w:sz w:val="18"/>
                <w:szCs w:val="18"/>
              </w:rPr>
            </w:pPr>
            <w:r>
              <w:rPr>
                <w:rFonts w:ascii="宋体" w:hAnsi="宋体" w:cs="宋体" w:eastAsia="宋体" w:hint="default"/>
                <w:sz w:val="18"/>
                <w:szCs w:val="18"/>
              </w:rPr>
              <w:t>大冶市罗桥 办十里铺村</w:t>
            </w:r>
          </w:p>
        </w:tc>
        <w:tc>
          <w:tcPr>
            <w:tcW w:w="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4"/>
                <w:sz w:val="18"/>
                <w:szCs w:val="18"/>
              </w:rPr>
              <w:t>制造加工及销售防伪瓶盖、机械</w:t>
            </w:r>
            <w:r>
              <w:rPr>
                <w:rFonts w:ascii="宋体" w:hAnsi="宋体" w:cs="宋体" w:eastAsia="宋体" w:hint="default"/>
                <w:sz w:val="18"/>
                <w:szCs w:val="18"/>
              </w:rPr>
              <w:t> </w:t>
            </w:r>
            <w:r>
              <w:rPr>
                <w:rFonts w:ascii="宋体" w:hAnsi="宋体" w:cs="宋体" w:eastAsia="宋体" w:hint="default"/>
                <w:spacing w:val="-4"/>
                <w:sz w:val="18"/>
                <w:szCs w:val="18"/>
              </w:rPr>
              <w:t>模具制作、橡胶塑料制品，货物</w:t>
            </w:r>
            <w:r>
              <w:rPr>
                <w:rFonts w:ascii="宋体" w:hAnsi="宋体" w:cs="宋体" w:eastAsia="宋体" w:hint="default"/>
                <w:sz w:val="18"/>
                <w:szCs w:val="18"/>
              </w:rPr>
              <w:t> 进出口业务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88" w:right="0"/>
              <w:jc w:val="lef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68" w:right="0"/>
              <w:jc w:val="lef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6840" w:h="11910" w:orient="landscape"/>
          <w:pgMar w:header="867" w:footer="0" w:top="106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123"/>
        <w:jc w:val="left"/>
      </w:pPr>
      <w:r>
        <w:rPr/>
        <w:t>合并报表范围发生变更说明</w:t>
      </w:r>
    </w:p>
    <w:p>
      <w:pPr>
        <w:pStyle w:val="BodyText"/>
        <w:spacing w:line="307" w:lineRule="auto" w:before="78"/>
        <w:ind w:right="6135"/>
        <w:jc w:val="left"/>
      </w:pPr>
      <w:r>
        <w:rPr/>
        <w:t>√ 适用 □ 不适用</w:t>
      </w:r>
      <w:r>
        <w:rPr>
          <w:spacing w:val="-104"/>
        </w:rPr>
        <w:t> </w:t>
      </w:r>
      <w:r>
        <w:rPr>
          <w:spacing w:val="-104"/>
        </w:rPr>
      </w:r>
      <w:r>
        <w:rPr/>
        <w:t>与上年相比本年（期）新增合并单位</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290" w:lineRule="auto"/>
        <w:ind w:right="1123" w:firstLine="420"/>
        <w:jc w:val="left"/>
      </w:pPr>
      <w:r>
        <w:rPr/>
        <w:t>报告期内，投资</w:t>
      </w:r>
      <w:r>
        <w:rPr>
          <w:rFonts w:ascii="Times New Roman" w:hAnsi="Times New Roman" w:cs="Times New Roman" w:eastAsia="Times New Roman" w:hint="default"/>
        </w:rPr>
        <w:t>1000</w:t>
      </w:r>
      <w:r>
        <w:rPr/>
        <w:t>万元设立全资子公司烟台丽鹏包装有限公司。</w:t>
      </w:r>
      <w:r>
        <w:rPr>
          <w:w w:val="100"/>
        </w:rPr>
        <w:t> </w:t>
      </w:r>
      <w:r>
        <w:rPr/>
        <w:t>与上年相比本年（期）减少合并单位</w:t>
      </w:r>
      <w:r>
        <w:rPr>
          <w:spacing w:val="-52"/>
        </w:rPr>
        <w:t> </w:t>
      </w:r>
      <w:r>
        <w:rPr>
          <w:rFonts w:ascii="Times New Roman" w:hAnsi="Times New Roman" w:cs="Times New Roman" w:eastAsia="Times New Roman" w:hint="default"/>
        </w:rPr>
        <w:t>0 </w:t>
      </w:r>
      <w:r>
        <w:rPr/>
        <w:t>家</w:t>
      </w:r>
    </w:p>
    <w:p>
      <w:pPr>
        <w:spacing w:line="614" w:lineRule="exact" w:before="24"/>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100"/>
          <w:sz w:val="21"/>
          <w:szCs w:val="21"/>
        </w:rPr>
        <w:t> </w:t>
      </w:r>
      <w:r>
        <w:rPr>
          <w:rFonts w:ascii="宋体" w:hAnsi="宋体" w:cs="宋体" w:eastAsia="宋体" w:hint="default"/>
          <w:spacing w:val="-2"/>
          <w:sz w:val="21"/>
          <w:szCs w:val="21"/>
        </w:rPr>
        <w:t>本期新纳入合并范围的子公司、特殊目的主体、通过受托经营或承租等方式形成控制权的经营实体</w:t>
      </w:r>
    </w:p>
    <w:p>
      <w:pPr>
        <w:spacing w:before="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397"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8" w:hRule="exact"/>
        </w:trPr>
        <w:tc>
          <w:tcPr>
            <w:tcW w:w="40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烟台丽鹏包装有限公司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2" w:right="0"/>
              <w:jc w:val="left"/>
              <w:rPr>
                <w:rFonts w:ascii="Times New Roman" w:hAnsi="Times New Roman" w:cs="Times New Roman" w:eastAsia="Times New Roman" w:hint="default"/>
                <w:sz w:val="18"/>
                <w:szCs w:val="18"/>
              </w:rPr>
            </w:pPr>
            <w:r>
              <w:rPr>
                <w:rFonts w:ascii="Times New Roman"/>
                <w:sz w:val="18"/>
              </w:rPr>
              <w:t>9,814,310.04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42" w:right="0"/>
              <w:jc w:val="left"/>
              <w:rPr>
                <w:rFonts w:ascii="Times New Roman" w:hAnsi="Times New Roman" w:cs="Times New Roman" w:eastAsia="Times New Roman" w:hint="default"/>
                <w:sz w:val="18"/>
                <w:szCs w:val="18"/>
              </w:rPr>
            </w:pPr>
            <w:r>
              <w:rPr>
                <w:rFonts w:ascii="Times New Roman"/>
                <w:sz w:val="18"/>
              </w:rPr>
              <w:t>-185,689.96</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4"/>
      </w:tblGrid>
      <w:tr>
        <w:trPr>
          <w:trHeight w:val="206" w:hRule="exact"/>
        </w:trPr>
        <w:tc>
          <w:tcPr>
            <w:tcW w:w="1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8"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1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499,152.63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567,728.08</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483,623.67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552,488.69</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1,867.00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15,528.96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1,867.00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15,239.39</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312,722,356.04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82,225,369.46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309,226,774.06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80,509,712.27</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556,128.27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3,495,544.24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272,287.64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1,715,657.19</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37.74</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34,801,731.35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48,370,000.00</w:t>
            </w:r>
          </w:p>
        </w:tc>
      </w:tr>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34,801,731.35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48,370,000.00</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348,023,240.02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131,163,097.54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headerReference w:type="default" r:id="rId39"/>
          <w:footerReference w:type="default" r:id="rId40"/>
          <w:pgSz w:w="11910" w:h="16840"/>
          <w:pgMar w:header="877" w:footer="1253" w:top="1100" w:bottom="1440" w:left="980" w:right="0"/>
          <w:pgNumType w:start="82"/>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17,278,007.00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21,506,233.65</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17,278,007.00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21,506,233.65</w:t>
            </w:r>
          </w:p>
        </w:tc>
      </w:tr>
    </w:tbl>
    <w:p>
      <w:pPr>
        <w:spacing w:line="240" w:lineRule="auto" w:before="3"/>
        <w:rPr>
          <w:rFonts w:ascii="宋体" w:hAnsi="宋体" w:cs="宋体" w:eastAsia="宋体" w:hint="default"/>
          <w:sz w:val="19"/>
          <w:szCs w:val="19"/>
        </w:rPr>
      </w:pPr>
    </w:p>
    <w:p>
      <w:pPr>
        <w:pStyle w:val="Heading4"/>
        <w:spacing w:line="256" w:lineRule="auto" w:before="36"/>
        <w:ind w:right="1123"/>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53" w:top="1100" w:bottom="1540" w:left="980" w:right="0"/>
        </w:sectPr>
      </w:pPr>
    </w:p>
    <w:p>
      <w:pPr>
        <w:pStyle w:val="BodyText"/>
        <w:spacing w:line="240" w:lineRule="auto" w:before="36"/>
        <w:ind w:right="0"/>
        <w:jc w:val="left"/>
      </w:pPr>
      <w:r>
        <w:rPr>
          <w:spacing w:val="-2"/>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939" w:space="4891"/>
            <w:col w:w="210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安徽省创新商贸有限公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河南关天金属材料有限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安徽双轮酒业有限责任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安徽双轮酒业有限责任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安徽双轮酒业有限责任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916"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93,096,915.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7,777,758.1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66,994,27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5,576,715.07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93,096,915.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7,777,758.1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66,994,27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5,576,715.07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93,096,915.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7,777,758.1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66,994,27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5,576,715.07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7" w:lineRule="auto" w:before="28"/>
        <w:ind w:right="5085"/>
        <w:jc w:val="left"/>
      </w:pPr>
      <w:r>
        <w:rPr/>
        <w:t>应收账款种类的说明</w:t>
      </w:r>
      <w:r>
        <w:rPr>
          <w:w w:val="100"/>
        </w:rPr>
        <w:t> </w:t>
      </w:r>
      <w:r>
        <w:rPr>
          <w:spacing w:val="-2"/>
        </w:rPr>
        <w:t>期末单项金额重大并单项计提坏账准备的应收账款</w:t>
      </w:r>
    </w:p>
    <w:p>
      <w:pPr>
        <w:pStyle w:val="BodyText"/>
        <w:spacing w:line="240" w:lineRule="auto" w:before="1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540" w:left="980" w:right="0"/>
        </w:sect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253" w:top="1100" w:bottom="1540" w:left="980" w:right="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568" w:space="4262"/>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600"/>
        <w:gridCol w:w="929"/>
        <w:gridCol w:w="1728"/>
        <w:gridCol w:w="1460"/>
        <w:gridCol w:w="931"/>
        <w:gridCol w:w="1459"/>
      </w:tblGrid>
      <w:tr>
        <w:trPr>
          <w:trHeight w:val="40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52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82,012,706.78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2" w:right="0"/>
              <w:jc w:val="left"/>
              <w:rPr>
                <w:rFonts w:ascii="Times New Roman" w:hAnsi="Times New Roman" w:cs="Times New Roman" w:eastAsia="Times New Roman" w:hint="default"/>
                <w:sz w:val="18"/>
                <w:szCs w:val="18"/>
              </w:rPr>
            </w:pPr>
            <w:r>
              <w:rPr>
                <w:rFonts w:ascii="Times New Roman"/>
                <w:sz w:val="18"/>
              </w:rPr>
              <w:t>88.09%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4,100,635.34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60,031,536.04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3,001,576.80</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4,885,460.03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488,546.00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4,420,029.54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442,002.96</w:t>
            </w:r>
          </w:p>
        </w:tc>
      </w:tr>
      <w:tr>
        <w:trPr>
          <w:trHeight w:val="404"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3,762,714.97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1" w:right="0"/>
              <w:jc w:val="left"/>
              <w:rPr>
                <w:rFonts w:ascii="Times New Roman" w:hAnsi="Times New Roman" w:cs="Times New Roman" w:eastAsia="Times New Roman" w:hint="default"/>
                <w:sz w:val="18"/>
                <w:szCs w:val="18"/>
              </w:rPr>
            </w:pPr>
            <w:r>
              <w:rPr>
                <w:rFonts w:ascii="Times New Roman"/>
                <w:sz w:val="18"/>
              </w:rPr>
              <w:t>4.04%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752,542.99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511,969.44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0.76%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102,393.89</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2,436,033.78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2,436,033.78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2,030,741.42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2,030,741.42</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93,096,915.56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7,777,758.11</w:t>
            </w:r>
          </w:p>
        </w:tc>
        <w:tc>
          <w:tcPr>
            <w:tcW w:w="146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66,994,276.44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5,576,715.07</w:t>
            </w:r>
          </w:p>
        </w:tc>
      </w:tr>
    </w:tbl>
    <w:p>
      <w:pPr>
        <w:pStyle w:val="BodyText"/>
        <w:spacing w:line="240" w:lineRule="auto" w:before="28"/>
        <w:ind w:right="1123"/>
        <w:jc w:val="left"/>
      </w:pPr>
      <w:r>
        <w:rPr/>
        <w:t>组合中，采用余额百分比法计提坏账准备的应收账款</w:t>
      </w:r>
    </w:p>
    <w:p>
      <w:pPr>
        <w:pStyle w:val="BodyText"/>
        <w:spacing w:line="290" w:lineRule="auto" w:before="75"/>
        <w:ind w:right="5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90" w:lineRule="auto" w:before="34"/>
        <w:ind w:right="5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期末单项金额虽不重大但单项计提坏账准备的应收账款</w:t>
      </w:r>
    </w:p>
    <w:p>
      <w:pPr>
        <w:pStyle w:val="BodyText"/>
        <w:spacing w:line="240" w:lineRule="auto" w:before="3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20,561,903.54</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安徽种子酒厂</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4,960,337.10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安徽古井贡酒股份有限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4,725,908.47</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湖北劲牌保健酒业有限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4,703,323.55</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俄罗斯哈吉斯酒厂</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4,217,231.40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39,168,704.06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42.08%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3,186,030.56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228,486.36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1,286,479.25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178,907.72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13.91%</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3,186,030.56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228,486.36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1,286,479.25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178,907.72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3,186,030.56</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228,486.36</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1,286,479.25</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178,907.72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53" w:top="1100" w:bottom="1540" w:left="980" w:right="0"/>
        </w:sectPr>
      </w:pPr>
    </w:p>
    <w:p>
      <w:pPr>
        <w:pStyle w:val="BodyText"/>
        <w:spacing w:line="240" w:lineRule="auto" w:before="28"/>
        <w:ind w:right="0"/>
        <w:jc w:val="left"/>
      </w:pPr>
      <w:r>
        <w:rPr>
          <w:spacing w:val="-2"/>
        </w:rPr>
        <w:t>期末单项金额重大并单项计提坏账准备的其他应收款</w:t>
      </w:r>
    </w:p>
    <w:p>
      <w:pPr>
        <w:pStyle w:val="BodyText"/>
        <w:spacing w:line="29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组合中，采用账龄分析法计提坏账准备的其他应收款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988" w:space="3842"/>
            <w:col w:w="210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859"/>
        <w:gridCol w:w="646"/>
        <w:gridCol w:w="1459"/>
        <w:gridCol w:w="1450"/>
        <w:gridCol w:w="652"/>
        <w:gridCol w:w="1668"/>
      </w:tblGrid>
      <w:tr>
        <w:trPr>
          <w:trHeight w:val="403" w:hRule="exact"/>
        </w:trPr>
        <w:tc>
          <w:tcPr>
            <w:tcW w:w="1824" w:type="dxa"/>
            <w:vMerge w:val="restart"/>
            <w:tcBorders>
              <w:top w:val="single" w:sz="4" w:space="0" w:color="000000"/>
              <w:left w:val="single" w:sz="4" w:space="0" w:color="000000"/>
              <w:right w:val="single" w:sz="4" w:space="0" w:color="000000"/>
            </w:tcBorders>
            <w:shd w:val="clear" w:color="auto" w:fill="D2D2D2"/>
          </w:tcPr>
          <w:p>
            <w:pP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824" w:type="dxa"/>
            <w:vMerge/>
            <w:tcBorders>
              <w:left w:val="single" w:sz="4" w:space="0" w:color="000000"/>
              <w:bottom w:val="single" w:sz="5"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824" w:type="dxa"/>
            <w:vMerge w:val="restart"/>
            <w:tcBorders>
              <w:top w:val="single" w:sz="5" w:space="0" w:color="FFFFFF"/>
              <w:left w:val="single" w:sz="4" w:space="0" w:color="000000"/>
              <w:right w:val="single" w:sz="4" w:space="0" w:color="000000"/>
            </w:tcBorders>
            <w:shd w:val="clear" w:color="auto" w:fill="D2D2D2"/>
          </w:tcPr>
          <w:p>
            <w:pPr/>
          </w:p>
        </w:tc>
        <w:tc>
          <w:tcPr>
            <w:tcW w:w="1859"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4"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4"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2,183,908.96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68.54%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109,195.45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743,437.14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37,171.85</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939,145.21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29.48%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93,914.52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437,853.87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43,785.39</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9,400.00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9,047.20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1,809.44</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15,976.39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15,976.39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96,141.04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96,141.04</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3,186,030.56</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228,486.36</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1,286,479.25</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178,907.72</w:t>
            </w:r>
          </w:p>
        </w:tc>
      </w:tr>
    </w:tbl>
    <w:p>
      <w:pPr>
        <w:pStyle w:val="BodyText"/>
        <w:spacing w:line="240" w:lineRule="auto" w:before="28"/>
        <w:ind w:right="1123"/>
        <w:jc w:val="left"/>
      </w:pPr>
      <w:r>
        <w:rPr/>
        <w:t>组合中，采用余额百分比法计提坏账准备的其他应收款</w:t>
      </w:r>
    </w:p>
    <w:p>
      <w:pPr>
        <w:pStyle w:val="BodyText"/>
        <w:spacing w:line="290" w:lineRule="auto" w:before="76"/>
        <w:ind w:right="5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90" w:lineRule="auto" w:before="31"/>
        <w:ind w:right="50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期末单项金额虽不重大但单项计提坏账准备的其他应收款</w:t>
      </w:r>
    </w:p>
    <w:p>
      <w:pPr>
        <w:pStyle w:val="BodyText"/>
        <w:spacing w:line="240" w:lineRule="auto" w:before="3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亳州市人力资源和社会 保障局</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25.11%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泸州酒业集中发展区有 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河北衡水老白干酒业股 份有限公司酿酒分公司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安徽古井贡酒股份有限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烟台市牟平区建设局</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73.13%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9"/>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39,743,745.78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83.56%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32,387,000.02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87.77%</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7,079,005.80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4,421,688.57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11.98%</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651,752.52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89,889.88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89,889.88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47,564,393.98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36,898,578.47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姜格庄台湾工业园</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6,723,682.00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购地款</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烟台市中盛房地产开发 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购房款</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意大利塑料金属公司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3,819,691.21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尚未到货</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意大利欧姆索公司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3,257,987.40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尚未到货</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意大利</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BORTOLINKEMO</w:t>
            </w:r>
            <w:r>
              <w:rPr>
                <w:rFonts w:ascii="Times New Roman"/>
                <w:spacing w:val="-19"/>
                <w:sz w:val="18"/>
              </w:rPr>
              <w:t> </w:t>
            </w:r>
            <w:r>
              <w:rPr>
                <w:rFonts w:ascii="Times New Roman"/>
                <w:spacing w:val="-5"/>
                <w:sz w:val="18"/>
              </w:rPr>
              <w:t>SPA</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设备供应商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2,522,363.69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尚未到货</w:t>
            </w:r>
          </w:p>
        </w:tc>
      </w:tr>
    </w:tbl>
    <w:p>
      <w:pPr>
        <w:spacing w:after="0" w:line="240" w:lineRule="auto"/>
        <w:jc w:val="left"/>
        <w:rPr>
          <w:rFonts w:ascii="宋体" w:hAnsi="宋体" w:cs="宋体" w:eastAsia="宋体" w:hint="default"/>
          <w:sz w:val="18"/>
          <w:szCs w:val="18"/>
        </w:rPr>
        <w:sectPr>
          <w:pgSz w:w="11910" w:h="16840"/>
          <w:pgMar w:header="877" w:footer="1253" w:top="1100" w:bottom="154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917"/>
        <w:gridCol w:w="1903"/>
        <w:gridCol w:w="1926"/>
        <w:gridCol w:w="1914"/>
        <w:gridCol w:w="1914"/>
      </w:tblGrid>
      <w:tr>
        <w:trPr>
          <w:trHeight w:val="40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22,123,724.30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81,296,875.84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81,296,875.84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77,897,774.76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77,897,774.76</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13,166,651.14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13,166,651.14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7,400,503.67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7,400,503.67</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69,980,522.66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68,938,169.27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62,595,637.89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680,866.21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61,914,771.68</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164,444,049.64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163,401,696.25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147,893,916.32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680,866.21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147,213,050.11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1,042,353.39</w:t>
            </w:r>
          </w:p>
        </w:tc>
      </w:tr>
      <w:tr>
        <w:trPr>
          <w:trHeight w:val="404"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1,042,353.39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5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20" w:hRule="exact"/>
        </w:trPr>
        <w:tc>
          <w:tcPr>
            <w:tcW w:w="7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4" w:right="39"/>
              <w:jc w:val="left"/>
              <w:rPr>
                <w:rFonts w:ascii="宋体" w:hAnsi="宋体" w:cs="宋体" w:eastAsia="宋体" w:hint="default"/>
                <w:sz w:val="18"/>
                <w:szCs w:val="18"/>
              </w:rPr>
            </w:pPr>
            <w:r>
              <w:rPr>
                <w:rFonts w:ascii="宋体" w:hAnsi="宋体" w:cs="宋体" w:eastAsia="宋体" w:hint="default"/>
                <w:sz w:val="18"/>
                <w:szCs w:val="18"/>
              </w:rPr>
              <w:t>姜格庄农 村信用社</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164,249.7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0" w:hRule="exact"/>
        </w:trPr>
        <w:tc>
          <w:tcPr>
            <w:tcW w:w="7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成都商业 银行股份 有限公司 蒲江鹤山 分理处分</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3"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363"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红</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四川融圣 投资管理 股份有限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13,287,49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13,287,49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13,287,49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866,670.23</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544,668.91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322,001.32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336,270.23</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211,332.91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124,937.32</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530,400.00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333,336.00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197,064.00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177,914.04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15,872.36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119,695.24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74,091.16</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134,598.04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8,042.16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88,583.88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54,056.32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43,316.00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7,830.20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31,111.36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20,034.84</w:t>
            </w:r>
          </w:p>
        </w:tc>
      </w:tr>
      <w:tr>
        <w:trPr>
          <w:trHeight w:val="71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688,756.19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-15,872.36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424,973.67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247,910.16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201,672.19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-8,042.16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122,749.03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70,881.00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487,084.00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302,224.84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177,029.16</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688,756.19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-15,872.36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424,973.67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247,910.16</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201,672.19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-8,042.16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122,749.03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70,881.00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487,084.00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302,224.84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177,029.16</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15,872.36</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53" w:top="1100" w:bottom="152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18"/>
        <w:gridCol w:w="1473"/>
        <w:gridCol w:w="1327"/>
        <w:gridCol w:w="1594"/>
        <w:gridCol w:w="1597"/>
        <w:gridCol w:w="1459"/>
      </w:tblGrid>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435,224,274.14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4" w:right="0"/>
              <w:jc w:val="left"/>
              <w:rPr>
                <w:rFonts w:ascii="Times New Roman" w:hAnsi="Times New Roman" w:cs="Times New Roman" w:eastAsia="Times New Roman" w:hint="default"/>
                <w:sz w:val="18"/>
                <w:szCs w:val="18"/>
              </w:rPr>
            </w:pPr>
            <w:r>
              <w:rPr>
                <w:rFonts w:ascii="Times New Roman"/>
                <w:sz w:val="18"/>
              </w:rPr>
              <w:t>108,441,801.90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11,569,634.89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532,096,441.15</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156,015,877.21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28,274,839.39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184,290,716.60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184,290,716.60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255,707,632.11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79,283,259.77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11,330,508.08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323,660,383.80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15,153,621.38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522,107.05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136,386.48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15,539,341.95</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8,347,143.44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361,595.69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102,740.33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8,605,998.80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65,839,111.22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35,259,825.79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6,622,872.97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94,476,064.04</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11,888,045.16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4,252,100.99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16,140,146.15</w:t>
            </w:r>
          </w:p>
        </w:tc>
      </w:tr>
      <w:tr>
        <w:trPr>
          <w:trHeight w:val="404"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44,255,577.72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28,827,081.75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6,519,441.43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66,563,218.04</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6,107,044.82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1,227,735.57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21,954.24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7,312,826.15</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3,588,443.52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952,907.48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81,477.30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4,459,873.70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369,385,162.92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437,620,377.11</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144,127,832.05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168,150,570.45</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211,452,054.39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257,097,165.76</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9,046,576.56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8,226,515.80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4,758,699.92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4,146,125.10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105,236.11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105,236.11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369,279,926.81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437,515,141.00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144,127,832.05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168,150,570.45</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211,346,818.28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256,991,929.65</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9,046,576.56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8,226,515.80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w w:val="95"/>
                <w:sz w:val="18"/>
              </w:rPr>
              <w:t>4,758,699.92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4,146,125.10</w:t>
            </w:r>
          </w:p>
        </w:tc>
      </w:tr>
    </w:tbl>
    <w:p>
      <w:pPr>
        <w:pStyle w:val="BodyText"/>
        <w:spacing w:line="240" w:lineRule="auto" w:before="28"/>
        <w:ind w:right="1123"/>
        <w:jc w:val="left"/>
      </w:pPr>
      <w:r>
        <w:rPr/>
        <w:t>本期折旧额</w:t>
      </w:r>
      <w:r>
        <w:rPr>
          <w:spacing w:val="-56"/>
        </w:rPr>
        <w:t> </w:t>
      </w:r>
      <w:r>
        <w:rPr>
          <w:rFonts w:ascii="Times New Roman" w:hAnsi="Times New Roman" w:cs="Times New Roman" w:eastAsia="Times New Roman" w:hint="default"/>
        </w:rPr>
        <w:t>35,259,825.79</w:t>
      </w:r>
      <w:r>
        <w:rPr>
          <w:rFonts w:ascii="Times New Roman" w:hAnsi="Times New Roman" w:cs="Times New Roman" w:eastAsia="Times New Roman" w:hint="default"/>
          <w:spacing w:val="-6"/>
        </w:rPr>
        <w:t> </w:t>
      </w:r>
      <w:r>
        <w:rPr/>
        <w:t>元；本期由在建工程转入固定资产原价为</w:t>
      </w:r>
      <w:r>
        <w:rPr>
          <w:spacing w:val="-56"/>
        </w:rPr>
        <w:t> </w:t>
      </w:r>
      <w:r>
        <w:rPr>
          <w:rFonts w:ascii="Times New Roman" w:hAnsi="Times New Roman" w:cs="Times New Roman" w:eastAsia="Times New Roman" w:hint="default"/>
        </w:rPr>
        <w:t>41,024,623.11</w:t>
      </w:r>
      <w:r>
        <w:rPr>
          <w:rFonts w:ascii="Times New Roman" w:hAnsi="Times New Roman" w:cs="Times New Roman" w:eastAsia="Times New Roman" w:hint="default"/>
          <w:spacing w:val="-6"/>
        </w:rPr>
        <w:t> </w:t>
      </w:r>
      <w:r>
        <w:rPr/>
        <w:t>元。</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瓶盖新车间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印铁新车间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大冶劲鹏厂房</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新铝塑车间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877" w:footer="1253" w:top="1100" w:bottom="152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新模具车间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泸州丽鹏厂房</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0"/>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海川科研楼工程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2,500,845.00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2,500,845.00</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亳州高档组合式防伪瓶盖项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30,816,986.87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30,816,986.87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两亿只组合式防伪瓶盖项目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3,995,716.47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3,995,716.47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1,872,246.60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1,872,246.60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724,326.82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724,326.82</w:t>
            </w:r>
          </w:p>
        </w:tc>
      </w:tr>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泸州丽鹏安装中设备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11,629,900.70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11,629,900.70</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模具制造生产线项目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4,191,000.00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4,191,000.00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40,875,949.94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40,875,949.94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14,855,072.52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14,855,072.52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6"/>
        <w:gridCol w:w="736"/>
        <w:gridCol w:w="737"/>
      </w:tblGrid>
      <w:tr>
        <w:trPr>
          <w:trHeight w:val="1332"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032"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59"/>
              <w:jc w:val="both"/>
              <w:rPr>
                <w:rFonts w:ascii="宋体" w:hAnsi="宋体" w:cs="宋体" w:eastAsia="宋体" w:hint="default"/>
                <w:sz w:val="18"/>
                <w:szCs w:val="18"/>
              </w:rPr>
            </w:pPr>
            <w:r>
              <w:rPr>
                <w:rFonts w:ascii="宋体" w:hAnsi="宋体" w:cs="宋体" w:eastAsia="宋体" w:hint="default"/>
                <w:sz w:val="18"/>
                <w:szCs w:val="18"/>
              </w:rPr>
              <w:t>海川科 研楼工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2,500,84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2,912,54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亳州高 档组合 式防伪 瓶盖项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30,816,9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86.87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30,816,9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86.87</w:t>
            </w:r>
          </w:p>
        </w:tc>
      </w:tr>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两亿只 组合式 防伪瓶 盖项目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20,517,8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16,522,1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3,995,71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6.47</w:t>
            </w:r>
          </w:p>
        </w:tc>
      </w:tr>
      <w:tr>
        <w:trPr>
          <w:trHeight w:val="401"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其他零</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 w:right="0"/>
              <w:jc w:val="center"/>
              <w:rPr>
                <w:rFonts w:ascii="Times New Roman" w:hAnsi="Times New Roman" w:cs="Times New Roman" w:eastAsia="Times New Roman" w:hint="default"/>
                <w:sz w:val="18"/>
                <w:szCs w:val="18"/>
              </w:rPr>
            </w:pPr>
            <w:r>
              <w:rPr>
                <w:rFonts w:ascii="Times New Roman"/>
                <w:sz w:val="18"/>
              </w:rPr>
              <w:t>724,326.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4,281,31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3,133,39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 w:right="0"/>
              <w:jc w:val="center"/>
              <w:rPr>
                <w:rFonts w:ascii="Times New Roman" w:hAnsi="Times New Roman" w:cs="Times New Roman" w:eastAsia="Times New Roman" w:hint="default"/>
                <w:sz w:val="18"/>
                <w:szCs w:val="18"/>
              </w:rPr>
            </w:pPr>
            <w:r>
              <w:rPr>
                <w:rFonts w:ascii="Times New Roman"/>
                <w:sz w:val="18"/>
              </w:rPr>
              <w:t>1,872,24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53" w:top="1100" w:bottom="152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6"/>
        <w:gridCol w:w="736"/>
        <w:gridCol w:w="737"/>
      </w:tblGrid>
      <w:tr>
        <w:trPr>
          <w:trHeight w:val="363"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星工程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5.19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5.41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6.60</w:t>
            </w:r>
          </w:p>
        </w:tc>
      </w:tr>
      <w:tr>
        <w:trPr>
          <w:trHeight w:val="1025"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泸州丽 鹏安装 中设备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11,629,9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6,826,62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18,456,5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模具制 造生产 线项目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4,191,00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0.07%</w:t>
            </w:r>
          </w:p>
        </w:tc>
        <w:tc>
          <w:tcPr>
            <w:tcW w:w="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10.00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4,191,00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40,875,9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49.94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亳州高档组合式防伪瓶盖项目</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两亿只组合式防伪瓶盖项目</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模具制造生产线项目</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24,270,075.20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10,161,336.00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34,431,411.20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24,270,075.20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10,161,336.00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34,431,411.20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1,199,372.69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685,597.76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1,884,970.45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1,199,372.69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685,597.76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1,884,970.45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23,070,702.51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9,475,738.24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32,546,440.75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23,070,702.51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9,475,738.24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32,546,440.75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23,070,702.51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9,475,738.24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32,546,440.75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23,070,702.51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9,475,738.24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32,546,440.75</w:t>
            </w:r>
          </w:p>
        </w:tc>
      </w:tr>
    </w:tbl>
    <w:p>
      <w:pPr>
        <w:pStyle w:val="BodyText"/>
        <w:spacing w:line="240" w:lineRule="auto" w:before="28"/>
        <w:ind w:right="1123"/>
        <w:jc w:val="left"/>
      </w:pPr>
      <w:r>
        <w:rPr/>
        <w:t>本期摊销额</w:t>
      </w:r>
      <w:r>
        <w:rPr>
          <w:spacing w:val="-52"/>
        </w:rPr>
        <w:t> </w:t>
      </w:r>
      <w:r>
        <w:rPr>
          <w:rFonts w:ascii="Times New Roman" w:hAnsi="Times New Roman" w:cs="Times New Roman" w:eastAsia="Times New Roman" w:hint="default"/>
        </w:rPr>
        <w:t>685,597.76 </w:t>
      </w:r>
      <w:r>
        <w:rPr>
          <w:spacing w:val="-3"/>
        </w:rPr>
        <w:t>元。</w:t>
      </w:r>
      <w:r>
        <w:rPr/>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after="0" w:line="240" w:lineRule="auto"/>
        <w:jc w:val="left"/>
        <w:rPr>
          <w:rFonts w:ascii="宋体" w:hAnsi="宋体" w:cs="宋体" w:eastAsia="宋体" w:hint="default"/>
          <w:sz w:val="18"/>
          <w:szCs w:val="18"/>
        </w:rPr>
        <w:sectPr>
          <w:pgSz w:w="11910" w:h="16840"/>
          <w:pgMar w:header="877" w:footer="1253" w:top="1100" w:bottom="152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租入固定资产改 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274,799.95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166,515.88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199,252.75</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274,799.95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90,968.68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166,515.88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199,252.75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2" w:lineRule="exact"/>
        <w:ind w:right="1123"/>
        <w:jc w:val="left"/>
      </w:pPr>
      <w:r>
        <w:rPr/>
        <w:t>长期待摊费用按受益年限摊销</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13</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6"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1,662,483.32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1,623,147.23</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1,465,158.83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2,082,887.49</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内部利润转移</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1,164,923.41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1,788,918.69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4,292,565.56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5,494,953.41</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6"/>
        <w:gridCol w:w="1628"/>
        <w:gridCol w:w="1628"/>
        <w:gridCol w:w="1616"/>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4,292,565.56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5,494,953.41</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14</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5,755,622.79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2,250,621.68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8,006,244.47</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105,236.11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105,236.11</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6,541,725.11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3,292,975.07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9,153,833.97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199,100,000.00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16</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r>
    </w:tbl>
    <w:p>
      <w:pPr>
        <w:pStyle w:val="BodyText"/>
        <w:spacing w:line="240" w:lineRule="auto" w:before="28"/>
        <w:ind w:right="1123"/>
        <w:jc w:val="left"/>
      </w:pPr>
      <w:r>
        <w:rPr/>
        <w:t>下一会计期间将到期的金额</w:t>
      </w:r>
      <w:r>
        <w:rPr>
          <w:spacing w:val="-54"/>
        </w:rPr>
        <w:t> </w:t>
      </w:r>
      <w:r>
        <w:rPr>
          <w:rFonts w:ascii="Times New Roman" w:hAnsi="Times New Roman" w:cs="Times New Roman" w:eastAsia="Times New Roman" w:hint="default"/>
        </w:rPr>
        <w:t>47,000,000.00</w:t>
      </w:r>
      <w:r>
        <w:rPr>
          <w:rFonts w:ascii="Times New Roman" w:hAnsi="Times New Roman" w:cs="Times New Roman" w:eastAsia="Times New Roman" w:hint="default"/>
          <w:spacing w:val="-1"/>
        </w:rPr>
        <w:t> </w:t>
      </w:r>
      <w:r>
        <w:rPr>
          <w:spacing w:val="-3"/>
        </w:rPr>
        <w:t>元。</w:t>
      </w:r>
      <w:r>
        <w:rPr/>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59,681,891.56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57,132,474.27</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59,681,891.56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57,132,474.27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18</w:t>
      </w:r>
      <w:r>
        <w:rPr/>
        <w:t>、预收账款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5"/>
        <w:gridCol w:w="2802"/>
        <w:gridCol w:w="2921"/>
      </w:tblGrid>
      <w:tr>
        <w:trPr>
          <w:trHeight w:val="398"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38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0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8,414,471.55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12,201,427.02</w:t>
            </w:r>
            <w:r>
              <w:rPr>
                <w:rFonts w:ascii="Times New Roman"/>
                <w:sz w:val="18"/>
              </w:rPr>
            </w: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8,414,471.55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12,201,427.02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53" w:top="1100" w:bottom="152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6,126,478.23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83,631,730.77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84,237,295.46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5,520,913.54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3,835,137.88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3,835,137.88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196,159.18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10,115,979.47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10,157,684.53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154,454.12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2,270,654.72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2,281,350.64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178,670.88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6,463,448.20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6,487,664.96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154,454.12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3,198.34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655,159.73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658,358.07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1,957.64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427,050.21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429,007.85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1,636.40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299,666.62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301,303.02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355,299.96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332,843.96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22,456.00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41,392.59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1,035,194.54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1,035,774.54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40,812.59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6,364,030.00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98,973,342.62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99,598,736.37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5,738,636.25</w:t>
            </w:r>
          </w:p>
        </w:tc>
      </w:tr>
    </w:tbl>
    <w:p>
      <w:pPr>
        <w:pStyle w:val="BodyText"/>
        <w:spacing w:line="240" w:lineRule="auto" w:before="28"/>
        <w:ind w:right="1123"/>
        <w:jc w:val="left"/>
      </w:pPr>
      <w:r>
        <w:rPr/>
        <w:t>应付职工薪酬中属于拖欠性质的金额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59"/>
        <w:ind w:right="0"/>
        <w:jc w:val="left"/>
      </w:pPr>
      <w:r>
        <w:rPr/>
        <w:t>工会经费和职工教育经费金额</w:t>
      </w:r>
      <w:r>
        <w:rPr>
          <w:spacing w:val="-46"/>
        </w:rPr>
        <w:t> </w:t>
      </w:r>
      <w:r>
        <w:rPr>
          <w:rFonts w:ascii="Times New Roman" w:hAnsi="Times New Roman" w:cs="Times New Roman" w:eastAsia="Times New Roman" w:hint="default"/>
        </w:rPr>
        <w:t>40,812.59</w:t>
      </w:r>
      <w:r>
        <w:rPr>
          <w:rFonts w:ascii="Times New Roman" w:hAnsi="Times New Roman" w:cs="Times New Roman" w:eastAsia="Times New Roman" w:hint="default"/>
          <w:spacing w:val="3"/>
        </w:rPr>
        <w:t> </w:t>
      </w:r>
      <w:r>
        <w:rPr>
          <w:spacing w:val="-8"/>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spacing w:val="-7"/>
        </w:rPr>
        <w:t>元，因解除劳动关系给予补偿</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-35,388,275.16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-25,373,856.38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62,250.00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3,345,419.65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2,134,764.29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241,329.06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239,769.13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-98,471.64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-177,271.89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34,290.07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24,528.39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129,507.44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178,386.48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324,903.87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238,996.82</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-44,387.17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-85,175.07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-46,449.75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-64,246.78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其他（水利基金）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15,135.97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1,398.40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-31,440,997.66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-22,820,456.61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1,401,552.28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1,377,409.84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1,401,552.28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1,377,409.84</w:t>
            </w:r>
          </w:p>
        </w:tc>
      </w:tr>
    </w:tbl>
    <w:p>
      <w:pPr>
        <w:spacing w:line="240" w:lineRule="auto" w:before="3"/>
        <w:rPr>
          <w:rFonts w:ascii="宋体" w:hAnsi="宋体" w:cs="宋体" w:eastAsia="宋体" w:hint="default"/>
          <w:sz w:val="19"/>
          <w:szCs w:val="19"/>
        </w:rPr>
      </w:pPr>
    </w:p>
    <w:p>
      <w:pPr>
        <w:spacing w:line="508" w:lineRule="auto" w:before="36"/>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其他应付款中欠付烟台市牟平区姜格庄建筑安装公司的款项账龄超过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年，为尚未支付的工程款。</w:t>
      </w:r>
    </w:p>
    <w:p>
      <w:pPr>
        <w:pStyle w:val="Heading4"/>
        <w:spacing w:line="240" w:lineRule="auto" w:before="61"/>
        <w:ind w:right="1123"/>
        <w:jc w:val="left"/>
        <w:rPr>
          <w:b w:val="0"/>
          <w:bCs w:val="0"/>
        </w:rPr>
      </w:pPr>
      <w:r>
        <w:rPr/>
        <w:t>（</w:t>
      </w:r>
      <w:r>
        <w:rPr>
          <w:rFonts w:ascii="Times New Roman" w:hAnsi="Times New Roman" w:cs="Times New Roman" w:eastAsia="Times New Roman" w:hint="default"/>
        </w:rPr>
        <w:t>3</w:t>
      </w:r>
      <w:r>
        <w:rPr/>
        <w:t>）金额较大的其他应付款说明内容</w:t>
      </w:r>
      <w:r>
        <w:rPr>
          <w:b w:val="0"/>
          <w:bCs w:val="0"/>
        </w:rPr>
      </w:r>
    </w:p>
    <w:p>
      <w:pPr>
        <w:spacing w:line="240" w:lineRule="auto" w:before="7"/>
        <w:rPr>
          <w:rFonts w:ascii="宋体" w:hAnsi="宋体" w:cs="宋体" w:eastAsia="宋体" w:hint="default"/>
          <w:b/>
          <w:bCs/>
          <w:sz w:val="25"/>
          <w:szCs w:val="25"/>
        </w:rPr>
      </w:pPr>
    </w:p>
    <w:tbl>
      <w:tblPr>
        <w:tblW w:w="0" w:type="auto"/>
        <w:jc w:val="left"/>
        <w:tblInd w:w="597" w:type="dxa"/>
        <w:tblLayout w:type="fixed"/>
        <w:tblCellMar>
          <w:top w:w="0" w:type="dxa"/>
          <w:left w:w="0" w:type="dxa"/>
          <w:bottom w:w="0" w:type="dxa"/>
          <w:right w:w="0" w:type="dxa"/>
        </w:tblCellMar>
        <w:tblLook w:val="01E0"/>
      </w:tblPr>
      <w:tblGrid>
        <w:gridCol w:w="3088"/>
        <w:gridCol w:w="1300"/>
        <w:gridCol w:w="1434"/>
        <w:gridCol w:w="1396"/>
        <w:gridCol w:w="1520"/>
      </w:tblGrid>
      <w:tr>
        <w:trPr>
          <w:trHeight w:val="674" w:hRule="exact"/>
        </w:trPr>
        <w:tc>
          <w:tcPr>
            <w:tcW w:w="30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left="2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32"/>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4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92"/>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0"/>
              <w:ind w:right="4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20" w:type="dxa"/>
            <w:tcBorders>
              <w:top w:val="single" w:sz="12" w:space="0" w:color="000000"/>
              <w:left w:val="nil" w:sz="6" w:space="0" w:color="auto"/>
              <w:bottom w:val="single" w:sz="12" w:space="0" w:color="000000"/>
              <w:right w:val="nil" w:sz="6" w:space="0" w:color="auto"/>
            </w:tcBorders>
          </w:tcPr>
          <w:p>
            <w:pPr>
              <w:pStyle w:val="TableParagraph"/>
              <w:spacing w:line="316" w:lineRule="auto" w:before="20"/>
              <w:ind w:left="127" w:right="127" w:hanging="119"/>
              <w:jc w:val="left"/>
              <w:rPr>
                <w:rFonts w:ascii="宋体" w:hAnsi="宋体" w:cs="宋体" w:eastAsia="宋体" w:hint="default"/>
                <w:sz w:val="18"/>
                <w:szCs w:val="18"/>
              </w:rPr>
            </w:pPr>
            <w:r>
              <w:rPr>
                <w:rFonts w:ascii="宋体" w:hAnsi="宋体" w:cs="宋体" w:eastAsia="宋体" w:hint="default"/>
                <w:b/>
                <w:bCs/>
                <w:sz w:val="18"/>
                <w:szCs w:val="18"/>
              </w:rPr>
              <w:t>占其它应付款</w:t>
            </w:r>
            <w:r>
              <w:rPr>
                <w:rFonts w:ascii="宋体" w:hAnsi="宋体" w:cs="宋体" w:eastAsia="宋体" w:hint="default"/>
                <w:b/>
                <w:bCs/>
                <w:w w:val="99"/>
                <w:sz w:val="18"/>
                <w:szCs w:val="18"/>
              </w:rPr>
              <w:t> </w:t>
            </w:r>
            <w:r>
              <w:rPr>
                <w:rFonts w:ascii="宋体" w:hAnsi="宋体" w:cs="宋体" w:eastAsia="宋体" w:hint="default"/>
                <w:b/>
                <w:bCs/>
                <w:sz w:val="18"/>
                <w:szCs w:val="18"/>
              </w:rPr>
              <w:t>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088"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烟台市牟平区姜格庄建筑安装公司</w:t>
            </w:r>
          </w:p>
        </w:tc>
        <w:tc>
          <w:tcPr>
            <w:tcW w:w="1300"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35"/>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34"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396" w:type="dxa"/>
            <w:tcBorders>
              <w:top w:val="single" w:sz="12" w:space="0" w:color="000000"/>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54.54</w:t>
            </w:r>
          </w:p>
        </w:tc>
      </w:tr>
      <w:tr>
        <w:trPr>
          <w:trHeight w:val="328" w:hRule="exact"/>
        </w:trPr>
        <w:tc>
          <w:tcPr>
            <w:tcW w:w="3088" w:type="dxa"/>
            <w:tcBorders>
              <w:top w:val="nil" w:sz="6" w:space="0" w:color="auto"/>
              <w:left w:val="nil" w:sz="6" w:space="0" w:color="auto"/>
              <w:bottom w:val="single" w:sz="12" w:space="0" w:color="000000"/>
              <w:right w:val="nil" w:sz="6" w:space="0" w:color="auto"/>
            </w:tcBorders>
          </w:tcPr>
          <w:p>
            <w:pPr/>
          </w:p>
        </w:tc>
        <w:tc>
          <w:tcPr>
            <w:tcW w:w="1300"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
              <w:jc w:val="right"/>
              <w:rPr>
                <w:rFonts w:ascii="Times New Roman" w:hAnsi="Times New Roman" w:cs="Times New Roman" w:eastAsia="Times New Roman" w:hint="default"/>
                <w:sz w:val="18"/>
                <w:szCs w:val="18"/>
              </w:rPr>
            </w:pPr>
            <w:r>
              <w:rPr>
                <w:rFonts w:ascii="Times New Roman"/>
                <w:spacing w:val="-1"/>
                <w:sz w:val="18"/>
              </w:rPr>
              <w:t>764,400.08</w:t>
            </w:r>
          </w:p>
        </w:tc>
        <w:tc>
          <w:tcPr>
            <w:tcW w:w="1520" w:type="dxa"/>
            <w:tcBorders>
              <w:top w:val="nil" w:sz="6" w:space="0" w:color="auto"/>
              <w:left w:val="nil" w:sz="6" w:space="0" w:color="auto"/>
              <w:bottom w:val="single" w:sz="12" w:space="0" w:color="000000"/>
              <w:right w:val="nil" w:sz="6" w:space="0" w:color="auto"/>
            </w:tcBorders>
          </w:tcPr>
          <w:p>
            <w:pPr/>
          </w:p>
        </w:tc>
      </w:tr>
      <w:tr>
        <w:trPr>
          <w:trHeight w:val="346" w:hRule="exact"/>
        </w:trPr>
        <w:tc>
          <w:tcPr>
            <w:tcW w:w="3088"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孙世虎</w:t>
            </w:r>
          </w:p>
        </w:tc>
        <w:tc>
          <w:tcPr>
            <w:tcW w:w="1300"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35"/>
              <w:jc w:val="center"/>
              <w:rPr>
                <w:rFonts w:ascii="宋体" w:hAnsi="宋体" w:cs="宋体" w:eastAsia="宋体" w:hint="default"/>
                <w:sz w:val="18"/>
                <w:szCs w:val="18"/>
              </w:rPr>
            </w:pPr>
            <w:r>
              <w:rPr>
                <w:rFonts w:ascii="宋体" w:hAnsi="宋体" w:cs="宋体" w:eastAsia="宋体" w:hint="default"/>
                <w:sz w:val="18"/>
                <w:szCs w:val="18"/>
              </w:rPr>
              <w:t>福利费</w:t>
            </w:r>
          </w:p>
        </w:tc>
        <w:tc>
          <w:tcPr>
            <w:tcW w:w="1434"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396" w:type="dxa"/>
            <w:tcBorders>
              <w:top w:val="single" w:sz="12" w:space="0" w:color="000000"/>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10.06</w:t>
            </w:r>
          </w:p>
        </w:tc>
      </w:tr>
      <w:tr>
        <w:trPr>
          <w:trHeight w:val="328" w:hRule="exact"/>
        </w:trPr>
        <w:tc>
          <w:tcPr>
            <w:tcW w:w="3088" w:type="dxa"/>
            <w:tcBorders>
              <w:top w:val="nil" w:sz="6" w:space="0" w:color="auto"/>
              <w:left w:val="nil" w:sz="6" w:space="0" w:color="auto"/>
              <w:bottom w:val="single" w:sz="12" w:space="0" w:color="000000"/>
              <w:right w:val="nil" w:sz="6" w:space="0" w:color="auto"/>
            </w:tcBorders>
          </w:tcPr>
          <w:p>
            <w:pPr/>
          </w:p>
        </w:tc>
        <w:tc>
          <w:tcPr>
            <w:tcW w:w="1300"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
              <w:jc w:val="right"/>
              <w:rPr>
                <w:rFonts w:ascii="Times New Roman" w:hAnsi="Times New Roman" w:cs="Times New Roman" w:eastAsia="Times New Roman" w:hint="default"/>
                <w:sz w:val="18"/>
                <w:szCs w:val="18"/>
              </w:rPr>
            </w:pPr>
            <w:r>
              <w:rPr>
                <w:rFonts w:ascii="Times New Roman"/>
                <w:spacing w:val="-1"/>
                <w:sz w:val="18"/>
              </w:rPr>
              <w:t>140,970.00</w:t>
            </w:r>
          </w:p>
        </w:tc>
        <w:tc>
          <w:tcPr>
            <w:tcW w:w="1520" w:type="dxa"/>
            <w:tcBorders>
              <w:top w:val="nil" w:sz="6" w:space="0" w:color="auto"/>
              <w:left w:val="nil" w:sz="6" w:space="0" w:color="auto"/>
              <w:bottom w:val="single" w:sz="12" w:space="0" w:color="000000"/>
              <w:right w:val="nil" w:sz="6" w:space="0" w:color="auto"/>
            </w:tcBorders>
          </w:tcPr>
          <w:p>
            <w:pPr/>
          </w:p>
        </w:tc>
      </w:tr>
      <w:tr>
        <w:trPr>
          <w:trHeight w:val="346" w:hRule="exact"/>
        </w:trPr>
        <w:tc>
          <w:tcPr>
            <w:tcW w:w="3088"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吴海光</w:t>
            </w:r>
          </w:p>
        </w:tc>
        <w:tc>
          <w:tcPr>
            <w:tcW w:w="1300"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35"/>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434"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396" w:type="dxa"/>
            <w:tcBorders>
              <w:top w:val="single" w:sz="12" w:space="0" w:color="000000"/>
              <w:left w:val="nil" w:sz="6" w:space="0" w:color="auto"/>
              <w:bottom w:val="nil" w:sz="6" w:space="0" w:color="auto"/>
              <w:right w:val="nil" w:sz="6" w:space="0" w:color="auto"/>
            </w:tcBorders>
          </w:tcPr>
          <w:p>
            <w:pPr/>
          </w:p>
        </w:tc>
        <w:tc>
          <w:tcPr>
            <w:tcW w:w="1520"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9.58</w:t>
            </w:r>
          </w:p>
        </w:tc>
      </w:tr>
      <w:tr>
        <w:trPr>
          <w:trHeight w:val="329" w:hRule="exact"/>
        </w:trPr>
        <w:tc>
          <w:tcPr>
            <w:tcW w:w="3088" w:type="dxa"/>
            <w:tcBorders>
              <w:top w:val="nil" w:sz="6" w:space="0" w:color="auto"/>
              <w:left w:val="nil" w:sz="6" w:space="0" w:color="auto"/>
              <w:bottom w:val="single" w:sz="12" w:space="0" w:color="000000"/>
              <w:right w:val="nil" w:sz="6" w:space="0" w:color="auto"/>
            </w:tcBorders>
          </w:tcPr>
          <w:p>
            <w:pPr/>
          </w:p>
        </w:tc>
        <w:tc>
          <w:tcPr>
            <w:tcW w:w="1300"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9"/>
              <w:jc w:val="right"/>
              <w:rPr>
                <w:rFonts w:ascii="Times New Roman" w:hAnsi="Times New Roman" w:cs="Times New Roman" w:eastAsia="Times New Roman" w:hint="default"/>
                <w:sz w:val="18"/>
                <w:szCs w:val="18"/>
              </w:rPr>
            </w:pPr>
            <w:r>
              <w:rPr>
                <w:rFonts w:ascii="Times New Roman"/>
                <w:spacing w:val="-1"/>
                <w:sz w:val="18"/>
              </w:rPr>
              <w:t>134,283.51</w:t>
            </w:r>
          </w:p>
        </w:tc>
        <w:tc>
          <w:tcPr>
            <w:tcW w:w="1520" w:type="dxa"/>
            <w:tcBorders>
              <w:top w:val="nil" w:sz="6" w:space="0" w:color="auto"/>
              <w:left w:val="nil" w:sz="6" w:space="0" w:color="auto"/>
              <w:bottom w:val="single" w:sz="12" w:space="0" w:color="000000"/>
              <w:right w:val="nil" w:sz="6" w:space="0" w:color="auto"/>
            </w:tcBorders>
          </w:tcPr>
          <w:p>
            <w:pPr/>
          </w:p>
        </w:tc>
      </w:tr>
      <w:tr>
        <w:trPr>
          <w:trHeight w:val="362" w:hRule="exact"/>
        </w:trPr>
        <w:tc>
          <w:tcPr>
            <w:tcW w:w="3088" w:type="dxa"/>
            <w:tcBorders>
              <w:top w:val="single" w:sz="12" w:space="0" w:color="000000"/>
              <w:left w:val="nil" w:sz="6" w:space="0" w:color="auto"/>
              <w:bottom w:val="single" w:sz="12" w:space="0" w:color="000000"/>
              <w:right w:val="nil" w:sz="6" w:space="0" w:color="auto"/>
            </w:tcBorders>
          </w:tcPr>
          <w:p>
            <w:pPr>
              <w:pStyle w:val="TableParagraph"/>
              <w:tabs>
                <w:tab w:pos="519" w:val="left" w:leader="none"/>
              </w:tabs>
              <w:spacing w:line="240" w:lineRule="auto" w:before="17"/>
              <w:ind w:left="29"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00"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c>
          <w:tcPr>
            <w:tcW w:w="13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b/>
                <w:spacing w:val="-1"/>
                <w:sz w:val="18"/>
              </w:rPr>
              <w:t>1,039,653.59</w:t>
            </w:r>
            <w:r>
              <w:rPr>
                <w:rFonts w:ascii="Times New Roman"/>
                <w:spacing w:val="-1"/>
                <w:sz w:val="18"/>
              </w:rPr>
            </w:r>
          </w:p>
        </w:tc>
        <w:tc>
          <w:tcPr>
            <w:tcW w:w="15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b/>
                <w:sz w:val="18"/>
              </w:rPr>
              <w:t>74.18</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123"/>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196"/>
        <w:gridCol w:w="1207"/>
        <w:gridCol w:w="1186"/>
        <w:gridCol w:w="1195"/>
        <w:gridCol w:w="1196"/>
        <w:gridCol w:w="1198"/>
        <w:gridCol w:w="1185"/>
        <w:gridCol w:w="1206"/>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83"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0" w:type="dxa"/>
            <w:gridSpan w:val="5"/>
            <w:vMerge/>
            <w:tcBorders>
              <w:left w:val="single" w:sz="4" w:space="0" w:color="000000"/>
              <w:bottom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18" w:right="0"/>
              <w:jc w:val="left"/>
              <w:rPr>
                <w:rFonts w:ascii="Times New Roman" w:hAnsi="Times New Roman" w:cs="Times New Roman" w:eastAsia="Times New Roman" w:hint="default"/>
                <w:sz w:val="18"/>
                <w:szCs w:val="18"/>
              </w:rPr>
            </w:pPr>
            <w:r>
              <w:rPr>
                <w:rFonts w:ascii="Times New Roman"/>
                <w:sz w:val="18"/>
              </w:rPr>
              <w:t>85,600,000.00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20,738,461.00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20,738,461.00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106,338,461.00</w:t>
            </w:r>
          </w:p>
        </w:tc>
      </w:tr>
    </w:tbl>
    <w:p>
      <w:pPr>
        <w:pStyle w:val="BodyText"/>
        <w:spacing w:line="264" w:lineRule="auto" w:before="29"/>
        <w:ind w:right="1126"/>
        <w:jc w:val="both"/>
      </w:pPr>
      <w:r>
        <w:rPr>
          <w:spacing w:val="-2"/>
        </w:rPr>
        <w:t>股本变动情况说明，本报告期内有增资或减资行为的，应披露执行验资的会计师事务所名称和验资报告文</w:t>
      </w:r>
      <w:r>
        <w:rPr>
          <w:spacing w:val="-43"/>
        </w:rPr>
        <w:t> </w:t>
      </w:r>
      <w:r>
        <w:rPr>
          <w:spacing w:val="-43"/>
        </w:rPr>
      </w:r>
      <w:r>
        <w:rPr>
          <w:spacing w:val="-3"/>
        </w:rPr>
        <w:t>号；运行不足</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年的股份有限公司，设立前的年份只需说明净资产情况；有限责任公司整体变更为股份公</w:t>
      </w:r>
      <w:r>
        <w:rPr>
          <w:w w:val="100"/>
        </w:rPr>
        <w:t> </w:t>
      </w:r>
      <w:r>
        <w:rPr/>
        <w:t>司应说明公司设立时的验资情况</w:t>
      </w:r>
    </w:p>
    <w:p>
      <w:pPr>
        <w:pStyle w:val="BodyText"/>
        <w:spacing w:line="264" w:lineRule="auto" w:before="54"/>
        <w:ind w:right="1128" w:firstLine="420"/>
        <w:jc w:val="left"/>
      </w:pPr>
      <w:r>
        <w:rPr>
          <w:spacing w:val="-2"/>
        </w:rPr>
        <w:t>根据</w:t>
      </w:r>
      <w:r>
        <w:rPr>
          <w:rFonts w:ascii="Times New Roman" w:hAnsi="Times New Roman" w:cs="Times New Roman" w:eastAsia="Times New Roman" w:hint="default"/>
          <w:spacing w:val="-2"/>
        </w:rPr>
        <w:t>2011</w:t>
      </w:r>
      <w:r>
        <w:rPr>
          <w:spacing w:val="-2"/>
        </w:rPr>
        <w:t>年年度股东大会决议，并经中国证券监督管理委员会以证监许可【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1328</w:t>
      </w:r>
      <w:r>
        <w:rPr>
          <w:spacing w:val="-2"/>
        </w:rPr>
        <w:t>号文《关于核</w:t>
      </w:r>
      <w:r>
        <w:rPr>
          <w:w w:val="100"/>
        </w:rPr>
        <w:t> </w:t>
      </w:r>
      <w:r>
        <w:rPr/>
        <w:t>准山东丽鹏股份有限公司非公开发行股票的批复》的核准，公司向特定对象非公开公司民币普通股</w:t>
      </w:r>
      <w:r>
        <w:rPr>
          <w:w w:val="100"/>
        </w:rPr>
        <w:t> </w:t>
      </w:r>
      <w:r>
        <w:rPr>
          <w:rFonts w:ascii="Times New Roman" w:hAnsi="Times New Roman" w:cs="Times New Roman" w:eastAsia="Times New Roman" w:hint="default"/>
        </w:rPr>
        <w:t>20,738,461.00</w:t>
      </w:r>
      <w:r>
        <w:rPr/>
        <w:t>。本次增资由山东汇德会计师事务所以（</w:t>
      </w:r>
      <w:r>
        <w:rPr>
          <w:rFonts w:ascii="Times New Roman" w:hAnsi="Times New Roman" w:cs="Times New Roman" w:eastAsia="Times New Roman" w:hint="default"/>
        </w:rPr>
        <w:t>2012</w:t>
      </w:r>
      <w:r>
        <w:rPr/>
        <w:t>）汇所验字第</w:t>
      </w:r>
      <w:r>
        <w:rPr>
          <w:rFonts w:ascii="Times New Roman" w:hAnsi="Times New Roman" w:cs="Times New Roman" w:eastAsia="Times New Roman" w:hint="default"/>
        </w:rPr>
        <w:t>7-011</w:t>
      </w:r>
      <w:r>
        <w:rPr/>
        <w:t>号验资报告予以验证。</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23</w:t>
      </w:r>
      <w:r>
        <w:rPr/>
        <w:t>、资本公积</w:t>
      </w:r>
      <w:r>
        <w:rPr>
          <w:b w:val="0"/>
          <w:bCs w:val="0"/>
        </w:rPr>
      </w:r>
    </w:p>
    <w:p>
      <w:pPr>
        <w:spacing w:after="0" w:line="240" w:lineRule="auto"/>
        <w:jc w:val="both"/>
        <w:sectPr>
          <w:footerReference w:type="default" r:id="rId41"/>
          <w:pgSz w:w="11910" w:h="16840"/>
          <w:pgMar w:footer="1534" w:header="877" w:top="1100" w:bottom="1720" w:left="980" w:right="0"/>
          <w:pgNumType w:start="95"/>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314,257,038.71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232,161,853.77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546,418,892.48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314,257,038.71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232,161,853.77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546,418,892.48</w:t>
            </w:r>
          </w:p>
        </w:tc>
      </w:tr>
    </w:tbl>
    <w:p>
      <w:pPr>
        <w:pStyle w:val="BodyText"/>
        <w:spacing w:line="259" w:lineRule="auto"/>
        <w:ind w:right="1123" w:firstLine="420"/>
        <w:jc w:val="left"/>
      </w:pPr>
      <w:r>
        <w:rPr>
          <w:spacing w:val="-3"/>
        </w:rPr>
        <w:t>本期资本公积变动的原因为：公司非公开发行产生股本溢价</w:t>
      </w:r>
      <w:r>
        <w:rPr>
          <w:rFonts w:ascii="Times New Roman" w:hAnsi="Times New Roman" w:cs="Times New Roman" w:eastAsia="Times New Roman" w:hint="default"/>
          <w:spacing w:val="-3"/>
          <w:sz w:val="20"/>
          <w:szCs w:val="20"/>
        </w:rPr>
        <w:t>232,154,869.77</w:t>
      </w:r>
      <w:r>
        <w:rPr>
          <w:rFonts w:ascii="Times New Roman" w:hAnsi="Times New Roman" w:cs="Times New Roman" w:eastAsia="Times New Roman" w:hint="default"/>
          <w:spacing w:val="7"/>
          <w:sz w:val="20"/>
          <w:szCs w:val="20"/>
        </w:rPr>
        <w:t> </w:t>
      </w:r>
      <w:r>
        <w:rPr>
          <w:spacing w:val="-6"/>
        </w:rPr>
        <w:t>元，子公司泸州丽鹏制盖有</w:t>
      </w:r>
      <w:r>
        <w:rPr>
          <w:w w:val="100"/>
        </w:rPr>
        <w:t> </w:t>
      </w:r>
      <w:r>
        <w:rPr/>
        <w:t>限公司少数股东对其增资产生资本溢价</w:t>
      </w:r>
      <w:r>
        <w:rPr>
          <w:rFonts w:ascii="Times New Roman" w:hAnsi="Times New Roman" w:cs="Times New Roman" w:eastAsia="Times New Roman" w:hint="default"/>
        </w:rPr>
        <w:t>6,984</w:t>
      </w:r>
      <w:r>
        <w:rPr/>
        <w:t>元。</w:t>
      </w:r>
    </w:p>
    <w:p>
      <w:pPr>
        <w:spacing w:line="240" w:lineRule="auto" w:before="2"/>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7,592,595.67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3,361,604.72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10,954,200.39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7,592,595.67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10,954,200.39</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109,818,805.00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41,175,191.23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3,361,604.72</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139,072,391.51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1123"/>
        <w:jc w:val="left"/>
      </w:pPr>
      <w:r>
        <w:rPr/>
        <w:t>调整年初未分配利润明细：</w:t>
      </w:r>
    </w:p>
    <w:p>
      <w:pPr>
        <w:pStyle w:val="BodyText"/>
        <w:spacing w:line="240" w:lineRule="auto" w:before="75"/>
        <w:ind w:right="1123"/>
        <w:jc w:val="left"/>
      </w:pPr>
      <w:r>
        <w:rPr>
          <w:rFonts w:ascii="Times New Roman" w:hAnsi="Times New Roman" w:cs="Times New Roman" w:eastAsia="Times New Roman" w:hint="default"/>
        </w:rPr>
        <w:t>1)</w:t>
      </w:r>
      <w:r>
        <w:rPr/>
        <w:t>、由于《企业会计准则》及其相关新规定进行追溯调整，影响年初未分配利润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pStyle w:val="BodyText"/>
        <w:spacing w:line="240" w:lineRule="auto" w:before="62"/>
        <w:ind w:right="1123"/>
        <w:jc w:val="left"/>
      </w:pPr>
      <w:r>
        <w:rPr>
          <w:rFonts w:ascii="Times New Roman" w:hAnsi="Times New Roman" w:cs="Times New Roman" w:eastAsia="Times New Roman" w:hint="default"/>
        </w:rPr>
        <w:t>2)</w:t>
      </w:r>
      <w:r>
        <w:rPr/>
        <w:t>、由于会计政策变更，影响年初未分配利润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pStyle w:val="BodyText"/>
        <w:spacing w:line="240" w:lineRule="auto" w:before="62"/>
        <w:ind w:right="1123"/>
        <w:jc w:val="left"/>
      </w:pPr>
      <w:r>
        <w:rPr>
          <w:rFonts w:ascii="Times New Roman" w:hAnsi="Times New Roman" w:cs="Times New Roman" w:eastAsia="Times New Roman" w:hint="default"/>
        </w:rPr>
        <w:t>3)</w:t>
      </w:r>
      <w:r>
        <w:rPr/>
        <w:t>、由于重大会计差错更正，影响年初未分配利润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59"/>
        <w:ind w:right="1123"/>
        <w:jc w:val="left"/>
      </w:pPr>
      <w:r>
        <w:rPr>
          <w:rFonts w:ascii="Times New Roman" w:hAnsi="Times New Roman" w:cs="Times New Roman" w:eastAsia="Times New Roman" w:hint="default"/>
        </w:rPr>
        <w:t>4)</w:t>
      </w:r>
      <w:r>
        <w:rPr/>
        <w:t>、由于同一控制导致的合并范围变更，影响年初未分配利润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w:t>
      </w:r>
      <w:r>
        <w:rPr/>
      </w:r>
    </w:p>
    <w:p>
      <w:pPr>
        <w:pStyle w:val="BodyText"/>
        <w:spacing w:line="278" w:lineRule="auto" w:before="62"/>
        <w:ind w:right="1123"/>
        <w:jc w:val="left"/>
      </w:pPr>
      <w:r>
        <w:rPr>
          <w:rFonts w:ascii="Times New Roman" w:hAnsi="Times New Roman" w:cs="Times New Roman" w:eastAsia="Times New Roman" w:hint="default"/>
        </w:rPr>
        <w:t>5)</w:t>
      </w:r>
      <w:r>
        <w:rPr/>
        <w:t>、其他调整合计影响年初未分配利润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w w:val="100"/>
        </w:rPr>
        <w:t> </w:t>
      </w:r>
      <w:r>
        <w:rPr>
          <w:spacing w:val="-2"/>
        </w:rPr>
        <w:t>未分配利润说明，对于首次公开发行证券的公司，如果发行前的滚存利润经股东大会决议由新老股东共同</w:t>
      </w:r>
      <w:r>
        <w:rPr>
          <w:spacing w:val="-43"/>
        </w:rPr>
        <w:t> </w:t>
      </w:r>
      <w:r>
        <w:rPr>
          <w:spacing w:val="-43"/>
        </w:rPr>
      </w:r>
      <w:r>
        <w:rPr>
          <w:spacing w:val="-2"/>
        </w:rPr>
        <w:t>享有，应明确予以说明；如果发行前的滚存利润经股东大会决议在发行前进行分配并由老股东享有，公司</w:t>
      </w:r>
      <w:r>
        <w:rPr>
          <w:spacing w:val="-43"/>
        </w:rPr>
        <w:t> </w:t>
      </w:r>
      <w:r>
        <w:rPr>
          <w:spacing w:val="-43"/>
        </w:rPr>
      </w:r>
      <w:r>
        <w:rPr/>
        <w:t>应明确披露应付股利中老股东享有的经审计的利润数</w:t>
      </w:r>
    </w:p>
    <w:p>
      <w:pPr>
        <w:pStyle w:val="BodyText"/>
        <w:spacing w:line="256" w:lineRule="auto" w:before="42"/>
        <w:ind w:right="1123"/>
        <w:jc w:val="left"/>
      </w:pPr>
      <w:r>
        <w:rPr/>
        <w:t>根据公司</w:t>
      </w:r>
      <w:r>
        <w:rPr>
          <w:rFonts w:ascii="Times New Roman" w:hAnsi="Times New Roman" w:cs="Times New Roman" w:eastAsia="Times New Roman" w:hint="default"/>
        </w:rPr>
        <w:t>2011</w:t>
      </w:r>
      <w:r>
        <w:rPr/>
        <w:t>年度股东大会通过的</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8560.00</w:t>
      </w:r>
      <w:r>
        <w:rPr/>
        <w:t>万股为基</w:t>
      </w:r>
      <w:r>
        <w:rPr>
          <w:w w:val="100"/>
        </w:rPr>
        <w:t> </w:t>
      </w:r>
      <w:r>
        <w:rPr>
          <w:spacing w:val="-2"/>
        </w:rPr>
        <w:t>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1.00</w:t>
      </w:r>
      <w:r>
        <w:rPr>
          <w:spacing w:val="-2"/>
        </w:rPr>
        <w:t>元（含税），派发现金股利共计</w:t>
      </w:r>
      <w:r>
        <w:rPr>
          <w:rFonts w:ascii="Times New Roman" w:hAnsi="Times New Roman" w:cs="Times New Roman" w:eastAsia="Times New Roman" w:hint="default"/>
          <w:spacing w:val="-2"/>
        </w:rPr>
        <w:t>856.00</w:t>
      </w:r>
      <w:r>
        <w:rPr>
          <w:spacing w:val="-2"/>
        </w:rPr>
        <w:t>万元，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日，该</w:t>
      </w:r>
      <w:r>
        <w:rPr>
          <w:spacing w:val="-29"/>
        </w:rPr>
        <w:t> </w:t>
      </w:r>
      <w:r>
        <w:rPr>
          <w:spacing w:val="-29"/>
        </w:rPr>
      </w:r>
      <w:r>
        <w:rPr/>
        <w:t>项权益分派实施完毕。</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26</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after="0" w:line="240" w:lineRule="auto"/>
        <w:jc w:val="left"/>
        <w:sectPr>
          <w:pgSz w:w="11910" w:h="16840"/>
          <w:pgMar w:header="877" w:footer="1534" w:top="1100" w:bottom="172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589,412,383.97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557,999,111.98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27,987,460.51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27,580,861.78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484,072,877.89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469,627,386.11</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475,908,605.16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360,490,582.15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392,618,859.62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301,624,960.08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96,743,774.44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89,805,761.14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140,899,143.97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126,185,091.51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16,500,773.85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11,772,324.95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20,588,297.89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15,727,723.72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259,230.52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246,016.42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3,892,810.50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3,657,605.30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589,412,383.97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462,314,684.66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557,999,111.98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447,195,380.61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170,171,896.75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116,498,489.39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144,265,502.04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92,859,671.40</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305,736,708.41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243,992,092.76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248,353,357.58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208,765,288.68</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96,743,774.44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89,805,761.14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140,899,143.97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126,185,091.51</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16,500,773.85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11,772,324.95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20,588,297.89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15,727,723.72</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259,230.52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246,016.42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3,892,810.50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3,657,605.30</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589,412,383.97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462,314,684.66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557,999,111.98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447,195,380.61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155,894,282.92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128,426,064.23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125,518,963.79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110,513,877.57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433,518,101.05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333,888,620.43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432,480,148.19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336,681,503.04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589,412,383.97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462,314,684.66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557,999,111.98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447,195,380.61</w:t>
            </w:r>
          </w:p>
        </w:tc>
      </w:tr>
    </w:tbl>
    <w:p>
      <w:pPr>
        <w:spacing w:after="0" w:line="240" w:lineRule="auto"/>
        <w:jc w:val="right"/>
        <w:rPr>
          <w:rFonts w:ascii="Times New Roman" w:hAnsi="Times New Roman" w:cs="Times New Roman" w:eastAsia="Times New Roman" w:hint="default"/>
          <w:sz w:val="18"/>
          <w:szCs w:val="18"/>
        </w:rPr>
        <w:sectPr>
          <w:footerReference w:type="default" r:id="rId42"/>
          <w:pgSz w:w="11910" w:h="16840"/>
          <w:pgMar w:footer="1334" w:header="877" w:top="1100" w:bottom="1520" w:left="980" w:right="0"/>
          <w:pgNumType w:start="97"/>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湖北劲牌保健酒业有限公司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67,023,664.28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10.86%</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106,110,974.08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17.19%</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泰国麦成酒厂</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29,263,373.16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安徽古井贡酒股份有限公司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22,576,267.56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北京红星股份有限公司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24,488,690.84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249,462,969.92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09"/>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34,166.67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计税收入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1,722,713.65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1,524,297.81</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830,737.04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710,080.44</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547,956.50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470,674.60</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199,946.00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65,606.36</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13,818.94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24,756.32</w:t>
            </w:r>
          </w:p>
        </w:tc>
        <w:tc>
          <w:tcPr>
            <w:tcW w:w="29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计税收入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3,349,338.80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2,822,915.53</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7,098,924.86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6,788,709.72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1,651,461.99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1,507,206.80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864,770.00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372,733.00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3,524,174.01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4,223,559.09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196,290.28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5,035,691.80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1,669,230.67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1,258,700.19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19,273,902.64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16,016,429.75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4"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999,622.49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996,416.97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2,518,712.09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3,591,183.08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708,828.25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867,698.30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884,441.10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890,184.52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3,886,561.56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1,513,310.63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19,084,697.41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18,402,175.76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3,325,576.10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3,256,846.52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3,308,668.84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1,936,889.03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750,178.80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585,144.82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1,582,441.98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2,182,028.88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1,058,339.04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1,955,599.00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1,565,842.45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39,114,660.99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36,846,060.00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16,107,604.19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11,365,355.57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-1,334,757.85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-2,206,242.54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1,045,871.44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1,175,322.05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426,116.15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146,909.53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16,244,833.93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10,481,344.61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31</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274,374.75</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274,374.75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4"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17"/>
        <w:gridCol w:w="2004"/>
        <w:gridCol w:w="1728"/>
        <w:gridCol w:w="2921"/>
      </w:tblGrid>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3" w:hRule="exact"/>
        </w:trPr>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成都商业银行股份有限公司蒲江鹤 山分理处分红</w:t>
            </w:r>
          </w:p>
        </w:tc>
        <w:tc>
          <w:tcPr>
            <w:tcW w:w="2004" w:type="dxa"/>
            <w:tcBorders>
              <w:top w:val="single" w:sz="4" w:space="0" w:color="000000"/>
              <w:left w:val="single" w:sz="10" w:space="0" w:color="CCE8CF"/>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137,500.00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姜格庄农村信用社分红</w:t>
            </w:r>
          </w:p>
        </w:tc>
        <w:tc>
          <w:tcPr>
            <w:tcW w:w="20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136,874.75</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274,374.75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32</w:t>
      </w:r>
      <w:r>
        <w:rPr/>
        <w:t>、资产减值损失</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2,250,621.68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552,068.21</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1,042,353.39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680,866.21</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3,292,975.07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1,232,934.42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33</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2"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163,581.46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584,598.72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163,581.46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163,581.46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211,778.98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163,581.46</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6,166,135.66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438,404.00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6,222,958.75</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297,967.14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31,784.66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241,144.05</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6,627,684.26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1,054,787.38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6,627,684.26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1"/>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"8515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企业技术改造项目补 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年度省级进出口贴息资金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专利发展基金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footerReference w:type="default" r:id="rId43"/>
          <w:pgSz w:w="11910" w:h="16840"/>
          <w:pgMar w:footer="1340" w:header="877"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牟平区财政局鼓励外经贸发展专 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14,820.00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组合式防伪瓶盖及其配套设备模 具制作项目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企业技术（工程）中心补助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牟平区科技局技术创新项目款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牟平区科技局区级专利补助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130,850.00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申请专利奖励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专利授权奖励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大学生实习财政局补贴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组合式防伪瓶盖的全自动超声波 焊接技术应用及设备研制</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牟平区科技局项目补助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牟平区科技局补贴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39,300.00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境外展览费补助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131,600.00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北京市怀柔区桥梓镇政府北京企 业发展财政奖励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52,684.00</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浦江县就业服务管理局就业补助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9,600.00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浦江县商务局涉外发展补贴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6"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浦江县经济和信息化局中小企业 发展专项培育补助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浦江县社会保险事业管理局社保 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11,534.66</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浦江县经济和信息化局纳税奖励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国家补贴哈展会展位费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11,751.00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04"/>
              <w:jc w:val="left"/>
              <w:rPr>
                <w:rFonts w:ascii="宋体" w:hAnsi="宋体" w:cs="宋体" w:eastAsia="宋体" w:hint="default"/>
                <w:sz w:val="18"/>
                <w:szCs w:val="18"/>
              </w:rPr>
            </w:pPr>
            <w:r>
              <w:rPr>
                <w:rFonts w:ascii="宋体" w:hAnsi="宋体" w:cs="宋体" w:eastAsia="宋体" w:hint="default"/>
                <w:sz w:val="18"/>
                <w:szCs w:val="18"/>
              </w:rPr>
              <w:t>铝防伪瓶盖全自动转塔式拉伸高 速生产线项目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4"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6,166,135.66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438,404.00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2"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4"/>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442,903.79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1,341,694.49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442,903.79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442,903.79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1,341,694.49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442,903.79</w:t>
            </w:r>
          </w:p>
        </w:tc>
      </w:tr>
    </w:tbl>
    <w:p>
      <w:pPr>
        <w:spacing w:after="0" w:line="240" w:lineRule="auto"/>
        <w:jc w:val="right"/>
        <w:rPr>
          <w:rFonts w:ascii="Times New Roman" w:hAnsi="Times New Roman" w:cs="Times New Roman" w:eastAsia="Times New Roman" w:hint="default"/>
          <w:sz w:val="18"/>
          <w:szCs w:val="18"/>
        </w:rPr>
        <w:sectPr>
          <w:footerReference w:type="default" r:id="rId44"/>
          <w:pgSz w:w="11910" w:h="16840"/>
          <w:pgMar w:footer="1340" w:header="877" w:top="1100" w:bottom="1540" w:left="980" w:right="0"/>
          <w:pgNumType w:start="1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214,488.00</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25,171,017.81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299,761.01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157,130.20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299,761.01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1,155,152.80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27,070,942.50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1,155,152.80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35</w:t>
      </w:r>
      <w:r>
        <w:rPr/>
        <w:t>、所得税费用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11,728,640.30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8,913,058.37</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2,234,301.64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-3,399,185.46</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13,962,941.94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5,513,872.91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36</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1210" w:firstLine="420"/>
        <w:jc w:val="both"/>
      </w:pPr>
      <w:r>
        <w:rPr>
          <w:spacing w:val="-2"/>
        </w:rPr>
        <w:t>本公司按照中国证监会《公开发行证券的公司信息披露编报规则第</w:t>
      </w:r>
      <w:r>
        <w:rPr>
          <w:rFonts w:ascii="宋体" w:hAnsi="宋体" w:cs="宋体" w:eastAsia="宋体" w:hint="default"/>
          <w:spacing w:val="-2"/>
        </w:rPr>
        <w:t>9</w:t>
      </w:r>
      <w:r>
        <w:rPr>
          <w:spacing w:val="-2"/>
        </w:rPr>
        <w:t>号</w:t>
      </w:r>
      <w:r>
        <w:rPr>
          <w:rFonts w:ascii="Times New Roman" w:hAnsi="Times New Roman" w:cs="Times New Roman" w:eastAsia="Times New Roman" w:hint="default"/>
          <w:spacing w:val="-2"/>
        </w:rPr>
        <w:t>——</w:t>
      </w:r>
      <w:r>
        <w:rPr>
          <w:spacing w:val="-2"/>
        </w:rPr>
        <w:t>净资产收益率和每股收益</w:t>
      </w:r>
      <w:r>
        <w:rPr>
          <w:w w:val="100"/>
        </w:rPr>
        <w:t> </w:t>
      </w:r>
      <w:r>
        <w:rPr>
          <w:spacing w:val="-2"/>
        </w:rPr>
        <w:t>的计算及披露（</w:t>
      </w:r>
      <w:r>
        <w:rPr>
          <w:rFonts w:ascii="宋体" w:hAnsi="宋体" w:cs="宋体" w:eastAsia="宋体" w:hint="default"/>
          <w:spacing w:val="-2"/>
        </w:rPr>
        <w:t>2010</w:t>
      </w:r>
      <w:r>
        <w:rPr>
          <w:spacing w:val="-2"/>
        </w:rPr>
        <w:t>年修订）》（中国证券监督管理委员会公告</w:t>
      </w:r>
      <w:r>
        <w:rPr>
          <w:rFonts w:ascii="宋体" w:hAnsi="宋体" w:cs="宋体" w:eastAsia="宋体" w:hint="default"/>
          <w:spacing w:val="-2"/>
        </w:rPr>
        <w:t>[2010]2</w:t>
      </w:r>
      <w:r>
        <w:rPr>
          <w:spacing w:val="-2"/>
        </w:rPr>
        <w:t>号）、《公开发行证券的公司信</w:t>
      </w:r>
      <w:r>
        <w:rPr>
          <w:spacing w:val="-13"/>
        </w:rPr>
        <w:t> </w:t>
      </w:r>
      <w:r>
        <w:rPr>
          <w:spacing w:val="-13"/>
        </w:rPr>
      </w:r>
      <w:r>
        <w:rPr>
          <w:spacing w:val="-2"/>
        </w:rPr>
        <w:t>息披露解释性公告第</w:t>
      </w:r>
      <w:r>
        <w:rPr>
          <w:rFonts w:ascii="宋体" w:hAnsi="宋体" w:cs="宋体" w:eastAsia="宋体" w:hint="default"/>
          <w:spacing w:val="-2"/>
        </w:rPr>
        <w:t>1</w:t>
      </w:r>
      <w:r>
        <w:rPr>
          <w:spacing w:val="-2"/>
        </w:rPr>
        <w:t>号</w:t>
      </w:r>
      <w:r>
        <w:rPr>
          <w:rFonts w:ascii="Times New Roman" w:hAnsi="Times New Roman" w:cs="Times New Roman" w:eastAsia="Times New Roman" w:hint="default"/>
          <w:spacing w:val="-2"/>
        </w:rPr>
        <w:t>——</w:t>
      </w:r>
      <w:r>
        <w:rPr>
          <w:spacing w:val="-2"/>
        </w:rPr>
        <w:t>非经常性损益（</w:t>
      </w:r>
      <w:r>
        <w:rPr>
          <w:rFonts w:ascii="宋体" w:hAnsi="宋体" w:cs="宋体" w:eastAsia="宋体" w:hint="default"/>
          <w:spacing w:val="-2"/>
        </w:rPr>
        <w:t>2008</w:t>
      </w:r>
      <w:r>
        <w:rPr>
          <w:spacing w:val="-2"/>
        </w:rPr>
        <w:t>）》（中国证券监督管理委员会公告</w:t>
      </w:r>
      <w:r>
        <w:rPr>
          <w:rFonts w:ascii="宋体" w:hAnsi="宋体" w:cs="宋体" w:eastAsia="宋体" w:hint="default"/>
          <w:spacing w:val="-2"/>
        </w:rPr>
        <w:t>[2008]43</w:t>
      </w:r>
      <w:r>
        <w:rPr>
          <w:spacing w:val="-2"/>
        </w:rPr>
        <w:t>号）要求</w:t>
      </w:r>
      <w:r>
        <w:rPr>
          <w:spacing w:val="-11"/>
        </w:rPr>
        <w:t> </w:t>
      </w:r>
      <w:r>
        <w:rPr>
          <w:spacing w:val="-11"/>
        </w:rPr>
      </w:r>
      <w:r>
        <w:rPr/>
        <w:t>计算的每股收益如下：</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29"/>
        <w:gridCol w:w="1416"/>
        <w:gridCol w:w="1347"/>
        <w:gridCol w:w="1382"/>
        <w:gridCol w:w="1383"/>
      </w:tblGrid>
      <w:tr>
        <w:trPr>
          <w:trHeight w:val="353" w:hRule="exact"/>
        </w:trPr>
        <w:tc>
          <w:tcPr>
            <w:tcW w:w="3229" w:type="dxa"/>
            <w:vMerge w:val="restart"/>
            <w:tcBorders>
              <w:top w:val="single" w:sz="6" w:space="0" w:color="000000"/>
              <w:left w:val="single" w:sz="6" w:space="0" w:color="000000"/>
              <w:right w:val="single" w:sz="6" w:space="0" w:color="000000"/>
            </w:tcBorders>
          </w:tcPr>
          <w:p>
            <w:pPr>
              <w:pStyle w:val="TableParagraph"/>
              <w:spacing w:line="240" w:lineRule="auto" w:before="17"/>
              <w:ind w:left="7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6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76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3" w:hRule="exact"/>
        </w:trPr>
        <w:tc>
          <w:tcPr>
            <w:tcW w:w="3229"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2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62"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right"/>
              <w:rPr>
                <w:rFonts w:ascii="Times New Roman" w:hAnsi="Times New Roman" w:cs="Times New Roman" w:eastAsia="Times New Roman" w:hint="default"/>
                <w:sz w:val="18"/>
                <w:szCs w:val="18"/>
              </w:rPr>
            </w:pPr>
            <w:r>
              <w:rPr>
                <w:rFonts w:ascii="Times New Roman"/>
                <w:spacing w:val="-1"/>
                <w:sz w:val="18"/>
              </w:rPr>
              <w:t>0.46</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0.46</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0.16</w:t>
            </w:r>
          </w:p>
        </w:tc>
        <w:tc>
          <w:tcPr>
            <w:tcW w:w="138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
              <w:jc w:val="right"/>
              <w:rPr>
                <w:rFonts w:ascii="Times New Roman" w:hAnsi="Times New Roman" w:cs="Times New Roman" w:eastAsia="Times New Roman" w:hint="default"/>
                <w:sz w:val="18"/>
                <w:szCs w:val="18"/>
              </w:rPr>
            </w:pPr>
            <w:r>
              <w:rPr>
                <w:rFonts w:ascii="Times New Roman"/>
                <w:spacing w:val="-1"/>
                <w:sz w:val="18"/>
              </w:rPr>
              <w:t>0.16</w:t>
            </w:r>
          </w:p>
        </w:tc>
      </w:tr>
      <w:tr>
        <w:trPr>
          <w:trHeight w:val="667"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股东的净利润（Ⅱ）</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0.41</w:t>
            </w:r>
          </w:p>
        </w:tc>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0.41</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0.41</w:t>
            </w:r>
          </w:p>
        </w:tc>
        <w:tc>
          <w:tcPr>
            <w:tcW w:w="138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6"/>
              <w:jc w:val="right"/>
              <w:rPr>
                <w:rFonts w:ascii="Times New Roman" w:hAnsi="Times New Roman" w:cs="Times New Roman" w:eastAsia="Times New Roman" w:hint="default"/>
                <w:sz w:val="18"/>
                <w:szCs w:val="18"/>
              </w:rPr>
            </w:pPr>
            <w:r>
              <w:rPr>
                <w:rFonts w:ascii="Times New Roman"/>
                <w:spacing w:val="-1"/>
                <w:sz w:val="18"/>
              </w:rPr>
              <w:t>0.41</w:t>
            </w:r>
          </w:p>
        </w:tc>
      </w:tr>
    </w:tbl>
    <w:p>
      <w:pPr>
        <w:pStyle w:val="BodyText"/>
        <w:spacing w:line="256" w:lineRule="auto"/>
        <w:ind w:left="1146" w:right="5085" w:hanging="423"/>
        <w:jc w:val="left"/>
      </w:pPr>
      <w:r>
        <w:rPr>
          <w:spacing w:val="-2"/>
        </w:rPr>
        <w:t>（</w:t>
      </w:r>
      <w:r>
        <w:rPr>
          <w:rFonts w:ascii="Times New Roman" w:hAnsi="Times New Roman" w:cs="Times New Roman" w:eastAsia="Times New Roman" w:hint="default"/>
          <w:spacing w:val="-2"/>
        </w:rPr>
        <w:t>1</w:t>
      </w:r>
      <w:r>
        <w:rPr>
          <w:spacing w:val="-2"/>
        </w:rPr>
        <w:t>）基本每股收益计算公式如下：</w:t>
      </w:r>
      <w:r>
        <w:rPr>
          <w:spacing w:val="-76"/>
        </w:rPr>
        <w:t> </w:t>
      </w:r>
      <w:r>
        <w:rPr>
          <w:spacing w:val="-76"/>
        </w:rPr>
      </w:r>
      <w:r>
        <w:rPr>
          <w:position w:val="1"/>
        </w:rPr>
        <w:t>基本每股收益＝Ｐ</w:t>
      </w:r>
      <w:r>
        <w:rPr>
          <w:sz w:val="11"/>
          <w:szCs w:val="11"/>
        </w:rPr>
        <w:t>０</w:t>
      </w:r>
      <w:r>
        <w:rPr>
          <w:rFonts w:ascii="Times New Roman" w:hAnsi="Times New Roman" w:cs="Times New Roman" w:eastAsia="Times New Roman" w:hint="default"/>
          <w:position w:val="1"/>
        </w:rPr>
        <w:t>÷</w:t>
      </w:r>
      <w:r>
        <w:rPr>
          <w:position w:val="1"/>
        </w:rPr>
        <w:t>Ｓ</w:t>
      </w:r>
      <w:r>
        <w:rPr/>
      </w:r>
    </w:p>
    <w:p>
      <w:pPr>
        <w:pStyle w:val="BodyText"/>
        <w:spacing w:line="256" w:lineRule="auto" w:before="5"/>
        <w:ind w:left="724" w:right="1123" w:firstLine="422"/>
        <w:jc w:val="left"/>
      </w:pPr>
      <w:r>
        <w:rPr>
          <w:position w:val="1"/>
        </w:rPr>
        <w:t>Ｓ＝ Ｓ</w:t>
      </w:r>
      <w:r>
        <w:rPr>
          <w:sz w:val="11"/>
          <w:szCs w:val="11"/>
        </w:rPr>
        <w:t>０ </w:t>
      </w:r>
      <w:r>
        <w:rPr>
          <w:position w:val="1"/>
        </w:rPr>
        <w:t>＋ Ｓ</w:t>
      </w:r>
      <w:r>
        <w:rPr>
          <w:sz w:val="11"/>
          <w:szCs w:val="11"/>
        </w:rPr>
        <w:t>１ </w:t>
      </w:r>
      <w:r>
        <w:rPr>
          <w:position w:val="1"/>
        </w:rPr>
        <w:t>＋ Ｓ</w:t>
      </w:r>
      <w:r>
        <w:rPr>
          <w:sz w:val="11"/>
          <w:szCs w:val="11"/>
        </w:rPr>
        <w:t>ｉ</w:t>
      </w:r>
      <w:r>
        <w:rPr>
          <w:rFonts w:ascii="Times New Roman" w:hAnsi="Times New Roman" w:cs="Times New Roman" w:eastAsia="Times New Roman" w:hint="default"/>
          <w:position w:val="1"/>
        </w:rPr>
        <w:t>×</w:t>
      </w:r>
      <w:r>
        <w:rPr>
          <w:position w:val="1"/>
        </w:rPr>
        <w:t>Ｍ</w:t>
      </w:r>
      <w:r>
        <w:rPr>
          <w:sz w:val="11"/>
          <w:szCs w:val="11"/>
        </w:rPr>
        <w:t>ｉ</w:t>
      </w:r>
      <w:r>
        <w:rPr>
          <w:rFonts w:ascii="Times New Roman" w:hAnsi="Times New Roman" w:cs="Times New Roman" w:eastAsia="Times New Roman" w:hint="default"/>
          <w:position w:val="1"/>
        </w:rPr>
        <w:t>÷</w:t>
      </w:r>
      <w:r>
        <w:rPr>
          <w:position w:val="1"/>
        </w:rPr>
        <w:t>Ｍ</w:t>
      </w:r>
      <w:r>
        <w:rPr>
          <w:sz w:val="11"/>
          <w:szCs w:val="11"/>
        </w:rPr>
        <w:t>０ </w:t>
      </w:r>
      <w:r>
        <w:rPr>
          <w:position w:val="1"/>
        </w:rPr>
        <w:t>－</w:t>
      </w:r>
      <w:r>
        <w:rPr>
          <w:spacing w:val="-1"/>
          <w:position w:val="1"/>
        </w:rPr>
        <w:t> </w:t>
      </w:r>
      <w:r>
        <w:rPr>
          <w:position w:val="1"/>
        </w:rPr>
        <w:t>Ｓ</w:t>
      </w:r>
      <w:r>
        <w:rPr>
          <w:sz w:val="11"/>
          <w:szCs w:val="11"/>
        </w:rPr>
        <w:t>ｊ</w:t>
      </w:r>
      <w:r>
        <w:rPr>
          <w:rFonts w:ascii="Times New Roman" w:hAnsi="Times New Roman" w:cs="Times New Roman" w:eastAsia="Times New Roman" w:hint="default"/>
          <w:position w:val="1"/>
        </w:rPr>
        <w:t>×</w:t>
      </w:r>
      <w:r>
        <w:rPr>
          <w:position w:val="1"/>
        </w:rPr>
        <w:t>Ｍ</w:t>
      </w:r>
      <w:r>
        <w:rPr>
          <w:sz w:val="11"/>
          <w:szCs w:val="11"/>
        </w:rPr>
        <w:t>ｊ</w:t>
      </w:r>
      <w:r>
        <w:rPr>
          <w:rFonts w:ascii="Times New Roman" w:hAnsi="Times New Roman" w:cs="Times New Roman" w:eastAsia="Times New Roman" w:hint="default"/>
          <w:position w:val="1"/>
        </w:rPr>
        <w:t>÷</w:t>
      </w:r>
      <w:r>
        <w:rPr>
          <w:position w:val="1"/>
        </w:rPr>
        <w:t>Ｍ</w:t>
      </w:r>
      <w:r>
        <w:rPr>
          <w:sz w:val="11"/>
          <w:szCs w:val="11"/>
        </w:rPr>
        <w:t>０</w:t>
      </w:r>
      <w:r>
        <w:rPr>
          <w:position w:val="1"/>
        </w:rPr>
        <w:t>－Ｓ</w:t>
      </w:r>
      <w:r>
        <w:rPr>
          <w:sz w:val="11"/>
          <w:szCs w:val="11"/>
        </w:rPr>
        <w:t>ｋ</w:t>
      </w:r>
      <w:r>
        <w:rPr>
          <w:w w:val="100"/>
          <w:sz w:val="11"/>
          <w:szCs w:val="11"/>
        </w:rPr>
        <w:t> </w:t>
      </w:r>
      <w:r>
        <w:rPr>
          <w:spacing w:val="-4"/>
          <w:position w:val="1"/>
        </w:rPr>
        <w:t>其中：Ｐ</w:t>
      </w:r>
      <w:r>
        <w:rPr>
          <w:spacing w:val="-4"/>
          <w:sz w:val="11"/>
          <w:szCs w:val="11"/>
        </w:rPr>
        <w:t>０</w:t>
      </w:r>
      <w:r>
        <w:rPr>
          <w:spacing w:val="-4"/>
          <w:position w:val="1"/>
        </w:rPr>
        <w:t>为归属于公司普通股股东的净利润或扣除非经常性损益后归属于普通股股东的净利润；Ｓ</w:t>
      </w:r>
      <w:r>
        <w:rPr>
          <w:spacing w:val="-4"/>
        </w:rPr>
      </w:r>
    </w:p>
    <w:p>
      <w:pPr>
        <w:pStyle w:val="BodyText"/>
        <w:spacing w:line="268" w:lineRule="auto" w:before="22"/>
        <w:ind w:right="1123"/>
        <w:jc w:val="left"/>
      </w:pPr>
      <w:r>
        <w:rPr>
          <w:spacing w:val="-4"/>
          <w:w w:val="100"/>
          <w:position w:val="1"/>
        </w:rPr>
        <w:t>为发行在外的普通股加权平均数；Ｓ</w:t>
      </w:r>
      <w:r>
        <w:rPr>
          <w:spacing w:val="-4"/>
          <w:w w:val="100"/>
          <w:sz w:val="11"/>
          <w:szCs w:val="11"/>
        </w:rPr>
        <w:t>０</w:t>
      </w:r>
      <w:r>
        <w:rPr>
          <w:spacing w:val="-4"/>
          <w:w w:val="100"/>
          <w:position w:val="1"/>
        </w:rPr>
        <w:t>为期初股份总数</w:t>
      </w:r>
      <w:r>
        <w:rPr>
          <w:rFonts w:ascii="Times New Roman" w:hAnsi="Times New Roman" w:cs="Times New Roman" w:eastAsia="Times New Roman" w:hint="default"/>
          <w:spacing w:val="-4"/>
          <w:w w:val="100"/>
          <w:position w:val="1"/>
        </w:rPr>
        <w:t>;</w:t>
      </w:r>
      <w:r>
        <w:rPr>
          <w:spacing w:val="-4"/>
          <w:w w:val="100"/>
          <w:position w:val="1"/>
        </w:rPr>
        <w:t>Ｓ</w:t>
      </w:r>
      <w:r>
        <w:rPr>
          <w:spacing w:val="-4"/>
          <w:w w:val="100"/>
          <w:sz w:val="11"/>
          <w:szCs w:val="11"/>
        </w:rPr>
        <w:t>１</w:t>
      </w:r>
      <w:r>
        <w:rPr>
          <w:spacing w:val="-4"/>
          <w:w w:val="100"/>
          <w:position w:val="1"/>
        </w:rPr>
        <w:t>为报告期因公积金转增股本或股票股利分配等增</w:t>
      </w:r>
      <w:r>
        <w:rPr>
          <w:spacing w:val="-68"/>
          <w:w w:val="100"/>
          <w:position w:val="1"/>
        </w:rPr>
        <w:t> </w:t>
      </w:r>
      <w:r>
        <w:rPr>
          <w:spacing w:val="-68"/>
          <w:w w:val="100"/>
          <w:position w:val="1"/>
        </w:rPr>
      </w:r>
      <w:r>
        <w:rPr>
          <w:spacing w:val="-2"/>
          <w:position w:val="1"/>
        </w:rPr>
        <w:t>加股份数；Ｓ</w:t>
      </w:r>
      <w:r>
        <w:rPr>
          <w:spacing w:val="-2"/>
          <w:sz w:val="11"/>
          <w:szCs w:val="11"/>
        </w:rPr>
        <w:t>ｉ</w:t>
      </w:r>
      <w:r>
        <w:rPr>
          <w:spacing w:val="-2"/>
          <w:position w:val="1"/>
        </w:rPr>
        <w:t>为报告期因发行新股或债转股等增加股份数；Ｓ</w:t>
      </w:r>
      <w:r>
        <w:rPr>
          <w:spacing w:val="-2"/>
          <w:sz w:val="11"/>
          <w:szCs w:val="11"/>
        </w:rPr>
        <w:t>ｊ</w:t>
      </w:r>
      <w:r>
        <w:rPr>
          <w:spacing w:val="-2"/>
          <w:position w:val="1"/>
        </w:rPr>
        <w:t>为报告期因回购等减少股份数；Ｓ</w:t>
      </w:r>
      <w:r>
        <w:rPr>
          <w:spacing w:val="-2"/>
          <w:sz w:val="11"/>
          <w:szCs w:val="11"/>
        </w:rPr>
        <w:t>ｋ</w:t>
      </w:r>
      <w:r>
        <w:rPr>
          <w:spacing w:val="-2"/>
          <w:position w:val="1"/>
        </w:rPr>
        <w:t>为报</w:t>
      </w:r>
      <w:r>
        <w:rPr>
          <w:spacing w:val="-26"/>
          <w:position w:val="1"/>
        </w:rPr>
        <w:t> </w:t>
      </w:r>
      <w:r>
        <w:rPr>
          <w:spacing w:val="-26"/>
          <w:position w:val="1"/>
        </w:rPr>
      </w:r>
      <w:r>
        <w:rPr>
          <w:spacing w:val="-2"/>
          <w:position w:val="1"/>
        </w:rPr>
        <w:t>告期缩股数；Ｍ</w:t>
      </w:r>
      <w:r>
        <w:rPr>
          <w:spacing w:val="-2"/>
          <w:sz w:val="11"/>
          <w:szCs w:val="11"/>
        </w:rPr>
        <w:t>０</w:t>
      </w:r>
      <w:r>
        <w:rPr>
          <w:spacing w:val="-2"/>
          <w:position w:val="1"/>
        </w:rPr>
        <w:t>报告期月份数；Ｍ</w:t>
      </w:r>
      <w:r>
        <w:rPr>
          <w:spacing w:val="-2"/>
          <w:sz w:val="11"/>
          <w:szCs w:val="11"/>
        </w:rPr>
        <w:t>ｉ</w:t>
      </w:r>
      <w:r>
        <w:rPr>
          <w:spacing w:val="-2"/>
          <w:position w:val="1"/>
        </w:rPr>
        <w:t>为增加股份次月起至报告期期末的累计月数；Ｍ</w:t>
      </w:r>
      <w:r>
        <w:rPr>
          <w:spacing w:val="-2"/>
          <w:sz w:val="11"/>
          <w:szCs w:val="11"/>
        </w:rPr>
        <w:t>ｊ</w:t>
      </w:r>
      <w:r>
        <w:rPr>
          <w:spacing w:val="-2"/>
          <w:position w:val="1"/>
        </w:rPr>
        <w:t>为减少股份次月起</w:t>
      </w:r>
      <w:r>
        <w:rPr>
          <w:spacing w:val="-23"/>
          <w:position w:val="1"/>
        </w:rPr>
        <w:t> </w:t>
      </w:r>
      <w:r>
        <w:rPr>
          <w:spacing w:val="-23"/>
          <w:position w:val="1"/>
        </w:rPr>
      </w:r>
      <w:r>
        <w:rPr/>
        <w:t>至报告期期末的累计月数。</w:t>
      </w:r>
    </w:p>
    <w:p>
      <w:pPr>
        <w:spacing w:line="442" w:lineRule="exact" w:before="23"/>
        <w:ind w:left="748" w:right="7426" w:firstLine="4"/>
        <w:jc w:val="left"/>
        <w:rPr>
          <w:rFonts w:ascii="宋体" w:hAnsi="宋体" w:cs="宋体" w:eastAsia="宋体" w:hint="default"/>
          <w:sz w:val="21"/>
          <w:szCs w:val="21"/>
        </w:rPr>
      </w:pPr>
      <w:r>
        <w:rPr>
          <w:rFonts w:ascii="宋体" w:hAnsi="宋体" w:cs="宋体" w:eastAsia="宋体" w:hint="default"/>
          <w:b/>
          <w:bCs/>
          <w:spacing w:val="-1"/>
          <w:sz w:val="21"/>
          <w:szCs w:val="21"/>
        </w:rPr>
        <w:t>基本每股收益计算过程如下：</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position w:val="1"/>
          <w:sz w:val="21"/>
          <w:szCs w:val="21"/>
        </w:rPr>
        <w:t>基本每股收益</w:t>
      </w:r>
      <w:r>
        <w:rPr>
          <w:rFonts w:ascii="Times New Roman" w:hAnsi="Times New Roman" w:cs="Times New Roman" w:eastAsia="Times New Roman" w:hint="default"/>
          <w:position w:val="1"/>
          <w:sz w:val="21"/>
          <w:szCs w:val="21"/>
        </w:rPr>
        <w:t>=</w:t>
      </w:r>
      <w:r>
        <w:rPr>
          <w:rFonts w:ascii="宋体" w:hAnsi="宋体" w:cs="宋体" w:eastAsia="宋体" w:hint="default"/>
          <w:position w:val="1"/>
          <w:sz w:val="21"/>
          <w:szCs w:val="21"/>
        </w:rPr>
        <w:t>Ｐ</w:t>
      </w:r>
      <w:r>
        <w:rPr>
          <w:rFonts w:ascii="宋体" w:hAnsi="宋体" w:cs="宋体" w:eastAsia="宋体" w:hint="default"/>
          <w:sz w:val="11"/>
          <w:szCs w:val="11"/>
        </w:rPr>
        <w:t>０</w:t>
      </w:r>
      <w:r>
        <w:rPr>
          <w:rFonts w:ascii="Times New Roman" w:hAnsi="Times New Roman" w:cs="Times New Roman" w:eastAsia="Times New Roman" w:hint="default"/>
          <w:position w:val="1"/>
          <w:sz w:val="21"/>
          <w:szCs w:val="21"/>
        </w:rPr>
        <w:t>/</w:t>
      </w:r>
      <w:r>
        <w:rPr>
          <w:rFonts w:ascii="宋体" w:hAnsi="宋体" w:cs="宋体" w:eastAsia="宋体" w:hint="default"/>
          <w:position w:val="1"/>
          <w:sz w:val="21"/>
          <w:szCs w:val="21"/>
        </w:rPr>
        <w:t>Ｓ</w:t>
      </w:r>
      <w:r>
        <w:rPr>
          <w:rFonts w:ascii="宋体" w:hAnsi="宋体" w:cs="宋体" w:eastAsia="宋体" w:hint="default"/>
          <w:sz w:val="21"/>
          <w:szCs w:val="21"/>
        </w:rPr>
      </w:r>
    </w:p>
    <w:p>
      <w:pPr>
        <w:pStyle w:val="BodyText"/>
        <w:spacing w:line="240" w:lineRule="auto" w:before="15"/>
        <w:ind w:left="1161" w:right="1123"/>
        <w:jc w:val="left"/>
        <w:rPr>
          <w:rFonts w:ascii="Times New Roman" w:hAnsi="Times New Roman" w:cs="Times New Roman" w:eastAsia="Times New Roman" w:hint="default"/>
        </w:rPr>
      </w:pPr>
      <w:r>
        <w:rPr>
          <w:rFonts w:ascii="Times New Roman"/>
        </w:rPr>
        <w:t>= 41,175,191.23/89,056,410.17</w:t>
      </w:r>
    </w:p>
    <w:p>
      <w:pPr>
        <w:pStyle w:val="BodyText"/>
        <w:spacing w:line="240" w:lineRule="auto" w:before="70"/>
        <w:ind w:left="1756" w:right="1123"/>
        <w:jc w:val="left"/>
        <w:rPr>
          <w:rFonts w:ascii="Times New Roman" w:hAnsi="Times New Roman" w:cs="Times New Roman" w:eastAsia="Times New Roman" w:hint="default"/>
        </w:rPr>
      </w:pPr>
      <w:r>
        <w:rPr>
          <w:rFonts w:ascii="Times New Roman"/>
        </w:rPr>
        <w:t>=0.46</w:t>
      </w:r>
    </w:p>
    <w:p>
      <w:pPr>
        <w:pStyle w:val="BodyText"/>
        <w:spacing w:line="240" w:lineRule="auto" w:before="23"/>
        <w:ind w:left="748" w:right="1123"/>
        <w:jc w:val="left"/>
      </w:pPr>
      <w:r>
        <w:rPr>
          <w:position w:val="1"/>
        </w:rPr>
        <w:t>（</w:t>
      </w:r>
      <w:r>
        <w:rPr>
          <w:rFonts w:ascii="Times New Roman" w:hAnsi="Times New Roman" w:cs="Times New Roman" w:eastAsia="Times New Roman" w:hint="default"/>
          <w:position w:val="1"/>
        </w:rPr>
        <w:t>1</w:t>
      </w:r>
      <w:r>
        <w:rPr>
          <w:position w:val="1"/>
        </w:rPr>
        <w:t>）Ｐ</w:t>
      </w:r>
      <w:r>
        <w:rPr>
          <w:sz w:val="11"/>
          <w:szCs w:val="11"/>
        </w:rPr>
        <w:t>０</w:t>
      </w:r>
      <w:r>
        <w:rPr>
          <w:position w:val="1"/>
        </w:rPr>
        <w:t>为归属于公司普通股股东的净利润，Ｐ</w:t>
      </w:r>
      <w:r>
        <w:rPr>
          <w:sz w:val="11"/>
          <w:szCs w:val="11"/>
        </w:rPr>
        <w:t>０</w:t>
      </w:r>
      <w:r>
        <w:rPr>
          <w:rFonts w:ascii="Times New Roman" w:hAnsi="Times New Roman" w:cs="Times New Roman" w:eastAsia="Times New Roman" w:hint="default"/>
          <w:position w:val="1"/>
        </w:rPr>
        <w:t>=41,175,191.23</w:t>
      </w:r>
      <w:r>
        <w:rPr>
          <w:position w:val="1"/>
        </w:rPr>
        <w:t>；</w:t>
      </w:r>
      <w:r>
        <w:rPr/>
      </w:r>
    </w:p>
    <w:p>
      <w:pPr>
        <w:pStyle w:val="BodyText"/>
        <w:spacing w:line="240" w:lineRule="auto" w:before="21"/>
        <w:ind w:left="748" w:right="1123"/>
        <w:jc w:val="left"/>
      </w:pPr>
      <w:r>
        <w:rPr/>
        <w:t>（</w:t>
      </w:r>
      <w:r>
        <w:rPr>
          <w:rFonts w:ascii="Times New Roman" w:hAnsi="Times New Roman" w:cs="Times New Roman" w:eastAsia="Times New Roman" w:hint="default"/>
        </w:rPr>
        <w:t>2</w:t>
      </w:r>
      <w:r>
        <w:rPr/>
        <w:t>）Ｓ为发行在外的普通股加权平均数：</w:t>
      </w:r>
    </w:p>
    <w:p>
      <w:pPr>
        <w:spacing w:after="0" w:line="240" w:lineRule="auto"/>
        <w:jc w:val="left"/>
        <w:sectPr>
          <w:pgSz w:w="11910" w:h="16840"/>
          <w:pgMar w:header="877" w:footer="1340" w:top="1100" w:bottom="1540" w:left="980" w:right="0"/>
        </w:sectPr>
      </w:pPr>
    </w:p>
    <w:p>
      <w:pPr>
        <w:spacing w:line="240" w:lineRule="auto" w:before="7"/>
        <w:rPr>
          <w:rFonts w:ascii="宋体" w:hAnsi="宋体" w:cs="宋体" w:eastAsia="宋体" w:hint="default"/>
          <w:sz w:val="21"/>
          <w:szCs w:val="21"/>
        </w:rPr>
      </w:pPr>
    </w:p>
    <w:p>
      <w:pPr>
        <w:spacing w:before="74"/>
        <w:ind w:left="1252" w:right="1123"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21"/>
          <w:szCs w:val="21"/>
        </w:rPr>
        <w:t>S=S</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 S</w:t>
      </w:r>
      <w:r>
        <w:rPr>
          <w:rFonts w:ascii="Times New Roman" w:hAnsi="Times New Roman" w:cs="Times New Roman" w:eastAsia="Times New Roman" w:hint="default"/>
          <w:position w:val="-2"/>
          <w:sz w:val="14"/>
          <w:szCs w:val="14"/>
        </w:rPr>
        <w:t>1 </w:t>
      </w:r>
      <w:r>
        <w:rPr>
          <w:rFonts w:ascii="Times New Roman" w:hAnsi="Times New Roman" w:cs="Times New Roman" w:eastAsia="Times New Roman" w:hint="default"/>
          <w:sz w:val="21"/>
          <w:szCs w:val="21"/>
        </w:rPr>
        <w:t>+ S</w:t>
      </w:r>
      <w:r>
        <w:rPr>
          <w:rFonts w:ascii="Times New Roman" w:hAnsi="Times New Roman" w:cs="Times New Roman" w:eastAsia="Times New Roman" w:hint="default"/>
          <w:position w:val="-2"/>
          <w:sz w:val="14"/>
          <w:szCs w:val="14"/>
        </w:rPr>
        <w:t>i </w:t>
      </w:r>
      <w:r>
        <w:rPr>
          <w:rFonts w:ascii="Times New Roman" w:hAnsi="Times New Roman" w:cs="Times New Roman" w:eastAsia="Times New Roman" w:hint="default"/>
          <w:sz w:val="21"/>
          <w:szCs w:val="21"/>
        </w:rPr>
        <w:t>× M</w:t>
      </w:r>
      <w:r>
        <w:rPr>
          <w:rFonts w:ascii="Times New Roman" w:hAnsi="Times New Roman" w:cs="Times New Roman" w:eastAsia="Times New Roman" w:hint="default"/>
          <w:position w:val="-2"/>
          <w:sz w:val="14"/>
          <w:szCs w:val="14"/>
        </w:rPr>
        <w:t>i </w:t>
      </w:r>
      <w:r>
        <w:rPr>
          <w:rFonts w:ascii="Times New Roman" w:hAnsi="Times New Roman" w:cs="Times New Roman" w:eastAsia="Times New Roman" w:hint="default"/>
          <w:sz w:val="21"/>
          <w:szCs w:val="21"/>
        </w:rPr>
        <w:t>/ M</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 S</w:t>
      </w:r>
      <w:r>
        <w:rPr>
          <w:rFonts w:ascii="Times New Roman" w:hAnsi="Times New Roman" w:cs="Times New Roman" w:eastAsia="Times New Roman" w:hint="default"/>
          <w:position w:val="-2"/>
          <w:sz w:val="14"/>
          <w:szCs w:val="14"/>
        </w:rPr>
        <w:t>j  </w:t>
      </w:r>
      <w:r>
        <w:rPr>
          <w:rFonts w:ascii="Times New Roman" w:hAnsi="Times New Roman" w:cs="Times New Roman" w:eastAsia="Times New Roman" w:hint="default"/>
          <w:sz w:val="21"/>
          <w:szCs w:val="21"/>
        </w:rPr>
        <w:t>× M</w:t>
      </w:r>
      <w:r>
        <w:rPr>
          <w:rFonts w:ascii="Times New Roman" w:hAnsi="Times New Roman" w:cs="Times New Roman" w:eastAsia="Times New Roman" w:hint="default"/>
          <w:position w:val="-2"/>
          <w:sz w:val="14"/>
          <w:szCs w:val="14"/>
        </w:rPr>
        <w:t>j </w:t>
      </w:r>
      <w:r>
        <w:rPr>
          <w:rFonts w:ascii="Times New Roman" w:hAnsi="Times New Roman" w:cs="Times New Roman" w:eastAsia="Times New Roman" w:hint="default"/>
          <w:sz w:val="21"/>
          <w:szCs w:val="21"/>
        </w:rPr>
        <w:t>/ M</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z w:val="14"/>
          <w:szCs w:val="14"/>
        </w:rPr>
      </w:r>
    </w:p>
    <w:p>
      <w:pPr>
        <w:pStyle w:val="BodyText"/>
        <w:spacing w:line="240" w:lineRule="auto" w:before="56"/>
        <w:ind w:left="916" w:right="1123"/>
        <w:jc w:val="left"/>
        <w:rPr>
          <w:rFonts w:ascii="Times New Roman" w:hAnsi="Times New Roman" w:cs="Times New Roman" w:eastAsia="Times New Roman" w:hint="default"/>
        </w:rPr>
      </w:pPr>
      <w:r>
        <w:rPr>
          <w:rFonts w:ascii="Times New Roman"/>
        </w:rPr>
        <w:t>=89,056,410.17</w:t>
      </w:r>
    </w:p>
    <w:p>
      <w:pPr>
        <w:pStyle w:val="BodyText"/>
        <w:spacing w:line="240" w:lineRule="auto" w:before="23"/>
        <w:ind w:left="748" w:right="1123"/>
        <w:jc w:val="left"/>
      </w:pPr>
      <w:r>
        <w:rPr/>
        <w:t>其中：</w:t>
      </w:r>
    </w:p>
    <w:p>
      <w:pPr>
        <w:pStyle w:val="BodyText"/>
        <w:spacing w:line="240" w:lineRule="auto" w:before="37"/>
        <w:ind w:left="772" w:right="1123"/>
        <w:jc w:val="left"/>
      </w:pPr>
      <w:r>
        <w:rPr>
          <w:rFonts w:ascii="宋体" w:hAnsi="宋体" w:cs="宋体" w:eastAsia="宋体" w:hint="default"/>
        </w:rPr>
        <w:t>1.</w:t>
      </w:r>
      <w:r>
        <w:rPr>
          <w:rFonts w:ascii="宋体" w:hAnsi="宋体" w:cs="宋体" w:eastAsia="宋体" w:hint="default"/>
          <w:spacing w:val="41"/>
        </w:rPr>
        <w:t> </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t>为</w:t>
      </w:r>
      <w:r>
        <w:rPr>
          <w:rFonts w:ascii="Times New Roman" w:hAnsi="Times New Roman" w:cs="Times New Roman" w:eastAsia="Times New Roman" w:hint="default"/>
        </w:rPr>
        <w:t>2012</w:t>
      </w:r>
      <w:r>
        <w:rPr/>
        <w:t>年初股份总数，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=85,600,000.00</w:t>
      </w:r>
      <w:r>
        <w:rPr/>
        <w:t>；</w:t>
      </w:r>
    </w:p>
    <w:p>
      <w:pPr>
        <w:pStyle w:val="BodyText"/>
        <w:spacing w:line="240" w:lineRule="auto" w:before="6"/>
        <w:ind w:left="678" w:right="1123"/>
        <w:jc w:val="left"/>
      </w:pPr>
      <w:r>
        <w:rPr/>
        <w:t>②</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t>为</w:t>
      </w:r>
      <w:r>
        <w:rPr>
          <w:rFonts w:ascii="Times New Roman" w:hAnsi="Times New Roman" w:cs="Times New Roman" w:eastAsia="Times New Roman" w:hint="default"/>
        </w:rPr>
        <w:t>2012</w:t>
      </w:r>
      <w:r>
        <w:rPr/>
        <w:t>年因公积金转增股本或股票股利分配等增加股份数，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rPr>
        <w:t>=</w:t>
      </w:r>
      <w:r>
        <w:rPr>
          <w:rFonts w:ascii="Times New Roman" w:hAnsi="Times New Roman" w:cs="Times New Roman" w:eastAsia="Times New Roman" w:hint="default"/>
          <w:sz w:val="18"/>
          <w:szCs w:val="18"/>
        </w:rPr>
        <w:t>0</w:t>
      </w:r>
      <w:r>
        <w:rPr/>
        <w:t>；</w:t>
      </w:r>
    </w:p>
    <w:p>
      <w:pPr>
        <w:pStyle w:val="BodyText"/>
        <w:spacing w:line="240" w:lineRule="auto" w:before="6"/>
        <w:ind w:left="748" w:right="1123"/>
        <w:jc w:val="left"/>
      </w:pPr>
      <w:r>
        <w:rPr/>
        <w:t>③</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w:t>
      </w:r>
      <w:r>
        <w:rPr/>
        <w:t>为</w:t>
      </w:r>
      <w:r>
        <w:rPr>
          <w:rFonts w:ascii="Times New Roman" w:hAnsi="Times New Roman" w:cs="Times New Roman" w:eastAsia="Times New Roman" w:hint="default"/>
        </w:rPr>
        <w:t>2012</w:t>
      </w:r>
      <w:r>
        <w:rPr/>
        <w:t>年公司因发行新股增加的股份数，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i1</w:t>
      </w:r>
      <w:r>
        <w:rPr>
          <w:rFonts w:ascii="Times New Roman" w:hAnsi="Times New Roman" w:cs="Times New Roman" w:eastAsia="Times New Roman" w:hint="default"/>
        </w:rPr>
        <w:t>=20,738,461.00</w:t>
      </w:r>
      <w:r>
        <w:rPr/>
        <w:t>；</w:t>
      </w:r>
    </w:p>
    <w:p>
      <w:pPr>
        <w:pStyle w:val="BodyText"/>
        <w:spacing w:line="240" w:lineRule="auto" w:before="6"/>
        <w:ind w:left="748" w:right="1123"/>
        <w:jc w:val="left"/>
      </w:pPr>
      <w:r>
        <w:rPr/>
        <w:t>④</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t>为</w:t>
      </w:r>
      <w:r>
        <w:rPr>
          <w:rFonts w:ascii="Times New Roman" w:hAnsi="Times New Roman" w:cs="Times New Roman" w:eastAsia="Times New Roman" w:hint="default"/>
        </w:rPr>
        <w:t>2012</w:t>
      </w:r>
      <w:r>
        <w:rPr/>
        <w:t>年因回购等减少股份数，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spacing w:val="14"/>
          <w:position w:val="-2"/>
          <w:sz w:val="14"/>
          <w:szCs w:val="14"/>
        </w:rPr>
        <w:t> </w:t>
      </w:r>
      <w:r>
        <w:rPr>
          <w:rFonts w:ascii="Times New Roman" w:hAnsi="Times New Roman" w:cs="Times New Roman" w:eastAsia="Times New Roman" w:hint="default"/>
        </w:rPr>
        <w:t>=0</w:t>
      </w:r>
      <w:r>
        <w:rPr/>
        <w:t>；</w:t>
      </w:r>
    </w:p>
    <w:p>
      <w:pPr>
        <w:pStyle w:val="BodyText"/>
        <w:spacing w:line="240" w:lineRule="auto" w:before="6"/>
        <w:ind w:left="748" w:right="1123"/>
        <w:jc w:val="left"/>
      </w:pPr>
      <w:r>
        <w:rPr/>
        <w:t>⑤</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k</w:t>
      </w:r>
      <w:r>
        <w:rPr/>
        <w:t>为</w:t>
      </w:r>
      <w:r>
        <w:rPr>
          <w:rFonts w:ascii="Times New Roman" w:hAnsi="Times New Roman" w:cs="Times New Roman" w:eastAsia="Times New Roman" w:hint="default"/>
        </w:rPr>
        <w:t>2012</w:t>
      </w:r>
      <w:r>
        <w:rPr/>
        <w:t>年缩股数，</w:t>
      </w:r>
      <w:r>
        <w:rPr>
          <w:rFonts w:ascii="Times New Roman" w:hAnsi="Times New Roman" w:cs="Times New Roman" w:eastAsia="Times New Roman" w:hint="default"/>
        </w:rPr>
        <w:t>S</w:t>
      </w:r>
      <w:r>
        <w:rPr>
          <w:rFonts w:ascii="Times New Roman" w:hAnsi="Times New Roman" w:cs="Times New Roman" w:eastAsia="Times New Roman" w:hint="default"/>
          <w:position w:val="-2"/>
          <w:sz w:val="14"/>
          <w:szCs w:val="14"/>
        </w:rPr>
        <w:t>k</w:t>
      </w:r>
      <w:r>
        <w:rPr>
          <w:rFonts w:ascii="Times New Roman" w:hAnsi="Times New Roman" w:cs="Times New Roman" w:eastAsia="Times New Roman" w:hint="default"/>
          <w:spacing w:val="14"/>
          <w:position w:val="-2"/>
          <w:sz w:val="14"/>
          <w:szCs w:val="14"/>
        </w:rPr>
        <w:t> </w:t>
      </w:r>
      <w:r>
        <w:rPr>
          <w:rFonts w:ascii="Times New Roman" w:hAnsi="Times New Roman" w:cs="Times New Roman" w:eastAsia="Times New Roman" w:hint="default"/>
        </w:rPr>
        <w:t>=0</w:t>
      </w:r>
      <w:r>
        <w:rPr/>
        <w:t>；</w:t>
      </w:r>
    </w:p>
    <w:p>
      <w:pPr>
        <w:pStyle w:val="BodyText"/>
        <w:spacing w:line="240" w:lineRule="auto" w:before="6"/>
        <w:ind w:left="748" w:right="1123"/>
        <w:jc w:val="left"/>
      </w:pPr>
      <w:r>
        <w:rPr/>
        <w:t>⑥</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t>为</w:t>
      </w:r>
      <w:r>
        <w:rPr>
          <w:rFonts w:ascii="Times New Roman" w:hAnsi="Times New Roman" w:cs="Times New Roman" w:eastAsia="Times New Roman" w:hint="default"/>
        </w:rPr>
        <w:t>2012</w:t>
      </w:r>
      <w:r>
        <w:rPr/>
        <w:t>年月份数，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rPr>
        <w:t>=12</w:t>
      </w:r>
      <w:r>
        <w:rPr/>
        <w:t>；</w:t>
      </w:r>
    </w:p>
    <w:p>
      <w:pPr>
        <w:pStyle w:val="BodyText"/>
        <w:spacing w:line="240" w:lineRule="auto" w:before="6"/>
        <w:ind w:left="748" w:right="1123"/>
        <w:jc w:val="left"/>
      </w:pPr>
      <w:r>
        <w:rPr/>
        <w:t>⑦</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t>为增加股份下一月份起至报告期期末的月份数，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rPr>
        <w:t>=2</w:t>
      </w:r>
      <w:r>
        <w:rPr/>
        <w:t>；</w:t>
      </w:r>
    </w:p>
    <w:p>
      <w:pPr>
        <w:pStyle w:val="BodyText"/>
        <w:spacing w:line="244" w:lineRule="auto" w:before="6"/>
        <w:ind w:left="750" w:right="1123" w:hanging="3"/>
        <w:jc w:val="left"/>
      </w:pPr>
      <w:r>
        <w:rPr/>
        <w:t>⑧</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t>为减少股份下一月份起至报告期期末的月份数，</w:t>
      </w:r>
      <w:r>
        <w:rPr>
          <w:rFonts w:ascii="Times New Roman" w:hAnsi="Times New Roman" w:cs="Times New Roman" w:eastAsia="Times New Roman" w:hint="default"/>
        </w:rPr>
        <w:t>M</w:t>
      </w:r>
      <w:r>
        <w:rPr>
          <w:rFonts w:ascii="Times New Roman" w:hAnsi="Times New Roman" w:cs="Times New Roman" w:eastAsia="Times New Roman" w:hint="default"/>
          <w:position w:val="-2"/>
          <w:sz w:val="14"/>
          <w:szCs w:val="14"/>
        </w:rPr>
        <w:t>j</w:t>
      </w:r>
      <w:r>
        <w:rPr>
          <w:rFonts w:ascii="Times New Roman" w:hAnsi="Times New Roman" w:cs="Times New Roman" w:eastAsia="Times New Roman" w:hint="default"/>
        </w:rPr>
        <w:t>=0</w:t>
      </w:r>
      <w:r>
        <w:rPr/>
        <w:t>。</w:t>
      </w:r>
      <w:r>
        <w:rPr>
          <w:w w:val="100"/>
        </w:rPr>
        <w:t> </w:t>
      </w:r>
      <w:r>
        <w:rPr>
          <w:spacing w:val="-2"/>
        </w:rPr>
        <w:t>报告期内的扣除非经常性损益后归属于普通股股东净利润和根据扣除非经常性损益后归属于普通股</w:t>
      </w:r>
    </w:p>
    <w:p>
      <w:pPr>
        <w:pStyle w:val="BodyText"/>
        <w:spacing w:line="240" w:lineRule="auto" w:before="33"/>
        <w:ind w:left="0" w:right="6624"/>
        <w:jc w:val="center"/>
      </w:pPr>
      <w:r>
        <w:rPr/>
        <w:t>股东净利润计算的基本每股收益列示如下：</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6237"/>
        <w:gridCol w:w="2484"/>
      </w:tblGrid>
      <w:tr>
        <w:trPr>
          <w:trHeight w:val="355" w:hRule="exact"/>
        </w:trPr>
        <w:tc>
          <w:tcPr>
            <w:tcW w:w="6237"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left="-1" w:right="47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84"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left="6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50" w:hRule="exact"/>
        </w:trPr>
        <w:tc>
          <w:tcPr>
            <w:tcW w:w="6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扣除非经常性损益后归属于普通股股东净利润</w:t>
            </w:r>
          </w:p>
        </w:tc>
        <w:tc>
          <w:tcPr>
            <w:tcW w:w="24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36,657,429.76</w:t>
            </w:r>
          </w:p>
        </w:tc>
      </w:tr>
      <w:tr>
        <w:trPr>
          <w:trHeight w:val="353" w:hRule="exact"/>
        </w:trPr>
        <w:tc>
          <w:tcPr>
            <w:tcW w:w="6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根据扣除非经常性损益后归属于普通股股东净利润计算的基本每股收益</w:t>
            </w:r>
          </w:p>
        </w:tc>
        <w:tc>
          <w:tcPr>
            <w:tcW w:w="24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0.41</w:t>
            </w:r>
          </w:p>
        </w:tc>
      </w:tr>
    </w:tbl>
    <w:p>
      <w:pPr>
        <w:pStyle w:val="BodyText"/>
        <w:spacing w:line="278" w:lineRule="exact"/>
        <w:ind w:left="750" w:right="1123"/>
        <w:jc w:val="left"/>
      </w:pPr>
      <w:r>
        <w:rPr/>
        <w:t>（</w:t>
      </w:r>
      <w:r>
        <w:rPr>
          <w:rFonts w:ascii="Times New Roman" w:hAnsi="Times New Roman" w:cs="Times New Roman" w:eastAsia="Times New Roman" w:hint="default"/>
        </w:rPr>
        <w:t>2</w:t>
      </w:r>
      <w:r>
        <w:rPr/>
        <w:t>）稀释每股收益计算公式如下：</w:t>
      </w:r>
    </w:p>
    <w:p>
      <w:pPr>
        <w:pStyle w:val="BodyText"/>
        <w:spacing w:line="244" w:lineRule="auto" w:before="21"/>
        <w:ind w:right="0" w:firstLine="598"/>
        <w:jc w:val="left"/>
      </w:pPr>
      <w:r>
        <w:rPr>
          <w:position w:val="1"/>
        </w:rPr>
        <w:t>稀释每股收益＝Ｐ</w:t>
      </w:r>
      <w:r>
        <w:rPr>
          <w:rFonts w:ascii="Times New Roman" w:hAnsi="Times New Roman" w:cs="Times New Roman" w:eastAsia="Times New Roman" w:hint="default"/>
          <w:position w:val="-1"/>
          <w:sz w:val="14"/>
          <w:szCs w:val="14"/>
        </w:rPr>
        <w:t>1</w:t>
      </w:r>
      <w:r>
        <w:rPr>
          <w:position w:val="1"/>
        </w:rPr>
        <w:t>／（Ｓ</w:t>
      </w:r>
      <w:r>
        <w:rPr>
          <w:sz w:val="11"/>
          <w:szCs w:val="11"/>
        </w:rPr>
        <w:t>０ </w:t>
      </w:r>
      <w:r>
        <w:rPr>
          <w:position w:val="1"/>
        </w:rPr>
        <w:t>＋ Ｓ</w:t>
      </w:r>
      <w:r>
        <w:rPr>
          <w:sz w:val="11"/>
          <w:szCs w:val="11"/>
        </w:rPr>
        <w:t>１ </w:t>
      </w:r>
      <w:r>
        <w:rPr>
          <w:position w:val="1"/>
        </w:rPr>
        <w:t>＋ Ｓ</w:t>
      </w:r>
      <w:r>
        <w:rPr>
          <w:sz w:val="11"/>
          <w:szCs w:val="11"/>
        </w:rPr>
        <w:t>ｉ</w:t>
      </w:r>
      <w:r>
        <w:rPr>
          <w:rFonts w:ascii="Times New Roman" w:hAnsi="Times New Roman" w:cs="Times New Roman" w:eastAsia="Times New Roman" w:hint="default"/>
          <w:position w:val="1"/>
        </w:rPr>
        <w:t>×</w:t>
      </w:r>
      <w:r>
        <w:rPr>
          <w:position w:val="1"/>
        </w:rPr>
        <w:t>Ｍ</w:t>
      </w:r>
      <w:r>
        <w:rPr>
          <w:sz w:val="11"/>
          <w:szCs w:val="11"/>
        </w:rPr>
        <w:t>ｉ</w:t>
      </w:r>
      <w:r>
        <w:rPr>
          <w:rFonts w:ascii="Times New Roman" w:hAnsi="Times New Roman" w:cs="Times New Roman" w:eastAsia="Times New Roman" w:hint="default"/>
          <w:position w:val="1"/>
        </w:rPr>
        <w:t>÷</w:t>
      </w:r>
      <w:r>
        <w:rPr>
          <w:position w:val="1"/>
        </w:rPr>
        <w:t>Ｍ</w:t>
      </w:r>
      <w:r>
        <w:rPr>
          <w:sz w:val="11"/>
          <w:szCs w:val="11"/>
        </w:rPr>
        <w:t>０ </w:t>
      </w:r>
      <w:r>
        <w:rPr>
          <w:position w:val="1"/>
        </w:rPr>
        <w:t>－</w:t>
      </w:r>
      <w:r>
        <w:rPr>
          <w:spacing w:val="-71"/>
          <w:position w:val="1"/>
        </w:rPr>
        <w:t> </w:t>
      </w:r>
      <w:r>
        <w:rPr>
          <w:position w:val="1"/>
        </w:rPr>
        <w:t>Ｓ</w:t>
      </w:r>
      <w:r>
        <w:rPr>
          <w:sz w:val="11"/>
          <w:szCs w:val="11"/>
        </w:rPr>
        <w:t>ｊ</w:t>
      </w:r>
      <w:r>
        <w:rPr>
          <w:rFonts w:ascii="Times New Roman" w:hAnsi="Times New Roman" w:cs="Times New Roman" w:eastAsia="Times New Roman" w:hint="default"/>
          <w:position w:val="1"/>
        </w:rPr>
        <w:t>×</w:t>
      </w:r>
      <w:r>
        <w:rPr>
          <w:position w:val="1"/>
        </w:rPr>
        <w:t>Ｍ</w:t>
      </w:r>
      <w:r>
        <w:rPr>
          <w:sz w:val="11"/>
          <w:szCs w:val="11"/>
        </w:rPr>
        <w:t>ｊ</w:t>
      </w:r>
      <w:r>
        <w:rPr>
          <w:rFonts w:ascii="Times New Roman" w:hAnsi="Times New Roman" w:cs="Times New Roman" w:eastAsia="Times New Roman" w:hint="default"/>
          <w:position w:val="1"/>
        </w:rPr>
        <w:t>÷</w:t>
      </w:r>
      <w:r>
        <w:rPr>
          <w:position w:val="1"/>
        </w:rPr>
        <w:t>Ｍ</w:t>
      </w:r>
      <w:r>
        <w:rPr>
          <w:sz w:val="11"/>
          <w:szCs w:val="11"/>
        </w:rPr>
        <w:t>０</w:t>
      </w:r>
      <w:r>
        <w:rPr>
          <w:rFonts w:ascii="Times New Roman" w:hAnsi="Times New Roman" w:cs="Times New Roman" w:eastAsia="Times New Roman" w:hint="default"/>
          <w:position w:val="1"/>
        </w:rPr>
        <w:t>¯</w:t>
      </w:r>
      <w:r>
        <w:rPr>
          <w:position w:val="1"/>
        </w:rPr>
        <w:t>Ｓｋ＋认股权证、股份期权、</w:t>
      </w:r>
      <w:r>
        <w:rPr>
          <w:w w:val="100"/>
          <w:position w:val="1"/>
        </w:rPr>
        <w:t> </w:t>
      </w:r>
      <w:r>
        <w:rPr/>
        <w:t>可转换债券等增加的普通股加权平均数）</w:t>
      </w:r>
    </w:p>
    <w:p>
      <w:pPr>
        <w:pStyle w:val="BodyText"/>
        <w:spacing w:line="266" w:lineRule="auto" w:before="33"/>
        <w:ind w:right="1123" w:firstLine="598"/>
        <w:jc w:val="left"/>
      </w:pPr>
      <w:r>
        <w:rPr/>
        <w:t>其中，Ｐ</w:t>
      </w:r>
      <w:r>
        <w:rPr>
          <w:rFonts w:ascii="Times New Roman" w:hAnsi="Times New Roman" w:cs="Times New Roman" w:eastAsia="Times New Roman" w:hint="default"/>
          <w:position w:val="-2"/>
          <w:sz w:val="14"/>
          <w:szCs w:val="14"/>
        </w:rPr>
        <w:t>1</w:t>
      </w:r>
      <w:r>
        <w:rPr/>
        <w:t>为归属于公司普通股股东的净利润或扣除非经常性损益后归属于公司普通股股东的净利</w:t>
      </w:r>
      <w:r>
        <w:rPr>
          <w:w w:val="100"/>
        </w:rPr>
        <w:t> </w:t>
      </w:r>
      <w:r>
        <w:rPr>
          <w:spacing w:val="-2"/>
        </w:rPr>
        <w:t>润，并考虑稀释性潜在普通股对其影响，按《企业会计准则》及有关规定进行调整。公司在计算稀释每股</w:t>
      </w:r>
      <w:r>
        <w:rPr>
          <w:spacing w:val="-43"/>
        </w:rPr>
        <w:t> </w:t>
      </w:r>
      <w:r>
        <w:rPr>
          <w:spacing w:val="-43"/>
        </w:rPr>
      </w:r>
      <w:r>
        <w:rPr>
          <w:spacing w:val="-2"/>
        </w:rPr>
        <w:t>收益时，考虑所有稀释性潜在普通股对归属于公司普通股股东的净利润或扣除非经常性损益后归属于公司</w:t>
      </w:r>
      <w:r>
        <w:rPr>
          <w:spacing w:val="-43"/>
        </w:rPr>
        <w:t> </w:t>
      </w:r>
      <w:r>
        <w:rPr>
          <w:spacing w:val="-43"/>
        </w:rPr>
      </w:r>
      <w:r>
        <w:rPr>
          <w:spacing w:val="-2"/>
        </w:rPr>
        <w:t>普通股股东的净利润和加权平均股数的影响，按照其稀释程度从大到小的顺序计入稀释每股收益，直至稀</w:t>
      </w:r>
      <w:r>
        <w:rPr>
          <w:spacing w:val="-43"/>
        </w:rPr>
        <w:t> </w:t>
      </w:r>
      <w:r>
        <w:rPr>
          <w:spacing w:val="-43"/>
        </w:rPr>
      </w:r>
      <w:r>
        <w:rPr/>
        <w:t>释每股收益达到最小值。</w:t>
      </w:r>
    </w:p>
    <w:p>
      <w:pPr>
        <w:pStyle w:val="BodyText"/>
        <w:spacing w:line="240" w:lineRule="auto" w:before="14"/>
        <w:ind w:left="573" w:right="1123"/>
        <w:jc w:val="left"/>
      </w:pPr>
      <w:r>
        <w:rPr/>
        <w:t>因公司不存在稀释性潜在普通股，故公司稀释每股收益的计算过程与结果与基本每股收益相同。</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37</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6,166,135.66</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1,273,654.69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784,516.11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8,224,306.46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6.811718pt;width:135pt;height:77pt;mso-position-horizontal-relative:page;mso-position-vertical-relative:paragraph;z-index:-671680" coordorigin="9206,1136" coordsize="2700,1540">
            <v:shape style="position:absolute;left:9206;top:1136;width:2700;height:1540" type="#_x0000_t75" stroked="false">
              <v:imagedata r:id="rId15" o:title=""/>
            </v:shape>
            <v:shape style="position:absolute;left:10502;top:149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12,339,196.88</w:t>
            </w:r>
          </w:p>
        </w:tc>
      </w:tr>
    </w:tbl>
    <w:p>
      <w:pPr>
        <w:spacing w:after="0" w:line="240" w:lineRule="auto"/>
        <w:jc w:val="right"/>
        <w:rPr>
          <w:rFonts w:ascii="Times New Roman" w:hAnsi="Times New Roman" w:cs="Times New Roman" w:eastAsia="Times New Roman" w:hint="default"/>
          <w:sz w:val="18"/>
          <w:szCs w:val="18"/>
        </w:rPr>
        <w:sectPr>
          <w:headerReference w:type="default" r:id="rId45"/>
          <w:footerReference w:type="default" r:id="rId46"/>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15,547,513.70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2,246,650.39</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30,133,360.97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43,725,094.38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17,297,250.06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43,725,094.38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17,297,250.06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3,292,975.07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1,232,934.42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35,259,825.79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20,639,853.80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685,597.76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566,339.96</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166,515.88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122,022.31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-77,151.74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757,095.77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356,474.07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20,076,316.67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17,143,401.54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12,540,677.62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-274,374.75</w:t>
            </w:r>
            <w:r>
              <w:rPr>
                <w:rFonts w:ascii="Times New Roman"/>
                <w:sz w:val="18"/>
              </w:rPr>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1,202,387.85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-3,399,185.46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-17,230,999.53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-23,289,724.85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-34,239,102.52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-13,530,625.73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-1,873,284.76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-14,504,258.64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48,247,484.09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18,234,321.18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313,221,508.67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82,793,097.54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82,793,097.54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154,406,108.18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230,428,411.13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-71,613,010.64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35.931721pt;width:135pt;height:77pt;mso-position-horizontal-relative:page;mso-position-vertical-relative:paragraph;z-index:-671632" coordorigin="9206,719" coordsize="2700,1540">
            <v:shape style="position:absolute;left:9206;top:719;width:2700;height:1540" type="#_x0000_t75" stroked="false">
              <v:imagedata r:id="rId15" o:title=""/>
            </v:shape>
            <v:shape style="position:absolute;left:10502;top:107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104</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45"/>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47"/>
          <w:footerReference w:type="default" r:id="rId48"/>
          <w:pgSz w:w="11910" w:h="16840"/>
          <w:pgMar w:header="877" w:footer="0" w:top="1100" w:bottom="0" w:left="980" w:right="0"/>
        </w:sectPr>
      </w:pPr>
    </w:p>
    <w:p>
      <w:pPr>
        <w:spacing w:line="240" w:lineRule="auto" w:before="8"/>
        <w:rPr>
          <w:rFonts w:ascii="宋体" w:hAnsi="宋体" w:cs="宋体" w:eastAsia="宋体" w:hint="default"/>
          <w:sz w:val="24"/>
          <w:szCs w:val="24"/>
        </w:rPr>
      </w:pPr>
      <w:r>
        <w:rPr/>
        <w:pict>
          <v:shape style="position:absolute;margin-left:311.092987pt;margin-top:599.596008pt;width:80.55pt;height:61.5pt;mso-position-horizontal-relative:page;mso-position-vertical-relative:page;z-index:-67160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瓶盖板、</w:t>
                  </w:r>
                </w:p>
              </w:txbxContent>
            </v:textbox>
            <w10:wrap type="none"/>
          </v:shape>
        </w:pict>
      </w:r>
      <w:r>
        <w:rPr/>
        <w:pict>
          <v:group style="position:absolute;margin-left:460.320007pt;margin-top:764.919983pt;width:135pt;height:77pt;mso-position-horizontal-relative:page;mso-position-vertical-relative:page;z-index:2680"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105</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313,221,508.67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82,793,097.54</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499,152.63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567,728.08</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312,722,356.04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82,225,369.46</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313,221,508.67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82,793,097.54</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5" w:hRule="exact"/>
        </w:trPr>
        <w:tc>
          <w:tcPr>
            <w:tcW w:w="957"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5" w:space="0" w:color="FFFFFF"/>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6330" w:hRule="exact"/>
        </w:trPr>
        <w:tc>
          <w:tcPr>
            <w:tcW w:w="957"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成都海川制 盖有限公司</w:t>
            </w:r>
          </w:p>
        </w:tc>
        <w:tc>
          <w:tcPr>
            <w:tcW w:w="958" w:type="dxa"/>
            <w:tcBorders>
              <w:top w:val="single" w:sz="5" w:space="0" w:color="FFFFFF"/>
              <w:left w:val="single" w:sz="4" w:space="0" w:color="000000"/>
              <w:bottom w:val="single" w:sz="4" w:space="0" w:color="000000"/>
              <w:right w:val="single" w:sz="4" w:space="0" w:color="000000"/>
            </w:tcBorders>
          </w:tcPr>
          <w:p>
            <w:pPr/>
          </w:p>
        </w:tc>
        <w:tc>
          <w:tcPr>
            <w:tcW w:w="956"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蒲江县工业 集中发展区</w:t>
            </w:r>
          </w:p>
        </w:tc>
        <w:tc>
          <w:tcPr>
            <w:tcW w:w="958"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956"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金属包装容 器制造、包 装装潢印刷 品印刷（印 刷经营许可 证至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1"/>
                <w:sz w:val="18"/>
                <w:szCs w:val="18"/>
              </w:rPr>
              <w:t>日止）、塑料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包装箱及容 器制造、塑 料零件制 造、模具制 造；五金交 电、钢材、 铝材、电子 产品、器件 和元件的销 售；货物进 出口、技术 进出口。</w:t>
            </w:r>
          </w:p>
        </w:tc>
        <w:tc>
          <w:tcPr>
            <w:tcW w:w="958"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5"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5" w:space="0" w:color="FFFFFF"/>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74360045-3</w:t>
            </w:r>
          </w:p>
        </w:tc>
      </w:tr>
      <w:tr>
        <w:trPr>
          <w:trHeight w:val="317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烟台和俊制 盖有限公司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合作经营</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烟台市牟平 区姜格庄镇 邹格庄村</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生产加工瓶 盖、 有色金属复 合材料、包 装装潢印刷 品印刷（有 效期至</w:t>
            </w:r>
          </w:p>
          <w:p>
            <w:pPr>
              <w:pStyle w:val="TableParagraph"/>
              <w:spacing w:line="240" w:lineRule="auto" w:before="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0"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日），并</w:t>
            </w:r>
            <w:r>
              <w:rPr>
                <w:rFonts w:ascii="宋体" w:hAnsi="宋体" w:cs="宋体" w:eastAsia="宋体" w:hint="default"/>
                <w:sz w:val="18"/>
                <w:szCs w:val="18"/>
              </w:rPr>
              <w:t> 销售公司上</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97"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247.26 </w:t>
            </w:r>
            <w:r>
              <w:rPr>
                <w:rFonts w:ascii="宋体" w:hAnsi="宋体" w:cs="宋体" w:eastAsia="宋体" w:hint="default"/>
                <w:sz w:val="18"/>
                <w:szCs w:val="18"/>
              </w:rPr>
              <w:t>万美 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72.41%</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75919422-6</w:t>
            </w:r>
          </w:p>
        </w:tc>
      </w:tr>
    </w:tbl>
    <w:p>
      <w:pPr>
        <w:spacing w:after="0" w:line="240" w:lineRule="auto"/>
        <w:jc w:val="left"/>
        <w:rPr>
          <w:rFonts w:ascii="Times New Roman" w:hAnsi="Times New Roman" w:cs="Times New Roman" w:eastAsia="Times New Roman" w:hint="default"/>
          <w:sz w:val="18"/>
          <w:szCs w:val="18"/>
        </w:rPr>
        <w:sectPr>
          <w:headerReference w:type="default" r:id="rId49"/>
          <w:footerReference w:type="default" r:id="rId50"/>
          <w:pgSz w:w="11910" w:h="16840"/>
          <w:pgMar w:header="877" w:footer="0" w:top="1100" w:bottom="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0.092987pt;margin-top:454.629974pt;width:71.55pt;height:117pt;mso-position-horizontal-relative:page;mso-position-vertical-relative:page;z-index:-671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加工、</w:t>
                  </w:r>
                </w:p>
              </w:txbxContent>
            </v:textbox>
            <w10:wrap type="none"/>
          </v:shape>
        </w:pict>
      </w:r>
      <w:r>
        <w:rPr/>
        <w:pict>
          <v:group style="position:absolute;margin-left:460.320007pt;margin-top:764.919983pt;width:135pt;height:77pt;mso-position-horizontal-relative:page;mso-position-vertical-relative:page;z-index:-67148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675"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述所列自产 产品。</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96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北京鹏和祥 包装制品有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合作经营</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4"/>
              <w:jc w:val="both"/>
              <w:rPr>
                <w:rFonts w:ascii="宋体" w:hAnsi="宋体" w:cs="宋体" w:eastAsia="宋体" w:hint="default"/>
                <w:sz w:val="18"/>
                <w:szCs w:val="18"/>
              </w:rPr>
            </w:pPr>
            <w:r>
              <w:rPr>
                <w:rFonts w:ascii="宋体" w:hAnsi="宋体" w:cs="宋体" w:eastAsia="宋体" w:hint="default"/>
                <w:sz w:val="18"/>
                <w:szCs w:val="18"/>
              </w:rPr>
              <w:t>北京市怀柔 区桥梓镇金 宇瑞科技产 业基地西侧</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许可经营项 目：生产、 加工瓶盖。 一般经营项 目：销售自 产产品。</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74.99%</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76935127-2</w:t>
            </w:r>
          </w:p>
        </w:tc>
      </w:tr>
      <w:tr>
        <w:trPr>
          <w:trHeight w:val="2276"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大冶市劲鹏 制盖有限公 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24"/>
              <w:jc w:val="left"/>
              <w:rPr>
                <w:rFonts w:ascii="宋体" w:hAnsi="宋体" w:cs="宋体" w:eastAsia="宋体" w:hint="default"/>
                <w:sz w:val="18"/>
                <w:szCs w:val="18"/>
              </w:rPr>
            </w:pPr>
            <w:r>
              <w:rPr>
                <w:rFonts w:ascii="宋体" w:hAnsi="宋体" w:cs="宋体" w:eastAsia="宋体" w:hint="default"/>
                <w:sz w:val="18"/>
                <w:szCs w:val="18"/>
              </w:rPr>
              <w:t>大冶市罗桥 办十里铺村</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制造加工及 销售防伪瓶 盖、机械模 具制作、橡 胶塑料制 品，货物进 出口业务</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72833140-0</w:t>
            </w:r>
          </w:p>
        </w:tc>
      </w:tr>
      <w:tr>
        <w:trPr>
          <w:trHeight w:val="508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新疆军鹏制 盖有限公司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4" w:right="24"/>
              <w:jc w:val="both"/>
              <w:rPr>
                <w:rFonts w:ascii="宋体" w:hAnsi="宋体" w:cs="宋体" w:eastAsia="宋体" w:hint="default"/>
                <w:sz w:val="18"/>
                <w:szCs w:val="18"/>
              </w:rPr>
            </w:pPr>
            <w:r>
              <w:rPr>
                <w:rFonts w:ascii="宋体" w:hAnsi="宋体" w:cs="宋体" w:eastAsia="宋体" w:hint="default"/>
                <w:sz w:val="18"/>
                <w:szCs w:val="18"/>
              </w:rPr>
              <w:t>新疆维吾尔 自治区伊犁 哈萨克自治 州新源县肖 尔布拉克</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孙吉涛</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自营和代理 各类商品和 技术的进出 口，但国家 限定公司经 营或禁止进 出口的商品 和技术除 外。开展边 境小额贸易 业务。 生产各种铝 防伪瓶盖， 组合式防伪 瓶盖、模具 机械设备</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69341428-0</w:t>
            </w:r>
          </w:p>
        </w:tc>
      </w:tr>
      <w:tr>
        <w:trPr>
          <w:trHeight w:val="1964"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亳州丽鹏制 盖有限公司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24"/>
              <w:jc w:val="left"/>
              <w:rPr>
                <w:rFonts w:ascii="宋体" w:hAnsi="宋体" w:cs="宋体" w:eastAsia="宋体" w:hint="default"/>
                <w:sz w:val="18"/>
                <w:szCs w:val="18"/>
              </w:rPr>
            </w:pPr>
            <w:r>
              <w:rPr>
                <w:rFonts w:ascii="宋体" w:hAnsi="宋体" w:cs="宋体" w:eastAsia="宋体" w:hint="default"/>
                <w:sz w:val="18"/>
                <w:szCs w:val="18"/>
              </w:rPr>
              <w:t>亳州市古井 镇</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孙吉涛</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铝防伪瓶 盖</w:t>
            </w:r>
            <w:r>
              <w:rPr>
                <w:rFonts w:ascii="Times New Roman" w:hAnsi="Times New Roman" w:cs="Times New Roman" w:eastAsia="Times New Roman" w:hint="default"/>
                <w:sz w:val="18"/>
                <w:szCs w:val="18"/>
              </w:rPr>
              <w:t>,</w:t>
            </w:r>
            <w:r>
              <w:rPr>
                <w:rFonts w:ascii="宋体" w:hAnsi="宋体" w:cs="宋体" w:eastAsia="宋体" w:hint="default"/>
                <w:sz w:val="18"/>
                <w:szCs w:val="18"/>
              </w:rPr>
              <w:t>组合式 防伪瓶盖加 工销售</w:t>
            </w:r>
            <w:r>
              <w:rPr>
                <w:rFonts w:ascii="Times New Roman" w:hAnsi="Times New Roman" w:cs="Times New Roman" w:eastAsia="Times New Roman" w:hint="default"/>
                <w:sz w:val="18"/>
                <w:szCs w:val="18"/>
              </w:rPr>
              <w:t>,</w:t>
            </w:r>
            <w:r>
              <w:rPr>
                <w:rFonts w:ascii="宋体" w:hAnsi="宋体" w:cs="宋体" w:eastAsia="宋体" w:hint="default"/>
                <w:sz w:val="18"/>
                <w:szCs w:val="18"/>
              </w:rPr>
              <w:t>制 盖模具、机 械设备销售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55458218-8</w:t>
            </w:r>
          </w:p>
        </w:tc>
      </w:tr>
      <w:tr>
        <w:trPr>
          <w:trHeight w:val="196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四川泸州丽 鹏制盖有限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合作经营</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泸州市江阳 区黄舣镇泸 州酒业集中 发展区聚源 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21"/>
              <w:jc w:val="left"/>
              <w:rPr>
                <w:rFonts w:ascii="宋体" w:hAnsi="宋体" w:cs="宋体" w:eastAsia="宋体" w:hint="default"/>
                <w:sz w:val="18"/>
                <w:szCs w:val="18"/>
              </w:rPr>
            </w:pPr>
            <w:r>
              <w:rPr>
                <w:rFonts w:ascii="宋体" w:hAnsi="宋体" w:cs="宋体" w:eastAsia="宋体" w:hint="default"/>
                <w:sz w:val="18"/>
                <w:szCs w:val="18"/>
              </w:rPr>
              <w:t>铝防伪瓶 盖</w:t>
            </w:r>
            <w:r>
              <w:rPr>
                <w:rFonts w:ascii="Times New Roman" w:hAnsi="Times New Roman" w:cs="Times New Roman" w:eastAsia="Times New Roman" w:hint="default"/>
                <w:sz w:val="18"/>
                <w:szCs w:val="18"/>
              </w:rPr>
              <w:t>,</w:t>
            </w:r>
            <w:r>
              <w:rPr>
                <w:rFonts w:ascii="宋体" w:hAnsi="宋体" w:cs="宋体" w:eastAsia="宋体" w:hint="default"/>
                <w:sz w:val="18"/>
                <w:szCs w:val="18"/>
              </w:rPr>
              <w:t>组合式 防伪瓶盖生 产、销售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85.71%</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56565456-2</w:t>
            </w:r>
          </w:p>
        </w:tc>
      </w:tr>
    </w:tbl>
    <w:p>
      <w:pPr>
        <w:spacing w:after="0" w:line="240" w:lineRule="auto"/>
        <w:jc w:val="left"/>
        <w:rPr>
          <w:rFonts w:ascii="Times New Roman" w:hAnsi="Times New Roman" w:cs="Times New Roman" w:eastAsia="Times New Roman" w:hint="default"/>
          <w:sz w:val="18"/>
          <w:szCs w:val="18"/>
        </w:rPr>
        <w:sectPr>
          <w:headerReference w:type="default" r:id="rId51"/>
          <w:footerReference w:type="default" r:id="rId52"/>
          <w:pgSz w:w="11910" w:h="16840"/>
          <w:pgMar w:header="877" w:footer="0" w:top="1100" w:bottom="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4460"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烟台丽鹏包 装有限公司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芝罘区环海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金属制品、 塑料制品及 模具的加 工、销售； 商品及技术 进出口（国 家禁止的除 外，法律、 行政法规、 国务院决 定、规定需 许可或审批 的项目除 外）</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05238134-3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烟台坤德投资有限公司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75445944-0</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9"/>
        <w:gridCol w:w="2110"/>
        <w:gridCol w:w="1594"/>
        <w:gridCol w:w="1596"/>
        <w:gridCol w:w="1594"/>
        <w:gridCol w:w="1594"/>
      </w:tblGrid>
      <w:tr>
        <w:trPr>
          <w:trHeight w:val="716"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1" w:hRule="exact"/>
        </w:trPr>
        <w:tc>
          <w:tcPr>
            <w:tcW w:w="10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）其他关联交易</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693" w:right="1123"/>
        <w:jc w:val="left"/>
      </w:pPr>
      <w:r>
        <w:rPr/>
        <w:pict>
          <v:group style="position:absolute;margin-left:460.320007pt;margin-top:49.643669pt;width:135pt;height:77pt;mso-position-horizontal-relative:page;mso-position-vertical-relative:paragraph;z-index:2800" coordorigin="9206,993" coordsize="2700,1540">
            <v:shape style="position:absolute;left:9206;top:993;width:2700;height:1540" type="#_x0000_t75" stroked="false">
              <v:imagedata r:id="rId15" o:title=""/>
            </v:shape>
            <v:shape style="position:absolute;left:10502;top:1353;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r>
        <w:rPr/>
        <w:t>（</w:t>
      </w:r>
      <w:r>
        <w:rPr>
          <w:rFonts w:ascii="Times New Roman" w:hAnsi="Times New Roman" w:cs="Times New Roman" w:eastAsia="Times New Roman" w:hint="default"/>
        </w:rPr>
        <w:t>1</w:t>
      </w:r>
      <w:r>
        <w:rPr/>
        <w:t>）关键管理人员薪酬</w:t>
      </w:r>
    </w:p>
    <w:p>
      <w:pPr>
        <w:spacing w:line="240" w:lineRule="auto" w:before="10"/>
        <w:rPr>
          <w:rFonts w:ascii="宋体" w:hAnsi="宋体" w:cs="宋体" w:eastAsia="宋体" w:hint="default"/>
          <w:sz w:val="11"/>
          <w:szCs w:val="11"/>
        </w:rPr>
      </w:pPr>
    </w:p>
    <w:tbl>
      <w:tblPr>
        <w:tblW w:w="0" w:type="auto"/>
        <w:jc w:val="left"/>
        <w:tblInd w:w="410" w:type="dxa"/>
        <w:tblLayout w:type="fixed"/>
        <w:tblCellMar>
          <w:top w:w="0" w:type="dxa"/>
          <w:left w:w="0" w:type="dxa"/>
          <w:bottom w:w="0" w:type="dxa"/>
          <w:right w:w="0" w:type="dxa"/>
        </w:tblCellMar>
        <w:tblLook w:val="01E0"/>
      </w:tblPr>
      <w:tblGrid>
        <w:gridCol w:w="3169"/>
        <w:gridCol w:w="3060"/>
        <w:gridCol w:w="2880"/>
      </w:tblGrid>
      <w:tr>
        <w:trPr>
          <w:trHeight w:val="358" w:hRule="exact"/>
        </w:trPr>
        <w:tc>
          <w:tcPr>
            <w:tcW w:w="3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headerReference w:type="default" r:id="rId53"/>
          <w:footerReference w:type="default" r:id="rId54"/>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410" w:type="dxa"/>
        <w:tblLayout w:type="fixed"/>
        <w:tblCellMar>
          <w:top w:w="0" w:type="dxa"/>
          <w:left w:w="0" w:type="dxa"/>
          <w:bottom w:w="0" w:type="dxa"/>
          <w:right w:w="0" w:type="dxa"/>
        </w:tblCellMar>
        <w:tblLook w:val="01E0"/>
      </w:tblPr>
      <w:tblGrid>
        <w:gridCol w:w="3169"/>
        <w:gridCol w:w="3060"/>
        <w:gridCol w:w="2880"/>
      </w:tblGrid>
      <w:tr>
        <w:trPr>
          <w:trHeight w:val="356" w:hRule="exact"/>
        </w:trPr>
        <w:tc>
          <w:tcPr>
            <w:tcW w:w="3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0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216.28</w:t>
            </w:r>
            <w:r>
              <w:rPr>
                <w:rFonts w:ascii="宋体" w:hAnsi="宋体" w:cs="宋体" w:eastAsia="宋体" w:hint="default"/>
                <w:spacing w:val="-1"/>
                <w:sz w:val="18"/>
                <w:szCs w:val="18"/>
              </w:rPr>
              <w:t>万元</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210.62</w:t>
            </w:r>
            <w:r>
              <w:rPr>
                <w:rFonts w:ascii="宋体" w:hAnsi="宋体" w:cs="宋体" w:eastAsia="宋体" w:hint="default"/>
                <w:spacing w:val="-1"/>
                <w:sz w:val="18"/>
                <w:szCs w:val="18"/>
              </w:rPr>
              <w:t>万元</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九、资产负债表日后事项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31,901,538.30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31,901,538.30</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十、母公司财务报表主要项目注释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107,925,405.40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8,252,745.82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80,350,709.34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5,731,318.06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107,925,405.40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8,252,745.82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80,350,709.34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5,731,318.06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107,925,405.40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8,252,745.82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80,350,709.34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5,731,318.06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55"/>
          <w:footerReference w:type="default" r:id="rId56"/>
          <w:pgSz w:w="11910" w:h="16840"/>
          <w:pgMar w:header="877" w:footer="0" w:top="1100" w:bottom="0" w:left="980" w:right="0"/>
        </w:sectPr>
      </w:pPr>
    </w:p>
    <w:p>
      <w:pPr>
        <w:pStyle w:val="BodyText"/>
        <w:spacing w:line="240" w:lineRule="auto" w:before="28"/>
        <w:ind w:right="0"/>
        <w:jc w:val="left"/>
      </w:pPr>
      <w:r>
        <w:rPr>
          <w:spacing w:val="-2"/>
        </w:rPr>
        <w:t>期末单项金额重大并单项计提坏账准备的应收账款</w:t>
      </w:r>
    </w:p>
    <w:p>
      <w:pPr>
        <w:pStyle w:val="BodyText"/>
        <w:spacing w:line="307" w:lineRule="auto" w:before="75"/>
        <w:ind w:right="0"/>
        <w:jc w:val="left"/>
      </w:pPr>
      <w:r>
        <w:rPr/>
        <w:t>□ 适用 √ 不适用</w:t>
      </w:r>
      <w:r>
        <w:rPr>
          <w:spacing w:val="-104"/>
        </w:rPr>
        <w:t> </w:t>
      </w:r>
      <w:r>
        <w:rPr>
          <w:spacing w:val="-104"/>
        </w:rPr>
      </w:r>
      <w:r>
        <w:rPr>
          <w:spacing w:val="-2"/>
        </w:rPr>
        <w:t>组合中，采用账龄分析法计提坏账准备的应收账款</w:t>
      </w:r>
    </w:p>
    <w:p>
      <w:pPr>
        <w:pStyle w:val="BodyText"/>
        <w:spacing w:line="240" w:lineRule="auto" w:before="19"/>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779" w:space="4050"/>
            <w:col w:w="2101"/>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67139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055"/>
        <w:gridCol w:w="2000"/>
        <w:gridCol w:w="657"/>
        <w:gridCol w:w="1468"/>
        <w:gridCol w:w="2126"/>
        <w:gridCol w:w="654"/>
        <w:gridCol w:w="1588"/>
      </w:tblGrid>
      <w:tr>
        <w:trPr>
          <w:trHeight w:val="402" w:hRule="exact"/>
        </w:trPr>
        <w:tc>
          <w:tcPr>
            <w:tcW w:w="1055"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3"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55" w:type="dxa"/>
            <w:vMerge w:val="restart"/>
            <w:tcBorders>
              <w:top w:val="nil" w:sz="6" w:space="0" w:color="auto"/>
              <w:left w:val="single" w:sz="4" w:space="0" w:color="000000"/>
              <w:right w:val="single" w:sz="4" w:space="0" w:color="000000"/>
            </w:tcBorders>
            <w:shd w:val="clear" w:color="auto" w:fill="D2D2D2"/>
          </w:tcPr>
          <w:p>
            <w:pPr/>
          </w:p>
        </w:tc>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55" w:type="dxa"/>
            <w:vMerge/>
            <w:tcBorders>
              <w:left w:val="single" w:sz="4" w:space="0" w:color="000000"/>
              <w:right w:val="single" w:sz="4" w:space="0" w:color="000000"/>
            </w:tcBorders>
            <w:shd w:val="clear" w:color="auto" w:fill="D2D2D2"/>
          </w:tcPr>
          <w:p>
            <w:pPr/>
          </w:p>
        </w:tc>
        <w:tc>
          <w:tcPr>
            <w:tcW w:w="2000"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88"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055" w:type="dxa"/>
            <w:vMerge/>
            <w:tcBorders>
              <w:left w:val="single" w:sz="4" w:space="0" w:color="000000"/>
              <w:bottom w:val="single" w:sz="5" w:space="0" w:color="FFFFFF"/>
              <w:right w:val="single" w:sz="4" w:space="0" w:color="000000"/>
            </w:tcBorders>
            <w:shd w:val="clear" w:color="auto" w:fill="D2D2D2"/>
          </w:tcPr>
          <w:p>
            <w:pPr/>
          </w:p>
        </w:tc>
        <w:tc>
          <w:tcPr>
            <w:tcW w:w="2000" w:type="dxa"/>
            <w:tcBorders>
              <w:top w:val="nil" w:sz="6" w:space="0" w:color="auto"/>
              <w:left w:val="single" w:sz="4" w:space="0" w:color="000000"/>
              <w:bottom w:val="single" w:sz="5" w:space="0" w:color="FFFFFF"/>
              <w:right w:val="single" w:sz="4" w:space="0" w:color="000000"/>
            </w:tcBorders>
            <w:shd w:val="clear" w:color="auto" w:fill="D2D2D2"/>
          </w:tcPr>
          <w:p>
            <w:pPr/>
          </w:p>
        </w:tc>
        <w:tc>
          <w:tcPr>
            <w:tcW w:w="657" w:type="dxa"/>
            <w:vMerge/>
            <w:tcBorders>
              <w:left w:val="single" w:sz="4" w:space="0" w:color="000000"/>
              <w:bottom w:val="single" w:sz="5" w:space="0" w:color="FFFFFF"/>
              <w:right w:val="single" w:sz="4" w:space="0" w:color="000000"/>
            </w:tcBorders>
            <w:shd w:val="clear" w:color="auto" w:fill="D2D2D2"/>
          </w:tcPr>
          <w:p>
            <w:pPr/>
          </w:p>
        </w:tc>
        <w:tc>
          <w:tcPr>
            <w:tcW w:w="1468" w:type="dxa"/>
            <w:vMerge/>
            <w:tcBorders>
              <w:left w:val="single" w:sz="4" w:space="0" w:color="000000"/>
              <w:bottom w:val="single" w:sz="5" w:space="0" w:color="FFFFFF"/>
              <w:right w:val="single" w:sz="4" w:space="0" w:color="000000"/>
            </w:tcBorders>
            <w:shd w:val="clear" w:color="auto" w:fill="D2D2D2"/>
          </w:tcPr>
          <w:p>
            <w:pPr/>
          </w:p>
        </w:tc>
        <w:tc>
          <w:tcPr>
            <w:tcW w:w="2126" w:type="dxa"/>
            <w:tcBorders>
              <w:top w:val="nil" w:sz="6" w:space="0" w:color="auto"/>
              <w:left w:val="single" w:sz="4" w:space="0" w:color="000000"/>
              <w:bottom w:val="single" w:sz="5" w:space="0" w:color="FFFFFF"/>
              <w:right w:val="single" w:sz="4" w:space="0" w:color="000000"/>
            </w:tcBorders>
            <w:shd w:val="clear" w:color="auto" w:fill="D2D2D2"/>
          </w:tcPr>
          <w:p>
            <w:pPr/>
          </w:p>
        </w:tc>
        <w:tc>
          <w:tcPr>
            <w:tcW w:w="654" w:type="dxa"/>
            <w:vMerge/>
            <w:tcBorders>
              <w:left w:val="single" w:sz="4" w:space="0" w:color="000000"/>
              <w:bottom w:val="single" w:sz="5" w:space="0" w:color="FFFFFF"/>
              <w:right w:val="single" w:sz="4" w:space="0" w:color="000000"/>
            </w:tcBorders>
            <w:shd w:val="clear" w:color="auto" w:fill="D2D2D2"/>
          </w:tcPr>
          <w:p>
            <w:pPr/>
          </w:p>
        </w:tc>
        <w:tc>
          <w:tcPr>
            <w:tcW w:w="1588"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48"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89,078,100.44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82.54%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4,453,905.02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75,353,177.05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3,767,658.85</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14,365,453.95</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13.31%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1,436,545.39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3,138,813.27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313,881.33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2,649,444.50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529,888.90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261,176.43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52,235.29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1,832,406.51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1,832,406.51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1,597,542.59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1,597,542.59</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107,925,405.40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8,252,745.82</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80,350,709.34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5,731,318.06</w:t>
            </w:r>
          </w:p>
        </w:tc>
      </w:tr>
    </w:tbl>
    <w:p>
      <w:pPr>
        <w:pStyle w:val="BodyText"/>
        <w:spacing w:line="240" w:lineRule="auto" w:before="28"/>
        <w:ind w:right="1123"/>
        <w:jc w:val="left"/>
      </w:pPr>
      <w:r>
        <w:rPr/>
        <w:t>组合中，采用余额百分比法计提坏账准备的应收账款</w:t>
      </w:r>
    </w:p>
    <w:p>
      <w:pPr>
        <w:pStyle w:val="BodyText"/>
        <w:spacing w:line="307" w:lineRule="auto" w:before="75"/>
        <w:ind w:right="5085"/>
        <w:jc w:val="left"/>
      </w:pPr>
      <w:r>
        <w:rPr/>
        <w:t>□ 适用 √ 不适用</w:t>
      </w:r>
      <w:r>
        <w:rPr>
          <w:spacing w:val="-104"/>
        </w:rPr>
        <w:t> </w:t>
      </w:r>
      <w:r>
        <w:rPr>
          <w:spacing w:val="-104"/>
        </w:rPr>
      </w:r>
      <w:r>
        <w:rPr>
          <w:spacing w:val="-2"/>
        </w:rPr>
        <w:t>组合中，采用其他方法计提坏账准备的应收账款</w:t>
      </w:r>
    </w:p>
    <w:p>
      <w:pPr>
        <w:pStyle w:val="BodyText"/>
        <w:spacing w:line="307" w:lineRule="auto" w:before="16"/>
        <w:ind w:right="5085"/>
        <w:jc w:val="left"/>
      </w:pPr>
      <w:r>
        <w:rPr/>
        <w:t>□ 适用 √ 不适用</w:t>
      </w:r>
      <w:r>
        <w:rPr>
          <w:spacing w:val="-104"/>
        </w:rPr>
        <w:t> </w:t>
      </w:r>
      <w:r>
        <w:rPr>
          <w:spacing w:val="-104"/>
        </w:rPr>
      </w:r>
      <w:r>
        <w:rPr>
          <w:spacing w:val="-2"/>
        </w:rPr>
        <w:t>期末单项金额虽不重大但单项计提坏账准备的应收账款</w:t>
      </w:r>
    </w:p>
    <w:p>
      <w:pPr>
        <w:pStyle w:val="BodyText"/>
        <w:spacing w:line="240" w:lineRule="auto" w:before="19"/>
        <w:ind w:right="1123"/>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亳州丽鹏制盖有限公司</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25,075,684.50</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2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20,561,903.54</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烟台丽鹏包装有限公司</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2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11,271,334.47</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安徽种子酒厂</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2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4,960,337.10</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俄罗斯哈吉斯酒厂</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2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4,217,231.40</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3.91%</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66,086,491.01</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61.23%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3"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1,340,999.07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90,697.28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10,577,429.25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626,142.72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5.92%</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1,340,999.07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90,697.28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10,577,429.25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626,142.72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5.92%</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1,340,999.07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90,697.28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10,577,429.25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626,142.72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1123"/>
        <w:jc w:val="left"/>
      </w:pPr>
      <w:r>
        <w:rPr/>
        <w:t>期末单项金额重大并单项计提坏账准备的其他应收款</w:t>
      </w:r>
    </w:p>
    <w:p>
      <w:pPr>
        <w:pStyle w:val="BodyText"/>
        <w:spacing w:line="307" w:lineRule="auto" w:before="75"/>
        <w:ind w:right="5085"/>
        <w:jc w:val="left"/>
      </w:pPr>
      <w:r>
        <w:rPr/>
        <w:t>□ 适用 √ 不适用</w:t>
      </w:r>
      <w:r>
        <w:rPr>
          <w:spacing w:val="-104"/>
        </w:rPr>
        <w:t> </w:t>
      </w:r>
      <w:r>
        <w:rPr>
          <w:spacing w:val="-104"/>
        </w:rPr>
      </w:r>
      <w:r>
        <w:rPr>
          <w:spacing w:val="-2"/>
        </w:rPr>
        <w:t>组合中，采用账龄分析法计提坏账准备的其他应收款</w:t>
      </w:r>
    </w:p>
    <w:p>
      <w:pPr>
        <w:spacing w:after="0" w:line="307" w:lineRule="auto"/>
        <w:jc w:val="left"/>
        <w:sectPr>
          <w:footerReference w:type="default" r:id="rId57"/>
          <w:pgSz w:w="11910" w:h="16840"/>
          <w:pgMar w:footer="1340" w:header="877" w:top="1100" w:bottom="1540" w:left="980" w:right="0"/>
          <w:pgNumType w:start="109"/>
        </w:sect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8"/>
          <w:pgSz w:w="11910" w:h="16840"/>
          <w:pgMar w:footer="1254" w:header="877" w:top="1100" w:bottom="1440" w:left="980" w:right="0"/>
          <w:pgNumType w:start="11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942" w:space="6887"/>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1"/>
        <w:gridCol w:w="1601"/>
        <w:gridCol w:w="1867"/>
        <w:gridCol w:w="660"/>
        <w:gridCol w:w="1725"/>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1,209,627.47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90.21%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60,481.37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10,380,637.14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98.14%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519,031.85</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88,395.21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8,839.52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91,603.87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9,160.39</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27,000.00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9,047.20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1,809.44</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15,976.39</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15,976.39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96,141.04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96,141.04</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1,340,999.07</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90,697.28</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10,577,429.25</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626,142.72</w:t>
            </w:r>
          </w:p>
        </w:tc>
      </w:tr>
    </w:tbl>
    <w:p>
      <w:pPr>
        <w:pStyle w:val="BodyText"/>
        <w:spacing w:line="240" w:lineRule="auto" w:before="28"/>
        <w:ind w:right="1123"/>
        <w:jc w:val="left"/>
      </w:pPr>
      <w:r>
        <w:rPr/>
        <w:t>组合中，采用余额百分比法计提坏账准备的其他应收款</w:t>
      </w:r>
    </w:p>
    <w:p>
      <w:pPr>
        <w:pStyle w:val="BodyText"/>
        <w:spacing w:line="307" w:lineRule="auto" w:before="78"/>
        <w:ind w:right="5085"/>
        <w:jc w:val="left"/>
      </w:pPr>
      <w:r>
        <w:rPr/>
        <w:t>□ 适用 √ 不适用</w:t>
      </w:r>
      <w:r>
        <w:rPr>
          <w:spacing w:val="-104"/>
        </w:rPr>
        <w:t> </w:t>
      </w:r>
      <w:r>
        <w:rPr>
          <w:spacing w:val="-104"/>
        </w:rPr>
      </w:r>
      <w:r>
        <w:rPr>
          <w:spacing w:val="-2"/>
        </w:rPr>
        <w:t>组合中，采用其他方法计提坏账准备的其他应收款</w:t>
      </w:r>
    </w:p>
    <w:p>
      <w:pPr>
        <w:pStyle w:val="BodyText"/>
        <w:spacing w:line="307" w:lineRule="auto" w:before="19"/>
        <w:ind w:right="5085"/>
        <w:jc w:val="left"/>
      </w:pPr>
      <w:r>
        <w:rPr/>
        <w:t>□ 适用 √ 不适用</w:t>
      </w:r>
      <w:r>
        <w:rPr>
          <w:spacing w:val="-104"/>
        </w:rPr>
        <w:t> </w:t>
      </w:r>
      <w:r>
        <w:rPr>
          <w:spacing w:val="-104"/>
        </w:rPr>
      </w:r>
      <w:r>
        <w:rPr>
          <w:spacing w:val="-2"/>
        </w:rPr>
        <w:t>期末单项金额虽不重大但单项计提坏账准备的其他应收款</w:t>
      </w:r>
    </w:p>
    <w:p>
      <w:pPr>
        <w:pStyle w:val="BodyText"/>
        <w:spacing w:line="240" w:lineRule="auto" w:before="16"/>
        <w:ind w:right="1123"/>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河北衡水老白干酒业股 份有限公司酿酒分公司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37.29%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烟台市牟平区建设局</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17.15%</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烟台市牟平区德佳果品 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孙世虎</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140,970.00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中华人民共和国烟台海 关</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1,110,970.00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82.84%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成都海川 制盖有限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29,886,22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29,886,22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烟台和俊 制盖有限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14,482,39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15,332,94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15,332,94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72.41%</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5,923,052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北京鹏和 祥包装制 品有限公 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1,504,623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1,758,434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1,758,434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74.99%</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大冶劲鹏 制盖有限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40,528,41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40,528,41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40,528,41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姜格庄农 村信用社</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2,737,495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亳州丽鹏 制盖有限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136,560,0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136,560,0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85.71%</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四川融圣 投资管理 股份有限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39"/>
              <w:jc w:val="both"/>
              <w:rPr>
                <w:rFonts w:ascii="宋体" w:hAnsi="宋体" w:cs="宋体" w:eastAsia="宋体" w:hint="default"/>
                <w:sz w:val="18"/>
                <w:szCs w:val="18"/>
              </w:rPr>
            </w:pPr>
            <w:r>
              <w:rPr>
                <w:rFonts w:ascii="宋体" w:hAnsi="宋体" w:cs="宋体" w:eastAsia="宋体" w:hint="default"/>
                <w:sz w:val="18"/>
                <w:szCs w:val="18"/>
              </w:rPr>
              <w:t>烟台丽鹏 包装有限 公司</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310,612,9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26.68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145,603,5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17.55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166,000,0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311,603,5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17.55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5,923,052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.98</w:t>
            </w:r>
          </w:p>
        </w:tc>
      </w:tr>
    </w:tbl>
    <w:p>
      <w:pPr>
        <w:pStyle w:val="BodyText"/>
        <w:spacing w:line="240" w:lineRule="auto" w:before="28"/>
        <w:ind w:right="1123"/>
        <w:jc w:val="left"/>
      </w:pPr>
      <w:r>
        <w:rPr/>
        <w:t>长期股权投资的说明</w:t>
      </w:r>
    </w:p>
    <w:p>
      <w:pPr>
        <w:pStyle w:val="BodyText"/>
        <w:spacing w:line="240" w:lineRule="auto" w:before="75"/>
        <w:ind w:left="573" w:right="112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日，公司第二届第十四次董事会决议，审议通过了《关于使用募集资金向全资子</w:t>
      </w:r>
    </w:p>
    <w:p>
      <w:pPr>
        <w:spacing w:after="0" w:line="240" w:lineRule="auto"/>
        <w:jc w:val="left"/>
        <w:sectPr>
          <w:pgSz w:w="11910" w:h="16840"/>
          <w:pgMar w:header="877" w:footer="1254" w:top="1100" w:bottom="1440" w:left="980" w:right="0"/>
        </w:sectPr>
      </w:pPr>
    </w:p>
    <w:p>
      <w:pPr>
        <w:spacing w:line="240" w:lineRule="auto" w:before="11"/>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671344" coordorigin="9206,15298" coordsize="2700,1540">
            <v:shape style="position:absolute;left:9206;top:15298;width:2700;height:1540" type="#_x0000_t75" stroked="false">
              <v:imagedata r:id="rId15"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112</w:t>
                    </w:r>
                  </w:p>
                </w:txbxContent>
              </v:textbox>
              <w10:wrap type="none"/>
            </v:shape>
            <w10:wrap type="none"/>
          </v:group>
        </w:pict>
      </w:r>
    </w:p>
    <w:p>
      <w:pPr>
        <w:pStyle w:val="BodyText"/>
        <w:spacing w:line="240" w:lineRule="auto" w:before="36"/>
        <w:ind w:right="1123"/>
        <w:jc w:val="left"/>
      </w:pPr>
      <w:r>
        <w:rPr/>
        <w:t>公司亳州丽鹏制盖有限公司增资的议案》，公司对亳州丽鹏制盖有限公司增资</w:t>
      </w:r>
      <w:r>
        <w:rPr>
          <w:rFonts w:ascii="Times New Roman" w:hAnsi="Times New Roman" w:cs="Times New Roman" w:eastAsia="Times New Roman" w:hint="default"/>
        </w:rPr>
        <w:t>12000</w:t>
      </w:r>
      <w:r>
        <w:rPr/>
        <w:t>万元。</w:t>
      </w:r>
    </w:p>
    <w:p>
      <w:pPr>
        <w:pStyle w:val="BodyText"/>
        <w:spacing w:line="256" w:lineRule="auto" w:before="21"/>
        <w:ind w:right="1123"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日，公司第二届董事会第十次会议决议，审议通过了《关于对控股子公司四川泸州丽鹏</w:t>
      </w:r>
      <w:r>
        <w:rPr>
          <w:w w:val="100"/>
        </w:rPr>
        <w:t> </w:t>
      </w:r>
      <w:r>
        <w:rPr/>
        <w:t>制盖有限公司增资的议案》，公司出资</w:t>
      </w:r>
      <w:r>
        <w:rPr>
          <w:rFonts w:ascii="Times New Roman" w:hAnsi="Times New Roman" w:cs="Times New Roman" w:eastAsia="Times New Roman" w:hint="default"/>
        </w:rPr>
        <w:t>3600</w:t>
      </w:r>
      <w:r>
        <w:rPr/>
        <w:t>万元对四川泸州丽鹏制盖有限公司进行增资。</w:t>
      </w:r>
    </w:p>
    <w:p>
      <w:pPr>
        <w:pStyle w:val="BodyText"/>
        <w:spacing w:line="240" w:lineRule="auto" w:before="5"/>
        <w:ind w:left="662" w:right="112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月公司出资</w:t>
      </w:r>
      <w:r>
        <w:rPr>
          <w:rFonts w:ascii="Times New Roman" w:hAnsi="Times New Roman" w:cs="Times New Roman" w:eastAsia="Times New Roman" w:hint="default"/>
        </w:rPr>
        <w:t>1000</w:t>
      </w:r>
      <w:r>
        <w:rPr/>
        <w:t>万元成立烟台丽鹏包装有限公司。</w:t>
      </w:r>
    </w:p>
    <w:p>
      <w:pPr>
        <w:pStyle w:val="BodyText"/>
        <w:spacing w:line="240" w:lineRule="auto" w:before="21"/>
        <w:ind w:left="573" w:right="1123"/>
        <w:jc w:val="left"/>
      </w:pPr>
      <w:r>
        <w:rPr/>
        <w:t>（</w:t>
      </w:r>
      <w:r>
        <w:rPr>
          <w:rFonts w:ascii="Times New Roman" w:hAnsi="Times New Roman" w:cs="Times New Roman" w:eastAsia="Times New Roman" w:hint="default"/>
        </w:rPr>
        <w:t>2</w:t>
      </w:r>
      <w:r>
        <w:rPr/>
        <w:t>）报告期长期股权投资未发生减值情况，故未计提减值准备。</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460,509,573.85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463,731,010.33</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55,561,424.46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53,080,404.21</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516,070,998.31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516,811,414.54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432,726,062.10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453,690,172.30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206,584,882.83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161,813,352.63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165,331,015.81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142,705,986.93</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143,579,185.98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136,850,401.52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168,953,186.87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164,819,945.31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28,650,730.72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19,881,868.75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34,177,374.41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25,632,801.60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257,123.19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243,993.19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10,752,329.78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10,102,809.62</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65,199,883.77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50,619,424.73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64,485,909.90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48,451,148.48</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涂印费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16,237,767.36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12,929,148.85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20,031,193.56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15,793,168.05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460,509,573.85</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463,731,010.33</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106,110,974.08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20.56%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烟台和俊制盖有限公司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89,326,796.20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17.31%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泰国麦成酒厂</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29,263,373.16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安徽种子酒厂</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18,273,485.08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w:t>
            </w:r>
          </w:p>
        </w:tc>
      </w:tr>
    </w:tbl>
    <w:p>
      <w:pPr>
        <w:spacing w:after="0" w:line="240" w:lineRule="auto"/>
        <w:jc w:val="right"/>
        <w:rPr>
          <w:rFonts w:ascii="Times New Roman" w:hAnsi="Times New Roman" w:cs="Times New Roman" w:eastAsia="Times New Roman" w:hint="default"/>
          <w:sz w:val="18"/>
          <w:szCs w:val="18"/>
        </w:rPr>
        <w:sectPr>
          <w:headerReference w:type="default" r:id="rId59"/>
          <w:footerReference w:type="default" r:id="rId60"/>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山西汾阳王酒厂</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16,373,178.89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259,347,807.41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6,087,302.68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15,192,859.56</w:t>
            </w: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6,087,302.68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15,192,859.56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606"/>
        <w:gridCol w:w="2899"/>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姜格庄农村信用社分红</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164,249.70</w:t>
            </w:r>
          </w:p>
        </w:tc>
        <w:tc>
          <w:tcPr>
            <w:tcW w:w="160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136,874.75</w:t>
            </w:r>
          </w:p>
        </w:tc>
        <w:tc>
          <w:tcPr>
            <w:tcW w:w="289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烟台和俊制盖有限公司分红</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5,923,052.98</w:t>
            </w:r>
          </w:p>
        </w:tc>
        <w:tc>
          <w:tcPr>
            <w:tcW w:w="160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8,098,937.63</w:t>
            </w:r>
          </w:p>
        </w:tc>
        <w:tc>
          <w:tcPr>
            <w:tcW w:w="289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6,957,047.18</w:t>
            </w:r>
          </w:p>
        </w:tc>
        <w:tc>
          <w:tcPr>
            <w:tcW w:w="289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6,087,302.68</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15,192,859.56</w:t>
            </w:r>
          </w:p>
        </w:tc>
        <w:tc>
          <w:tcPr>
            <w:tcW w:w="2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33,616,047.24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9,603,319.16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2,240,814.46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1,654,113.95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22,470,067.69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11,872,068.83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426,563.72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239,573.82</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1,151.05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789,201.49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20,076,316.67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16,307,811.56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11,594,465.65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-6,087,302.68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-15,192,859.56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1,907,688.30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-2,389,797.63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-4,530,551.43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-28,395.56</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1340" w:header="877" w:top="1100" w:bottom="1540" w:left="980" w:right="0"/>
          <w:pgNumType w:start="113"/>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-40,962,941.18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-12,359,660.09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-7,720,108.96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-13,627,955.94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17,670,581.77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12,230,390.79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164,719,711.86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68,142,682.14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68,142,682.14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108,375,049.53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96,577,029.72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-40,232,367.39</w:t>
            </w:r>
          </w:p>
        </w:tc>
      </w:tr>
    </w:tbl>
    <w:p>
      <w:pPr>
        <w:spacing w:line="240" w:lineRule="auto" w:before="1"/>
        <w:rPr>
          <w:rFonts w:ascii="宋体" w:hAnsi="宋体" w:cs="宋体" w:eastAsia="宋体" w:hint="default"/>
          <w:sz w:val="18"/>
          <w:szCs w:val="18"/>
        </w:rPr>
      </w:pPr>
    </w:p>
    <w:p>
      <w:pPr>
        <w:pStyle w:val="Heading2"/>
        <w:spacing w:line="240" w:lineRule="auto"/>
        <w:ind w:right="1123"/>
        <w:jc w:val="left"/>
        <w:rPr>
          <w:b w:val="0"/>
          <w:bCs w:val="0"/>
        </w:rPr>
      </w:pPr>
      <w:r>
        <w:rPr/>
        <w:t>十二、补充资料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12"/>
        <w:rPr>
          <w:rFonts w:ascii="宋体" w:hAnsi="宋体" w:cs="宋体" w:eastAsia="宋体" w:hint="default"/>
          <w:b/>
          <w:bCs/>
          <w:sz w:val="40"/>
          <w:szCs w:val="40"/>
        </w:rPr>
      </w:pPr>
    </w:p>
    <w:p>
      <w:pPr>
        <w:pStyle w:val="BodyText"/>
        <w:spacing w:line="273" w:lineRule="auto"/>
        <w:ind w:left="573" w:right="1123"/>
        <w:jc w:val="left"/>
      </w:pPr>
      <w:r>
        <w:rPr/>
        <w:t>一、载有公司负责人、主管会计工作负责人、会计机构负责人签名并盖章的财务报表</w:t>
      </w:r>
      <w:r>
        <w:rPr>
          <w:w w:val="100"/>
        </w:rPr>
        <w:t> </w:t>
      </w:r>
      <w:r>
        <w:rPr/>
        <w:t>二、载有山东汇德会计师事务所有限公司盖章、注册会计师签字并盖章的审计报告原件</w:t>
      </w:r>
      <w:r>
        <w:rPr>
          <w:w w:val="100"/>
        </w:rPr>
        <w:t> </w:t>
      </w:r>
      <w:r>
        <w:rPr>
          <w:spacing w:val="-2"/>
        </w:rPr>
        <w:t>三、报告期内在中国证监会指定信息披露媒体上公开披露过的所有公司文件的正本及公告的原稿</w:t>
      </w:r>
      <w:r>
        <w:rPr>
          <w:spacing w:val="-25"/>
        </w:rPr>
        <w:t> </w:t>
      </w:r>
      <w:r>
        <w:rPr>
          <w:spacing w:val="-25"/>
        </w:rPr>
      </w:r>
      <w:r>
        <w:rPr/>
        <w:t>四、载有公司董事长孙世尧先生签名的</w:t>
      </w:r>
      <w:r>
        <w:rPr>
          <w:rFonts w:ascii="Times New Roman" w:hAnsi="Times New Roman" w:cs="Times New Roman" w:eastAsia="Times New Roman" w:hint="default"/>
        </w:rPr>
        <w:t>2012</w:t>
      </w:r>
      <w:r>
        <w:rPr/>
        <w:t>年度报告原件</w:t>
      </w:r>
    </w:p>
    <w:p>
      <w:pPr>
        <w:pStyle w:val="BodyText"/>
        <w:spacing w:line="264" w:lineRule="exact"/>
        <w:ind w:left="573" w:right="1123"/>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3"/>
        <w:spacing w:line="240" w:lineRule="auto"/>
        <w:ind w:left="6034" w:right="1123" w:hanging="360"/>
        <w:jc w:val="left"/>
      </w:pPr>
      <w:r>
        <w:rPr/>
        <w:t>山东丽鹏股份有限公司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3"/>
        <w:spacing w:line="240" w:lineRule="auto"/>
        <w:ind w:left="6034" w:right="1123"/>
        <w:jc w:val="left"/>
      </w:pPr>
      <w:r>
        <w:rPr/>
        <w:t>董事长：孙世尧</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3"/>
        <w:spacing w:line="240" w:lineRule="auto"/>
        <w:ind w:left="5794" w:right="1123"/>
        <w:jc w:val="left"/>
      </w:pPr>
      <w:r>
        <w:rPr/>
        <w:t>二零一三年四月十八日</w:t>
      </w:r>
    </w:p>
    <w:sectPr>
      <w:pgSz w:w="11910" w:h="16840"/>
      <w:pgMar w:header="877" w:footer="1340" w:top="110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3192" type="#_x0000_t75" stroked="false">
          <v:imagedata r:id="rId1" o:title=""/>
        </v:shape>
      </w:pict>
    </w:r>
    <w:r>
      <w:rPr/>
      <w:pict>
        <v:shape style="position:absolute;margin-left:533.099976pt;margin-top:795.637939pt;width:6.5pt;height:11pt;mso-position-horizontal-relative:page;mso-position-vertical-relative:page;z-index:-673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712" type="#_x0000_t75" stroked="false">
          <v:imagedata r:id="rId1" o:title=""/>
        </v:shape>
      </w:pict>
    </w:r>
    <w:r>
      <w:rPr/>
      <w:pict>
        <v:shape style="position:absolute;margin-left:527.659973pt;margin-top:781.933899pt;width:13.15pt;height:11pt;mso-position-horizontal-relative:page;mso-position-vertical-relative:page;z-index:-67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616" type="#_x0000_t75" stroked="false">
          <v:imagedata r:id="rId1" o:title=""/>
        </v:shape>
      </w:pict>
    </w:r>
    <w:r>
      <w:rPr/>
      <w:pict>
        <v:shape style="position:absolute;margin-left:527.659973pt;margin-top:781.933899pt;width:13.15pt;height:11pt;mso-position-horizontal-relative:page;mso-position-vertical-relative:page;z-index:-67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448" type="#_x0000_t75" stroked="false">
          <v:imagedata r:id="rId1" o:title=""/>
        </v:shape>
      </w:pict>
    </w:r>
    <w:r>
      <w:rPr/>
      <w:pict>
        <v:shape style="position:absolute;margin-left:497.100006pt;margin-top:758.281616pt;width:42.6pt;height:11pt;mso-position-horizontal-relative:page;mso-position-vertical-relative:page;z-index:-672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r>
      <w:rPr/>
      <w:pict>
        <v:shape style="position:absolute;margin-left:527.659973pt;margin-top:781.933899pt;width:13.15pt;height:11pt;mso-position-horizontal-relative:page;mso-position-vertical-relative:page;z-index:-672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376" type="#_x0000_t75" stroked="false">
          <v:imagedata r:id="rId1" o:title=""/>
        </v:shape>
      </w:pict>
    </w:r>
    <w:r>
      <w:rPr/>
      <w:pict>
        <v:shape style="position:absolute;margin-left:497.100006pt;margin-top:758.281616pt;width:42.6pt;height:11pt;mso-position-horizontal-relative:page;mso-position-vertical-relative:page;z-index:-672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r>
      <w:rPr/>
      <w:pict>
        <v:shape style="position:absolute;margin-left:527.659973pt;margin-top:781.933899pt;width:13.15pt;height:11pt;mso-position-horizontal-relative:page;mso-position-vertical-relative:page;z-index:-672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304" type="#_x0000_t75" stroked="false">
          <v:imagedata r:id="rId1" o:title=""/>
        </v:shape>
      </w:pict>
    </w:r>
    <w:r>
      <w:rPr/>
      <w:pict>
        <v:shape style="position:absolute;margin-left:527.659973pt;margin-top:781.933899pt;width:13.15pt;height:11pt;mso-position-horizontal-relative:page;mso-position-vertical-relative:page;z-index:-672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3144" type="#_x0000_t75" stroked="false">
          <v:imagedata r:id="rId1" o:title=""/>
        </v:shape>
      </w:pict>
    </w:r>
    <w:r>
      <w:rPr/>
      <w:pict>
        <v:shape style="position:absolute;margin-left:527.659973pt;margin-top:781.933899pt;width:13.15pt;height:11pt;mso-position-horizontal-relative:page;mso-position-vertical-relative:page;z-index:-673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256" type="#_x0000_t75" stroked="false">
          <v:imagedata r:id="rId1" o:title=""/>
        </v:shape>
      </w:pict>
    </w:r>
    <w:r>
      <w:rPr/>
      <w:pict>
        <v:shape style="position:absolute;margin-left:524.099976pt;margin-top:781.933899pt;width:15.7pt;height:11pt;mso-position-horizontal-relative:page;mso-position-vertical-relative:page;z-index:-672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208" type="#_x0000_t75" stroked="false">
          <v:imagedata r:id="rId1" o:title=""/>
        </v:shape>
      </w:pict>
    </w:r>
    <w:r>
      <w:rPr/>
      <w:pict>
        <v:shape style="position:absolute;margin-left:523.099976pt;margin-top:781.933899pt;width:17.7pt;height:11pt;mso-position-horizontal-relative:page;mso-position-vertical-relative:page;z-index:-672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1872" type="#_x0000_t75" stroked="false">
          <v:imagedata r:id="rId1" o:title=""/>
        </v:shape>
      </w:pict>
    </w:r>
    <w:r>
      <w:rPr/>
      <w:pict>
        <v:shape style="position:absolute;margin-left:523.099976pt;margin-top:781.933899pt;width:17.7pt;height:11pt;mso-position-horizontal-relative:page;mso-position-vertical-relative:page;z-index:-671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1824" type="#_x0000_t75" stroked="false">
          <v:imagedata r:id="rId1" o:title=""/>
        </v:shape>
      </w:pict>
    </w:r>
    <w:r>
      <w:rPr/>
      <w:pict>
        <v:shape style="position:absolute;margin-left:523.460022pt;margin-top:781.933899pt;width:17.3pt;height:11pt;mso-position-horizontal-relative:page;mso-position-vertical-relative:page;z-index:-671800" type="#_x0000_t202" filled="false" stroked="false">
          <v:textbox inset="0,0,0,0">
            <w:txbxContent>
              <w:p>
                <w:pPr>
                  <w:spacing w:line="204" w:lineRule="exact" w:before="0"/>
                  <w:ind w:left="4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111</w:t>
                </w:r>
                <w:r>
                  <w:rPr/>
                  <w:fldChar w:fldCharType="end"/>
                </w:r>
                <w:r>
                  <w:rPr>
                    <w:rFonts w:ascii="Times New Roman"/>
                    <w:spacing w:val="-6"/>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1728" type="#_x0000_t75" stroked="false">
          <v:imagedata r:id="rId1" o:title=""/>
        </v:shape>
      </w:pict>
    </w:r>
    <w:r>
      <w:rPr/>
      <w:pict>
        <v:shape style="position:absolute;margin-left:523.460022pt;margin-top:781.933899pt;width:17.3pt;height:11pt;mso-position-horizontal-relative:page;mso-position-vertical-relative:page;z-index:-671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3048" type="#_x0000_t75" stroked="false">
          <v:imagedata r:id="rId1" o:title=""/>
        </v:shape>
      </w:pict>
    </w:r>
    <w:r>
      <w:rPr/>
      <w:pict>
        <v:shape style="position:absolute;margin-left:527.659973pt;margin-top:781.933899pt;width:13.15pt;height:11pt;mso-position-horizontal-relative:page;mso-position-vertical-relative:page;z-index:-673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952" type="#_x0000_t75" stroked="false">
          <v:imagedata r:id="rId1" o:title=""/>
        </v:shape>
      </w:pict>
    </w:r>
    <w:r>
      <w:rPr/>
      <w:pict>
        <v:shape style="position:absolute;margin-left:527.659973pt;margin-top:781.933899pt;width:13.15pt;height:11pt;mso-position-horizontal-relative:page;mso-position-vertical-relative:page;z-index:-672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856" type="#_x0000_t75" stroked="false">
          <v:imagedata r:id="rId1" o:title=""/>
        </v:shape>
      </w:pict>
    </w:r>
    <w:r>
      <w:rPr/>
      <w:pict>
        <v:shape style="position:absolute;margin-left:527.659973pt;margin-top:781.933899pt;width:13.15pt;height:11pt;mso-position-horizontal-relative:page;mso-position-vertical-relative:page;z-index:-67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72808" type="#_x0000_t75" stroked="false">
          <v:imagedata r:id="rId1" o:title=""/>
        </v:shape>
      </w:pict>
    </w:r>
    <w:r>
      <w:rPr/>
      <w:pict>
        <v:shape style="position:absolute;margin-left:527.659973pt;margin-top:781.933899pt;width:13.15pt;height:11pt;mso-position-horizontal-relative:page;mso-position-vertical-relative:page;z-index:-67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070007pt;margin-top:36.265610pt;width:168.6pt;height:11.5pt;mso-position-horizontal-relative:page;mso-position-vertical-relative:page;z-index:-673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2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2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2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20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2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1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1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1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19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1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6717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1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730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3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730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729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727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726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71.070007pt;margin-top:42.865608pt;width:168.6pt;height:11.5pt;mso-position-horizontal-relative:page;mso-position-vertical-relative:page;z-index:-672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429993pt;margin-top:42.865631pt;width:168.6pt;height:11.5pt;mso-position-horizontal-relative:page;mso-position-vertical-relative:page;z-index:-672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429993pt;margin-top:42.865631pt;width:168.6pt;height:11.5pt;mso-position-horizontal-relative:page;mso-position-vertical-relative:page;z-index:-672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429993pt;margin-top:42.865631pt;width:168.6pt;height:11.5pt;mso-position-horizontal-relative:page;mso-position-vertical-relative:page;z-index:-672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lp.com.cn/" TargetMode="External"/><Relationship Id="rId9" Type="http://schemas.openxmlformats.org/officeDocument/2006/relationships/hyperlink" Target="mailto:lp@lp.com.cn" TargetMode="External"/><Relationship Id="rId10" Type="http://schemas.openxmlformats.org/officeDocument/2006/relationships/hyperlink" Target="mailto:haixia5229@sina.com" TargetMode="External"/><Relationship Id="rId11" Type="http://schemas.openxmlformats.org/officeDocument/2006/relationships/hyperlink" Target="mailto:shiyu5490@sina.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2.jpeg"/><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footer" Target="footer9.xml"/><Relationship Id="rId27" Type="http://schemas.openxmlformats.org/officeDocument/2006/relationships/header" Target="header5.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6.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7.xml"/><Relationship Id="rId34" Type="http://schemas.openxmlformats.org/officeDocument/2006/relationships/footer" Target="footer14.xml"/><Relationship Id="rId35" Type="http://schemas.openxmlformats.org/officeDocument/2006/relationships/header" Target="header8.xml"/><Relationship Id="rId36" Type="http://schemas.openxmlformats.org/officeDocument/2006/relationships/footer" Target="footer15.xml"/><Relationship Id="rId37" Type="http://schemas.openxmlformats.org/officeDocument/2006/relationships/header" Target="header9.xml"/><Relationship Id="rId38" Type="http://schemas.openxmlformats.org/officeDocument/2006/relationships/footer" Target="footer16.xml"/><Relationship Id="rId39" Type="http://schemas.openxmlformats.org/officeDocument/2006/relationships/header" Target="header10.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1.xml"/><Relationship Id="rId46" Type="http://schemas.openxmlformats.org/officeDocument/2006/relationships/footer" Target="footer22.xml"/><Relationship Id="rId47" Type="http://schemas.openxmlformats.org/officeDocument/2006/relationships/header" Target="header12.xml"/><Relationship Id="rId48" Type="http://schemas.openxmlformats.org/officeDocument/2006/relationships/footer" Target="footer23.xml"/><Relationship Id="rId49" Type="http://schemas.openxmlformats.org/officeDocument/2006/relationships/header" Target="header13.xml"/><Relationship Id="rId50" Type="http://schemas.openxmlformats.org/officeDocument/2006/relationships/footer" Target="footer24.xml"/><Relationship Id="rId51" Type="http://schemas.openxmlformats.org/officeDocument/2006/relationships/header" Target="header14.xml"/><Relationship Id="rId52" Type="http://schemas.openxmlformats.org/officeDocument/2006/relationships/footer" Target="footer25.xml"/><Relationship Id="rId53" Type="http://schemas.openxmlformats.org/officeDocument/2006/relationships/header" Target="header15.xml"/><Relationship Id="rId54" Type="http://schemas.openxmlformats.org/officeDocument/2006/relationships/footer" Target="footer26.xml"/><Relationship Id="rId55" Type="http://schemas.openxmlformats.org/officeDocument/2006/relationships/header" Target="header16.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header" Target="header17.xml"/><Relationship Id="rId60" Type="http://schemas.openxmlformats.org/officeDocument/2006/relationships/footer" Target="footer30.xml"/><Relationship Id="rId61" Type="http://schemas.openxmlformats.org/officeDocument/2006/relationships/footer" Target="footer3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2020-05-04T00:56:40Z</dcterms:created>
  <dcterms:modified xsi:type="dcterms:W3CDTF">2020-05-04T00:56:40Z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2020-05-03T00:00:00Z</vt:filetime>
  </property>
</Properties>
</file>